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7F100A">
      <w:pPr>
        <w:pageBreakBefore w:val="0"/>
        <w:wordWrap/>
        <w:topLinePunct w:val="0"/>
        <w:bidi w:val="0"/>
        <w:spacing w:line="480" w:lineRule="exact"/>
        <w:rPr>
          <w:rFonts w:hint="eastAsia" w:ascii="仿宋" w:hAnsi="仿宋" w:eastAsia="仿宋" w:cs="仿宋"/>
          <w:sz w:val="24"/>
          <w:szCs w:val="24"/>
        </w:rPr>
      </w:pPr>
    </w:p>
    <w:p w14:paraId="6AAA9BB7">
      <w:pPr>
        <w:pageBreakBefore w:val="0"/>
        <w:wordWrap/>
        <w:topLinePunct w:val="0"/>
        <w:bidi w:val="0"/>
        <w:spacing w:line="480" w:lineRule="exact"/>
        <w:rPr>
          <w:rFonts w:hint="eastAsia" w:ascii="仿宋" w:hAnsi="仿宋" w:eastAsia="仿宋" w:cs="仿宋"/>
          <w:sz w:val="24"/>
          <w:szCs w:val="24"/>
        </w:rPr>
      </w:pPr>
    </w:p>
    <w:p w14:paraId="7BD5175D">
      <w:pPr>
        <w:pageBreakBefore w:val="0"/>
        <w:wordWrap/>
        <w:topLinePunct w:val="0"/>
        <w:bidi w:val="0"/>
        <w:spacing w:line="480" w:lineRule="exact"/>
        <w:rPr>
          <w:rFonts w:hint="eastAsia" w:ascii="仿宋" w:hAnsi="仿宋" w:eastAsia="仿宋" w:cs="仿宋"/>
          <w:sz w:val="24"/>
          <w:szCs w:val="24"/>
        </w:rPr>
      </w:pPr>
    </w:p>
    <w:p w14:paraId="157261A9">
      <w:pPr>
        <w:pageBreakBefore w:val="0"/>
        <w:wordWrap/>
        <w:topLinePunct w:val="0"/>
        <w:bidi w:val="0"/>
        <w:spacing w:line="480" w:lineRule="exact"/>
        <w:jc w:val="center"/>
        <w:outlineLvl w:val="0"/>
        <w:rPr>
          <w:rFonts w:hint="eastAsia" w:ascii="仿宋" w:hAnsi="仿宋" w:eastAsia="仿宋" w:cs="仿宋"/>
          <w:b/>
          <w:bCs/>
          <w:sz w:val="40"/>
          <w:szCs w:val="40"/>
          <w:lang w:eastAsia="zh-CN"/>
        </w:rPr>
      </w:pPr>
      <w:r>
        <w:rPr>
          <w:rFonts w:hint="eastAsia" w:ascii="仿宋" w:hAnsi="仿宋" w:eastAsia="仿宋" w:cs="仿宋"/>
          <w:b/>
          <w:bCs/>
          <w:sz w:val="40"/>
          <w:szCs w:val="40"/>
          <w:lang w:eastAsia="zh-CN"/>
        </w:rPr>
        <w:t>2025年城区花卉景观布置工程</w:t>
      </w:r>
    </w:p>
    <w:p w14:paraId="2067B3AC">
      <w:pPr>
        <w:pageBreakBefore w:val="0"/>
        <w:wordWrap/>
        <w:topLinePunct w:val="0"/>
        <w:bidi w:val="0"/>
        <w:spacing w:line="480" w:lineRule="exact"/>
        <w:jc w:val="center"/>
        <w:rPr>
          <w:rFonts w:hint="eastAsia" w:ascii="仿宋" w:hAnsi="仿宋" w:eastAsia="仿宋" w:cs="仿宋"/>
          <w:b/>
          <w:bCs/>
          <w:sz w:val="40"/>
          <w:szCs w:val="40"/>
        </w:rPr>
      </w:pPr>
    </w:p>
    <w:p w14:paraId="43EC7A17">
      <w:pPr>
        <w:pageBreakBefore w:val="0"/>
        <w:wordWrap/>
        <w:topLinePunct w:val="0"/>
        <w:bidi w:val="0"/>
        <w:spacing w:line="480" w:lineRule="exact"/>
        <w:jc w:val="center"/>
        <w:rPr>
          <w:rFonts w:hint="eastAsia" w:ascii="仿宋" w:hAnsi="仿宋" w:eastAsia="仿宋" w:cs="仿宋"/>
          <w:b/>
          <w:bCs/>
          <w:sz w:val="40"/>
          <w:szCs w:val="40"/>
        </w:rPr>
      </w:pPr>
    </w:p>
    <w:p w14:paraId="3E37D0FE">
      <w:pPr>
        <w:pageBreakBefore w:val="0"/>
        <w:wordWrap/>
        <w:topLinePunct w:val="0"/>
        <w:bidi w:val="0"/>
        <w:spacing w:line="480" w:lineRule="exact"/>
        <w:jc w:val="center"/>
        <w:rPr>
          <w:rFonts w:hint="eastAsia" w:ascii="仿宋" w:hAnsi="仿宋" w:eastAsia="仿宋" w:cs="仿宋"/>
          <w:b/>
          <w:bCs/>
          <w:sz w:val="40"/>
          <w:szCs w:val="40"/>
        </w:rPr>
      </w:pPr>
    </w:p>
    <w:p w14:paraId="4B7A843B">
      <w:pPr>
        <w:pageBreakBefore w:val="0"/>
        <w:wordWrap/>
        <w:topLinePunct w:val="0"/>
        <w:bidi w:val="0"/>
        <w:spacing w:line="480" w:lineRule="exact"/>
        <w:jc w:val="center"/>
        <w:rPr>
          <w:rFonts w:hint="eastAsia" w:ascii="仿宋" w:hAnsi="仿宋" w:eastAsia="仿宋" w:cs="仿宋"/>
          <w:b/>
          <w:bCs/>
          <w:sz w:val="40"/>
          <w:szCs w:val="40"/>
        </w:rPr>
      </w:pPr>
    </w:p>
    <w:p w14:paraId="76453F84">
      <w:pPr>
        <w:pageBreakBefore w:val="0"/>
        <w:wordWrap/>
        <w:topLinePunct w:val="0"/>
        <w:bidi w:val="0"/>
        <w:spacing w:line="480" w:lineRule="exact"/>
        <w:jc w:val="center"/>
        <w:outlineLvl w:val="0"/>
        <w:rPr>
          <w:rFonts w:hint="eastAsia" w:ascii="仿宋" w:hAnsi="仿宋" w:eastAsia="仿宋" w:cs="仿宋"/>
          <w:b/>
          <w:bCs/>
          <w:sz w:val="40"/>
          <w:szCs w:val="40"/>
        </w:rPr>
      </w:pPr>
      <w:bookmarkStart w:id="0" w:name="_Toc8290"/>
      <w:r>
        <w:rPr>
          <w:rFonts w:hint="eastAsia" w:ascii="仿宋" w:hAnsi="仿宋" w:eastAsia="仿宋" w:cs="仿宋"/>
          <w:b/>
          <w:bCs/>
          <w:sz w:val="40"/>
          <w:szCs w:val="40"/>
        </w:rPr>
        <w:t>竞争性磋商文件</w:t>
      </w:r>
      <w:bookmarkEnd w:id="0"/>
    </w:p>
    <w:p w14:paraId="25FAF724">
      <w:pPr>
        <w:pageBreakBefore w:val="0"/>
        <w:wordWrap/>
        <w:topLinePunct w:val="0"/>
        <w:bidi w:val="0"/>
        <w:spacing w:line="480" w:lineRule="exact"/>
        <w:rPr>
          <w:rFonts w:hint="eastAsia" w:ascii="仿宋" w:hAnsi="仿宋" w:eastAsia="仿宋" w:cs="仿宋"/>
          <w:sz w:val="24"/>
          <w:szCs w:val="24"/>
        </w:rPr>
      </w:pPr>
    </w:p>
    <w:p w14:paraId="626EBECC">
      <w:pPr>
        <w:pageBreakBefore w:val="0"/>
        <w:wordWrap/>
        <w:topLinePunct w:val="0"/>
        <w:bidi w:val="0"/>
        <w:spacing w:line="480" w:lineRule="exact"/>
        <w:rPr>
          <w:rFonts w:hint="eastAsia" w:ascii="仿宋" w:hAnsi="仿宋" w:eastAsia="仿宋" w:cs="仿宋"/>
          <w:sz w:val="24"/>
          <w:szCs w:val="24"/>
        </w:rPr>
      </w:pPr>
    </w:p>
    <w:p w14:paraId="7F8A85A3">
      <w:pPr>
        <w:pageBreakBefore w:val="0"/>
        <w:wordWrap/>
        <w:topLinePunct w:val="0"/>
        <w:bidi w:val="0"/>
        <w:spacing w:line="480" w:lineRule="exact"/>
        <w:rPr>
          <w:rFonts w:hint="eastAsia" w:ascii="仿宋" w:hAnsi="仿宋" w:eastAsia="仿宋" w:cs="仿宋"/>
          <w:sz w:val="24"/>
          <w:szCs w:val="24"/>
        </w:rPr>
      </w:pPr>
    </w:p>
    <w:p w14:paraId="09018D8C">
      <w:pPr>
        <w:pageBreakBefore w:val="0"/>
        <w:wordWrap/>
        <w:topLinePunct w:val="0"/>
        <w:bidi w:val="0"/>
        <w:spacing w:line="480" w:lineRule="exact"/>
        <w:rPr>
          <w:rFonts w:hint="eastAsia" w:ascii="仿宋" w:hAnsi="仿宋" w:eastAsia="仿宋" w:cs="仿宋"/>
          <w:sz w:val="24"/>
          <w:szCs w:val="24"/>
        </w:rPr>
      </w:pPr>
    </w:p>
    <w:p w14:paraId="1C2DFC45">
      <w:pPr>
        <w:pageBreakBefore w:val="0"/>
        <w:wordWrap/>
        <w:topLinePunct w:val="0"/>
        <w:bidi w:val="0"/>
        <w:spacing w:line="480" w:lineRule="exact"/>
        <w:rPr>
          <w:rFonts w:hint="eastAsia" w:ascii="仿宋" w:hAnsi="仿宋" w:eastAsia="仿宋" w:cs="仿宋"/>
          <w:sz w:val="24"/>
          <w:szCs w:val="24"/>
        </w:rPr>
      </w:pPr>
    </w:p>
    <w:p w14:paraId="722E7BFE">
      <w:pPr>
        <w:pageBreakBefore w:val="0"/>
        <w:wordWrap/>
        <w:topLinePunct w:val="0"/>
        <w:bidi w:val="0"/>
        <w:spacing w:line="480" w:lineRule="exact"/>
        <w:rPr>
          <w:rFonts w:hint="eastAsia" w:ascii="仿宋" w:hAnsi="仿宋" w:eastAsia="仿宋" w:cs="仿宋"/>
          <w:sz w:val="24"/>
          <w:szCs w:val="24"/>
        </w:rPr>
      </w:pPr>
    </w:p>
    <w:p w14:paraId="64CC4A7A">
      <w:pPr>
        <w:pageBreakBefore w:val="0"/>
        <w:wordWrap/>
        <w:topLinePunct w:val="0"/>
        <w:bidi w:val="0"/>
        <w:spacing w:line="480" w:lineRule="exact"/>
        <w:rPr>
          <w:rFonts w:hint="eastAsia" w:ascii="仿宋" w:hAnsi="仿宋" w:eastAsia="仿宋" w:cs="仿宋"/>
          <w:sz w:val="24"/>
          <w:szCs w:val="24"/>
        </w:rPr>
      </w:pPr>
    </w:p>
    <w:p w14:paraId="0BAC0DFC">
      <w:pPr>
        <w:pageBreakBefore w:val="0"/>
        <w:wordWrap/>
        <w:topLinePunct w:val="0"/>
        <w:bidi w:val="0"/>
        <w:spacing w:line="480" w:lineRule="exact"/>
        <w:rPr>
          <w:rFonts w:hint="eastAsia" w:ascii="仿宋" w:hAnsi="仿宋" w:eastAsia="仿宋" w:cs="仿宋"/>
          <w:sz w:val="28"/>
          <w:szCs w:val="28"/>
        </w:rPr>
      </w:pPr>
    </w:p>
    <w:p w14:paraId="73376D75">
      <w:pPr>
        <w:pageBreakBefore w:val="0"/>
        <w:wordWrap/>
        <w:topLinePunct w:val="0"/>
        <w:bidi w:val="0"/>
        <w:spacing w:line="480" w:lineRule="exact"/>
        <w:ind w:firstLine="1400" w:firstLineChars="500"/>
        <w:rPr>
          <w:rFonts w:hint="eastAsia" w:ascii="仿宋" w:hAnsi="仿宋" w:eastAsia="仿宋" w:cs="仿宋"/>
          <w:sz w:val="28"/>
          <w:szCs w:val="28"/>
        </w:rPr>
      </w:pPr>
      <w:r>
        <w:rPr>
          <w:rFonts w:hint="eastAsia" w:ascii="仿宋" w:hAnsi="仿宋" w:eastAsia="仿宋" w:cs="仿宋"/>
          <w:sz w:val="28"/>
          <w:szCs w:val="28"/>
        </w:rPr>
        <w:t>采购人：昌吉市园林绿化管理中心</w:t>
      </w:r>
    </w:p>
    <w:p w14:paraId="7C09910C">
      <w:pPr>
        <w:pageBreakBefore w:val="0"/>
        <w:wordWrap/>
        <w:topLinePunct w:val="0"/>
        <w:bidi w:val="0"/>
        <w:spacing w:line="480" w:lineRule="exact"/>
        <w:ind w:firstLine="1400" w:firstLineChars="500"/>
        <w:rPr>
          <w:rFonts w:hint="eastAsia" w:ascii="仿宋" w:hAnsi="仿宋" w:eastAsia="仿宋" w:cs="仿宋"/>
          <w:sz w:val="28"/>
          <w:szCs w:val="28"/>
        </w:rPr>
      </w:pPr>
      <w:r>
        <w:rPr>
          <w:rFonts w:hint="eastAsia" w:ascii="仿宋" w:hAnsi="仿宋" w:eastAsia="仿宋" w:cs="仿宋"/>
          <w:sz w:val="28"/>
          <w:szCs w:val="28"/>
        </w:rPr>
        <w:t>采购代理机构：新疆昌盛方略项目管理有限公司</w:t>
      </w:r>
    </w:p>
    <w:p w14:paraId="7F8DB227">
      <w:pPr>
        <w:pageBreakBefore w:val="0"/>
        <w:wordWrap/>
        <w:topLinePunct w:val="0"/>
        <w:bidi w:val="0"/>
        <w:spacing w:line="480" w:lineRule="exact"/>
        <w:ind w:firstLine="1400" w:firstLineChars="500"/>
        <w:rPr>
          <w:rFonts w:hint="eastAsia" w:ascii="仿宋" w:hAnsi="仿宋" w:eastAsia="仿宋" w:cs="仿宋"/>
          <w:sz w:val="28"/>
          <w:szCs w:val="28"/>
        </w:rPr>
      </w:pPr>
      <w:r>
        <w:rPr>
          <w:rFonts w:hint="eastAsia" w:ascii="仿宋" w:hAnsi="仿宋" w:eastAsia="仿宋" w:cs="仿宋"/>
          <w:sz w:val="28"/>
          <w:szCs w:val="28"/>
        </w:rPr>
        <w:t>项目编号：CSFLZB-2025-05</w:t>
      </w:r>
      <w:r>
        <w:rPr>
          <w:rFonts w:hint="eastAsia" w:ascii="仿宋" w:hAnsi="仿宋" w:eastAsia="仿宋" w:cs="仿宋"/>
          <w:sz w:val="28"/>
          <w:szCs w:val="28"/>
          <w:lang w:val="en-US" w:eastAsia="zh-CN"/>
        </w:rPr>
        <w:t>4</w:t>
      </w:r>
      <w:r>
        <w:rPr>
          <w:rFonts w:hint="eastAsia" w:ascii="仿宋" w:hAnsi="仿宋" w:eastAsia="仿宋" w:cs="仿宋"/>
          <w:sz w:val="28"/>
          <w:szCs w:val="28"/>
        </w:rPr>
        <w:t>-SG</w:t>
      </w:r>
    </w:p>
    <w:p w14:paraId="5477FB2B">
      <w:pPr>
        <w:pageBreakBefore w:val="0"/>
        <w:wordWrap/>
        <w:topLinePunct w:val="0"/>
        <w:bidi w:val="0"/>
        <w:spacing w:line="480" w:lineRule="exact"/>
        <w:rPr>
          <w:rFonts w:hint="eastAsia" w:ascii="仿宋" w:hAnsi="仿宋" w:eastAsia="仿宋" w:cs="仿宋"/>
          <w:sz w:val="24"/>
          <w:szCs w:val="24"/>
        </w:rPr>
      </w:pPr>
    </w:p>
    <w:p w14:paraId="39189298">
      <w:pPr>
        <w:pageBreakBefore w:val="0"/>
        <w:wordWrap/>
        <w:topLinePunct w:val="0"/>
        <w:bidi w:val="0"/>
        <w:spacing w:line="480" w:lineRule="exact"/>
        <w:rPr>
          <w:rFonts w:hint="eastAsia" w:ascii="仿宋" w:hAnsi="仿宋" w:eastAsia="仿宋" w:cs="仿宋"/>
          <w:sz w:val="24"/>
          <w:szCs w:val="24"/>
        </w:rPr>
      </w:pPr>
    </w:p>
    <w:p w14:paraId="5FA00091">
      <w:pPr>
        <w:pageBreakBefore w:val="0"/>
        <w:wordWrap/>
        <w:topLinePunct w:val="0"/>
        <w:bidi w:val="0"/>
        <w:spacing w:line="480" w:lineRule="exact"/>
        <w:rPr>
          <w:rFonts w:hint="eastAsia" w:ascii="仿宋" w:hAnsi="仿宋" w:eastAsia="仿宋" w:cs="仿宋"/>
          <w:sz w:val="24"/>
          <w:szCs w:val="24"/>
        </w:rPr>
      </w:pPr>
    </w:p>
    <w:p w14:paraId="460FC868">
      <w:pPr>
        <w:pageBreakBefore w:val="0"/>
        <w:wordWrap/>
        <w:topLinePunct w:val="0"/>
        <w:bidi w:val="0"/>
        <w:spacing w:line="480" w:lineRule="exact"/>
        <w:rPr>
          <w:rFonts w:hint="eastAsia" w:ascii="仿宋" w:hAnsi="仿宋" w:eastAsia="仿宋" w:cs="仿宋"/>
          <w:sz w:val="24"/>
          <w:szCs w:val="24"/>
        </w:rPr>
      </w:pPr>
    </w:p>
    <w:p w14:paraId="103D29B3">
      <w:pPr>
        <w:pageBreakBefore w:val="0"/>
        <w:wordWrap/>
        <w:topLinePunct w:val="0"/>
        <w:bidi w:val="0"/>
        <w:spacing w:line="480" w:lineRule="exact"/>
        <w:rPr>
          <w:rFonts w:hint="eastAsia" w:ascii="仿宋" w:hAnsi="仿宋" w:eastAsia="仿宋" w:cs="仿宋"/>
          <w:sz w:val="24"/>
          <w:szCs w:val="24"/>
        </w:rPr>
      </w:pPr>
    </w:p>
    <w:p w14:paraId="0762F4D2">
      <w:pPr>
        <w:pageBreakBefore w:val="0"/>
        <w:wordWrap/>
        <w:topLinePunct w:val="0"/>
        <w:bidi w:val="0"/>
        <w:spacing w:line="480" w:lineRule="exact"/>
        <w:rPr>
          <w:rFonts w:hint="eastAsia" w:ascii="仿宋" w:hAnsi="仿宋" w:eastAsia="仿宋" w:cs="仿宋"/>
          <w:sz w:val="24"/>
          <w:szCs w:val="24"/>
        </w:rPr>
      </w:pPr>
    </w:p>
    <w:p w14:paraId="7E54465B">
      <w:pPr>
        <w:pageBreakBefore w:val="0"/>
        <w:wordWrap/>
        <w:topLinePunct w:val="0"/>
        <w:bidi w:val="0"/>
        <w:spacing w:line="480" w:lineRule="exact"/>
        <w:rPr>
          <w:rFonts w:hint="eastAsia" w:ascii="仿宋" w:hAnsi="仿宋" w:eastAsia="仿宋" w:cs="仿宋"/>
          <w:sz w:val="24"/>
          <w:szCs w:val="24"/>
        </w:rPr>
      </w:pPr>
    </w:p>
    <w:p w14:paraId="625BF0D8">
      <w:pPr>
        <w:pageBreakBefore w:val="0"/>
        <w:wordWrap/>
        <w:topLinePunct w:val="0"/>
        <w:bidi w:val="0"/>
        <w:spacing w:line="480" w:lineRule="exact"/>
        <w:rPr>
          <w:rFonts w:hint="eastAsia" w:ascii="仿宋" w:hAnsi="仿宋" w:eastAsia="仿宋" w:cs="仿宋"/>
          <w:sz w:val="24"/>
          <w:szCs w:val="24"/>
        </w:rPr>
      </w:pPr>
    </w:p>
    <w:p w14:paraId="2F1C687B">
      <w:pPr>
        <w:pageBreakBefore w:val="0"/>
        <w:wordWrap/>
        <w:topLinePunct w:val="0"/>
        <w:bidi w:val="0"/>
        <w:spacing w:line="480" w:lineRule="exact"/>
        <w:jc w:val="center"/>
        <w:rPr>
          <w:rFonts w:hint="eastAsia" w:ascii="仿宋" w:hAnsi="仿宋" w:eastAsia="仿宋" w:cs="仿宋"/>
          <w:b/>
          <w:bCs/>
          <w:sz w:val="40"/>
          <w:szCs w:val="40"/>
        </w:rPr>
      </w:pPr>
    </w:p>
    <w:p w14:paraId="4B2ECFB8">
      <w:pPr>
        <w:pageBreakBefore w:val="0"/>
        <w:wordWrap/>
        <w:topLinePunct w:val="0"/>
        <w:bidi w:val="0"/>
        <w:spacing w:line="480" w:lineRule="exact"/>
        <w:jc w:val="center"/>
        <w:rPr>
          <w:rFonts w:hint="eastAsia" w:ascii="仿宋" w:hAnsi="仿宋" w:eastAsia="仿宋" w:cs="仿宋"/>
          <w:b/>
          <w:bCs/>
          <w:sz w:val="40"/>
          <w:szCs w:val="40"/>
        </w:rPr>
      </w:pPr>
    </w:p>
    <w:p w14:paraId="5DAC842A">
      <w:pPr>
        <w:pageBreakBefore w:val="0"/>
        <w:wordWrap/>
        <w:topLinePunct w:val="0"/>
        <w:bidi w:val="0"/>
        <w:spacing w:line="480" w:lineRule="exact"/>
        <w:jc w:val="center"/>
        <w:rPr>
          <w:rFonts w:hint="eastAsia" w:ascii="仿宋" w:hAnsi="仿宋" w:eastAsia="仿宋" w:cs="仿宋"/>
          <w:b/>
          <w:bCs/>
          <w:sz w:val="40"/>
          <w:szCs w:val="40"/>
        </w:rPr>
      </w:pPr>
    </w:p>
    <w:p w14:paraId="57DF68CF">
      <w:pPr>
        <w:pageBreakBefore w:val="0"/>
        <w:wordWrap/>
        <w:topLinePunct w:val="0"/>
        <w:bidi w:val="0"/>
        <w:spacing w:line="480" w:lineRule="exact"/>
        <w:jc w:val="center"/>
        <w:rPr>
          <w:rFonts w:hint="eastAsia" w:ascii="仿宋" w:hAnsi="仿宋" w:eastAsia="仿宋" w:cs="仿宋"/>
          <w:b/>
          <w:bCs/>
          <w:sz w:val="40"/>
          <w:szCs w:val="40"/>
        </w:rPr>
      </w:pPr>
    </w:p>
    <w:p w14:paraId="31DF43F7">
      <w:pPr>
        <w:pageBreakBefore w:val="0"/>
        <w:wordWrap/>
        <w:topLinePunct w:val="0"/>
        <w:bidi w:val="0"/>
        <w:spacing w:line="480" w:lineRule="exact"/>
        <w:jc w:val="center"/>
        <w:outlineLvl w:val="0"/>
        <w:rPr>
          <w:rFonts w:hint="eastAsia" w:ascii="仿宋" w:hAnsi="仿宋" w:eastAsia="仿宋" w:cs="仿宋"/>
          <w:b/>
          <w:bCs/>
          <w:sz w:val="40"/>
          <w:szCs w:val="40"/>
          <w:lang w:eastAsia="zh-CN"/>
        </w:rPr>
      </w:pPr>
      <w:r>
        <w:rPr>
          <w:rFonts w:hint="eastAsia" w:ascii="仿宋" w:hAnsi="仿宋" w:eastAsia="仿宋" w:cs="仿宋"/>
          <w:b/>
          <w:bCs/>
          <w:sz w:val="40"/>
          <w:szCs w:val="40"/>
          <w:lang w:eastAsia="zh-CN"/>
        </w:rPr>
        <w:t>2025年城区花卉景观布置工程</w:t>
      </w:r>
    </w:p>
    <w:p w14:paraId="48716125">
      <w:pPr>
        <w:pageBreakBefore w:val="0"/>
        <w:wordWrap/>
        <w:topLinePunct w:val="0"/>
        <w:bidi w:val="0"/>
        <w:spacing w:line="480" w:lineRule="exact"/>
        <w:jc w:val="both"/>
        <w:rPr>
          <w:rFonts w:hint="eastAsia" w:ascii="仿宋" w:hAnsi="仿宋" w:eastAsia="仿宋" w:cs="仿宋"/>
          <w:b/>
          <w:bCs/>
          <w:sz w:val="40"/>
          <w:szCs w:val="40"/>
        </w:rPr>
      </w:pPr>
    </w:p>
    <w:p w14:paraId="47D4CB6C">
      <w:pPr>
        <w:pageBreakBefore w:val="0"/>
        <w:wordWrap/>
        <w:topLinePunct w:val="0"/>
        <w:bidi w:val="0"/>
        <w:spacing w:line="480" w:lineRule="exact"/>
        <w:jc w:val="center"/>
        <w:rPr>
          <w:rFonts w:hint="eastAsia" w:ascii="仿宋" w:hAnsi="仿宋" w:eastAsia="仿宋" w:cs="仿宋"/>
          <w:b/>
          <w:bCs/>
          <w:sz w:val="40"/>
          <w:szCs w:val="40"/>
        </w:rPr>
      </w:pPr>
    </w:p>
    <w:p w14:paraId="4C9A2AE7">
      <w:pPr>
        <w:pageBreakBefore w:val="0"/>
        <w:wordWrap/>
        <w:topLinePunct w:val="0"/>
        <w:bidi w:val="0"/>
        <w:spacing w:line="480" w:lineRule="exact"/>
        <w:jc w:val="center"/>
        <w:outlineLvl w:val="0"/>
        <w:rPr>
          <w:rFonts w:hint="eastAsia" w:ascii="仿宋" w:hAnsi="仿宋" w:eastAsia="仿宋" w:cs="仿宋"/>
          <w:b/>
          <w:bCs/>
          <w:sz w:val="40"/>
          <w:szCs w:val="40"/>
        </w:rPr>
      </w:pPr>
      <w:bookmarkStart w:id="1" w:name="_Toc15779"/>
      <w:r>
        <w:rPr>
          <w:rFonts w:hint="eastAsia" w:ascii="仿宋" w:hAnsi="仿宋" w:eastAsia="仿宋" w:cs="仿宋"/>
          <w:b/>
          <w:bCs/>
          <w:sz w:val="40"/>
          <w:szCs w:val="40"/>
        </w:rPr>
        <w:t>竞争性磋商文件</w:t>
      </w:r>
      <w:bookmarkEnd w:id="1"/>
    </w:p>
    <w:p w14:paraId="2087F504">
      <w:pPr>
        <w:pageBreakBefore w:val="0"/>
        <w:wordWrap/>
        <w:topLinePunct w:val="0"/>
        <w:bidi w:val="0"/>
        <w:spacing w:line="480" w:lineRule="exact"/>
        <w:rPr>
          <w:rFonts w:hint="eastAsia" w:ascii="仿宋" w:hAnsi="仿宋" w:eastAsia="仿宋" w:cs="仿宋"/>
          <w:sz w:val="24"/>
          <w:szCs w:val="24"/>
        </w:rPr>
      </w:pPr>
    </w:p>
    <w:p w14:paraId="4D6AA0B8">
      <w:pPr>
        <w:pageBreakBefore w:val="0"/>
        <w:wordWrap/>
        <w:topLinePunct w:val="0"/>
        <w:bidi w:val="0"/>
        <w:spacing w:line="480" w:lineRule="exact"/>
        <w:rPr>
          <w:rFonts w:hint="eastAsia" w:ascii="仿宋" w:hAnsi="仿宋" w:eastAsia="仿宋" w:cs="仿宋"/>
          <w:sz w:val="24"/>
          <w:szCs w:val="24"/>
        </w:rPr>
      </w:pPr>
    </w:p>
    <w:p w14:paraId="259FF76D">
      <w:pPr>
        <w:pageBreakBefore w:val="0"/>
        <w:wordWrap/>
        <w:topLinePunct w:val="0"/>
        <w:bidi w:val="0"/>
        <w:spacing w:line="480" w:lineRule="exact"/>
        <w:rPr>
          <w:rFonts w:hint="eastAsia" w:ascii="仿宋" w:hAnsi="仿宋" w:eastAsia="仿宋" w:cs="仿宋"/>
          <w:sz w:val="24"/>
          <w:szCs w:val="24"/>
        </w:rPr>
      </w:pPr>
    </w:p>
    <w:p w14:paraId="6AC22592">
      <w:pPr>
        <w:pageBreakBefore w:val="0"/>
        <w:wordWrap/>
        <w:topLinePunct w:val="0"/>
        <w:bidi w:val="0"/>
        <w:spacing w:line="480" w:lineRule="exact"/>
        <w:rPr>
          <w:rFonts w:hint="eastAsia" w:ascii="仿宋" w:hAnsi="仿宋" w:eastAsia="仿宋" w:cs="仿宋"/>
          <w:sz w:val="24"/>
          <w:szCs w:val="24"/>
        </w:rPr>
      </w:pPr>
    </w:p>
    <w:p w14:paraId="305B725A">
      <w:pPr>
        <w:pageBreakBefore w:val="0"/>
        <w:wordWrap/>
        <w:topLinePunct w:val="0"/>
        <w:bidi w:val="0"/>
        <w:spacing w:line="480" w:lineRule="exact"/>
        <w:rPr>
          <w:rFonts w:hint="eastAsia" w:ascii="仿宋" w:hAnsi="仿宋" w:eastAsia="仿宋" w:cs="仿宋"/>
          <w:sz w:val="24"/>
          <w:szCs w:val="24"/>
        </w:rPr>
      </w:pPr>
    </w:p>
    <w:p w14:paraId="5632F770">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采购人：昌吉市园林绿化管理中心</w:t>
      </w:r>
    </w:p>
    <w:p w14:paraId="372FB01D">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联系人：马先生</w:t>
      </w:r>
    </w:p>
    <w:p w14:paraId="19C94479">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联系电话：13565646836</w:t>
      </w:r>
    </w:p>
    <w:p w14:paraId="01861093">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采购代理机构：新疆昌盛方略项目管理有限公司</w:t>
      </w:r>
    </w:p>
    <w:p w14:paraId="5D96C6EF">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联系人：努女士、蔚女士</w:t>
      </w:r>
    </w:p>
    <w:p w14:paraId="1BB231EB">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联系电话：0994-8165002、18699479057</w:t>
      </w:r>
    </w:p>
    <w:p w14:paraId="3B80B6FD">
      <w:pPr>
        <w:pageBreakBefore w:val="0"/>
        <w:wordWrap/>
        <w:topLinePunct w:val="0"/>
        <w:bidi w:val="0"/>
        <w:spacing w:line="480" w:lineRule="exact"/>
        <w:ind w:firstLine="1120" w:firstLineChars="400"/>
        <w:rPr>
          <w:rFonts w:hint="eastAsia" w:ascii="仿宋" w:hAnsi="仿宋" w:eastAsia="仿宋" w:cs="仿宋"/>
          <w:sz w:val="28"/>
          <w:szCs w:val="28"/>
        </w:rPr>
      </w:pPr>
      <w:r>
        <w:rPr>
          <w:rFonts w:hint="eastAsia" w:ascii="仿宋" w:hAnsi="仿宋" w:eastAsia="仿宋" w:cs="仿宋"/>
          <w:sz w:val="28"/>
          <w:szCs w:val="28"/>
        </w:rPr>
        <w:t>联系地址：新疆昌吉回族自治州昌吉市南公园西路融投小镇1号楼A座</w:t>
      </w:r>
    </w:p>
    <w:p w14:paraId="7C06B108">
      <w:pPr>
        <w:pageBreakBefore w:val="0"/>
        <w:wordWrap/>
        <w:topLinePunct w:val="0"/>
        <w:bidi w:val="0"/>
        <w:spacing w:line="480" w:lineRule="exact"/>
        <w:ind w:firstLine="2520" w:firstLineChars="900"/>
        <w:rPr>
          <w:rFonts w:hint="eastAsia" w:ascii="仿宋" w:hAnsi="仿宋" w:eastAsia="仿宋" w:cs="仿宋"/>
          <w:sz w:val="28"/>
          <w:szCs w:val="28"/>
        </w:rPr>
      </w:pPr>
      <w:r>
        <w:rPr>
          <w:rFonts w:hint="eastAsia" w:ascii="仿宋" w:hAnsi="仿宋" w:eastAsia="仿宋" w:cs="仿宋"/>
          <w:sz w:val="28"/>
          <w:szCs w:val="28"/>
        </w:rPr>
        <w:t>14层（昌吉州国投大厦1幢14楼1419）</w:t>
      </w:r>
    </w:p>
    <w:p w14:paraId="683D846A">
      <w:pPr>
        <w:pageBreakBefore w:val="0"/>
        <w:wordWrap/>
        <w:topLinePunct w:val="0"/>
        <w:bidi w:val="0"/>
        <w:spacing w:line="480" w:lineRule="exact"/>
        <w:rPr>
          <w:rFonts w:hint="eastAsia" w:ascii="仿宋" w:hAnsi="仿宋" w:eastAsia="仿宋" w:cs="仿宋"/>
          <w:sz w:val="28"/>
          <w:szCs w:val="28"/>
        </w:rPr>
      </w:pPr>
    </w:p>
    <w:p w14:paraId="422EC3D5">
      <w:pPr>
        <w:pageBreakBefore w:val="0"/>
        <w:wordWrap/>
        <w:topLinePunct w:val="0"/>
        <w:bidi w:val="0"/>
        <w:spacing w:line="480" w:lineRule="exact"/>
        <w:rPr>
          <w:rFonts w:hint="eastAsia" w:ascii="仿宋" w:hAnsi="仿宋" w:eastAsia="仿宋" w:cs="仿宋"/>
          <w:sz w:val="28"/>
          <w:szCs w:val="28"/>
        </w:rPr>
      </w:pPr>
    </w:p>
    <w:p w14:paraId="6C801891">
      <w:pPr>
        <w:pageBreakBefore w:val="0"/>
        <w:wordWrap/>
        <w:topLinePunct w:val="0"/>
        <w:bidi w:val="0"/>
        <w:spacing w:line="480" w:lineRule="exact"/>
        <w:rPr>
          <w:rFonts w:hint="eastAsia" w:ascii="仿宋" w:hAnsi="仿宋" w:eastAsia="仿宋" w:cs="仿宋"/>
          <w:sz w:val="24"/>
          <w:szCs w:val="24"/>
        </w:rPr>
      </w:pPr>
    </w:p>
    <w:p w14:paraId="1737E7C3">
      <w:pPr>
        <w:pageBreakBefore w:val="0"/>
        <w:wordWrap/>
        <w:topLinePunct w:val="0"/>
        <w:bidi w:val="0"/>
        <w:spacing w:line="480" w:lineRule="exact"/>
        <w:rPr>
          <w:rFonts w:hint="eastAsia" w:ascii="仿宋" w:hAnsi="仿宋" w:eastAsia="仿宋" w:cs="仿宋"/>
          <w:sz w:val="24"/>
          <w:szCs w:val="24"/>
        </w:rPr>
      </w:pPr>
    </w:p>
    <w:p w14:paraId="18B0A3A1">
      <w:pPr>
        <w:pageBreakBefore w:val="0"/>
        <w:wordWrap/>
        <w:topLinePunct w:val="0"/>
        <w:bidi w:val="0"/>
        <w:spacing w:line="480" w:lineRule="exact"/>
        <w:jc w:val="center"/>
        <w:rPr>
          <w:rFonts w:hint="eastAsia" w:ascii="仿宋" w:hAnsi="仿宋" w:eastAsia="仿宋" w:cs="仿宋"/>
          <w:sz w:val="24"/>
          <w:szCs w:val="24"/>
          <w:lang w:val="en-US" w:eastAsia="zh-CN"/>
        </w:rPr>
      </w:pPr>
      <w:r>
        <w:rPr>
          <w:rFonts w:hint="eastAsia" w:ascii="仿宋" w:hAnsi="仿宋" w:eastAsia="仿宋" w:cs="仿宋"/>
          <w:sz w:val="28"/>
          <w:szCs w:val="28"/>
          <w:lang w:val="en-US" w:eastAsia="zh-CN"/>
        </w:rPr>
        <w:t>二0二五年四月</w:t>
      </w:r>
    </w:p>
    <w:p w14:paraId="53C7A0BF">
      <w:pPr>
        <w:pageBreakBefore w:val="0"/>
        <w:wordWrap/>
        <w:topLinePunct w:val="0"/>
        <w:bidi w:val="0"/>
        <w:spacing w:line="480" w:lineRule="exact"/>
        <w:rPr>
          <w:rFonts w:hint="eastAsia" w:ascii="仿宋" w:hAnsi="仿宋" w:eastAsia="仿宋" w:cs="仿宋"/>
          <w:sz w:val="24"/>
          <w:szCs w:val="24"/>
        </w:rPr>
      </w:pPr>
    </w:p>
    <w:p w14:paraId="35496E93">
      <w:pPr>
        <w:pStyle w:val="3"/>
        <w:pageBreakBefore w:val="0"/>
        <w:wordWrap/>
        <w:topLinePunct w:val="0"/>
        <w:bidi w:val="0"/>
        <w:spacing w:line="480" w:lineRule="exact"/>
        <w:jc w:val="center"/>
        <w:outlineLvl w:val="9"/>
        <w:rPr>
          <w:rFonts w:hint="eastAsia" w:ascii="仿宋" w:hAnsi="仿宋" w:eastAsia="仿宋" w:cs="仿宋"/>
          <w:sz w:val="28"/>
          <w:szCs w:val="28"/>
        </w:rPr>
        <w:sectPr>
          <w:headerReference r:id="rId6" w:type="first"/>
          <w:headerReference r:id="rId5" w:type="default"/>
          <w:footerReference r:id="rId7" w:type="default"/>
          <w:pgSz w:w="11906" w:h="16839"/>
          <w:pgMar w:top="1166" w:right="1023" w:bottom="1315" w:left="1023" w:header="829" w:footer="1047" w:gutter="0"/>
          <w:cols w:space="720" w:num="1"/>
        </w:sectPr>
      </w:pPr>
    </w:p>
    <w:sdt>
      <w:sdtPr>
        <w:rPr>
          <w:rFonts w:ascii="宋体" w:hAnsi="宋体" w:eastAsia="宋体" w:cs="Arial"/>
          <w:snapToGrid w:val="0"/>
          <w:color w:val="000000"/>
          <w:kern w:val="0"/>
          <w:sz w:val="21"/>
          <w:szCs w:val="21"/>
          <w:lang w:val="en-US" w:eastAsia="en-US" w:bidi="ar-SA"/>
        </w:rPr>
        <w:id w:val="147464776"/>
        <w15:color w:val="DBDBDB"/>
        <w:docPartObj>
          <w:docPartGallery w:val="Table of Contents"/>
          <w:docPartUnique/>
        </w:docPartObj>
      </w:sdtPr>
      <w:sdtEndPr>
        <w:rPr>
          <w:rFonts w:hint="eastAsia" w:ascii="仿宋" w:hAnsi="仿宋" w:eastAsia="仿宋" w:cs="仿宋"/>
          <w:b/>
          <w:snapToGrid w:val="0"/>
          <w:color w:val="000000"/>
          <w:kern w:val="44"/>
          <w:sz w:val="44"/>
          <w:szCs w:val="28"/>
          <w:lang w:val="en-US" w:eastAsia="en-US" w:bidi="ar-SA"/>
        </w:rPr>
      </w:sdtEndPr>
      <w:sdtContent>
        <w:p w14:paraId="60516E5E">
          <w:pPr>
            <w:spacing w:before="0" w:beforeLines="0" w:after="0" w:afterLines="0" w:line="480" w:lineRule="auto"/>
            <w:ind w:left="0" w:leftChars="0" w:right="0" w:rightChars="0" w:firstLine="0" w:firstLineChars="0"/>
            <w:jc w:val="center"/>
            <w:rPr>
              <w:rFonts w:ascii="宋体" w:hAnsi="宋体" w:eastAsia="宋体" w:cs="Arial"/>
              <w:snapToGrid w:val="0"/>
              <w:color w:val="000000"/>
              <w:kern w:val="0"/>
              <w:sz w:val="21"/>
              <w:szCs w:val="21"/>
              <w:lang w:val="en-US" w:eastAsia="en-US" w:bidi="ar-SA"/>
            </w:rPr>
          </w:pPr>
        </w:p>
        <w:p w14:paraId="29429658">
          <w:pPr>
            <w:spacing w:before="0" w:beforeLines="0" w:after="0" w:afterLines="0" w:line="480" w:lineRule="auto"/>
            <w:ind w:left="0" w:leftChars="0" w:right="0" w:rightChars="0" w:firstLine="0" w:firstLineChars="0"/>
            <w:jc w:val="center"/>
            <w:rPr>
              <w:rFonts w:ascii="宋体" w:hAnsi="宋体" w:eastAsia="宋体" w:cs="Arial"/>
              <w:snapToGrid w:val="0"/>
              <w:color w:val="000000"/>
              <w:kern w:val="0"/>
              <w:sz w:val="21"/>
              <w:szCs w:val="21"/>
              <w:lang w:val="en-US" w:eastAsia="en-US" w:bidi="ar-SA"/>
            </w:rPr>
          </w:pPr>
        </w:p>
        <w:p w14:paraId="3202B305">
          <w:pPr>
            <w:spacing w:before="0" w:beforeLines="0" w:after="0" w:afterLines="0" w:line="480" w:lineRule="auto"/>
            <w:ind w:left="0" w:leftChars="0" w:right="0" w:rightChars="0" w:firstLine="0" w:firstLineChars="0"/>
            <w:jc w:val="center"/>
            <w:rPr>
              <w:rFonts w:hint="eastAsia" w:ascii="仿宋" w:hAnsi="仿宋" w:eastAsia="仿宋" w:cs="仿宋"/>
              <w:sz w:val="36"/>
              <w:szCs w:val="36"/>
            </w:rPr>
          </w:pPr>
          <w:r>
            <w:rPr>
              <w:rFonts w:hint="eastAsia" w:ascii="仿宋" w:hAnsi="仿宋" w:eastAsia="仿宋" w:cs="仿宋"/>
              <w:sz w:val="36"/>
              <w:szCs w:val="36"/>
            </w:rPr>
            <w:t>目录</w:t>
          </w:r>
        </w:p>
        <w:p w14:paraId="27B3614E">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TOC \o "1-1" \h \u </w:instrText>
          </w:r>
          <w:r>
            <w:rPr>
              <w:rFonts w:hint="eastAsia" w:ascii="仿宋" w:hAnsi="仿宋" w:eastAsia="仿宋" w:cs="仿宋"/>
              <w:sz w:val="24"/>
              <w:szCs w:val="24"/>
            </w:rPr>
            <w:fldChar w:fldCharType="separate"/>
          </w:r>
        </w:p>
        <w:p w14:paraId="7B65A860">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_Toc14363 </w:instrText>
          </w:r>
          <w:r>
            <w:rPr>
              <w:rFonts w:hint="eastAsia" w:ascii="仿宋" w:hAnsi="仿宋" w:eastAsia="仿宋" w:cs="仿宋"/>
              <w:sz w:val="24"/>
              <w:szCs w:val="24"/>
            </w:rPr>
            <w:fldChar w:fldCharType="separate"/>
          </w:r>
          <w:r>
            <w:rPr>
              <w:rFonts w:hint="eastAsia" w:ascii="仿宋" w:hAnsi="仿宋" w:eastAsia="仿宋" w:cs="仿宋"/>
              <w:sz w:val="24"/>
              <w:szCs w:val="24"/>
            </w:rPr>
            <w:t>第一章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竞争性磋商公告</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_Toc14363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0BAC0B6">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_Toc5126 </w:instrText>
          </w:r>
          <w:r>
            <w:rPr>
              <w:rFonts w:hint="eastAsia" w:ascii="仿宋" w:hAnsi="仿宋" w:eastAsia="仿宋" w:cs="仿宋"/>
              <w:sz w:val="24"/>
              <w:szCs w:val="24"/>
            </w:rPr>
            <w:fldChar w:fldCharType="separate"/>
          </w:r>
          <w:r>
            <w:rPr>
              <w:rFonts w:hint="eastAsia" w:ascii="仿宋" w:hAnsi="仿宋" w:eastAsia="仿宋" w:cs="仿宋"/>
              <w:sz w:val="24"/>
              <w:szCs w:val="24"/>
            </w:rPr>
            <w:t>第二章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供应商须知</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_Toc5126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636FE029">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_Toc18175 </w:instrText>
          </w:r>
          <w:r>
            <w:rPr>
              <w:rFonts w:hint="eastAsia" w:ascii="仿宋" w:hAnsi="仿宋" w:eastAsia="仿宋" w:cs="仿宋"/>
              <w:sz w:val="24"/>
              <w:szCs w:val="24"/>
            </w:rPr>
            <w:fldChar w:fldCharType="separate"/>
          </w:r>
          <w:r>
            <w:rPr>
              <w:rFonts w:hint="eastAsia" w:ascii="仿宋" w:hAnsi="仿宋" w:eastAsia="仿宋" w:cs="仿宋"/>
              <w:sz w:val="24"/>
              <w:szCs w:val="24"/>
              <w:lang w:val="en-US" w:eastAsia="zh-CN"/>
            </w:rPr>
            <w:t xml:space="preserve">第三章 </w:t>
          </w:r>
          <w:r>
            <w:rPr>
              <w:rFonts w:hint="eastAsia" w:ascii="仿宋" w:hAnsi="仿宋" w:eastAsia="仿宋" w:cs="仿宋"/>
              <w:sz w:val="24"/>
              <w:szCs w:val="24"/>
            </w:rPr>
            <w:t>项目采购需求</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_Toc18175 \h </w:instrText>
          </w:r>
          <w:r>
            <w:rPr>
              <w:rFonts w:hint="eastAsia" w:ascii="仿宋" w:hAnsi="仿宋" w:eastAsia="仿宋" w:cs="仿宋"/>
              <w:sz w:val="24"/>
              <w:szCs w:val="24"/>
            </w:rPr>
            <w:fldChar w:fldCharType="separate"/>
          </w:r>
          <w:r>
            <w:rPr>
              <w:rFonts w:hint="eastAsia" w:ascii="仿宋" w:hAnsi="仿宋" w:eastAsia="仿宋" w:cs="仿宋"/>
              <w:sz w:val="24"/>
              <w:szCs w:val="24"/>
            </w:rPr>
            <w:t>33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A460331">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_Toc8153 </w:instrText>
          </w:r>
          <w:r>
            <w:rPr>
              <w:rFonts w:hint="eastAsia" w:ascii="仿宋" w:hAnsi="仿宋" w:eastAsia="仿宋" w:cs="仿宋"/>
              <w:sz w:val="24"/>
              <w:szCs w:val="24"/>
            </w:rPr>
            <w:fldChar w:fldCharType="separate"/>
          </w:r>
          <w:r>
            <w:rPr>
              <w:rFonts w:hint="eastAsia" w:ascii="仿宋" w:hAnsi="仿宋" w:eastAsia="仿宋" w:cs="仿宋"/>
              <w:sz w:val="24"/>
              <w:szCs w:val="24"/>
            </w:rPr>
            <w:t>第四章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评审方法及标准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_Toc8153 \h </w:instrText>
          </w:r>
          <w:r>
            <w:rPr>
              <w:rFonts w:hint="eastAsia" w:ascii="仿宋" w:hAnsi="仿宋" w:eastAsia="仿宋" w:cs="仿宋"/>
              <w:sz w:val="24"/>
              <w:szCs w:val="24"/>
            </w:rPr>
            <w:fldChar w:fldCharType="separate"/>
          </w:r>
          <w:r>
            <w:rPr>
              <w:rFonts w:hint="eastAsia" w:ascii="仿宋" w:hAnsi="仿宋" w:eastAsia="仿宋" w:cs="仿宋"/>
              <w:sz w:val="24"/>
              <w:szCs w:val="24"/>
            </w:rPr>
            <w:t>34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A62662A">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_Toc11818 </w:instrText>
          </w:r>
          <w:r>
            <w:rPr>
              <w:rFonts w:hint="eastAsia" w:ascii="仿宋" w:hAnsi="仿宋" w:eastAsia="仿宋" w:cs="仿宋"/>
              <w:sz w:val="24"/>
              <w:szCs w:val="24"/>
            </w:rPr>
            <w:fldChar w:fldCharType="separate"/>
          </w:r>
          <w:r>
            <w:rPr>
              <w:rFonts w:hint="eastAsia" w:ascii="仿宋" w:hAnsi="仿宋" w:eastAsia="仿宋" w:cs="仿宋"/>
              <w:sz w:val="24"/>
              <w:szCs w:val="24"/>
            </w:rPr>
            <w:t>第五章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合同</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_Toc11818 \h </w:instrText>
          </w:r>
          <w:r>
            <w:rPr>
              <w:rFonts w:hint="eastAsia" w:ascii="仿宋" w:hAnsi="仿宋" w:eastAsia="仿宋" w:cs="仿宋"/>
              <w:sz w:val="24"/>
              <w:szCs w:val="24"/>
            </w:rPr>
            <w:fldChar w:fldCharType="separate"/>
          </w:r>
          <w:r>
            <w:rPr>
              <w:rFonts w:hint="eastAsia" w:ascii="仿宋" w:hAnsi="仿宋" w:eastAsia="仿宋" w:cs="仿宋"/>
              <w:sz w:val="24"/>
              <w:szCs w:val="24"/>
            </w:rPr>
            <w:t>44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7CA585C">
          <w:pPr>
            <w:pStyle w:val="32"/>
            <w:tabs>
              <w:tab w:val="right" w:leader="dot" w:pos="9860"/>
            </w:tabs>
            <w:spacing w:line="480" w:lineRule="auto"/>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_Toc11788 </w:instrText>
          </w:r>
          <w:r>
            <w:rPr>
              <w:rFonts w:hint="eastAsia" w:ascii="仿宋" w:hAnsi="仿宋" w:eastAsia="仿宋" w:cs="仿宋"/>
              <w:sz w:val="24"/>
              <w:szCs w:val="24"/>
            </w:rPr>
            <w:fldChar w:fldCharType="separate"/>
          </w:r>
          <w:r>
            <w:rPr>
              <w:rFonts w:hint="eastAsia" w:ascii="仿宋" w:hAnsi="仿宋" w:eastAsia="仿宋" w:cs="仿宋"/>
              <w:sz w:val="24"/>
              <w:szCs w:val="24"/>
            </w:rPr>
            <w:t>第六章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响应文件的格式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_Toc11788 \h </w:instrText>
          </w:r>
          <w:r>
            <w:rPr>
              <w:rFonts w:hint="eastAsia" w:ascii="仿宋" w:hAnsi="仿宋" w:eastAsia="仿宋" w:cs="仿宋"/>
              <w:sz w:val="24"/>
              <w:szCs w:val="24"/>
            </w:rPr>
            <w:fldChar w:fldCharType="separate"/>
          </w:r>
          <w:r>
            <w:rPr>
              <w:rFonts w:hint="eastAsia" w:ascii="仿宋" w:hAnsi="仿宋" w:eastAsia="仿宋" w:cs="仿宋"/>
              <w:sz w:val="24"/>
              <w:szCs w:val="24"/>
            </w:rPr>
            <w:t>149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726186E6">
          <w:pPr>
            <w:pStyle w:val="32"/>
            <w:tabs>
              <w:tab w:val="right" w:leader="dot" w:pos="9860"/>
            </w:tabs>
            <w:spacing w:line="480" w:lineRule="auto"/>
            <w:rPr>
              <w:rFonts w:hint="eastAsia" w:ascii="仿宋" w:hAnsi="仿宋" w:eastAsia="仿宋" w:cs="仿宋"/>
              <w:sz w:val="24"/>
              <w:szCs w:val="24"/>
            </w:rPr>
          </w:pPr>
        </w:p>
        <w:p w14:paraId="079DC410">
          <w:pPr>
            <w:pStyle w:val="3"/>
            <w:pageBreakBefore w:val="0"/>
            <w:wordWrap/>
            <w:topLinePunct w:val="0"/>
            <w:bidi w:val="0"/>
            <w:spacing w:line="480" w:lineRule="auto"/>
            <w:jc w:val="center"/>
            <w:outlineLvl w:val="9"/>
            <w:rPr>
              <w:rFonts w:hint="eastAsia" w:ascii="仿宋" w:hAnsi="仿宋" w:eastAsia="仿宋" w:cs="仿宋"/>
              <w:b/>
              <w:snapToGrid w:val="0"/>
              <w:color w:val="000000"/>
              <w:kern w:val="44"/>
              <w:sz w:val="44"/>
              <w:szCs w:val="28"/>
              <w:lang w:val="en-US" w:eastAsia="en-US" w:bidi="ar-SA"/>
            </w:rPr>
          </w:pPr>
          <w:r>
            <w:rPr>
              <w:rFonts w:hint="eastAsia" w:ascii="仿宋" w:hAnsi="仿宋" w:eastAsia="仿宋" w:cs="仿宋"/>
              <w:sz w:val="24"/>
              <w:szCs w:val="24"/>
            </w:rPr>
            <w:fldChar w:fldCharType="end"/>
          </w:r>
        </w:p>
      </w:sdtContent>
    </w:sdt>
    <w:p w14:paraId="0854A0E8">
      <w:pPr>
        <w:rPr>
          <w:rFonts w:hint="eastAsia"/>
        </w:rPr>
      </w:pPr>
    </w:p>
    <w:p w14:paraId="674222E3">
      <w:pPr>
        <w:pStyle w:val="3"/>
        <w:pageBreakBefore w:val="0"/>
        <w:wordWrap/>
        <w:topLinePunct w:val="0"/>
        <w:bidi w:val="0"/>
        <w:spacing w:line="480" w:lineRule="exact"/>
        <w:jc w:val="center"/>
        <w:outlineLvl w:val="9"/>
        <w:rPr>
          <w:rFonts w:hint="eastAsia" w:ascii="仿宋" w:hAnsi="仿宋" w:eastAsia="仿宋" w:cs="仿宋"/>
          <w:sz w:val="28"/>
          <w:szCs w:val="28"/>
        </w:rPr>
      </w:pPr>
    </w:p>
    <w:p w14:paraId="043A546A">
      <w:pPr>
        <w:rPr>
          <w:rFonts w:hint="eastAsia" w:ascii="仿宋" w:hAnsi="仿宋" w:eastAsia="仿宋" w:cs="仿宋"/>
          <w:sz w:val="28"/>
          <w:szCs w:val="28"/>
        </w:rPr>
      </w:pPr>
    </w:p>
    <w:p w14:paraId="781E9411">
      <w:pPr>
        <w:pStyle w:val="2"/>
        <w:rPr>
          <w:rFonts w:hint="eastAsia" w:ascii="仿宋" w:hAnsi="仿宋" w:eastAsia="仿宋" w:cs="仿宋"/>
          <w:sz w:val="28"/>
          <w:szCs w:val="28"/>
        </w:rPr>
      </w:pPr>
    </w:p>
    <w:p w14:paraId="20FEC5B5">
      <w:pPr>
        <w:pStyle w:val="2"/>
        <w:rPr>
          <w:rFonts w:hint="eastAsia" w:ascii="仿宋" w:hAnsi="仿宋" w:eastAsia="仿宋" w:cs="仿宋"/>
          <w:sz w:val="28"/>
          <w:szCs w:val="28"/>
        </w:rPr>
      </w:pPr>
    </w:p>
    <w:p w14:paraId="67000B29">
      <w:pPr>
        <w:pStyle w:val="2"/>
        <w:rPr>
          <w:rFonts w:hint="eastAsia" w:ascii="仿宋" w:hAnsi="仿宋" w:eastAsia="仿宋" w:cs="仿宋"/>
          <w:sz w:val="28"/>
          <w:szCs w:val="28"/>
        </w:rPr>
      </w:pPr>
    </w:p>
    <w:p w14:paraId="7966C246">
      <w:pPr>
        <w:rPr>
          <w:rFonts w:hint="eastAsia"/>
        </w:rPr>
      </w:pPr>
    </w:p>
    <w:p w14:paraId="65D64615">
      <w:pPr>
        <w:pStyle w:val="3"/>
        <w:pageBreakBefore w:val="0"/>
        <w:wordWrap/>
        <w:topLinePunct w:val="0"/>
        <w:bidi w:val="0"/>
        <w:spacing w:line="480" w:lineRule="exact"/>
        <w:jc w:val="center"/>
        <w:rPr>
          <w:rFonts w:hint="eastAsia" w:ascii="仿宋" w:hAnsi="仿宋" w:eastAsia="仿宋" w:cs="仿宋"/>
          <w:sz w:val="28"/>
          <w:szCs w:val="28"/>
        </w:rPr>
        <w:sectPr>
          <w:footerReference r:id="rId8" w:type="default"/>
          <w:pgSz w:w="11906" w:h="16839"/>
          <w:pgMar w:top="1166" w:right="1023" w:bottom="1315" w:left="1023" w:header="829" w:footer="1047" w:gutter="0"/>
          <w:pgNumType w:fmt="decimal" w:start="1"/>
          <w:cols w:space="720" w:num="1"/>
        </w:sectPr>
      </w:pPr>
      <w:bookmarkStart w:id="2" w:name="_Toc14363"/>
    </w:p>
    <w:p w14:paraId="09D8B5EE">
      <w:pPr>
        <w:pStyle w:val="3"/>
        <w:pageBreakBefore w:val="0"/>
        <w:wordWrap/>
        <w:topLinePunct w:val="0"/>
        <w:bidi w:val="0"/>
        <w:spacing w:line="480" w:lineRule="exact"/>
        <w:jc w:val="center"/>
        <w:rPr>
          <w:rFonts w:hint="eastAsia" w:ascii="仿宋" w:hAnsi="仿宋" w:eastAsia="仿宋" w:cs="仿宋"/>
          <w:sz w:val="28"/>
          <w:szCs w:val="28"/>
        </w:rPr>
      </w:pPr>
      <w:r>
        <w:rPr>
          <w:rFonts w:hint="eastAsia" w:ascii="仿宋" w:hAnsi="仿宋" w:eastAsia="仿宋" w:cs="仿宋"/>
          <w:sz w:val="28"/>
          <w:szCs w:val="28"/>
        </w:rPr>
        <w:t>第一章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竞争性磋商公告</w:t>
      </w:r>
      <w:bookmarkEnd w:id="2"/>
    </w:p>
    <w:tbl>
      <w:tblPr>
        <w:tblStyle w:val="25"/>
        <w:tblW w:w="902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020"/>
      </w:tblGrid>
      <w:tr w14:paraId="3182C5F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903" w:hRule="atLeast"/>
          <w:jc w:val="center"/>
        </w:trPr>
        <w:tc>
          <w:tcPr>
            <w:tcW w:w="9020" w:type="dxa"/>
            <w:vAlign w:val="top"/>
          </w:tcPr>
          <w:p w14:paraId="1159D34E">
            <w:pPr>
              <w:pageBreakBefore w:val="0"/>
              <w:wordWrap/>
              <w:topLinePunct w:val="0"/>
              <w:bidi w:val="0"/>
              <w:spacing w:line="480" w:lineRule="exact"/>
              <w:rPr>
                <w:rFonts w:hint="eastAsia" w:ascii="仿宋" w:hAnsi="仿宋" w:eastAsia="仿宋" w:cs="仿宋"/>
                <w:sz w:val="24"/>
                <w:szCs w:val="24"/>
              </w:rPr>
            </w:pPr>
            <w:r>
              <w:rPr>
                <w:rFonts w:hint="eastAsia" w:ascii="仿宋" w:hAnsi="仿宋" w:eastAsia="仿宋" w:cs="仿宋"/>
                <w:sz w:val="24"/>
                <w:szCs w:val="24"/>
              </w:rPr>
              <w:t>项目概况：</w:t>
            </w:r>
          </w:p>
          <w:p w14:paraId="7AB78803">
            <w:pPr>
              <w:pageBreakBefore w:val="0"/>
              <w:wordWrap/>
              <w:topLinePunct w:val="0"/>
              <w:bidi w:val="0"/>
              <w:spacing w:line="480" w:lineRule="exact"/>
              <w:rPr>
                <w:rFonts w:hint="eastAsia" w:ascii="仿宋" w:hAnsi="仿宋" w:eastAsia="仿宋" w:cs="仿宋"/>
                <w:sz w:val="24"/>
                <w:szCs w:val="24"/>
              </w:rPr>
            </w:pPr>
            <w:r>
              <w:rPr>
                <w:rFonts w:hint="eastAsia" w:ascii="仿宋" w:hAnsi="仿宋" w:eastAsia="仿宋" w:cs="仿宋"/>
                <w:sz w:val="24"/>
                <w:szCs w:val="24"/>
              </w:rPr>
              <w:tab/>
            </w:r>
            <w:r>
              <w:rPr>
                <w:rFonts w:hint="eastAsia" w:ascii="仿宋" w:hAnsi="仿宋" w:eastAsia="仿宋" w:cs="仿宋"/>
                <w:sz w:val="24"/>
                <w:szCs w:val="24"/>
                <w:lang w:eastAsia="zh-CN"/>
              </w:rPr>
              <w:t>2025年城区花卉景观布置工程</w:t>
            </w:r>
            <w:r>
              <w:rPr>
                <w:rFonts w:hint="eastAsia" w:ascii="仿宋" w:hAnsi="仿宋" w:eastAsia="仿宋" w:cs="仿宋"/>
                <w:sz w:val="24"/>
                <w:szCs w:val="24"/>
              </w:rPr>
              <w:t>的潜在供应商应在</w:t>
            </w:r>
            <w:r>
              <w:rPr>
                <w:rFonts w:hint="eastAsia" w:ascii="仿宋" w:hAnsi="仿宋" w:eastAsia="仿宋" w:cs="仿宋"/>
                <w:sz w:val="24"/>
                <w:szCs w:val="24"/>
                <w:lang w:eastAsia="zh-CN"/>
              </w:rPr>
              <w:t>新疆政府采购网</w:t>
            </w:r>
            <w:r>
              <w:rPr>
                <w:rFonts w:hint="eastAsia" w:ascii="仿宋" w:hAnsi="仿宋" w:eastAsia="仿宋" w:cs="仿宋"/>
                <w:sz w:val="24"/>
                <w:szCs w:val="24"/>
              </w:rPr>
              <w:t>政采云平台（https://www.zcygov.cn/）获取采购文件，并于</w:t>
            </w:r>
            <w:r>
              <w:rPr>
                <w:rFonts w:hint="eastAsia" w:ascii="仿宋" w:hAnsi="仿宋" w:eastAsia="仿宋" w:cs="仿宋"/>
                <w:color w:val="0000FF"/>
                <w:sz w:val="24"/>
                <w:szCs w:val="24"/>
              </w:rPr>
              <w:t>2025年0</w:t>
            </w:r>
            <w:r>
              <w:rPr>
                <w:rFonts w:hint="eastAsia" w:ascii="仿宋" w:hAnsi="仿宋" w:eastAsia="仿宋" w:cs="仿宋"/>
                <w:color w:val="0000FF"/>
                <w:sz w:val="24"/>
                <w:szCs w:val="24"/>
                <w:lang w:val="en-US" w:eastAsia="zh-CN"/>
              </w:rPr>
              <w:t>4</w:t>
            </w:r>
            <w:r>
              <w:rPr>
                <w:rFonts w:hint="eastAsia" w:ascii="仿宋" w:hAnsi="仿宋" w:eastAsia="仿宋" w:cs="仿宋"/>
                <w:color w:val="0000FF"/>
                <w:sz w:val="24"/>
                <w:szCs w:val="24"/>
              </w:rPr>
              <w:t>月</w:t>
            </w:r>
            <w:r>
              <w:rPr>
                <w:rFonts w:hint="eastAsia" w:ascii="仿宋" w:hAnsi="仿宋" w:eastAsia="仿宋" w:cs="仿宋"/>
                <w:color w:val="0000FF"/>
                <w:sz w:val="24"/>
                <w:szCs w:val="24"/>
                <w:lang w:val="en-US" w:eastAsia="zh-CN"/>
              </w:rPr>
              <w:t>21</w:t>
            </w:r>
            <w:r>
              <w:rPr>
                <w:rFonts w:hint="eastAsia" w:ascii="仿宋" w:hAnsi="仿宋" w:eastAsia="仿宋" w:cs="仿宋"/>
                <w:color w:val="0000FF"/>
                <w:sz w:val="24"/>
                <w:szCs w:val="24"/>
              </w:rPr>
              <w:t>日1</w:t>
            </w:r>
            <w:r>
              <w:rPr>
                <w:rFonts w:hint="eastAsia" w:ascii="仿宋" w:hAnsi="仿宋" w:eastAsia="仿宋" w:cs="仿宋"/>
                <w:color w:val="0000FF"/>
                <w:sz w:val="24"/>
                <w:szCs w:val="24"/>
                <w:lang w:val="en-US" w:eastAsia="zh-CN"/>
              </w:rPr>
              <w:t>6</w:t>
            </w:r>
            <w:r>
              <w:rPr>
                <w:rFonts w:hint="eastAsia" w:ascii="仿宋" w:hAnsi="仿宋" w:eastAsia="仿宋" w:cs="仿宋"/>
                <w:color w:val="0000FF"/>
                <w:sz w:val="24"/>
                <w:szCs w:val="24"/>
              </w:rPr>
              <w:t>时</w:t>
            </w:r>
            <w:r>
              <w:rPr>
                <w:rFonts w:hint="eastAsia" w:ascii="仿宋" w:hAnsi="仿宋" w:eastAsia="仿宋" w:cs="仿宋"/>
                <w:color w:val="0000FF"/>
                <w:sz w:val="24"/>
                <w:szCs w:val="24"/>
                <w:lang w:val="en-US" w:eastAsia="zh-CN"/>
              </w:rPr>
              <w:t>0</w:t>
            </w:r>
            <w:r>
              <w:rPr>
                <w:rFonts w:hint="eastAsia" w:ascii="仿宋" w:hAnsi="仿宋" w:eastAsia="仿宋" w:cs="仿宋"/>
                <w:color w:val="0000FF"/>
                <w:sz w:val="24"/>
                <w:szCs w:val="24"/>
              </w:rPr>
              <w:t>0</w:t>
            </w:r>
            <w:r>
              <w:rPr>
                <w:rFonts w:hint="eastAsia" w:ascii="仿宋" w:hAnsi="仿宋" w:eastAsia="仿宋" w:cs="仿宋"/>
                <w:sz w:val="24"/>
                <w:szCs w:val="24"/>
              </w:rPr>
              <w:t>分（北京时间）前递交投标文件。</w:t>
            </w:r>
          </w:p>
        </w:tc>
      </w:tr>
    </w:tbl>
    <w:p w14:paraId="26F79097">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一、项目基本情况</w:t>
      </w:r>
    </w:p>
    <w:p w14:paraId="574F357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1.项目编号：CSFLZB-2025-05</w:t>
      </w:r>
      <w:r>
        <w:rPr>
          <w:rFonts w:hint="eastAsia" w:ascii="仿宋" w:hAnsi="仿宋" w:eastAsia="仿宋" w:cs="仿宋"/>
          <w:sz w:val="24"/>
          <w:szCs w:val="24"/>
          <w:lang w:val="en-US" w:eastAsia="zh-CN"/>
        </w:rPr>
        <w:t>3</w:t>
      </w:r>
      <w:r>
        <w:rPr>
          <w:rFonts w:hint="eastAsia" w:ascii="仿宋" w:hAnsi="仿宋" w:eastAsia="仿宋" w:cs="仿宋"/>
          <w:sz w:val="24"/>
          <w:szCs w:val="24"/>
        </w:rPr>
        <w:t>-SG</w:t>
      </w:r>
    </w:p>
    <w:p w14:paraId="4CEC4DC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rPr>
        <w:t>2.项目名称：</w:t>
      </w:r>
      <w:r>
        <w:rPr>
          <w:rFonts w:hint="eastAsia" w:ascii="仿宋" w:hAnsi="仿宋" w:eastAsia="仿宋" w:cs="仿宋"/>
          <w:sz w:val="24"/>
          <w:szCs w:val="24"/>
          <w:lang w:eastAsia="zh-CN"/>
        </w:rPr>
        <w:t>2025年城区花卉景观布置工程</w:t>
      </w:r>
    </w:p>
    <w:p w14:paraId="7B6326C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3.采购方式：竞争性磋商</w:t>
      </w:r>
    </w:p>
    <w:p w14:paraId="4981083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4.预算金额：</w:t>
      </w:r>
      <w:r>
        <w:rPr>
          <w:rFonts w:hint="eastAsia" w:ascii="仿宋" w:hAnsi="仿宋" w:eastAsia="仿宋" w:cs="仿宋"/>
          <w:sz w:val="24"/>
          <w:szCs w:val="24"/>
          <w:lang w:val="en-US" w:eastAsia="zh-CN"/>
        </w:rPr>
        <w:t>3068759.05</w:t>
      </w:r>
      <w:r>
        <w:rPr>
          <w:rFonts w:hint="eastAsia" w:ascii="仿宋" w:hAnsi="仿宋" w:eastAsia="仿宋" w:cs="仿宋"/>
          <w:sz w:val="24"/>
          <w:szCs w:val="24"/>
        </w:rPr>
        <w:t>元</w:t>
      </w:r>
    </w:p>
    <w:p w14:paraId="6FF32C6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5.最高限价：</w:t>
      </w:r>
      <w:r>
        <w:rPr>
          <w:rFonts w:hint="eastAsia" w:ascii="仿宋" w:hAnsi="仿宋" w:eastAsia="仿宋" w:cs="仿宋"/>
          <w:sz w:val="24"/>
          <w:szCs w:val="24"/>
          <w:lang w:val="en-US" w:eastAsia="zh-CN"/>
        </w:rPr>
        <w:t>3068759.05</w:t>
      </w:r>
      <w:r>
        <w:rPr>
          <w:rFonts w:hint="eastAsia" w:ascii="仿宋" w:hAnsi="仿宋" w:eastAsia="仿宋" w:cs="仿宋"/>
          <w:sz w:val="24"/>
          <w:szCs w:val="24"/>
        </w:rPr>
        <w:t>元</w:t>
      </w:r>
    </w:p>
    <w:p w14:paraId="5D2BDD1C">
      <w:pPr>
        <w:pStyle w:val="2"/>
        <w:keepNext w:val="0"/>
        <w:keepLines w:val="0"/>
        <w:pageBreakBefore w:val="0"/>
        <w:widowControl w:val="0"/>
        <w:kinsoku/>
        <w:wordWrap/>
        <w:overflowPunct/>
        <w:topLinePunct w:val="0"/>
        <w:autoSpaceDE/>
        <w:autoSpaceDN/>
        <w:bidi w:val="0"/>
        <w:adjustRightInd/>
        <w:snapToGrid/>
        <w:spacing w:line="480" w:lineRule="exact"/>
        <w:ind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6.采购需求：</w:t>
      </w:r>
      <w:r>
        <w:rPr>
          <w:rFonts w:hint="eastAsia" w:ascii="仿宋" w:hAnsi="仿宋" w:eastAsia="仿宋" w:cs="仿宋"/>
          <w:sz w:val="24"/>
          <w:szCs w:val="24"/>
          <w:lang w:val="en-US" w:eastAsia="zh-CN"/>
        </w:rPr>
        <w:t>完成道路绿化带、公园、广场、游园等种植、摆放，种类包含天竺葵、一串红、孔雀草、彩叶草、超级海棠、国庆菊等</w:t>
      </w:r>
      <w:r>
        <w:rPr>
          <w:rFonts w:hint="eastAsia" w:ascii="仿宋" w:hAnsi="仿宋" w:eastAsia="仿宋" w:cs="仿宋"/>
          <w:sz w:val="24"/>
          <w:szCs w:val="24"/>
        </w:rPr>
        <w:t>（</w:t>
      </w:r>
      <w:r>
        <w:rPr>
          <w:rFonts w:hint="eastAsia" w:ascii="仿宋" w:hAnsi="仿宋" w:eastAsia="仿宋" w:cs="仿宋"/>
          <w:sz w:val="24"/>
          <w:szCs w:val="24"/>
          <w:lang w:val="en-US" w:eastAsia="zh-CN"/>
        </w:rPr>
        <w:t>具体内容详见工程量清单</w:t>
      </w:r>
      <w:r>
        <w:rPr>
          <w:rFonts w:hint="eastAsia" w:ascii="仿宋" w:hAnsi="仿宋" w:eastAsia="仿宋" w:cs="仿宋"/>
          <w:sz w:val="24"/>
          <w:szCs w:val="24"/>
        </w:rPr>
        <w:t>）</w:t>
      </w:r>
      <w:r>
        <w:rPr>
          <w:rFonts w:hint="eastAsia" w:ascii="仿宋" w:hAnsi="仿宋" w:eastAsia="仿宋" w:cs="仿宋"/>
          <w:sz w:val="24"/>
          <w:szCs w:val="24"/>
          <w:lang w:eastAsia="zh-CN"/>
        </w:rPr>
        <w:t>。</w:t>
      </w:r>
    </w:p>
    <w:p w14:paraId="3B8BAB6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7.合同履行期限：</w:t>
      </w:r>
      <w:r>
        <w:rPr>
          <w:rFonts w:hint="eastAsia" w:ascii="仿宋" w:hAnsi="仿宋" w:eastAsia="仿宋" w:cs="仿宋"/>
          <w:color w:val="auto"/>
          <w:sz w:val="24"/>
          <w:szCs w:val="24"/>
          <w:highlight w:val="none"/>
          <w:lang w:val="en-US" w:eastAsia="zh-CN"/>
        </w:rPr>
        <w:t>2025年4月23日开工，2025年10月23日竣工，总工期184天（日历日）。</w:t>
      </w:r>
    </w:p>
    <w:p w14:paraId="7FB4BC0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8.本项目是否接受联合体响应：否</w:t>
      </w:r>
    </w:p>
    <w:p w14:paraId="0388D92E">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二、申请人的资格要求</w:t>
      </w:r>
    </w:p>
    <w:p w14:paraId="6B705F5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1.满足《中华人民共和国政府采购法》第二十二条规定；</w:t>
      </w:r>
    </w:p>
    <w:p w14:paraId="7FF61D2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2.落实政府采购政策需满足的资格要求：本项目为专门面向中小企业采购的项目。</w:t>
      </w:r>
    </w:p>
    <w:p w14:paraId="2987965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3.本项目的特定资格要求：</w:t>
      </w:r>
    </w:p>
    <w:p w14:paraId="680D0B6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（1）供应商</w:t>
      </w:r>
      <w:r>
        <w:rPr>
          <w:rFonts w:hint="eastAsia" w:ascii="仿宋" w:hAnsi="仿宋" w:eastAsia="仿宋" w:cs="仿宋"/>
          <w:sz w:val="24"/>
          <w:szCs w:val="24"/>
          <w:lang w:eastAsia="zh-CN"/>
        </w:rPr>
        <w:t>须具</w:t>
      </w:r>
      <w:r>
        <w:rPr>
          <w:rFonts w:hint="eastAsia" w:ascii="仿宋" w:hAnsi="仿宋" w:eastAsia="仿宋" w:cs="仿宋"/>
          <w:sz w:val="24"/>
          <w:szCs w:val="24"/>
          <w:lang w:val="en-US" w:eastAsia="zh-CN"/>
        </w:rPr>
        <w:t>备</w:t>
      </w:r>
      <w:r>
        <w:rPr>
          <w:rFonts w:hint="eastAsia" w:ascii="仿宋" w:hAnsi="仿宋" w:eastAsia="仿宋" w:cs="仿宋"/>
          <w:sz w:val="24"/>
          <w:szCs w:val="24"/>
          <w:lang w:eastAsia="zh-CN"/>
        </w:rPr>
        <w:t>市政公用工程施工总承包三级及以上资质，且具</w:t>
      </w:r>
      <w:r>
        <w:rPr>
          <w:rFonts w:hint="eastAsia" w:ascii="仿宋" w:hAnsi="仿宋" w:eastAsia="仿宋" w:cs="仿宋"/>
          <w:sz w:val="24"/>
          <w:szCs w:val="24"/>
          <w:lang w:val="en-US" w:eastAsia="zh-CN"/>
        </w:rPr>
        <w:t>备</w:t>
      </w:r>
      <w:r>
        <w:rPr>
          <w:rFonts w:hint="eastAsia" w:ascii="仿宋" w:hAnsi="仿宋" w:eastAsia="仿宋" w:cs="仿宋"/>
          <w:sz w:val="24"/>
          <w:szCs w:val="24"/>
          <w:lang w:eastAsia="zh-CN"/>
        </w:rPr>
        <w:t>有效的安全生产许可证</w:t>
      </w:r>
      <w:r>
        <w:rPr>
          <w:rFonts w:hint="eastAsia" w:ascii="仿宋" w:hAnsi="仿宋" w:eastAsia="仿宋" w:cs="仿宋"/>
          <w:sz w:val="24"/>
          <w:szCs w:val="24"/>
          <w:lang w:val="en-US" w:eastAsia="zh-CN"/>
        </w:rPr>
        <w:t>；</w:t>
      </w:r>
    </w:p>
    <w:p w14:paraId="03FAFB1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项目负责人须具备市政公用工程专业二级及以上建造师注册证书，注册单位名称与投标人名称一致，具备有效的安全生产考核合格证书（B类），未在其他建设工程项目任职，并提供无在建项目的承诺书（无在建承诺书承诺时间须在开标截止时间前）；</w:t>
      </w:r>
    </w:p>
    <w:p w14:paraId="3AD5A2B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3）具有履行合同所必需的设备和专业技术能力（声明函格式自拟）即具有完成本项目采购能力；</w:t>
      </w:r>
    </w:p>
    <w:p w14:paraId="3B3B538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（4）具有依法缴纳税收和社会保障资金的良好记录（提供相应证明材料或声明函格式自拟）；</w:t>
      </w:r>
    </w:p>
    <w:p w14:paraId="08A5A6E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（5）单位负责人为同一人或者存在直接控股、管理关系的不同供应商，不得参加同一合同项下的政府采购活动（提供声明函格式自拟）；</w:t>
      </w:r>
    </w:p>
    <w:p w14:paraId="16DD67A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供应商参加政府采购活动前三年内，在经营活动中没有重大违法记录，在“信用中国”网站（www.creditchina.gov.cn）、中国政府采购网（www.ccgp.gov.cn）没有被列入失信被执行人、重大税收违法失信主体名单、政府采购严重违法失信行为记录名单及其他不符合规定条件；</w:t>
      </w:r>
    </w:p>
    <w:p w14:paraId="62DF55A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val="en-US" w:eastAsia="zh-CN"/>
        </w:rPr>
        <w:t>（7）本项目不接受联合体投标。</w:t>
      </w:r>
    </w:p>
    <w:p w14:paraId="47505B54">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三、获取采购文件</w:t>
      </w:r>
    </w:p>
    <w:p w14:paraId="21DF0A5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1.时间：</w:t>
      </w:r>
      <w:r>
        <w:rPr>
          <w:rFonts w:hint="eastAsia" w:ascii="仿宋" w:hAnsi="仿宋" w:eastAsia="仿宋" w:cs="仿宋"/>
          <w:color w:val="0000FF"/>
          <w:sz w:val="24"/>
          <w:szCs w:val="24"/>
        </w:rPr>
        <w:t>2025年0</w:t>
      </w:r>
      <w:r>
        <w:rPr>
          <w:rFonts w:hint="eastAsia" w:ascii="仿宋" w:hAnsi="仿宋" w:eastAsia="仿宋" w:cs="仿宋"/>
          <w:color w:val="0000FF"/>
          <w:sz w:val="24"/>
          <w:szCs w:val="24"/>
          <w:lang w:val="en-US" w:eastAsia="zh-CN"/>
        </w:rPr>
        <w:t>4</w:t>
      </w:r>
      <w:r>
        <w:rPr>
          <w:rFonts w:hint="eastAsia" w:ascii="仿宋" w:hAnsi="仿宋" w:eastAsia="仿宋" w:cs="仿宋"/>
          <w:color w:val="0000FF"/>
          <w:sz w:val="24"/>
          <w:szCs w:val="24"/>
        </w:rPr>
        <w:t>月</w:t>
      </w:r>
      <w:r>
        <w:rPr>
          <w:rFonts w:hint="eastAsia" w:ascii="仿宋" w:hAnsi="仿宋" w:eastAsia="仿宋" w:cs="仿宋"/>
          <w:color w:val="0000FF"/>
          <w:sz w:val="24"/>
          <w:szCs w:val="24"/>
          <w:lang w:val="en-US" w:eastAsia="zh-CN"/>
        </w:rPr>
        <w:t>09</w:t>
      </w:r>
      <w:r>
        <w:rPr>
          <w:rFonts w:hint="eastAsia" w:ascii="仿宋" w:hAnsi="仿宋" w:eastAsia="仿宋" w:cs="仿宋"/>
          <w:color w:val="0000FF"/>
          <w:sz w:val="24"/>
          <w:szCs w:val="24"/>
        </w:rPr>
        <w:t>日至2025年0</w:t>
      </w:r>
      <w:r>
        <w:rPr>
          <w:rFonts w:hint="eastAsia" w:ascii="仿宋" w:hAnsi="仿宋" w:eastAsia="仿宋" w:cs="仿宋"/>
          <w:color w:val="0000FF"/>
          <w:sz w:val="24"/>
          <w:szCs w:val="24"/>
          <w:lang w:val="en-US" w:eastAsia="zh-CN"/>
        </w:rPr>
        <w:t>4</w:t>
      </w:r>
      <w:r>
        <w:rPr>
          <w:rFonts w:hint="eastAsia" w:ascii="仿宋" w:hAnsi="仿宋" w:eastAsia="仿宋" w:cs="仿宋"/>
          <w:color w:val="0000FF"/>
          <w:sz w:val="24"/>
          <w:szCs w:val="24"/>
        </w:rPr>
        <w:t>月</w:t>
      </w:r>
      <w:r>
        <w:rPr>
          <w:rFonts w:hint="eastAsia" w:ascii="仿宋" w:hAnsi="仿宋" w:eastAsia="仿宋" w:cs="仿宋"/>
          <w:color w:val="0000FF"/>
          <w:sz w:val="24"/>
          <w:szCs w:val="24"/>
          <w:lang w:val="en-US" w:eastAsia="zh-CN"/>
        </w:rPr>
        <w:t>16</w:t>
      </w:r>
      <w:r>
        <w:rPr>
          <w:rFonts w:hint="eastAsia" w:ascii="仿宋" w:hAnsi="仿宋" w:eastAsia="仿宋" w:cs="仿宋"/>
          <w:color w:val="0000FF"/>
          <w:sz w:val="24"/>
          <w:szCs w:val="24"/>
        </w:rPr>
        <w:t>日</w:t>
      </w:r>
      <w:r>
        <w:rPr>
          <w:rFonts w:hint="eastAsia" w:ascii="仿宋" w:hAnsi="仿宋" w:eastAsia="仿宋" w:cs="仿宋"/>
          <w:sz w:val="24"/>
          <w:szCs w:val="24"/>
        </w:rPr>
        <w:t>，每天上午00</w:t>
      </w:r>
      <w:r>
        <w:rPr>
          <w:rFonts w:hint="eastAsia" w:ascii="仿宋" w:hAnsi="仿宋" w:eastAsia="仿宋" w:cs="仿宋"/>
          <w:sz w:val="24"/>
          <w:szCs w:val="24"/>
          <w:lang w:eastAsia="zh-CN"/>
        </w:rPr>
        <w:t>：</w:t>
      </w:r>
      <w:r>
        <w:rPr>
          <w:rFonts w:hint="eastAsia" w:ascii="仿宋" w:hAnsi="仿宋" w:eastAsia="仿宋" w:cs="仿宋"/>
          <w:sz w:val="24"/>
          <w:szCs w:val="24"/>
        </w:rPr>
        <w:t>00至12</w:t>
      </w:r>
      <w:r>
        <w:rPr>
          <w:rFonts w:hint="eastAsia" w:ascii="仿宋" w:hAnsi="仿宋" w:eastAsia="仿宋" w:cs="仿宋"/>
          <w:sz w:val="24"/>
          <w:szCs w:val="24"/>
          <w:lang w:eastAsia="zh-CN"/>
        </w:rPr>
        <w:t>：</w:t>
      </w:r>
      <w:r>
        <w:rPr>
          <w:rFonts w:hint="eastAsia" w:ascii="仿宋" w:hAnsi="仿宋" w:eastAsia="仿宋" w:cs="仿宋"/>
          <w:sz w:val="24"/>
          <w:szCs w:val="24"/>
        </w:rPr>
        <w:t>00，下午12</w:t>
      </w:r>
      <w:r>
        <w:rPr>
          <w:rFonts w:hint="eastAsia" w:ascii="仿宋" w:hAnsi="仿宋" w:eastAsia="仿宋" w:cs="仿宋"/>
          <w:sz w:val="24"/>
          <w:szCs w:val="24"/>
          <w:lang w:eastAsia="zh-CN"/>
        </w:rPr>
        <w:t>：</w:t>
      </w:r>
      <w:r>
        <w:rPr>
          <w:rFonts w:hint="eastAsia" w:ascii="仿宋" w:hAnsi="仿宋" w:eastAsia="仿宋" w:cs="仿宋"/>
          <w:sz w:val="24"/>
          <w:szCs w:val="24"/>
        </w:rPr>
        <w:t>00至23</w:t>
      </w:r>
      <w:r>
        <w:rPr>
          <w:rFonts w:hint="eastAsia" w:ascii="仿宋" w:hAnsi="仿宋" w:eastAsia="仿宋" w:cs="仿宋"/>
          <w:sz w:val="24"/>
          <w:szCs w:val="24"/>
          <w:lang w:eastAsia="zh-CN"/>
        </w:rPr>
        <w:t>：</w:t>
      </w:r>
      <w:r>
        <w:rPr>
          <w:rFonts w:hint="eastAsia" w:ascii="仿宋" w:hAnsi="仿宋" w:eastAsia="仿宋" w:cs="仿宋"/>
          <w:sz w:val="24"/>
          <w:szCs w:val="24"/>
        </w:rPr>
        <w:t>59（北京时间，法定节假日除外）。</w:t>
      </w:r>
    </w:p>
    <w:p w14:paraId="723E3A1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2.地点：</w:t>
      </w:r>
      <w:r>
        <w:rPr>
          <w:rFonts w:hint="eastAsia" w:ascii="仿宋" w:hAnsi="仿宋" w:eastAsia="仿宋" w:cs="仿宋"/>
          <w:sz w:val="24"/>
          <w:szCs w:val="24"/>
          <w:lang w:eastAsia="zh-CN"/>
        </w:rPr>
        <w:t>供应商登陆政采云平台（https://www.zcygov.cn/），在线申请获取招标文件（登录政府采购云平台 → 项目采购 → 获取招标文件→申请，审核通过后可下载招标文件，如有操作性问题，可与政采云在线客服进行咨询，咨询电话：95763）。</w:t>
      </w:r>
    </w:p>
    <w:p w14:paraId="3123FCE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3.方式：</w:t>
      </w:r>
      <w:r>
        <w:rPr>
          <w:rFonts w:hint="eastAsia" w:ascii="仿宋" w:hAnsi="仿宋" w:eastAsia="仿宋" w:cs="仿宋"/>
          <w:sz w:val="24"/>
          <w:szCs w:val="24"/>
          <w:lang w:eastAsia="zh-CN"/>
        </w:rPr>
        <w:t>（1）线上获取（登录政府采购云平台 → 项目采购 → 获取招标文件→ 申请，审核通过后可下载招标文件）。本次招标不提供纸质版招标文件。（2）供应商获取招标文件前应注册成为政府采购云平台正式供应商。</w:t>
      </w:r>
    </w:p>
    <w:p w14:paraId="7BB1BD5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4.售价：0元</w:t>
      </w:r>
    </w:p>
    <w:p w14:paraId="5FAD93FF">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四、响应文件提交</w:t>
      </w:r>
    </w:p>
    <w:p w14:paraId="49758C0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1.截止时间：</w:t>
      </w:r>
      <w:r>
        <w:rPr>
          <w:rFonts w:hint="eastAsia" w:ascii="仿宋" w:hAnsi="仿宋" w:eastAsia="仿宋" w:cs="仿宋"/>
          <w:color w:val="0000FF"/>
          <w:sz w:val="24"/>
          <w:szCs w:val="24"/>
        </w:rPr>
        <w:t>2025年0</w:t>
      </w:r>
      <w:r>
        <w:rPr>
          <w:rFonts w:hint="eastAsia" w:ascii="仿宋" w:hAnsi="仿宋" w:eastAsia="仿宋" w:cs="仿宋"/>
          <w:color w:val="0000FF"/>
          <w:sz w:val="24"/>
          <w:szCs w:val="24"/>
          <w:lang w:val="en-US" w:eastAsia="zh-CN"/>
        </w:rPr>
        <w:t>4</w:t>
      </w:r>
      <w:r>
        <w:rPr>
          <w:rFonts w:hint="eastAsia" w:ascii="仿宋" w:hAnsi="仿宋" w:eastAsia="仿宋" w:cs="仿宋"/>
          <w:color w:val="0000FF"/>
          <w:sz w:val="24"/>
          <w:szCs w:val="24"/>
        </w:rPr>
        <w:t>月</w:t>
      </w:r>
      <w:r>
        <w:rPr>
          <w:rFonts w:hint="eastAsia" w:ascii="仿宋" w:hAnsi="仿宋" w:eastAsia="仿宋" w:cs="仿宋"/>
          <w:color w:val="0000FF"/>
          <w:sz w:val="24"/>
          <w:szCs w:val="24"/>
          <w:lang w:val="en-US" w:eastAsia="zh-CN"/>
        </w:rPr>
        <w:t>21</w:t>
      </w:r>
      <w:r>
        <w:rPr>
          <w:rFonts w:hint="eastAsia" w:ascii="仿宋" w:hAnsi="仿宋" w:eastAsia="仿宋" w:cs="仿宋"/>
          <w:color w:val="0000FF"/>
          <w:sz w:val="24"/>
          <w:szCs w:val="24"/>
        </w:rPr>
        <w:t>日1</w:t>
      </w:r>
      <w:r>
        <w:rPr>
          <w:rFonts w:hint="eastAsia" w:ascii="仿宋" w:hAnsi="仿宋" w:eastAsia="仿宋" w:cs="仿宋"/>
          <w:color w:val="0000FF"/>
          <w:sz w:val="24"/>
          <w:szCs w:val="24"/>
          <w:lang w:val="en-US" w:eastAsia="zh-CN"/>
        </w:rPr>
        <w:t>6</w:t>
      </w:r>
      <w:r>
        <w:rPr>
          <w:rFonts w:hint="eastAsia" w:ascii="仿宋" w:hAnsi="仿宋" w:eastAsia="仿宋" w:cs="仿宋"/>
          <w:color w:val="0000FF"/>
          <w:sz w:val="24"/>
          <w:szCs w:val="24"/>
        </w:rPr>
        <w:t>时</w:t>
      </w:r>
      <w:r>
        <w:rPr>
          <w:rFonts w:hint="eastAsia" w:ascii="仿宋" w:hAnsi="仿宋" w:eastAsia="仿宋" w:cs="仿宋"/>
          <w:color w:val="0000FF"/>
          <w:sz w:val="24"/>
          <w:szCs w:val="24"/>
          <w:lang w:val="en-US" w:eastAsia="zh-CN"/>
        </w:rPr>
        <w:t>0</w:t>
      </w:r>
      <w:r>
        <w:rPr>
          <w:rFonts w:hint="eastAsia" w:ascii="仿宋" w:hAnsi="仿宋" w:eastAsia="仿宋" w:cs="仿宋"/>
          <w:color w:val="0000FF"/>
          <w:sz w:val="24"/>
          <w:szCs w:val="24"/>
        </w:rPr>
        <w:t>0分</w:t>
      </w:r>
      <w:r>
        <w:rPr>
          <w:rFonts w:hint="eastAsia" w:ascii="仿宋" w:hAnsi="仿宋" w:eastAsia="仿宋" w:cs="仿宋"/>
          <w:sz w:val="24"/>
          <w:szCs w:val="24"/>
        </w:rPr>
        <w:t>（北京时间）。</w:t>
      </w:r>
    </w:p>
    <w:p w14:paraId="757F5FB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2.地点：</w:t>
      </w:r>
      <w:r>
        <w:rPr>
          <w:rFonts w:hint="eastAsia" w:ascii="仿宋" w:hAnsi="仿宋" w:eastAsia="仿宋" w:cs="仿宋"/>
          <w:sz w:val="24"/>
          <w:szCs w:val="24"/>
          <w:lang w:eastAsia="zh-CN"/>
        </w:rPr>
        <w:t>政府采购云平台（https://www.zcygov.cn/）</w:t>
      </w:r>
    </w:p>
    <w:p w14:paraId="12C2078F">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五、</w:t>
      </w:r>
      <w:r>
        <w:rPr>
          <w:rFonts w:hint="eastAsia" w:ascii="仿宋" w:hAnsi="仿宋" w:eastAsia="仿宋" w:cs="仿宋"/>
          <w:b/>
          <w:bCs/>
          <w:sz w:val="24"/>
          <w:szCs w:val="24"/>
          <w:lang w:val="en-US" w:eastAsia="zh-CN"/>
        </w:rPr>
        <w:t>响应文件</w:t>
      </w:r>
      <w:r>
        <w:rPr>
          <w:rFonts w:hint="eastAsia" w:ascii="仿宋" w:hAnsi="仿宋" w:eastAsia="仿宋" w:cs="仿宋"/>
          <w:b/>
          <w:bCs/>
          <w:sz w:val="24"/>
          <w:szCs w:val="24"/>
        </w:rPr>
        <w:t>开启</w:t>
      </w:r>
    </w:p>
    <w:p w14:paraId="2C5DF95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1.时间：</w:t>
      </w:r>
      <w:r>
        <w:rPr>
          <w:rFonts w:hint="eastAsia" w:ascii="仿宋" w:hAnsi="仿宋" w:eastAsia="仿宋" w:cs="仿宋"/>
          <w:color w:val="0000FF"/>
          <w:sz w:val="24"/>
          <w:szCs w:val="24"/>
        </w:rPr>
        <w:t>2025年0</w:t>
      </w:r>
      <w:r>
        <w:rPr>
          <w:rFonts w:hint="eastAsia" w:ascii="仿宋" w:hAnsi="仿宋" w:eastAsia="仿宋" w:cs="仿宋"/>
          <w:color w:val="0000FF"/>
          <w:sz w:val="24"/>
          <w:szCs w:val="24"/>
          <w:lang w:val="en-US" w:eastAsia="zh-CN"/>
        </w:rPr>
        <w:t>4</w:t>
      </w:r>
      <w:r>
        <w:rPr>
          <w:rFonts w:hint="eastAsia" w:ascii="仿宋" w:hAnsi="仿宋" w:eastAsia="仿宋" w:cs="仿宋"/>
          <w:color w:val="0000FF"/>
          <w:sz w:val="24"/>
          <w:szCs w:val="24"/>
        </w:rPr>
        <w:t>月</w:t>
      </w:r>
      <w:r>
        <w:rPr>
          <w:rFonts w:hint="eastAsia" w:ascii="仿宋" w:hAnsi="仿宋" w:eastAsia="仿宋" w:cs="仿宋"/>
          <w:color w:val="0000FF"/>
          <w:sz w:val="24"/>
          <w:szCs w:val="24"/>
          <w:lang w:val="en-US" w:eastAsia="zh-CN"/>
        </w:rPr>
        <w:t>21</w:t>
      </w:r>
      <w:r>
        <w:rPr>
          <w:rFonts w:hint="eastAsia" w:ascii="仿宋" w:hAnsi="仿宋" w:eastAsia="仿宋" w:cs="仿宋"/>
          <w:color w:val="0000FF"/>
          <w:sz w:val="24"/>
          <w:szCs w:val="24"/>
        </w:rPr>
        <w:t>日1</w:t>
      </w:r>
      <w:r>
        <w:rPr>
          <w:rFonts w:hint="eastAsia" w:ascii="仿宋" w:hAnsi="仿宋" w:eastAsia="仿宋" w:cs="仿宋"/>
          <w:color w:val="0000FF"/>
          <w:sz w:val="24"/>
          <w:szCs w:val="24"/>
          <w:lang w:val="en-US" w:eastAsia="zh-CN"/>
        </w:rPr>
        <w:t>6</w:t>
      </w:r>
      <w:r>
        <w:rPr>
          <w:rFonts w:hint="eastAsia" w:ascii="仿宋" w:hAnsi="仿宋" w:eastAsia="仿宋" w:cs="仿宋"/>
          <w:color w:val="0000FF"/>
          <w:sz w:val="24"/>
          <w:szCs w:val="24"/>
        </w:rPr>
        <w:t>时</w:t>
      </w:r>
      <w:r>
        <w:rPr>
          <w:rFonts w:hint="eastAsia" w:ascii="仿宋" w:hAnsi="仿宋" w:eastAsia="仿宋" w:cs="仿宋"/>
          <w:color w:val="0000FF"/>
          <w:sz w:val="24"/>
          <w:szCs w:val="24"/>
          <w:lang w:val="en-US" w:eastAsia="zh-CN"/>
        </w:rPr>
        <w:t>0</w:t>
      </w:r>
      <w:r>
        <w:rPr>
          <w:rFonts w:hint="eastAsia" w:ascii="仿宋" w:hAnsi="仿宋" w:eastAsia="仿宋" w:cs="仿宋"/>
          <w:color w:val="0000FF"/>
          <w:sz w:val="24"/>
          <w:szCs w:val="24"/>
        </w:rPr>
        <w:t>0分</w:t>
      </w:r>
      <w:r>
        <w:rPr>
          <w:rFonts w:hint="eastAsia" w:ascii="仿宋" w:hAnsi="仿宋" w:eastAsia="仿宋" w:cs="仿宋"/>
          <w:sz w:val="24"/>
          <w:szCs w:val="24"/>
        </w:rPr>
        <w:t>（北京时间）。</w:t>
      </w:r>
    </w:p>
    <w:p w14:paraId="6BCED20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rPr>
        <w:t>2.地点：</w:t>
      </w:r>
      <w:r>
        <w:rPr>
          <w:rFonts w:hint="eastAsia" w:ascii="仿宋" w:hAnsi="仿宋" w:eastAsia="仿宋" w:cs="仿宋"/>
          <w:sz w:val="24"/>
          <w:szCs w:val="24"/>
          <w:lang w:eastAsia="zh-CN"/>
        </w:rPr>
        <w:t>在政府采购云平台（https://www.zcygov.cn/）上开启投标文件，开标时间后，待采购组织机构发出解密通知后30分钟内，供应商须登录“政采云”平台，用“项目采购-开标评标”功能解密投标文件。</w:t>
      </w:r>
    </w:p>
    <w:p w14:paraId="0846C2DE">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六、公告期限</w:t>
      </w:r>
    </w:p>
    <w:p w14:paraId="0F61A3D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自本公告发布之日起3个工作日。</w:t>
      </w:r>
    </w:p>
    <w:p w14:paraId="0928109B">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七、其他补充事宜</w:t>
      </w:r>
    </w:p>
    <w:p w14:paraId="14BB765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lang w:eastAsia="zh-CN"/>
        </w:rPr>
        <w:t>1.本项目采用全流程不见面电子开评标，投标供应商需要使用CA加密设备，供应商可通过新疆数字证书认证中心官网（https://www.xjca.com.cn/）或下载“新疆政务通”APP自行进行申领。</w:t>
      </w:r>
    </w:p>
    <w:p w14:paraId="09078EE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2.本项目实行网上投标，采用加密电子投标文件(供应商须使用CA加密设备通过政采云电子投标客户端制作投标文件)。若供应商参与投标，自行承担投标一切费用。</w:t>
      </w:r>
    </w:p>
    <w:p w14:paraId="1DB48F3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0BC6024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364FCB0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5.供应商在开标时须使用制作加密电子投标文件所使用的CA锁及电脑，电脑须提前配置好浏览器（建议使用谷歌浏览器），以便开标时解锁。</w:t>
      </w:r>
    </w:p>
    <w:p w14:paraId="5110BA5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08A8DED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7.为了保证开评标顺利进行，政采云线上开标功能完全实现，供应商开标所使用的电脑设备须具有视频及语音功能。</w:t>
      </w:r>
    </w:p>
    <w:p w14:paraId="26EB953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 xml:space="preserve">    8、本项目为专门面向中小企业（含中型、小型、微型企业）采购项目，根据《政府采购促进中小企业发展管理办法》（财库[2020]46号）的规定，不再执行价格评审优惠的扶持政策。注：中小企业划分标准依据《工业和信息化部、国家统计局、国家发展和改革委员会、财政部关于印发中小企业划型标准规定的通知》（工信部联企业〔2011〕300号）规定。本项目采购标的对应的中小企业划分标准所属行业为</w:t>
      </w:r>
      <w:r>
        <w:rPr>
          <w:rFonts w:hint="eastAsia" w:ascii="仿宋" w:hAnsi="仿宋" w:eastAsia="仿宋" w:cs="仿宋"/>
          <w:b w:val="0"/>
          <w:bCs w:val="0"/>
          <w:sz w:val="24"/>
          <w:szCs w:val="24"/>
        </w:rPr>
        <w:t>建筑业</w:t>
      </w:r>
      <w:r>
        <w:rPr>
          <w:rFonts w:hint="eastAsia" w:ascii="仿宋" w:hAnsi="仿宋" w:eastAsia="仿宋" w:cs="仿宋"/>
          <w:sz w:val="24"/>
          <w:szCs w:val="24"/>
        </w:rPr>
        <w:t>。</w:t>
      </w:r>
    </w:p>
    <w:p w14:paraId="4576C28C">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八、凡对本次采购提出询问，请按以下方式联系</w:t>
      </w:r>
    </w:p>
    <w:p w14:paraId="01CAB5D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1.采购人信息</w:t>
      </w:r>
    </w:p>
    <w:p w14:paraId="080C7A4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名称：昌吉市园林绿化管理中心</w:t>
      </w:r>
    </w:p>
    <w:p w14:paraId="67B3F88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rPr>
        <w:t>地址：</w:t>
      </w:r>
      <w:r>
        <w:rPr>
          <w:rFonts w:hint="eastAsia" w:ascii="仿宋" w:hAnsi="仿宋" w:eastAsia="仿宋" w:cs="仿宋"/>
          <w:sz w:val="24"/>
          <w:szCs w:val="24"/>
          <w:lang w:val="en-US" w:eastAsia="zh-CN"/>
        </w:rPr>
        <w:t>昌吉市</w:t>
      </w:r>
    </w:p>
    <w:p w14:paraId="035C3EB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rPr>
        <w:t>联系方式：</w:t>
      </w:r>
      <w:r>
        <w:rPr>
          <w:rFonts w:hint="eastAsia" w:ascii="仿宋" w:hAnsi="仿宋" w:eastAsia="仿宋" w:cs="仿宋"/>
          <w:sz w:val="24"/>
          <w:szCs w:val="24"/>
          <w:lang w:val="en-US" w:eastAsia="zh-CN"/>
        </w:rPr>
        <w:t>马先生13565646836</w:t>
      </w:r>
    </w:p>
    <w:p w14:paraId="3E5FDA9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2.采购代理机构信息</w:t>
      </w:r>
    </w:p>
    <w:p w14:paraId="7EEFCAD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名称：新疆昌盛方略项目管理有限公司</w:t>
      </w:r>
    </w:p>
    <w:p w14:paraId="7F5AE7B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地址：新疆昌吉回族自治州昌吉市南公园西路融投小镇1号楼A座14层（昌吉州国投大厦1幢14楼1419）</w:t>
      </w:r>
    </w:p>
    <w:p w14:paraId="334F17D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rPr>
        <w:t>联系方式：0994-8165002</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18699479057</w:t>
      </w:r>
    </w:p>
    <w:p w14:paraId="1835ADA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3.项目联系方式</w:t>
      </w:r>
    </w:p>
    <w:p w14:paraId="0137D82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val="en-US" w:eastAsia="zh-CN"/>
        </w:rPr>
      </w:pPr>
      <w:r>
        <w:rPr>
          <w:rFonts w:hint="eastAsia" w:ascii="仿宋" w:hAnsi="仿宋" w:eastAsia="仿宋" w:cs="仿宋"/>
          <w:sz w:val="24"/>
          <w:szCs w:val="24"/>
        </w:rPr>
        <w:t>项目联系人：</w:t>
      </w:r>
      <w:r>
        <w:rPr>
          <w:rFonts w:hint="eastAsia" w:ascii="仿宋" w:hAnsi="仿宋" w:eastAsia="仿宋" w:cs="仿宋"/>
          <w:sz w:val="24"/>
          <w:szCs w:val="24"/>
          <w:lang w:val="en-US" w:eastAsia="zh-CN"/>
        </w:rPr>
        <w:t>努女士、蔚女士</w:t>
      </w:r>
    </w:p>
    <w:p w14:paraId="0430FD1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lang w:eastAsia="zh-CN"/>
        </w:rPr>
      </w:pPr>
      <w:r>
        <w:rPr>
          <w:rFonts w:hint="eastAsia" w:ascii="仿宋" w:hAnsi="仿宋" w:eastAsia="仿宋" w:cs="仿宋"/>
          <w:sz w:val="24"/>
          <w:szCs w:val="24"/>
        </w:rPr>
        <w:t>电话：0994-8165002</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18699479057</w:t>
      </w:r>
    </w:p>
    <w:p w14:paraId="2B3E2304">
      <w:pPr>
        <w:pageBreakBefore w:val="0"/>
        <w:wordWrap/>
        <w:topLinePunct w:val="0"/>
        <w:bidi w:val="0"/>
        <w:spacing w:line="480" w:lineRule="exact"/>
        <w:rPr>
          <w:rFonts w:hint="eastAsia" w:ascii="仿宋" w:hAnsi="仿宋" w:eastAsia="仿宋" w:cs="仿宋"/>
          <w:sz w:val="24"/>
          <w:szCs w:val="24"/>
        </w:rPr>
      </w:pPr>
    </w:p>
    <w:p w14:paraId="6E1C1C44">
      <w:pPr>
        <w:pageBreakBefore w:val="0"/>
        <w:wordWrap/>
        <w:topLinePunct w:val="0"/>
        <w:bidi w:val="0"/>
        <w:spacing w:line="480" w:lineRule="exact"/>
        <w:rPr>
          <w:rFonts w:hint="eastAsia" w:ascii="仿宋" w:hAnsi="仿宋" w:eastAsia="仿宋" w:cs="仿宋"/>
          <w:sz w:val="24"/>
          <w:szCs w:val="24"/>
        </w:rPr>
      </w:pPr>
    </w:p>
    <w:p w14:paraId="35552E61">
      <w:pPr>
        <w:pageBreakBefore w:val="0"/>
        <w:wordWrap/>
        <w:topLinePunct w:val="0"/>
        <w:bidi w:val="0"/>
        <w:spacing w:line="480" w:lineRule="exact"/>
        <w:rPr>
          <w:rFonts w:hint="eastAsia" w:ascii="仿宋" w:hAnsi="仿宋" w:eastAsia="仿宋" w:cs="仿宋"/>
          <w:sz w:val="24"/>
          <w:szCs w:val="24"/>
        </w:rPr>
      </w:pPr>
    </w:p>
    <w:p w14:paraId="33EFACFC">
      <w:pPr>
        <w:pageBreakBefore w:val="0"/>
        <w:wordWrap/>
        <w:topLinePunct w:val="0"/>
        <w:bidi w:val="0"/>
        <w:spacing w:line="480" w:lineRule="exact"/>
        <w:rPr>
          <w:rFonts w:hint="eastAsia" w:ascii="仿宋" w:hAnsi="仿宋" w:eastAsia="仿宋" w:cs="仿宋"/>
          <w:sz w:val="24"/>
          <w:szCs w:val="24"/>
        </w:rPr>
      </w:pPr>
    </w:p>
    <w:p w14:paraId="1CDA1547">
      <w:pPr>
        <w:pageBreakBefore w:val="0"/>
        <w:wordWrap/>
        <w:topLinePunct w:val="0"/>
        <w:bidi w:val="0"/>
        <w:spacing w:line="480" w:lineRule="exact"/>
        <w:rPr>
          <w:rFonts w:hint="eastAsia" w:ascii="仿宋" w:hAnsi="仿宋" w:eastAsia="仿宋" w:cs="仿宋"/>
          <w:sz w:val="24"/>
          <w:szCs w:val="24"/>
        </w:rPr>
      </w:pPr>
    </w:p>
    <w:p w14:paraId="45B10D04">
      <w:pPr>
        <w:pageBreakBefore w:val="0"/>
        <w:wordWrap/>
        <w:topLinePunct w:val="0"/>
        <w:bidi w:val="0"/>
        <w:spacing w:line="480" w:lineRule="exact"/>
        <w:rPr>
          <w:rFonts w:hint="eastAsia" w:ascii="仿宋" w:hAnsi="仿宋" w:eastAsia="仿宋" w:cs="仿宋"/>
          <w:sz w:val="24"/>
          <w:szCs w:val="24"/>
        </w:rPr>
      </w:pPr>
    </w:p>
    <w:p w14:paraId="7A24BE6E">
      <w:pPr>
        <w:pageBreakBefore w:val="0"/>
        <w:wordWrap/>
        <w:topLinePunct w:val="0"/>
        <w:bidi w:val="0"/>
        <w:spacing w:line="480" w:lineRule="exact"/>
        <w:rPr>
          <w:rFonts w:hint="eastAsia" w:ascii="仿宋" w:hAnsi="仿宋" w:eastAsia="仿宋" w:cs="仿宋"/>
          <w:sz w:val="24"/>
          <w:szCs w:val="24"/>
        </w:rPr>
      </w:pPr>
    </w:p>
    <w:p w14:paraId="41C93185">
      <w:pPr>
        <w:pageBreakBefore w:val="0"/>
        <w:wordWrap/>
        <w:topLinePunct w:val="0"/>
        <w:bidi w:val="0"/>
        <w:spacing w:line="480" w:lineRule="exact"/>
        <w:rPr>
          <w:rFonts w:hint="eastAsia" w:ascii="仿宋" w:hAnsi="仿宋" w:eastAsia="仿宋" w:cs="仿宋"/>
          <w:sz w:val="24"/>
          <w:szCs w:val="24"/>
        </w:rPr>
      </w:pPr>
    </w:p>
    <w:p w14:paraId="34797550">
      <w:pPr>
        <w:pageBreakBefore w:val="0"/>
        <w:wordWrap/>
        <w:topLinePunct w:val="0"/>
        <w:bidi w:val="0"/>
        <w:spacing w:line="480" w:lineRule="exact"/>
        <w:rPr>
          <w:rFonts w:hint="eastAsia" w:ascii="仿宋" w:hAnsi="仿宋" w:eastAsia="仿宋" w:cs="仿宋"/>
          <w:sz w:val="24"/>
          <w:szCs w:val="24"/>
        </w:rPr>
      </w:pPr>
    </w:p>
    <w:p w14:paraId="08C902A0">
      <w:pPr>
        <w:pageBreakBefore w:val="0"/>
        <w:wordWrap/>
        <w:topLinePunct w:val="0"/>
        <w:bidi w:val="0"/>
        <w:spacing w:line="480" w:lineRule="exact"/>
        <w:rPr>
          <w:rFonts w:hint="eastAsia" w:ascii="仿宋" w:hAnsi="仿宋" w:eastAsia="仿宋" w:cs="仿宋"/>
          <w:sz w:val="24"/>
          <w:szCs w:val="24"/>
        </w:rPr>
      </w:pPr>
    </w:p>
    <w:p w14:paraId="2357EE65">
      <w:pPr>
        <w:pageBreakBefore w:val="0"/>
        <w:wordWrap/>
        <w:topLinePunct w:val="0"/>
        <w:bidi w:val="0"/>
        <w:spacing w:line="480" w:lineRule="exact"/>
        <w:rPr>
          <w:rFonts w:hint="eastAsia" w:ascii="仿宋" w:hAnsi="仿宋" w:eastAsia="仿宋" w:cs="仿宋"/>
          <w:sz w:val="24"/>
          <w:szCs w:val="24"/>
        </w:rPr>
      </w:pPr>
    </w:p>
    <w:p w14:paraId="718D4737">
      <w:pPr>
        <w:pageBreakBefore w:val="0"/>
        <w:wordWrap/>
        <w:topLinePunct w:val="0"/>
        <w:bidi w:val="0"/>
        <w:spacing w:line="480" w:lineRule="exact"/>
        <w:rPr>
          <w:rFonts w:hint="eastAsia" w:ascii="仿宋" w:hAnsi="仿宋" w:eastAsia="仿宋" w:cs="仿宋"/>
          <w:sz w:val="24"/>
          <w:szCs w:val="24"/>
        </w:rPr>
      </w:pPr>
    </w:p>
    <w:p w14:paraId="119355FD">
      <w:pPr>
        <w:pageBreakBefore w:val="0"/>
        <w:wordWrap/>
        <w:topLinePunct w:val="0"/>
        <w:bidi w:val="0"/>
        <w:spacing w:line="480" w:lineRule="exact"/>
        <w:rPr>
          <w:rFonts w:hint="eastAsia" w:ascii="仿宋" w:hAnsi="仿宋" w:eastAsia="仿宋" w:cs="仿宋"/>
          <w:sz w:val="24"/>
          <w:szCs w:val="24"/>
        </w:rPr>
      </w:pPr>
    </w:p>
    <w:p w14:paraId="6260B6DF">
      <w:pPr>
        <w:pageBreakBefore w:val="0"/>
        <w:wordWrap/>
        <w:topLinePunct w:val="0"/>
        <w:bidi w:val="0"/>
        <w:spacing w:line="480" w:lineRule="exact"/>
        <w:rPr>
          <w:rFonts w:hint="eastAsia" w:ascii="仿宋" w:hAnsi="仿宋" w:eastAsia="仿宋" w:cs="仿宋"/>
          <w:sz w:val="24"/>
          <w:szCs w:val="24"/>
        </w:rPr>
      </w:pPr>
    </w:p>
    <w:p w14:paraId="797C5954">
      <w:pPr>
        <w:pageBreakBefore w:val="0"/>
        <w:wordWrap/>
        <w:topLinePunct w:val="0"/>
        <w:bidi w:val="0"/>
        <w:spacing w:line="480" w:lineRule="exact"/>
        <w:rPr>
          <w:rFonts w:hint="eastAsia" w:ascii="仿宋" w:hAnsi="仿宋" w:eastAsia="仿宋" w:cs="仿宋"/>
          <w:sz w:val="24"/>
          <w:szCs w:val="24"/>
        </w:rPr>
      </w:pPr>
    </w:p>
    <w:p w14:paraId="7C174FF4">
      <w:pPr>
        <w:pageBreakBefore w:val="0"/>
        <w:wordWrap/>
        <w:topLinePunct w:val="0"/>
        <w:bidi w:val="0"/>
        <w:spacing w:line="480" w:lineRule="exact"/>
        <w:rPr>
          <w:rFonts w:hint="eastAsia" w:ascii="仿宋" w:hAnsi="仿宋" w:eastAsia="仿宋" w:cs="仿宋"/>
          <w:sz w:val="24"/>
          <w:szCs w:val="24"/>
        </w:rPr>
      </w:pPr>
    </w:p>
    <w:p w14:paraId="099D550F">
      <w:pPr>
        <w:pStyle w:val="3"/>
        <w:pageBreakBefore w:val="0"/>
        <w:wordWrap/>
        <w:topLinePunct w:val="0"/>
        <w:bidi w:val="0"/>
        <w:spacing w:line="480" w:lineRule="exact"/>
        <w:jc w:val="center"/>
        <w:rPr>
          <w:rFonts w:hint="eastAsia" w:ascii="仿宋" w:hAnsi="仿宋" w:eastAsia="仿宋" w:cs="仿宋"/>
          <w:sz w:val="24"/>
          <w:szCs w:val="24"/>
        </w:rPr>
      </w:pPr>
      <w:bookmarkStart w:id="3" w:name="_Toc5126"/>
      <w:r>
        <w:rPr>
          <w:rFonts w:hint="eastAsia" w:ascii="仿宋" w:hAnsi="仿宋" w:eastAsia="仿宋" w:cs="仿宋"/>
          <w:sz w:val="28"/>
          <w:szCs w:val="28"/>
        </w:rPr>
        <w:t>第二章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供应商须知</w:t>
      </w:r>
      <w:bookmarkEnd w:id="3"/>
    </w:p>
    <w:p w14:paraId="3379A4CA">
      <w:pPr>
        <w:pageBreakBefore w:val="0"/>
        <w:wordWrap/>
        <w:topLinePunct w:val="0"/>
        <w:bidi w:val="0"/>
        <w:spacing w:line="480" w:lineRule="exact"/>
        <w:rPr>
          <w:rFonts w:hint="eastAsia" w:ascii="仿宋" w:hAnsi="仿宋" w:eastAsia="仿宋" w:cs="仿宋"/>
          <w:sz w:val="24"/>
          <w:szCs w:val="24"/>
        </w:rPr>
      </w:pPr>
      <w:r>
        <w:rPr>
          <w:rFonts w:hint="eastAsia" w:ascii="仿宋" w:hAnsi="仿宋" w:eastAsia="仿宋" w:cs="仿宋"/>
          <w:sz w:val="24"/>
          <w:szCs w:val="24"/>
        </w:rPr>
        <w:t>一、供应商须知前附表</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79"/>
        <w:gridCol w:w="1250"/>
        <w:gridCol w:w="7290"/>
      </w:tblGrid>
      <w:tr w14:paraId="7533A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26" w:hRule="atLeast"/>
          <w:jc w:val="center"/>
        </w:trPr>
        <w:tc>
          <w:tcPr>
            <w:tcW w:w="879" w:type="dxa"/>
            <w:shd w:val="clear" w:color="auto" w:fill="auto"/>
            <w:vAlign w:val="center"/>
          </w:tcPr>
          <w:p w14:paraId="20364F71">
            <w:pPr>
              <w:pStyle w:val="24"/>
              <w:keepNext w:val="0"/>
              <w:keepLines w:val="0"/>
              <w:pageBreakBefore w:val="0"/>
              <w:widowControl/>
              <w:kinsoku w:val="0"/>
              <w:wordWrap/>
              <w:overflowPunct/>
              <w:topLinePunct w:val="0"/>
              <w:autoSpaceDE w:val="0"/>
              <w:autoSpaceDN w:val="0"/>
              <w:bidi w:val="0"/>
              <w:adjustRightInd w:val="0"/>
              <w:snapToGrid w:val="0"/>
              <w:spacing w:before="199" w:line="360" w:lineRule="exact"/>
              <w:jc w:val="center"/>
              <w:textAlignment w:val="baseline"/>
              <w:rPr>
                <w:rFonts w:hint="eastAsia" w:ascii="仿宋" w:hAnsi="仿宋" w:eastAsia="仿宋" w:cs="仿宋"/>
                <w:b/>
                <w:bCs/>
                <w:snapToGrid w:val="0"/>
                <w:color w:val="auto"/>
                <w:kern w:val="0"/>
                <w:sz w:val="24"/>
                <w:szCs w:val="24"/>
                <w:lang w:val="en-US" w:eastAsia="zh-CN" w:bidi="ar-SA"/>
              </w:rPr>
            </w:pPr>
            <w:r>
              <w:rPr>
                <w:rFonts w:hint="eastAsia" w:ascii="仿宋" w:hAnsi="仿宋" w:eastAsia="仿宋" w:cs="仿宋"/>
                <w:b/>
                <w:bCs/>
                <w:snapToGrid w:val="0"/>
                <w:color w:val="auto"/>
                <w:kern w:val="0"/>
                <w:sz w:val="24"/>
                <w:szCs w:val="24"/>
                <w:lang w:val="en-US" w:eastAsia="zh-CN" w:bidi="ar-SA"/>
              </w:rPr>
              <w:t>序号</w:t>
            </w:r>
          </w:p>
        </w:tc>
        <w:tc>
          <w:tcPr>
            <w:tcW w:w="1250" w:type="dxa"/>
            <w:shd w:val="clear" w:color="auto" w:fill="auto"/>
            <w:vAlign w:val="center"/>
          </w:tcPr>
          <w:p w14:paraId="23A36A85">
            <w:pPr>
              <w:pStyle w:val="24"/>
              <w:keepNext w:val="0"/>
              <w:keepLines w:val="0"/>
              <w:pageBreakBefore w:val="0"/>
              <w:widowControl/>
              <w:kinsoku w:val="0"/>
              <w:wordWrap/>
              <w:overflowPunct/>
              <w:topLinePunct w:val="0"/>
              <w:autoSpaceDE w:val="0"/>
              <w:autoSpaceDN w:val="0"/>
              <w:bidi w:val="0"/>
              <w:adjustRightInd w:val="0"/>
              <w:snapToGrid w:val="0"/>
              <w:spacing w:before="199" w:line="360" w:lineRule="exact"/>
              <w:jc w:val="center"/>
              <w:textAlignment w:val="baseline"/>
              <w:rPr>
                <w:rFonts w:hint="eastAsia" w:ascii="仿宋" w:hAnsi="仿宋" w:eastAsia="仿宋" w:cs="仿宋"/>
                <w:b/>
                <w:bCs/>
                <w:snapToGrid w:val="0"/>
                <w:color w:val="auto"/>
                <w:kern w:val="0"/>
                <w:sz w:val="24"/>
                <w:szCs w:val="24"/>
                <w:lang w:val="en-US" w:eastAsia="en-US" w:bidi="ar-SA"/>
              </w:rPr>
            </w:pPr>
            <w:r>
              <w:rPr>
                <w:rFonts w:hint="eastAsia" w:ascii="仿宋" w:hAnsi="仿宋" w:eastAsia="仿宋" w:cs="仿宋"/>
                <w:b/>
                <w:bCs/>
                <w:color w:val="auto"/>
                <w:spacing w:val="-5"/>
                <w:sz w:val="24"/>
                <w:szCs w:val="24"/>
              </w:rPr>
              <w:t>名称</w:t>
            </w:r>
          </w:p>
        </w:tc>
        <w:tc>
          <w:tcPr>
            <w:tcW w:w="7290" w:type="dxa"/>
            <w:shd w:val="clear" w:color="auto" w:fill="auto"/>
            <w:vAlign w:val="center"/>
          </w:tcPr>
          <w:p w14:paraId="1C4B7393">
            <w:pPr>
              <w:pStyle w:val="24"/>
              <w:keepNext w:val="0"/>
              <w:keepLines w:val="0"/>
              <w:pageBreakBefore w:val="0"/>
              <w:widowControl/>
              <w:kinsoku w:val="0"/>
              <w:wordWrap/>
              <w:overflowPunct/>
              <w:topLinePunct w:val="0"/>
              <w:autoSpaceDE w:val="0"/>
              <w:autoSpaceDN w:val="0"/>
              <w:bidi w:val="0"/>
              <w:adjustRightInd w:val="0"/>
              <w:snapToGrid w:val="0"/>
              <w:spacing w:before="199" w:line="360" w:lineRule="exact"/>
              <w:jc w:val="center"/>
              <w:textAlignment w:val="baseline"/>
              <w:rPr>
                <w:rFonts w:hint="eastAsia" w:ascii="仿宋" w:hAnsi="仿宋" w:eastAsia="仿宋" w:cs="仿宋"/>
                <w:b/>
                <w:bCs/>
                <w:snapToGrid w:val="0"/>
                <w:color w:val="auto"/>
                <w:kern w:val="0"/>
                <w:sz w:val="24"/>
                <w:szCs w:val="24"/>
                <w:lang w:val="en-US" w:eastAsia="en-US" w:bidi="ar-SA"/>
              </w:rPr>
            </w:pPr>
            <w:r>
              <w:rPr>
                <w:rFonts w:hint="eastAsia" w:ascii="仿宋" w:hAnsi="仿宋" w:eastAsia="仿宋" w:cs="仿宋"/>
                <w:b/>
                <w:bCs/>
                <w:color w:val="auto"/>
                <w:spacing w:val="-22"/>
                <w:sz w:val="24"/>
                <w:szCs w:val="24"/>
              </w:rPr>
              <w:t>内容</w:t>
            </w:r>
          </w:p>
        </w:tc>
      </w:tr>
      <w:tr w14:paraId="2F84D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78" w:hRule="atLeast"/>
          <w:jc w:val="center"/>
        </w:trPr>
        <w:tc>
          <w:tcPr>
            <w:tcW w:w="879" w:type="dxa"/>
            <w:shd w:val="clear" w:color="auto" w:fill="auto"/>
            <w:vAlign w:val="center"/>
          </w:tcPr>
          <w:p w14:paraId="6E5AF405">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1</w:t>
            </w:r>
          </w:p>
        </w:tc>
        <w:tc>
          <w:tcPr>
            <w:tcW w:w="1250" w:type="dxa"/>
            <w:shd w:val="clear" w:color="auto" w:fill="auto"/>
            <w:vAlign w:val="center"/>
          </w:tcPr>
          <w:p w14:paraId="7C32BF7C">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人</w:t>
            </w:r>
          </w:p>
        </w:tc>
        <w:tc>
          <w:tcPr>
            <w:tcW w:w="7290" w:type="dxa"/>
            <w:shd w:val="clear" w:color="auto" w:fill="auto"/>
            <w:vAlign w:val="center"/>
          </w:tcPr>
          <w:p w14:paraId="4F5C93B7">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人：</w:t>
            </w:r>
            <w:r>
              <w:rPr>
                <w:rFonts w:hint="eastAsia" w:ascii="仿宋" w:hAnsi="仿宋" w:eastAsia="仿宋" w:cs="仿宋"/>
                <w:sz w:val="24"/>
                <w:szCs w:val="24"/>
              </w:rPr>
              <w:t>昌吉市园林绿化管理中心</w:t>
            </w:r>
          </w:p>
          <w:p w14:paraId="705884B6">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 系 人：马先生</w:t>
            </w:r>
          </w:p>
          <w:p w14:paraId="09E7A638">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lang w:val="en-US" w:eastAsia="zh-CN"/>
              </w:rPr>
              <w:t>联系电话：</w:t>
            </w:r>
            <w:r>
              <w:rPr>
                <w:rFonts w:hint="eastAsia" w:ascii="仿宋" w:hAnsi="仿宋" w:eastAsia="仿宋" w:cs="仿宋"/>
                <w:sz w:val="24"/>
                <w:szCs w:val="24"/>
                <w:lang w:val="en-US" w:eastAsia="zh-CN"/>
              </w:rPr>
              <w:t>13565646836</w:t>
            </w:r>
          </w:p>
        </w:tc>
      </w:tr>
      <w:tr w14:paraId="278BA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273" w:hRule="atLeast"/>
          <w:jc w:val="center"/>
        </w:trPr>
        <w:tc>
          <w:tcPr>
            <w:tcW w:w="879" w:type="dxa"/>
            <w:shd w:val="clear" w:color="auto" w:fill="auto"/>
            <w:vAlign w:val="center"/>
          </w:tcPr>
          <w:p w14:paraId="28958E3C">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2</w:t>
            </w:r>
          </w:p>
        </w:tc>
        <w:tc>
          <w:tcPr>
            <w:tcW w:w="1250" w:type="dxa"/>
            <w:shd w:val="clear" w:color="auto" w:fill="auto"/>
            <w:vAlign w:val="center"/>
          </w:tcPr>
          <w:p w14:paraId="61288D84">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采购代理机构</w:t>
            </w:r>
          </w:p>
        </w:tc>
        <w:tc>
          <w:tcPr>
            <w:tcW w:w="7290" w:type="dxa"/>
            <w:shd w:val="clear" w:color="auto" w:fill="auto"/>
            <w:vAlign w:val="center"/>
          </w:tcPr>
          <w:p w14:paraId="27854CAE">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名称：新疆昌盛方略项目管理有限公司</w:t>
            </w:r>
          </w:p>
          <w:p w14:paraId="6CE00467">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z w:val="24"/>
                <w:szCs w:val="24"/>
              </w:rPr>
            </w:pPr>
            <w:r>
              <w:rPr>
                <w:rFonts w:hint="eastAsia" w:ascii="仿宋" w:hAnsi="仿宋" w:eastAsia="仿宋" w:cs="仿宋"/>
                <w:color w:val="auto"/>
                <w:sz w:val="24"/>
                <w:szCs w:val="24"/>
                <w:highlight w:val="none"/>
                <w:lang w:val="en-US" w:eastAsia="zh-CN"/>
              </w:rPr>
              <w:t>地址：</w:t>
            </w:r>
            <w:r>
              <w:rPr>
                <w:rFonts w:hint="eastAsia" w:ascii="仿宋" w:hAnsi="仿宋" w:eastAsia="仿宋" w:cs="仿宋"/>
                <w:sz w:val="24"/>
                <w:szCs w:val="24"/>
              </w:rPr>
              <w:t>新疆昌吉回族自治州昌吉市南公园西路融投小镇1号楼A座14层（昌吉州国投大厦1幢14楼1419）</w:t>
            </w:r>
          </w:p>
          <w:p w14:paraId="40644E09">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联系人：努女士、蔚女士</w:t>
            </w:r>
          </w:p>
          <w:p w14:paraId="691D7B18">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联系方式：0994-8165002、18699479057</w:t>
            </w:r>
          </w:p>
          <w:p w14:paraId="31246238">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邮箱：1024878179@qq.com</w:t>
            </w:r>
          </w:p>
        </w:tc>
      </w:tr>
      <w:tr w14:paraId="52EA0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3" w:hRule="atLeast"/>
          <w:jc w:val="center"/>
        </w:trPr>
        <w:tc>
          <w:tcPr>
            <w:tcW w:w="879" w:type="dxa"/>
            <w:shd w:val="clear" w:color="auto" w:fill="auto"/>
            <w:vAlign w:val="center"/>
          </w:tcPr>
          <w:p w14:paraId="6C01BE9E">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3</w:t>
            </w:r>
          </w:p>
        </w:tc>
        <w:tc>
          <w:tcPr>
            <w:tcW w:w="1250" w:type="dxa"/>
            <w:shd w:val="clear" w:color="auto" w:fill="auto"/>
            <w:vAlign w:val="center"/>
          </w:tcPr>
          <w:p w14:paraId="1C9F50F5">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3"/>
                <w:sz w:val="24"/>
                <w:szCs w:val="24"/>
                <w:lang w:val="en-US" w:eastAsia="zh-CN"/>
              </w:rPr>
            </w:pPr>
            <w:r>
              <w:rPr>
                <w:rFonts w:hint="eastAsia" w:ascii="仿宋" w:hAnsi="仿宋" w:eastAsia="仿宋" w:cs="仿宋"/>
                <w:color w:val="auto"/>
                <w:spacing w:val="-3"/>
                <w:sz w:val="24"/>
                <w:szCs w:val="24"/>
                <w:lang w:val="en-US" w:eastAsia="zh-CN"/>
              </w:rPr>
              <w:t>项目名称</w:t>
            </w:r>
          </w:p>
        </w:tc>
        <w:tc>
          <w:tcPr>
            <w:tcW w:w="7290" w:type="dxa"/>
            <w:shd w:val="clear" w:color="auto" w:fill="auto"/>
            <w:vAlign w:val="center"/>
          </w:tcPr>
          <w:p w14:paraId="348D2AC8">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eastAsia="zh-CN"/>
              </w:rPr>
            </w:pPr>
            <w:r>
              <w:rPr>
                <w:rFonts w:hint="eastAsia" w:ascii="仿宋" w:hAnsi="仿宋" w:eastAsia="仿宋" w:cs="仿宋"/>
                <w:sz w:val="24"/>
                <w:szCs w:val="24"/>
                <w:lang w:eastAsia="zh-CN"/>
              </w:rPr>
              <w:t>2025年城区花卉景观布置工程</w:t>
            </w:r>
          </w:p>
        </w:tc>
      </w:tr>
      <w:tr w14:paraId="4F16D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9" w:hRule="atLeast"/>
          <w:jc w:val="center"/>
        </w:trPr>
        <w:tc>
          <w:tcPr>
            <w:tcW w:w="879" w:type="dxa"/>
            <w:shd w:val="clear" w:color="auto" w:fill="auto"/>
            <w:vAlign w:val="center"/>
          </w:tcPr>
          <w:p w14:paraId="4861D8B6">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4</w:t>
            </w:r>
          </w:p>
        </w:tc>
        <w:tc>
          <w:tcPr>
            <w:tcW w:w="1250" w:type="dxa"/>
            <w:shd w:val="clear" w:color="auto" w:fill="auto"/>
            <w:vAlign w:val="center"/>
          </w:tcPr>
          <w:p w14:paraId="1469A21F">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3"/>
                <w:sz w:val="24"/>
                <w:szCs w:val="24"/>
                <w:lang w:val="en-US" w:eastAsia="zh-CN"/>
              </w:rPr>
            </w:pPr>
            <w:r>
              <w:rPr>
                <w:rFonts w:hint="eastAsia" w:ascii="仿宋" w:hAnsi="仿宋" w:eastAsia="仿宋" w:cs="仿宋"/>
                <w:color w:val="auto"/>
                <w:spacing w:val="-3"/>
                <w:sz w:val="24"/>
                <w:szCs w:val="24"/>
                <w:lang w:val="en-US" w:eastAsia="zh-CN"/>
              </w:rPr>
              <w:t>采购需求</w:t>
            </w:r>
          </w:p>
        </w:tc>
        <w:tc>
          <w:tcPr>
            <w:tcW w:w="7290" w:type="dxa"/>
            <w:shd w:val="clear" w:color="auto" w:fill="auto"/>
            <w:vAlign w:val="center"/>
          </w:tcPr>
          <w:p w14:paraId="7B48D845">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rPr>
            </w:pPr>
            <w:r>
              <w:rPr>
                <w:rFonts w:hint="eastAsia" w:ascii="仿宋" w:hAnsi="仿宋" w:eastAsia="仿宋" w:cs="仿宋"/>
                <w:sz w:val="24"/>
                <w:szCs w:val="24"/>
                <w:lang w:val="en-US" w:eastAsia="zh-CN"/>
              </w:rPr>
              <w:t>完成道路绿化带、公园、广场、游园等种植、摆放，种类包含天竺葵、一串红、孔雀草、彩叶草、超级海棠、国庆菊等</w:t>
            </w:r>
            <w:r>
              <w:rPr>
                <w:rFonts w:hint="eastAsia" w:ascii="仿宋" w:hAnsi="仿宋" w:eastAsia="仿宋" w:cs="仿宋"/>
                <w:sz w:val="24"/>
                <w:szCs w:val="24"/>
              </w:rPr>
              <w:t>（</w:t>
            </w:r>
            <w:r>
              <w:rPr>
                <w:rFonts w:hint="eastAsia" w:ascii="仿宋" w:hAnsi="仿宋" w:eastAsia="仿宋" w:cs="仿宋"/>
                <w:sz w:val="24"/>
                <w:szCs w:val="24"/>
                <w:lang w:val="en-US" w:eastAsia="zh-CN"/>
              </w:rPr>
              <w:t>具体内容详见工程量清单</w:t>
            </w:r>
            <w:r>
              <w:rPr>
                <w:rFonts w:hint="eastAsia" w:ascii="仿宋" w:hAnsi="仿宋" w:eastAsia="仿宋" w:cs="仿宋"/>
                <w:sz w:val="24"/>
                <w:szCs w:val="24"/>
              </w:rPr>
              <w:t>）</w:t>
            </w:r>
            <w:r>
              <w:rPr>
                <w:rFonts w:hint="eastAsia" w:ascii="仿宋" w:hAnsi="仿宋" w:eastAsia="仿宋" w:cs="仿宋"/>
                <w:sz w:val="24"/>
                <w:szCs w:val="24"/>
                <w:lang w:eastAsia="zh-CN"/>
              </w:rPr>
              <w:t>。</w:t>
            </w:r>
          </w:p>
        </w:tc>
      </w:tr>
      <w:tr w14:paraId="1EA4C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18" w:hRule="atLeast"/>
          <w:jc w:val="center"/>
        </w:trPr>
        <w:tc>
          <w:tcPr>
            <w:tcW w:w="879" w:type="dxa"/>
            <w:shd w:val="clear" w:color="auto" w:fill="auto"/>
            <w:vAlign w:val="center"/>
          </w:tcPr>
          <w:p w14:paraId="4D252AA5">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5</w:t>
            </w:r>
          </w:p>
        </w:tc>
        <w:tc>
          <w:tcPr>
            <w:tcW w:w="1250" w:type="dxa"/>
            <w:shd w:val="clear" w:color="auto" w:fill="auto"/>
            <w:vAlign w:val="center"/>
          </w:tcPr>
          <w:p w14:paraId="15DC21B7">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rPr>
              <w:t>招标范围</w:t>
            </w:r>
          </w:p>
        </w:tc>
        <w:tc>
          <w:tcPr>
            <w:tcW w:w="7290" w:type="dxa"/>
            <w:shd w:val="clear" w:color="auto" w:fill="auto"/>
            <w:vAlign w:val="center"/>
          </w:tcPr>
          <w:p w14:paraId="5B84F055">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lang w:val="en-US" w:eastAsia="zh-CN"/>
              </w:rPr>
              <w:t>竞争性磋商文件</w:t>
            </w:r>
            <w:r>
              <w:rPr>
                <w:rFonts w:hint="eastAsia" w:ascii="仿宋" w:hAnsi="仿宋" w:eastAsia="仿宋" w:cs="仿宋"/>
                <w:color w:val="auto"/>
                <w:sz w:val="24"/>
                <w:szCs w:val="24"/>
                <w:highlight w:val="none"/>
              </w:rPr>
              <w:t>及工程量清单范围内的全部工作内容（包括文件变更、答疑及补充等内容）</w:t>
            </w:r>
          </w:p>
        </w:tc>
      </w:tr>
      <w:tr w14:paraId="01503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18" w:hRule="atLeast"/>
          <w:jc w:val="center"/>
        </w:trPr>
        <w:tc>
          <w:tcPr>
            <w:tcW w:w="879" w:type="dxa"/>
            <w:shd w:val="clear" w:color="auto" w:fill="auto"/>
            <w:vAlign w:val="center"/>
          </w:tcPr>
          <w:p w14:paraId="1F5288CD">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6</w:t>
            </w:r>
          </w:p>
        </w:tc>
        <w:tc>
          <w:tcPr>
            <w:tcW w:w="1250" w:type="dxa"/>
            <w:shd w:val="clear" w:color="auto" w:fill="auto"/>
            <w:vAlign w:val="center"/>
          </w:tcPr>
          <w:p w14:paraId="0D5D327E">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工期要求</w:t>
            </w:r>
          </w:p>
        </w:tc>
        <w:tc>
          <w:tcPr>
            <w:tcW w:w="7290" w:type="dxa"/>
            <w:shd w:val="clear" w:color="auto" w:fill="auto"/>
            <w:vAlign w:val="center"/>
          </w:tcPr>
          <w:p w14:paraId="490594D0">
            <w:pPr>
              <w:pStyle w:val="10"/>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仿宋" w:hAnsi="仿宋" w:eastAsia="仿宋" w:cs="仿宋"/>
                <w:snapToGrid w:val="0"/>
                <w:color w:val="auto"/>
                <w:kern w:val="0"/>
                <w:sz w:val="24"/>
                <w:szCs w:val="24"/>
                <w:highlight w:val="none"/>
                <w:shd w:val="clear" w:color="auto" w:fill="auto"/>
                <w:lang w:val="en-US" w:eastAsia="zh-CN" w:bidi="ar-SA"/>
              </w:rPr>
            </w:pPr>
            <w:r>
              <w:rPr>
                <w:rFonts w:hint="eastAsia" w:ascii="仿宋" w:hAnsi="仿宋" w:eastAsia="仿宋" w:cs="仿宋"/>
                <w:color w:val="auto"/>
                <w:sz w:val="24"/>
                <w:szCs w:val="24"/>
                <w:highlight w:val="none"/>
                <w:lang w:val="en-US" w:eastAsia="zh-CN"/>
              </w:rPr>
              <w:t>2025年4月23日开工，2025年10月23日竣工，总工期184天（日历日）。</w:t>
            </w:r>
          </w:p>
        </w:tc>
      </w:tr>
      <w:tr w14:paraId="59F3A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3" w:hRule="atLeast"/>
          <w:jc w:val="center"/>
        </w:trPr>
        <w:tc>
          <w:tcPr>
            <w:tcW w:w="879" w:type="dxa"/>
            <w:shd w:val="clear" w:color="auto" w:fill="auto"/>
            <w:vAlign w:val="center"/>
          </w:tcPr>
          <w:p w14:paraId="01BDDC66">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7</w:t>
            </w:r>
          </w:p>
        </w:tc>
        <w:tc>
          <w:tcPr>
            <w:tcW w:w="1250" w:type="dxa"/>
            <w:shd w:val="clear" w:color="auto" w:fill="auto"/>
            <w:vAlign w:val="center"/>
          </w:tcPr>
          <w:p w14:paraId="1FDCBC85">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质量要求</w:t>
            </w:r>
          </w:p>
        </w:tc>
        <w:tc>
          <w:tcPr>
            <w:tcW w:w="7290" w:type="dxa"/>
            <w:shd w:val="clear" w:color="auto" w:fill="auto"/>
            <w:vAlign w:val="center"/>
          </w:tcPr>
          <w:p w14:paraId="10BC9B37">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color w:val="auto"/>
                <w:sz w:val="24"/>
                <w:szCs w:val="24"/>
                <w:highlight w:val="none"/>
              </w:rPr>
              <w:t>质量标准：</w:t>
            </w:r>
            <w:r>
              <w:rPr>
                <w:rFonts w:hint="eastAsia" w:ascii="仿宋" w:hAnsi="仿宋" w:eastAsia="仿宋" w:cs="仿宋"/>
                <w:color w:val="auto"/>
                <w:sz w:val="24"/>
                <w:szCs w:val="24"/>
                <w:highlight w:val="none"/>
                <w:lang w:val="en-US" w:eastAsia="zh-CN"/>
              </w:rPr>
              <w:t>合格</w:t>
            </w:r>
          </w:p>
        </w:tc>
      </w:tr>
      <w:tr w14:paraId="36722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74" w:hRule="atLeast"/>
          <w:jc w:val="center"/>
        </w:trPr>
        <w:tc>
          <w:tcPr>
            <w:tcW w:w="879" w:type="dxa"/>
            <w:shd w:val="clear" w:color="auto" w:fill="auto"/>
            <w:vAlign w:val="center"/>
          </w:tcPr>
          <w:p w14:paraId="2153B4CA">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8</w:t>
            </w:r>
          </w:p>
        </w:tc>
        <w:tc>
          <w:tcPr>
            <w:tcW w:w="1250" w:type="dxa"/>
            <w:shd w:val="clear" w:color="auto" w:fill="auto"/>
            <w:vAlign w:val="center"/>
          </w:tcPr>
          <w:p w14:paraId="644C758E">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color w:val="auto"/>
                <w:spacing w:val="-3"/>
                <w:sz w:val="24"/>
                <w:szCs w:val="24"/>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资格要求</w:t>
            </w:r>
          </w:p>
        </w:tc>
        <w:tc>
          <w:tcPr>
            <w:tcW w:w="7290" w:type="dxa"/>
            <w:shd w:val="clear" w:color="auto" w:fill="auto"/>
            <w:vAlign w:val="center"/>
          </w:tcPr>
          <w:p w14:paraId="245335B5">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rPr>
            </w:pPr>
            <w:r>
              <w:rPr>
                <w:rFonts w:hint="eastAsia" w:ascii="仿宋" w:hAnsi="仿宋" w:eastAsia="仿宋" w:cs="仿宋"/>
                <w:color w:val="auto"/>
                <w:spacing w:val="-4"/>
                <w:sz w:val="24"/>
                <w:szCs w:val="24"/>
              </w:rPr>
              <w:t>1.满足《中华人民共和国政府采购法》第二十二条规定；</w:t>
            </w:r>
          </w:p>
          <w:p w14:paraId="66A796D7">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rPr>
            </w:pPr>
            <w:r>
              <w:rPr>
                <w:rFonts w:hint="eastAsia" w:ascii="仿宋" w:hAnsi="仿宋" w:eastAsia="仿宋" w:cs="仿宋"/>
                <w:color w:val="auto"/>
                <w:spacing w:val="-4"/>
                <w:sz w:val="24"/>
                <w:szCs w:val="24"/>
              </w:rPr>
              <w:t>2.落实政府采购政策需满足的资格要求：本项目为专门面向中小企业采购的项目。</w:t>
            </w:r>
          </w:p>
          <w:p w14:paraId="6FC56157">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rPr>
            </w:pPr>
            <w:r>
              <w:rPr>
                <w:rFonts w:hint="eastAsia" w:ascii="仿宋" w:hAnsi="仿宋" w:eastAsia="仿宋" w:cs="仿宋"/>
                <w:color w:val="auto"/>
                <w:spacing w:val="-4"/>
                <w:sz w:val="24"/>
                <w:szCs w:val="24"/>
              </w:rPr>
              <w:t>3.本项目的特定资格要求：</w:t>
            </w:r>
          </w:p>
          <w:p w14:paraId="43E24274">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（1）供应商</w:t>
            </w:r>
            <w:r>
              <w:rPr>
                <w:rFonts w:hint="eastAsia" w:ascii="仿宋" w:hAnsi="仿宋" w:eastAsia="仿宋" w:cs="仿宋"/>
                <w:color w:val="auto"/>
                <w:spacing w:val="-4"/>
                <w:sz w:val="24"/>
                <w:szCs w:val="24"/>
                <w:lang w:eastAsia="zh-CN"/>
              </w:rPr>
              <w:t>须具</w:t>
            </w:r>
            <w:r>
              <w:rPr>
                <w:rFonts w:hint="eastAsia" w:ascii="仿宋" w:hAnsi="仿宋" w:eastAsia="仿宋" w:cs="仿宋"/>
                <w:color w:val="auto"/>
                <w:spacing w:val="-4"/>
                <w:sz w:val="24"/>
                <w:szCs w:val="24"/>
                <w:lang w:val="en-US" w:eastAsia="zh-CN"/>
              </w:rPr>
              <w:t>备</w:t>
            </w:r>
            <w:r>
              <w:rPr>
                <w:rFonts w:hint="eastAsia" w:ascii="仿宋" w:hAnsi="仿宋" w:eastAsia="仿宋" w:cs="仿宋"/>
                <w:color w:val="auto"/>
                <w:spacing w:val="-4"/>
                <w:sz w:val="24"/>
                <w:szCs w:val="24"/>
                <w:lang w:eastAsia="zh-CN"/>
              </w:rPr>
              <w:t>市政公用工程施工总承包三级及以上资质，且具</w:t>
            </w:r>
            <w:r>
              <w:rPr>
                <w:rFonts w:hint="eastAsia" w:ascii="仿宋" w:hAnsi="仿宋" w:eastAsia="仿宋" w:cs="仿宋"/>
                <w:color w:val="auto"/>
                <w:spacing w:val="-4"/>
                <w:sz w:val="24"/>
                <w:szCs w:val="24"/>
                <w:lang w:val="en-US" w:eastAsia="zh-CN"/>
              </w:rPr>
              <w:t>备</w:t>
            </w:r>
            <w:r>
              <w:rPr>
                <w:rFonts w:hint="eastAsia" w:ascii="仿宋" w:hAnsi="仿宋" w:eastAsia="仿宋" w:cs="仿宋"/>
                <w:color w:val="auto"/>
                <w:spacing w:val="-4"/>
                <w:sz w:val="24"/>
                <w:szCs w:val="24"/>
                <w:lang w:eastAsia="zh-CN"/>
              </w:rPr>
              <w:t>有效的安全生产许可证</w:t>
            </w:r>
            <w:r>
              <w:rPr>
                <w:rFonts w:hint="eastAsia" w:ascii="仿宋" w:hAnsi="仿宋" w:eastAsia="仿宋" w:cs="仿宋"/>
                <w:color w:val="auto"/>
                <w:spacing w:val="-4"/>
                <w:sz w:val="24"/>
                <w:szCs w:val="24"/>
                <w:lang w:val="en-US" w:eastAsia="zh-CN"/>
              </w:rPr>
              <w:t>；</w:t>
            </w:r>
          </w:p>
          <w:p w14:paraId="50FC996A">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2）项目负责人须具备市政公用工程专业二级及以上建造师注册证书，注册单位名称与投标人名称一致，具备有效的安全生产考核合格证书（B类），未在其他建设工程项目任职，并提供无在建项目的承诺书（无在建承诺书承诺时间须在开标截止时间前）；</w:t>
            </w:r>
          </w:p>
          <w:p w14:paraId="6C453C70">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eastAsia="zh-CN"/>
              </w:rPr>
              <w:t>（</w:t>
            </w:r>
            <w:r>
              <w:rPr>
                <w:rFonts w:hint="eastAsia" w:ascii="仿宋" w:hAnsi="仿宋" w:eastAsia="仿宋" w:cs="仿宋"/>
                <w:color w:val="auto"/>
                <w:spacing w:val="-4"/>
                <w:sz w:val="24"/>
                <w:szCs w:val="24"/>
                <w:lang w:val="en-US" w:eastAsia="zh-CN"/>
              </w:rPr>
              <w:t>3）具有履行合同所必需的设备和专业技术能力（声明函格式自拟）即具有完成本项目采购能力；</w:t>
            </w:r>
          </w:p>
          <w:p w14:paraId="4B7D7FD9">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（4）具有依法缴纳税收和社会保障资金的良好记录（提供相应证明材料或声明函格式自拟）；</w:t>
            </w:r>
          </w:p>
          <w:p w14:paraId="503BD104">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（5）单位负责人为同一人或者存在直接控股、管理关系的不同供应商，不得参加同一合同项下的政府采购活动（提供声明函格式自拟）；</w:t>
            </w:r>
          </w:p>
          <w:p w14:paraId="02318445">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6）供应商参加政府采购活动前三年内，在经营活动中没有重大违法记录，在“信用中国”网站（www.creditchina.gov.cn）、中国政府采购网（www.ccgp.gov.cn）没有被列入失信被执行人、重大税收违法失信主体名单、政府采购严重违法失信行为记录名单及其他不符合规定条件；</w:t>
            </w:r>
          </w:p>
          <w:p w14:paraId="2FE19F4D">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color w:val="auto"/>
                <w:spacing w:val="-4"/>
                <w:sz w:val="24"/>
                <w:szCs w:val="24"/>
              </w:rPr>
            </w:pPr>
            <w:r>
              <w:rPr>
                <w:rFonts w:hint="eastAsia" w:ascii="仿宋" w:hAnsi="仿宋" w:eastAsia="仿宋" w:cs="仿宋"/>
                <w:color w:val="auto"/>
                <w:spacing w:val="-4"/>
                <w:sz w:val="24"/>
                <w:szCs w:val="24"/>
                <w:lang w:val="en-US" w:eastAsia="zh-CN"/>
              </w:rPr>
              <w:t>（7）本项目不接受联合体投标。</w:t>
            </w:r>
          </w:p>
        </w:tc>
      </w:tr>
      <w:tr w14:paraId="2B46A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71" w:hRule="atLeast"/>
          <w:jc w:val="center"/>
        </w:trPr>
        <w:tc>
          <w:tcPr>
            <w:tcW w:w="879" w:type="dxa"/>
            <w:shd w:val="clear" w:color="auto" w:fill="auto"/>
            <w:vAlign w:val="center"/>
          </w:tcPr>
          <w:p w14:paraId="48546B29">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4"/>
                <w:sz w:val="24"/>
                <w:szCs w:val="24"/>
                <w:lang w:val="en-US" w:eastAsia="zh-CN"/>
              </w:rPr>
              <w:t>9</w:t>
            </w:r>
          </w:p>
        </w:tc>
        <w:tc>
          <w:tcPr>
            <w:tcW w:w="1250" w:type="dxa"/>
            <w:shd w:val="clear" w:color="auto" w:fill="auto"/>
            <w:vAlign w:val="center"/>
          </w:tcPr>
          <w:p w14:paraId="56481B47">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highlight w:val="none"/>
              </w:rPr>
              <w:t>踏勘现场</w:t>
            </w:r>
          </w:p>
        </w:tc>
        <w:tc>
          <w:tcPr>
            <w:tcW w:w="7290" w:type="dxa"/>
            <w:shd w:val="clear" w:color="auto" w:fill="auto"/>
            <w:vAlign w:val="center"/>
          </w:tcPr>
          <w:p w14:paraId="32592DED">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不组织</w:t>
            </w:r>
          </w:p>
          <w:p w14:paraId="1C18E674">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□组织，踏勘时间：</w:t>
            </w:r>
          </w:p>
          <w:p w14:paraId="52D815D7">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highlight w:val="none"/>
              </w:rPr>
              <w:t>踏勘地点：</w:t>
            </w:r>
          </w:p>
        </w:tc>
      </w:tr>
      <w:tr w14:paraId="0E2B2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3" w:hRule="atLeast"/>
          <w:jc w:val="center"/>
        </w:trPr>
        <w:tc>
          <w:tcPr>
            <w:tcW w:w="879" w:type="dxa"/>
            <w:shd w:val="clear" w:color="auto" w:fill="auto"/>
            <w:vAlign w:val="center"/>
          </w:tcPr>
          <w:p w14:paraId="57C06D4D">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4"/>
                <w:sz w:val="24"/>
                <w:szCs w:val="24"/>
                <w:lang w:val="en-US" w:eastAsia="zh-CN"/>
              </w:rPr>
              <w:t>10</w:t>
            </w:r>
          </w:p>
        </w:tc>
        <w:tc>
          <w:tcPr>
            <w:tcW w:w="1250" w:type="dxa"/>
            <w:shd w:val="clear" w:color="auto" w:fill="auto"/>
            <w:vAlign w:val="center"/>
          </w:tcPr>
          <w:p w14:paraId="75FF0FF3">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4"/>
                <w:sz w:val="24"/>
                <w:szCs w:val="24"/>
              </w:rPr>
              <w:t>答疑会</w:t>
            </w:r>
          </w:p>
        </w:tc>
        <w:tc>
          <w:tcPr>
            <w:tcW w:w="7290" w:type="dxa"/>
            <w:shd w:val="clear" w:color="auto" w:fill="auto"/>
            <w:vAlign w:val="center"/>
          </w:tcPr>
          <w:p w14:paraId="5E227053">
            <w:pPr>
              <w:pStyle w:val="24"/>
              <w:keepNext w:val="0"/>
              <w:keepLines w:val="0"/>
              <w:pageBreakBefore w:val="0"/>
              <w:widowControl/>
              <w:kinsoku w:val="0"/>
              <w:wordWrap/>
              <w:overflowPunct/>
              <w:topLinePunct w:val="0"/>
              <w:autoSpaceDE w:val="0"/>
              <w:autoSpaceDN w:val="0"/>
              <w:bidi w:val="0"/>
              <w:adjustRightInd w:val="0"/>
              <w:snapToGrid w:val="0"/>
              <w:spacing w:before="23" w:line="360" w:lineRule="exact"/>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4"/>
                <w:sz w:val="24"/>
                <w:szCs w:val="24"/>
              </w:rPr>
              <w:t>不组织</w:t>
            </w:r>
          </w:p>
        </w:tc>
      </w:tr>
      <w:tr w14:paraId="09D0F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15" w:hRule="atLeast"/>
          <w:jc w:val="center"/>
        </w:trPr>
        <w:tc>
          <w:tcPr>
            <w:tcW w:w="879" w:type="dxa"/>
            <w:shd w:val="clear" w:color="auto" w:fill="auto"/>
            <w:vAlign w:val="center"/>
          </w:tcPr>
          <w:p w14:paraId="6D366BF2">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14"/>
                <w:sz w:val="24"/>
                <w:szCs w:val="24"/>
                <w:lang w:val="en-US" w:eastAsia="zh-CN"/>
              </w:rPr>
            </w:pPr>
            <w:r>
              <w:rPr>
                <w:rFonts w:hint="eastAsia" w:ascii="仿宋" w:hAnsi="仿宋" w:eastAsia="仿宋" w:cs="仿宋"/>
                <w:color w:val="auto"/>
                <w:spacing w:val="-14"/>
                <w:sz w:val="24"/>
                <w:szCs w:val="24"/>
                <w:lang w:val="en-US" w:eastAsia="zh-CN"/>
              </w:rPr>
              <w:t>11</w:t>
            </w:r>
          </w:p>
        </w:tc>
        <w:tc>
          <w:tcPr>
            <w:tcW w:w="1250" w:type="dxa"/>
            <w:shd w:val="clear" w:color="auto" w:fill="auto"/>
            <w:vAlign w:val="center"/>
          </w:tcPr>
          <w:p w14:paraId="7F6DBFA5">
            <w:pPr>
              <w:keepNext w:val="0"/>
              <w:keepLines w:val="0"/>
              <w:pageBreakBefore w:val="0"/>
              <w:widowControl w:val="0"/>
              <w:kinsoku/>
              <w:wordWrap/>
              <w:overflowPunct/>
              <w:topLinePunct w:val="0"/>
              <w:bidi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rPr>
              <w:t>分 包</w:t>
            </w:r>
          </w:p>
        </w:tc>
        <w:tc>
          <w:tcPr>
            <w:tcW w:w="7290" w:type="dxa"/>
            <w:shd w:val="clear" w:color="auto" w:fill="auto"/>
            <w:vAlign w:val="center"/>
          </w:tcPr>
          <w:p w14:paraId="64107C72">
            <w:pPr>
              <w:keepNext w:val="0"/>
              <w:keepLines w:val="0"/>
              <w:pageBreakBefore w:val="0"/>
              <w:widowControl w:val="0"/>
              <w:kinsoku/>
              <w:wordWrap/>
              <w:overflowPunct/>
              <w:topLinePunct w:val="0"/>
              <w:bidi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不允许分包</w:t>
            </w:r>
          </w:p>
          <w:p w14:paraId="7516791F">
            <w:pPr>
              <w:keepNext w:val="0"/>
              <w:keepLines w:val="0"/>
              <w:pageBreakBefore w:val="0"/>
              <w:widowControl w:val="0"/>
              <w:kinsoku/>
              <w:wordWrap/>
              <w:overflowPunct/>
              <w:topLinePunct w:val="0"/>
              <w:bidi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□允许分包，分包</w:t>
            </w:r>
            <w:r>
              <w:rPr>
                <w:rFonts w:hint="eastAsia" w:ascii="仿宋" w:hAnsi="仿宋" w:eastAsia="仿宋" w:cs="仿宋"/>
                <w:color w:val="auto"/>
                <w:sz w:val="24"/>
                <w:szCs w:val="24"/>
                <w:highlight w:val="none"/>
                <w:lang w:val="en-US" w:eastAsia="zh-CN"/>
              </w:rPr>
              <w:t>内容</w:t>
            </w:r>
            <w:r>
              <w:rPr>
                <w:rFonts w:hint="eastAsia" w:ascii="仿宋" w:hAnsi="仿宋" w:eastAsia="仿宋" w:cs="仿宋"/>
                <w:color w:val="auto"/>
                <w:sz w:val="24"/>
                <w:szCs w:val="24"/>
                <w:highlight w:val="none"/>
              </w:rPr>
              <w:t>要求：</w:t>
            </w:r>
          </w:p>
          <w:p w14:paraId="77610CEF">
            <w:pPr>
              <w:keepNext w:val="0"/>
              <w:keepLines w:val="0"/>
              <w:pageBreakBefore w:val="0"/>
              <w:widowControl w:val="0"/>
              <w:kinsoku/>
              <w:wordWrap/>
              <w:overflowPunct/>
              <w:topLinePunct w:val="0"/>
              <w:bidi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分包金额要求：</w:t>
            </w:r>
          </w:p>
          <w:p w14:paraId="5DFFC013">
            <w:pPr>
              <w:keepNext w:val="0"/>
              <w:keepLines w:val="0"/>
              <w:pageBreakBefore w:val="0"/>
              <w:widowControl w:val="0"/>
              <w:kinsoku/>
              <w:wordWrap/>
              <w:overflowPunct/>
              <w:topLinePunct w:val="0"/>
              <w:bidi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rPr>
              <w:t>接受分包的第三人资质要求：</w:t>
            </w:r>
          </w:p>
        </w:tc>
      </w:tr>
      <w:tr w14:paraId="46602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18" w:hRule="atLeast"/>
          <w:jc w:val="center"/>
        </w:trPr>
        <w:tc>
          <w:tcPr>
            <w:tcW w:w="879" w:type="dxa"/>
            <w:shd w:val="clear" w:color="auto" w:fill="auto"/>
            <w:vAlign w:val="center"/>
          </w:tcPr>
          <w:p w14:paraId="5AE71BFE">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color w:val="auto"/>
                <w:spacing w:val="-14"/>
                <w:sz w:val="24"/>
                <w:szCs w:val="24"/>
                <w:lang w:val="en-US" w:eastAsia="zh-CN"/>
              </w:rPr>
            </w:pPr>
            <w:r>
              <w:rPr>
                <w:rFonts w:hint="eastAsia" w:ascii="仿宋" w:hAnsi="仿宋" w:eastAsia="仿宋" w:cs="仿宋"/>
                <w:color w:val="auto"/>
                <w:spacing w:val="-14"/>
                <w:sz w:val="24"/>
                <w:szCs w:val="24"/>
                <w:lang w:val="en-US" w:eastAsia="zh-CN"/>
              </w:rPr>
              <w:t>12</w:t>
            </w:r>
          </w:p>
        </w:tc>
        <w:tc>
          <w:tcPr>
            <w:tcW w:w="1250" w:type="dxa"/>
            <w:shd w:val="clear" w:color="auto" w:fill="auto"/>
            <w:vAlign w:val="center"/>
          </w:tcPr>
          <w:p w14:paraId="21546552">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rPr>
              <w:t>偏 离</w:t>
            </w:r>
          </w:p>
        </w:tc>
        <w:tc>
          <w:tcPr>
            <w:tcW w:w="7290" w:type="dxa"/>
            <w:shd w:val="clear" w:color="auto" w:fill="auto"/>
            <w:vAlign w:val="center"/>
          </w:tcPr>
          <w:p w14:paraId="27159439">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不允许</w:t>
            </w:r>
          </w:p>
          <w:p w14:paraId="24C62661">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rPr>
              <w:t>□允许，允许偏离的内容、偏离范围和幅度：</w:t>
            </w:r>
          </w:p>
        </w:tc>
      </w:tr>
      <w:tr w14:paraId="46C52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8" w:hRule="atLeast"/>
          <w:jc w:val="center"/>
        </w:trPr>
        <w:tc>
          <w:tcPr>
            <w:tcW w:w="879" w:type="dxa"/>
            <w:shd w:val="clear" w:color="auto" w:fill="auto"/>
            <w:vAlign w:val="center"/>
          </w:tcPr>
          <w:p w14:paraId="4CF75CFD">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color w:val="auto"/>
                <w:spacing w:val="-14"/>
                <w:sz w:val="24"/>
                <w:szCs w:val="24"/>
                <w:lang w:val="en-US" w:eastAsia="zh-CN"/>
              </w:rPr>
              <w:t>13</w:t>
            </w:r>
          </w:p>
        </w:tc>
        <w:tc>
          <w:tcPr>
            <w:tcW w:w="1250" w:type="dxa"/>
            <w:shd w:val="clear" w:color="auto" w:fill="auto"/>
            <w:vAlign w:val="center"/>
          </w:tcPr>
          <w:p w14:paraId="6445C159">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磋商报价</w:t>
            </w:r>
          </w:p>
        </w:tc>
        <w:tc>
          <w:tcPr>
            <w:tcW w:w="7290" w:type="dxa"/>
            <w:shd w:val="clear" w:color="auto" w:fill="auto"/>
            <w:vAlign w:val="center"/>
          </w:tcPr>
          <w:p w14:paraId="599AD340">
            <w:pPr>
              <w:pStyle w:val="24"/>
              <w:keepNext w:val="0"/>
              <w:keepLines w:val="0"/>
              <w:pageBreakBefore w:val="0"/>
              <w:widowControl/>
              <w:kinsoku w:val="0"/>
              <w:wordWrap/>
              <w:overflowPunct/>
              <w:topLinePunct w:val="0"/>
              <w:autoSpaceDE w:val="0"/>
              <w:autoSpaceDN w:val="0"/>
              <w:bidi w:val="0"/>
              <w:adjustRightInd w:val="0"/>
              <w:snapToGrid w:val="0"/>
              <w:spacing w:before="28" w:line="360" w:lineRule="exact"/>
              <w:ind w:right="9"/>
              <w:jc w:val="left"/>
              <w:textAlignment w:val="baseline"/>
              <w:rPr>
                <w:rFonts w:hint="eastAsia" w:ascii="仿宋" w:hAnsi="仿宋" w:eastAsia="仿宋" w:cs="仿宋"/>
                <w:color w:val="auto"/>
                <w:sz w:val="24"/>
                <w:szCs w:val="24"/>
                <w:lang w:val="en-US" w:eastAsia="zh-CN"/>
              </w:rPr>
            </w:pPr>
            <w:r>
              <w:rPr>
                <w:rFonts w:hint="eastAsia" w:ascii="仿宋" w:hAnsi="仿宋" w:eastAsia="仿宋" w:cs="仿宋"/>
                <w:b/>
                <w:bCs/>
                <w:color w:val="auto"/>
                <w:spacing w:val="-4"/>
                <w:sz w:val="24"/>
                <w:szCs w:val="24"/>
              </w:rPr>
              <w:t>1、本项目最高限价：</w:t>
            </w:r>
            <w:r>
              <w:rPr>
                <w:rFonts w:hint="eastAsia" w:ascii="仿宋" w:hAnsi="仿宋" w:eastAsia="仿宋" w:cs="仿宋"/>
                <w:b/>
                <w:bCs/>
                <w:color w:val="auto"/>
                <w:spacing w:val="-4"/>
                <w:sz w:val="24"/>
                <w:szCs w:val="24"/>
                <w:lang w:val="en-US" w:eastAsia="zh-CN"/>
              </w:rPr>
              <w:t>3068759.05</w:t>
            </w:r>
            <w:r>
              <w:rPr>
                <w:rFonts w:hint="eastAsia" w:ascii="仿宋" w:hAnsi="仿宋" w:eastAsia="仿宋" w:cs="仿宋"/>
                <w:b/>
                <w:bCs/>
                <w:color w:val="auto"/>
                <w:spacing w:val="-4"/>
                <w:sz w:val="24"/>
                <w:szCs w:val="24"/>
              </w:rPr>
              <w:t>元，大写：</w:t>
            </w:r>
            <w:r>
              <w:rPr>
                <w:rFonts w:hint="eastAsia" w:ascii="仿宋" w:hAnsi="仿宋" w:eastAsia="仿宋" w:cs="仿宋"/>
                <w:b/>
                <w:bCs/>
                <w:color w:val="auto"/>
                <w:spacing w:val="-4"/>
                <w:sz w:val="24"/>
                <w:szCs w:val="24"/>
                <w:lang w:val="en-US" w:eastAsia="zh-CN"/>
              </w:rPr>
              <w:t>叁佰零陆万捌仟柒佰伍拾玖元零角伍分</w:t>
            </w:r>
          </w:p>
          <w:p w14:paraId="5E10E4DB">
            <w:pPr>
              <w:pStyle w:val="24"/>
              <w:keepNext w:val="0"/>
              <w:keepLines w:val="0"/>
              <w:pageBreakBefore w:val="0"/>
              <w:widowControl/>
              <w:kinsoku w:val="0"/>
              <w:wordWrap/>
              <w:overflowPunct/>
              <w:topLinePunct w:val="0"/>
              <w:autoSpaceDE w:val="0"/>
              <w:autoSpaceDN w:val="0"/>
              <w:bidi w:val="0"/>
              <w:adjustRightInd w:val="0"/>
              <w:snapToGrid w:val="0"/>
              <w:spacing w:before="1" w:line="36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pacing w:val="-2"/>
                <w:sz w:val="24"/>
                <w:szCs w:val="24"/>
              </w:rPr>
              <w:t>供应商响应报价超过预算金额或最高限价的按无效响应处理。</w:t>
            </w:r>
          </w:p>
          <w:p w14:paraId="77CFEB7F">
            <w:pPr>
              <w:pStyle w:val="24"/>
              <w:keepNext w:val="0"/>
              <w:keepLines w:val="0"/>
              <w:pageBreakBefore w:val="0"/>
              <w:widowControl/>
              <w:kinsoku w:val="0"/>
              <w:wordWrap/>
              <w:overflowPunct/>
              <w:topLinePunct w:val="0"/>
              <w:autoSpaceDE w:val="0"/>
              <w:autoSpaceDN w:val="0"/>
              <w:bidi w:val="0"/>
              <w:adjustRightInd w:val="0"/>
              <w:snapToGrid w:val="0"/>
              <w:spacing w:before="27" w:line="360" w:lineRule="exact"/>
              <w:ind w:left="139" w:right="95"/>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lang w:val="en-US" w:eastAsia="zh-CN"/>
              </w:rPr>
              <w:t>2</w:t>
            </w:r>
            <w:r>
              <w:rPr>
                <w:rFonts w:hint="eastAsia" w:ascii="仿宋" w:hAnsi="仿宋" w:eastAsia="仿宋" w:cs="仿宋"/>
                <w:color w:val="auto"/>
                <w:spacing w:val="-1"/>
                <w:sz w:val="24"/>
                <w:szCs w:val="24"/>
              </w:rPr>
              <w:t>、本项目总价为供应商在响应文件中提出的各项支付金额的总和，包括实施、完成采购内容并修补缺陷以及履行采购文</w:t>
            </w:r>
            <w:r>
              <w:rPr>
                <w:rFonts w:hint="eastAsia" w:ascii="仿宋" w:hAnsi="仿宋" w:eastAsia="仿宋" w:cs="仿宋"/>
                <w:color w:val="auto"/>
                <w:spacing w:val="-2"/>
                <w:sz w:val="24"/>
                <w:szCs w:val="24"/>
              </w:rPr>
              <w:t>件中约定的风险范围内的所有责任和义务所发生的全部费</w:t>
            </w:r>
            <w:r>
              <w:rPr>
                <w:rFonts w:hint="eastAsia" w:ascii="仿宋" w:hAnsi="仿宋" w:eastAsia="仿宋" w:cs="仿宋"/>
                <w:color w:val="auto"/>
                <w:spacing w:val="-6"/>
                <w:sz w:val="24"/>
                <w:szCs w:val="24"/>
              </w:rPr>
              <w:t>用。</w:t>
            </w:r>
          </w:p>
        </w:tc>
      </w:tr>
      <w:tr w14:paraId="52C8A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27" w:hRule="atLeast"/>
          <w:jc w:val="center"/>
        </w:trPr>
        <w:tc>
          <w:tcPr>
            <w:tcW w:w="879" w:type="dxa"/>
            <w:shd w:val="clear" w:color="auto" w:fill="auto"/>
            <w:vAlign w:val="center"/>
          </w:tcPr>
          <w:p w14:paraId="7C6EB412">
            <w:pPr>
              <w:pStyle w:val="24"/>
              <w:keepNext w:val="0"/>
              <w:keepLines w:val="0"/>
              <w:pageBreakBefore w:val="0"/>
              <w:widowControl/>
              <w:kinsoku w:val="0"/>
              <w:wordWrap/>
              <w:overflowPunct/>
              <w:topLinePunct w:val="0"/>
              <w:autoSpaceDE w:val="0"/>
              <w:autoSpaceDN w:val="0"/>
              <w:bidi w:val="0"/>
              <w:adjustRightInd w:val="0"/>
              <w:snapToGrid w:val="0"/>
              <w:spacing w:before="245" w:line="360" w:lineRule="exact"/>
              <w:ind w:left="271" w:leftChars="0"/>
              <w:jc w:val="center"/>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14</w:t>
            </w:r>
          </w:p>
        </w:tc>
        <w:tc>
          <w:tcPr>
            <w:tcW w:w="1250" w:type="dxa"/>
            <w:shd w:val="clear" w:color="auto" w:fill="auto"/>
            <w:vAlign w:val="center"/>
          </w:tcPr>
          <w:p w14:paraId="1741E992">
            <w:pPr>
              <w:pStyle w:val="24"/>
              <w:keepNext w:val="0"/>
              <w:keepLines w:val="0"/>
              <w:pageBreakBefore w:val="0"/>
              <w:widowControl/>
              <w:kinsoku w:val="0"/>
              <w:wordWrap/>
              <w:overflowPunct/>
              <w:topLinePunct w:val="0"/>
              <w:autoSpaceDE w:val="0"/>
              <w:autoSpaceDN w:val="0"/>
              <w:bidi w:val="0"/>
              <w:adjustRightInd w:val="0"/>
              <w:snapToGrid w:val="0"/>
              <w:spacing w:before="89" w:line="360" w:lineRule="exact"/>
              <w:ind w:left="125" w:leftChars="0" w:right="142" w:rightChars="0" w:firstLine="9" w:firstLineChars="0"/>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4"/>
                <w:sz w:val="24"/>
                <w:szCs w:val="24"/>
              </w:rPr>
              <w:t>响应文件有效</w:t>
            </w:r>
            <w:r>
              <w:rPr>
                <w:rFonts w:hint="eastAsia" w:ascii="仿宋" w:hAnsi="仿宋" w:eastAsia="仿宋" w:cs="仿宋"/>
                <w:color w:val="auto"/>
                <w:sz w:val="24"/>
                <w:szCs w:val="24"/>
              </w:rPr>
              <w:t>期</w:t>
            </w:r>
          </w:p>
        </w:tc>
        <w:tc>
          <w:tcPr>
            <w:tcW w:w="7290" w:type="dxa"/>
            <w:shd w:val="clear" w:color="auto" w:fill="auto"/>
            <w:vAlign w:val="center"/>
          </w:tcPr>
          <w:p w14:paraId="01C68FF1">
            <w:pPr>
              <w:pStyle w:val="24"/>
              <w:keepNext w:val="0"/>
              <w:keepLines w:val="0"/>
              <w:pageBreakBefore w:val="0"/>
              <w:widowControl/>
              <w:kinsoku w:val="0"/>
              <w:wordWrap/>
              <w:overflowPunct/>
              <w:topLinePunct w:val="0"/>
              <w:autoSpaceDE w:val="0"/>
              <w:autoSpaceDN w:val="0"/>
              <w:bidi w:val="0"/>
              <w:adjustRightInd w:val="0"/>
              <w:snapToGrid w:val="0"/>
              <w:spacing w:before="246" w:line="360" w:lineRule="exact"/>
              <w:ind w:left="154" w:left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rPr>
              <w:t>响应文件递交截止日期后</w:t>
            </w:r>
            <w:r>
              <w:rPr>
                <w:rFonts w:hint="eastAsia" w:ascii="仿宋" w:hAnsi="仿宋" w:eastAsia="仿宋" w:cs="仿宋"/>
                <w:color w:val="auto"/>
                <w:spacing w:val="-1"/>
                <w:sz w:val="24"/>
                <w:szCs w:val="24"/>
                <w:u w:val="single" w:color="auto"/>
              </w:rPr>
              <w:t>90</w:t>
            </w:r>
            <w:r>
              <w:rPr>
                <w:rFonts w:hint="eastAsia" w:ascii="仿宋" w:hAnsi="仿宋" w:eastAsia="仿宋" w:cs="仿宋"/>
                <w:color w:val="auto"/>
                <w:spacing w:val="-1"/>
                <w:sz w:val="24"/>
                <w:szCs w:val="24"/>
              </w:rPr>
              <w:t>日历日。</w:t>
            </w:r>
          </w:p>
        </w:tc>
      </w:tr>
      <w:tr w14:paraId="61630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549" w:hRule="atLeast"/>
          <w:jc w:val="center"/>
        </w:trPr>
        <w:tc>
          <w:tcPr>
            <w:tcW w:w="879" w:type="dxa"/>
            <w:shd w:val="clear" w:color="auto" w:fill="auto"/>
            <w:vAlign w:val="center"/>
          </w:tcPr>
          <w:p w14:paraId="7D06EE4A">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71" w:leftChars="0"/>
              <w:jc w:val="center"/>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15</w:t>
            </w:r>
          </w:p>
        </w:tc>
        <w:tc>
          <w:tcPr>
            <w:tcW w:w="1250" w:type="dxa"/>
            <w:shd w:val="clear" w:color="auto" w:fill="auto"/>
            <w:vAlign w:val="center"/>
          </w:tcPr>
          <w:p w14:paraId="56C24674">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713405AA">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214A7FF5">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1AA313E9">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7D5D787E">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718A767E">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36C08630">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04AC7D23">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54E52FC1">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1A87965E">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74C5C75E">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121" w:leftChars="0"/>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磋商保证金</w:t>
            </w:r>
          </w:p>
        </w:tc>
        <w:tc>
          <w:tcPr>
            <w:tcW w:w="7290" w:type="dxa"/>
            <w:shd w:val="clear" w:color="auto" w:fill="auto"/>
            <w:vAlign w:val="center"/>
          </w:tcPr>
          <w:p w14:paraId="52A5DFE2">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投标保证金的金额：</w:t>
            </w:r>
            <w:r>
              <w:rPr>
                <w:rFonts w:hint="eastAsia" w:ascii="仿宋" w:hAnsi="仿宋" w:eastAsia="仿宋" w:cs="仿宋"/>
                <w:snapToGrid w:val="0"/>
                <w:color w:val="auto"/>
                <w:kern w:val="0"/>
                <w:sz w:val="24"/>
                <w:szCs w:val="24"/>
                <w:lang w:val="en-US" w:eastAsia="zh-CN" w:bidi="ar-SA"/>
              </w:rPr>
              <w:t>61</w:t>
            </w:r>
            <w:r>
              <w:rPr>
                <w:rFonts w:hint="eastAsia" w:ascii="仿宋" w:hAnsi="仿宋" w:eastAsia="仿宋" w:cs="仿宋"/>
                <w:snapToGrid w:val="0"/>
                <w:color w:val="auto"/>
                <w:kern w:val="0"/>
                <w:sz w:val="24"/>
                <w:szCs w:val="24"/>
                <w:lang w:val="en-US" w:eastAsia="en-US" w:bidi="ar-SA"/>
              </w:rPr>
              <w:t>000元（</w:t>
            </w:r>
            <w:r>
              <w:rPr>
                <w:rFonts w:hint="eastAsia" w:ascii="仿宋" w:hAnsi="仿宋" w:eastAsia="仿宋" w:cs="仿宋"/>
                <w:snapToGrid w:val="0"/>
                <w:color w:val="auto"/>
                <w:kern w:val="0"/>
                <w:sz w:val="24"/>
                <w:szCs w:val="24"/>
                <w:lang w:val="en-US" w:eastAsia="zh-CN" w:bidi="ar-SA"/>
              </w:rPr>
              <w:t>陆万壹仟</w:t>
            </w:r>
            <w:r>
              <w:rPr>
                <w:rFonts w:hint="eastAsia" w:ascii="仿宋" w:hAnsi="仿宋" w:eastAsia="仿宋" w:cs="仿宋"/>
                <w:snapToGrid w:val="0"/>
                <w:color w:val="auto"/>
                <w:kern w:val="0"/>
                <w:sz w:val="24"/>
                <w:szCs w:val="24"/>
                <w:lang w:val="en-US" w:eastAsia="en-US" w:bidi="ar-SA"/>
              </w:rPr>
              <w:t>元整）</w:t>
            </w:r>
          </w:p>
          <w:p w14:paraId="6DD2C72E">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到账截止时间：</w:t>
            </w:r>
            <w:r>
              <w:rPr>
                <w:rFonts w:hint="eastAsia" w:ascii="仿宋" w:hAnsi="仿宋" w:eastAsia="仿宋" w:cs="仿宋"/>
                <w:color w:val="0000FF"/>
                <w:sz w:val="24"/>
                <w:szCs w:val="24"/>
              </w:rPr>
              <w:t>2025年0</w:t>
            </w:r>
            <w:r>
              <w:rPr>
                <w:rFonts w:hint="eastAsia" w:ascii="仿宋" w:hAnsi="仿宋" w:eastAsia="仿宋" w:cs="仿宋"/>
                <w:color w:val="0000FF"/>
                <w:sz w:val="24"/>
                <w:szCs w:val="24"/>
                <w:lang w:val="en-US" w:eastAsia="zh-CN"/>
              </w:rPr>
              <w:t>4</w:t>
            </w:r>
            <w:r>
              <w:rPr>
                <w:rFonts w:hint="eastAsia" w:ascii="仿宋" w:hAnsi="仿宋" w:eastAsia="仿宋" w:cs="仿宋"/>
                <w:color w:val="0000FF"/>
                <w:sz w:val="24"/>
                <w:szCs w:val="24"/>
              </w:rPr>
              <w:t>月</w:t>
            </w:r>
            <w:r>
              <w:rPr>
                <w:rFonts w:hint="eastAsia" w:ascii="仿宋" w:hAnsi="仿宋" w:eastAsia="仿宋" w:cs="仿宋"/>
                <w:color w:val="0000FF"/>
                <w:sz w:val="24"/>
                <w:szCs w:val="24"/>
                <w:lang w:val="en-US" w:eastAsia="zh-CN"/>
              </w:rPr>
              <w:t>21</w:t>
            </w:r>
            <w:r>
              <w:rPr>
                <w:rFonts w:hint="eastAsia" w:ascii="仿宋" w:hAnsi="仿宋" w:eastAsia="仿宋" w:cs="仿宋"/>
                <w:color w:val="0000FF"/>
                <w:sz w:val="24"/>
                <w:szCs w:val="24"/>
              </w:rPr>
              <w:t>日1</w:t>
            </w:r>
            <w:r>
              <w:rPr>
                <w:rFonts w:hint="eastAsia" w:ascii="仿宋" w:hAnsi="仿宋" w:eastAsia="仿宋" w:cs="仿宋"/>
                <w:color w:val="0000FF"/>
                <w:sz w:val="24"/>
                <w:szCs w:val="24"/>
                <w:lang w:val="en-US" w:eastAsia="zh-CN"/>
              </w:rPr>
              <w:t>6</w:t>
            </w:r>
            <w:r>
              <w:rPr>
                <w:rFonts w:hint="eastAsia" w:ascii="仿宋" w:hAnsi="仿宋" w:eastAsia="仿宋" w:cs="仿宋"/>
                <w:color w:val="0000FF"/>
                <w:sz w:val="24"/>
                <w:szCs w:val="24"/>
              </w:rPr>
              <w:t>时</w:t>
            </w:r>
            <w:r>
              <w:rPr>
                <w:rFonts w:hint="eastAsia" w:ascii="仿宋" w:hAnsi="仿宋" w:eastAsia="仿宋" w:cs="仿宋"/>
                <w:color w:val="0000FF"/>
                <w:sz w:val="24"/>
                <w:szCs w:val="24"/>
                <w:lang w:val="en-US" w:eastAsia="zh-CN"/>
              </w:rPr>
              <w:t>0</w:t>
            </w:r>
            <w:r>
              <w:rPr>
                <w:rFonts w:hint="eastAsia" w:ascii="仿宋" w:hAnsi="仿宋" w:eastAsia="仿宋" w:cs="仿宋"/>
                <w:color w:val="0000FF"/>
                <w:sz w:val="24"/>
                <w:szCs w:val="24"/>
              </w:rPr>
              <w:t>0分</w:t>
            </w:r>
            <w:r>
              <w:rPr>
                <w:rFonts w:hint="eastAsia" w:ascii="仿宋" w:hAnsi="仿宋" w:eastAsia="仿宋" w:cs="仿宋"/>
                <w:sz w:val="24"/>
                <w:szCs w:val="24"/>
              </w:rPr>
              <w:t>（北京时间）</w:t>
            </w:r>
          </w:p>
          <w:p w14:paraId="7822C869">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保证金的提交：投标保证金的形式：投标保证金需以电汇、转账、支票、汇票、本票或者金融机构、担保机构出具的保函等非现金形式提交。投标保证金于投标截止时间（开标时间）之前缴纳并到账，必须从供应商基本账户支出。</w:t>
            </w:r>
          </w:p>
          <w:p w14:paraId="11ECBAFD">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投标保证金采用银行转账方式的应从供应商的基本账户汇入下面采购人指定的开户银行账户。供应商应充分考虑资金到账时间，在规定的时限前自行办妥投标保证金缴纳手续，投标保证金的缴付时间以电汇凭证和网银对账单上的时间为准，超过缴纳的时限缴纳投标保证金视为报名无效。投标保证金采用电汇或网银转帐的方式，由供应商基本帐户汇至新疆昌盛方略项目管理有限公司（账户单位:新疆昌盛方略项目管理有限公司；开户行名称:交通银行昌吉北京南路支行；账号: 728728038013000134671；开户行行号: 301885000031），不得以现金和其他形式缴纳，不得以分公司、办事处或其他机构名义缴纳，供应商在缴纳投标保证金时，需在进帐凭证上明确资金用途和投标项目名称，并注明联系人及电话，以便查对核实。</w:t>
            </w:r>
          </w:p>
          <w:p w14:paraId="2D5E458F">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在退还保证金时需携带以下资料：</w:t>
            </w:r>
          </w:p>
          <w:p w14:paraId="435DA03B">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①请贵公司开具对开收据（原件），内容为：收到新疆昌盛方略项目管理有限公司XXXXXXXX项目保证金，金额写清楚，并加盖财务章；②贵公司营业执照（复印件盖公章）；③贵公司开户许可证（复印件盖公章）；④日期请落款在公示期结束后。</w:t>
            </w:r>
          </w:p>
          <w:p w14:paraId="53800A9E">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金融机构、担保机构出具的保函，供应商在开具保函时，保函需注明项目名称及单位名称，保函的有效期不得少于投标有效期，担保金额不得少于投标保证金金额。</w:t>
            </w:r>
          </w:p>
          <w:p w14:paraId="01986D58">
            <w:pPr>
              <w:pStyle w:val="24"/>
              <w:keepNext w:val="0"/>
              <w:keepLines w:val="0"/>
              <w:pageBreakBefore w:val="0"/>
              <w:widowControl/>
              <w:kinsoku w:val="0"/>
              <w:wordWrap/>
              <w:overflowPunct/>
              <w:topLinePunct w:val="0"/>
              <w:autoSpaceDE w:val="0"/>
              <w:autoSpaceDN w:val="0"/>
              <w:bidi w:val="0"/>
              <w:adjustRightInd w:val="0"/>
              <w:snapToGrid w:val="0"/>
              <w:spacing w:before="57" w:line="360" w:lineRule="exact"/>
              <w:ind w:left="145" w:leftChars="0" w:right="3" w:rightChars="0" w:firstLine="240"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snapToGrid w:val="0"/>
                <w:color w:val="auto"/>
                <w:kern w:val="0"/>
                <w:sz w:val="24"/>
                <w:szCs w:val="24"/>
                <w:lang w:val="en-US" w:eastAsia="en-US" w:bidi="ar-SA"/>
              </w:rPr>
              <w:t>银行保函、保险保函形式缴纳的投标保证金按协议执行，无需办理退款手续。</w:t>
            </w:r>
          </w:p>
        </w:tc>
      </w:tr>
      <w:tr w14:paraId="22B7F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01" w:hRule="atLeast"/>
          <w:jc w:val="center"/>
        </w:trPr>
        <w:tc>
          <w:tcPr>
            <w:tcW w:w="879" w:type="dxa"/>
            <w:shd w:val="clear" w:color="auto" w:fill="auto"/>
            <w:vAlign w:val="center"/>
          </w:tcPr>
          <w:p w14:paraId="224759AD">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6" w:leftChars="0"/>
              <w:jc w:val="center"/>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16</w:t>
            </w:r>
          </w:p>
        </w:tc>
        <w:tc>
          <w:tcPr>
            <w:tcW w:w="1250" w:type="dxa"/>
            <w:shd w:val="clear" w:color="auto" w:fill="auto"/>
            <w:vAlign w:val="center"/>
          </w:tcPr>
          <w:p w14:paraId="080F1F75">
            <w:pPr>
              <w:pStyle w:val="24"/>
              <w:keepNext w:val="0"/>
              <w:keepLines w:val="0"/>
              <w:pageBreakBefore w:val="0"/>
              <w:widowControl/>
              <w:kinsoku w:val="0"/>
              <w:wordWrap/>
              <w:overflowPunct/>
              <w:topLinePunct w:val="0"/>
              <w:autoSpaceDE w:val="0"/>
              <w:autoSpaceDN w:val="0"/>
              <w:bidi w:val="0"/>
              <w:adjustRightInd w:val="0"/>
              <w:snapToGrid w:val="0"/>
              <w:spacing w:before="246" w:line="360" w:lineRule="exact"/>
              <w:ind w:left="141" w:leftChars="0" w:right="142" w:rightChars="0" w:hanging="20" w:firstLineChars="0"/>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解密响应文件</w:t>
            </w:r>
            <w:r>
              <w:rPr>
                <w:rFonts w:hint="eastAsia" w:ascii="仿宋" w:hAnsi="仿宋" w:eastAsia="仿宋" w:cs="仿宋"/>
                <w:color w:val="auto"/>
                <w:spacing w:val="-10"/>
                <w:sz w:val="24"/>
                <w:szCs w:val="24"/>
              </w:rPr>
              <w:t>的时限</w:t>
            </w:r>
          </w:p>
        </w:tc>
        <w:tc>
          <w:tcPr>
            <w:tcW w:w="7290" w:type="dxa"/>
            <w:shd w:val="clear" w:color="auto" w:fill="auto"/>
            <w:vAlign w:val="center"/>
          </w:tcPr>
          <w:p w14:paraId="726125FD">
            <w:pPr>
              <w:pStyle w:val="24"/>
              <w:keepNext w:val="0"/>
              <w:keepLines w:val="0"/>
              <w:pageBreakBefore w:val="0"/>
              <w:widowControl/>
              <w:kinsoku w:val="0"/>
              <w:wordWrap/>
              <w:overflowPunct/>
              <w:topLinePunct w:val="0"/>
              <w:autoSpaceDE w:val="0"/>
              <w:autoSpaceDN w:val="0"/>
              <w:bidi w:val="0"/>
              <w:adjustRightInd w:val="0"/>
              <w:snapToGrid w:val="0"/>
              <w:spacing w:before="89" w:line="360" w:lineRule="exact"/>
              <w:ind w:left="146"/>
              <w:jc w:val="left"/>
              <w:textAlignment w:val="baseline"/>
              <w:rPr>
                <w:rFonts w:hint="eastAsia" w:ascii="仿宋" w:hAnsi="仿宋" w:eastAsia="仿宋" w:cs="仿宋"/>
                <w:color w:val="auto"/>
                <w:sz w:val="24"/>
                <w:szCs w:val="24"/>
              </w:rPr>
            </w:pPr>
            <w:r>
              <w:rPr>
                <w:rFonts w:hint="eastAsia" w:ascii="仿宋" w:hAnsi="仿宋" w:eastAsia="仿宋" w:cs="仿宋"/>
                <w:color w:val="auto"/>
                <w:spacing w:val="-1"/>
                <w:sz w:val="24"/>
                <w:szCs w:val="24"/>
              </w:rPr>
              <w:t>不见面开标默认解密时长：</w:t>
            </w:r>
            <w:r>
              <w:rPr>
                <w:rFonts w:hint="eastAsia" w:ascii="仿宋" w:hAnsi="仿宋" w:eastAsia="仿宋" w:cs="仿宋"/>
                <w:color w:val="auto"/>
                <w:spacing w:val="-1"/>
                <w:sz w:val="24"/>
                <w:szCs w:val="24"/>
                <w:u w:val="single" w:color="auto"/>
                <w:lang w:val="en-US" w:eastAsia="zh-CN"/>
              </w:rPr>
              <w:t>3</w:t>
            </w:r>
            <w:r>
              <w:rPr>
                <w:rFonts w:hint="eastAsia" w:ascii="仿宋" w:hAnsi="仿宋" w:eastAsia="仿宋" w:cs="仿宋"/>
                <w:color w:val="auto"/>
                <w:spacing w:val="-1"/>
                <w:sz w:val="24"/>
                <w:szCs w:val="24"/>
                <w:u w:val="single" w:color="auto"/>
              </w:rPr>
              <w:t>0</w:t>
            </w:r>
            <w:r>
              <w:rPr>
                <w:rFonts w:hint="eastAsia" w:ascii="仿宋" w:hAnsi="仿宋" w:eastAsia="仿宋" w:cs="仿宋"/>
                <w:color w:val="auto"/>
                <w:spacing w:val="-1"/>
                <w:sz w:val="24"/>
                <w:szCs w:val="24"/>
              </w:rPr>
              <w:t>分钟</w:t>
            </w:r>
          </w:p>
          <w:p w14:paraId="49E74960">
            <w:pPr>
              <w:pStyle w:val="24"/>
              <w:keepNext w:val="0"/>
              <w:keepLines w:val="0"/>
              <w:pageBreakBefore w:val="0"/>
              <w:widowControl/>
              <w:kinsoku w:val="0"/>
              <w:wordWrap/>
              <w:overflowPunct/>
              <w:topLinePunct w:val="0"/>
              <w:autoSpaceDE w:val="0"/>
              <w:autoSpaceDN w:val="0"/>
              <w:bidi w:val="0"/>
              <w:adjustRightInd w:val="0"/>
              <w:snapToGrid w:val="0"/>
              <w:spacing w:before="27" w:line="360" w:lineRule="exact"/>
              <w:ind w:left="142" w:left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5"/>
                <w:sz w:val="24"/>
                <w:szCs w:val="24"/>
              </w:rPr>
              <w:t>注：除因平台发生故障导致响应文件无法按时解密外，响</w:t>
            </w:r>
            <w:r>
              <w:rPr>
                <w:rFonts w:hint="eastAsia" w:ascii="仿宋" w:hAnsi="仿宋" w:eastAsia="仿宋" w:cs="仿宋"/>
                <w:color w:val="auto"/>
                <w:spacing w:val="-10"/>
                <w:sz w:val="24"/>
                <w:szCs w:val="24"/>
              </w:rPr>
              <w:t>应文件未按时解密的，视为未按规定提交响应文件，响应无效。</w:t>
            </w:r>
          </w:p>
        </w:tc>
      </w:tr>
      <w:tr w14:paraId="46DD5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75" w:hRule="atLeast"/>
          <w:jc w:val="center"/>
        </w:trPr>
        <w:tc>
          <w:tcPr>
            <w:tcW w:w="879" w:type="dxa"/>
            <w:shd w:val="clear" w:color="auto" w:fill="auto"/>
            <w:vAlign w:val="center"/>
          </w:tcPr>
          <w:p w14:paraId="62ACA205">
            <w:pPr>
              <w:pStyle w:val="24"/>
              <w:keepNext w:val="0"/>
              <w:keepLines w:val="0"/>
              <w:pageBreakBefore w:val="0"/>
              <w:widowControl/>
              <w:kinsoku w:val="0"/>
              <w:wordWrap/>
              <w:overflowPunct/>
              <w:topLinePunct w:val="0"/>
              <w:autoSpaceDE w:val="0"/>
              <w:autoSpaceDN w:val="0"/>
              <w:bidi w:val="0"/>
              <w:adjustRightInd w:val="0"/>
              <w:snapToGrid w:val="0"/>
              <w:spacing w:before="271" w:line="360" w:lineRule="exact"/>
              <w:ind w:left="256" w:leftChars="0"/>
              <w:jc w:val="center"/>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17</w:t>
            </w:r>
          </w:p>
        </w:tc>
        <w:tc>
          <w:tcPr>
            <w:tcW w:w="1250" w:type="dxa"/>
            <w:shd w:val="clear" w:color="auto" w:fill="auto"/>
            <w:vAlign w:val="center"/>
          </w:tcPr>
          <w:p w14:paraId="271932F9">
            <w:pPr>
              <w:pStyle w:val="24"/>
              <w:keepNext w:val="0"/>
              <w:keepLines w:val="0"/>
              <w:pageBreakBefore w:val="0"/>
              <w:widowControl/>
              <w:kinsoku w:val="0"/>
              <w:wordWrap/>
              <w:overflowPunct/>
              <w:topLinePunct w:val="0"/>
              <w:autoSpaceDE w:val="0"/>
              <w:autoSpaceDN w:val="0"/>
              <w:bidi w:val="0"/>
              <w:adjustRightInd w:val="0"/>
              <w:snapToGrid w:val="0"/>
              <w:spacing w:before="27" w:line="360" w:lineRule="exact"/>
              <w:ind w:left="142" w:leftChars="0"/>
              <w:jc w:val="center"/>
              <w:textAlignment w:val="baseline"/>
              <w:rPr>
                <w:rFonts w:hint="eastAsia" w:ascii="仿宋" w:hAnsi="仿宋" w:eastAsia="仿宋" w:cs="仿宋"/>
                <w:color w:val="auto"/>
                <w:spacing w:val="-5"/>
                <w:sz w:val="24"/>
                <w:szCs w:val="24"/>
                <w:lang w:val="en-US" w:eastAsia="en-US"/>
              </w:rPr>
            </w:pPr>
            <w:r>
              <w:rPr>
                <w:rFonts w:hint="eastAsia" w:ascii="仿宋" w:hAnsi="仿宋" w:eastAsia="仿宋" w:cs="仿宋"/>
                <w:color w:val="auto"/>
                <w:spacing w:val="-5"/>
                <w:sz w:val="24"/>
                <w:szCs w:val="24"/>
              </w:rPr>
              <w:t>推荐成交候选供应商</w:t>
            </w:r>
          </w:p>
        </w:tc>
        <w:tc>
          <w:tcPr>
            <w:tcW w:w="7290" w:type="dxa"/>
            <w:shd w:val="clear" w:color="auto" w:fill="auto"/>
            <w:vAlign w:val="center"/>
          </w:tcPr>
          <w:p w14:paraId="305B2AE3">
            <w:pPr>
              <w:pStyle w:val="24"/>
              <w:keepNext w:val="0"/>
              <w:keepLines w:val="0"/>
              <w:pageBreakBefore w:val="0"/>
              <w:widowControl/>
              <w:kinsoku w:val="0"/>
              <w:wordWrap/>
              <w:overflowPunct/>
              <w:topLinePunct w:val="0"/>
              <w:autoSpaceDE w:val="0"/>
              <w:autoSpaceDN w:val="0"/>
              <w:bidi w:val="0"/>
              <w:adjustRightInd w:val="0"/>
              <w:snapToGrid w:val="0"/>
              <w:spacing w:before="27" w:line="360" w:lineRule="exact"/>
              <w:ind w:left="142" w:leftChars="0"/>
              <w:jc w:val="left"/>
              <w:textAlignment w:val="baseline"/>
              <w:rPr>
                <w:rFonts w:hint="eastAsia" w:ascii="仿宋" w:hAnsi="仿宋" w:eastAsia="仿宋" w:cs="仿宋"/>
                <w:color w:val="auto"/>
                <w:spacing w:val="-5"/>
                <w:sz w:val="24"/>
                <w:szCs w:val="24"/>
                <w:lang w:val="en-US" w:eastAsia="en-US"/>
              </w:rPr>
            </w:pPr>
            <w:r>
              <w:rPr>
                <w:rFonts w:hint="eastAsia" w:ascii="仿宋" w:hAnsi="仿宋" w:eastAsia="仿宋" w:cs="仿宋"/>
                <w:color w:val="auto"/>
                <w:spacing w:val="-5"/>
                <w:sz w:val="24"/>
                <w:szCs w:val="24"/>
              </w:rPr>
              <w:t>成交候选供应商数量3家</w:t>
            </w:r>
          </w:p>
        </w:tc>
      </w:tr>
      <w:tr w14:paraId="0D032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22" w:hRule="atLeast"/>
          <w:jc w:val="center"/>
        </w:trPr>
        <w:tc>
          <w:tcPr>
            <w:tcW w:w="879" w:type="dxa"/>
            <w:shd w:val="clear" w:color="auto" w:fill="auto"/>
            <w:vAlign w:val="center"/>
          </w:tcPr>
          <w:p w14:paraId="15130C59">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6" w:leftChars="0"/>
              <w:jc w:val="center"/>
              <w:textAlignment w:val="baseline"/>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18</w:t>
            </w:r>
          </w:p>
        </w:tc>
        <w:tc>
          <w:tcPr>
            <w:tcW w:w="1250" w:type="dxa"/>
            <w:shd w:val="clear" w:color="auto" w:fill="auto"/>
            <w:vAlign w:val="center"/>
          </w:tcPr>
          <w:p w14:paraId="12A7DE5F">
            <w:pPr>
              <w:pStyle w:val="24"/>
              <w:keepNext w:val="0"/>
              <w:keepLines w:val="0"/>
              <w:pageBreakBefore w:val="0"/>
              <w:widowControl/>
              <w:kinsoku w:val="0"/>
              <w:wordWrap/>
              <w:overflowPunct/>
              <w:topLinePunct w:val="0"/>
              <w:autoSpaceDE w:val="0"/>
              <w:autoSpaceDN w:val="0"/>
              <w:bidi w:val="0"/>
              <w:adjustRightInd w:val="0"/>
              <w:snapToGrid w:val="0"/>
              <w:spacing w:before="278" w:line="360" w:lineRule="exact"/>
              <w:ind w:right="142" w:rightChars="0"/>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确定成交供应</w:t>
            </w:r>
            <w:r>
              <w:rPr>
                <w:rFonts w:hint="eastAsia" w:ascii="仿宋" w:hAnsi="仿宋" w:eastAsia="仿宋" w:cs="仿宋"/>
                <w:color w:val="auto"/>
                <w:sz w:val="24"/>
                <w:szCs w:val="24"/>
              </w:rPr>
              <w:t>商</w:t>
            </w:r>
          </w:p>
        </w:tc>
        <w:tc>
          <w:tcPr>
            <w:tcW w:w="7290" w:type="dxa"/>
            <w:shd w:val="clear" w:color="auto" w:fill="auto"/>
            <w:vAlign w:val="center"/>
          </w:tcPr>
          <w:p w14:paraId="06982BDA">
            <w:pPr>
              <w:pStyle w:val="24"/>
              <w:keepNext w:val="0"/>
              <w:keepLines w:val="0"/>
              <w:pageBreakBefore w:val="0"/>
              <w:widowControl/>
              <w:kinsoku w:val="0"/>
              <w:wordWrap/>
              <w:overflowPunct/>
              <w:topLinePunct w:val="0"/>
              <w:autoSpaceDE w:val="0"/>
              <w:autoSpaceDN w:val="0"/>
              <w:bidi w:val="0"/>
              <w:adjustRightInd w:val="0"/>
              <w:snapToGrid w:val="0"/>
              <w:spacing w:before="122" w:line="360" w:lineRule="exact"/>
              <w:ind w:right="3"/>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rPr>
              <w:t>采购人在收到评审报告后5个工作日内，按评</w:t>
            </w:r>
            <w:r>
              <w:rPr>
                <w:rFonts w:hint="eastAsia" w:ascii="仿宋" w:hAnsi="仿宋" w:eastAsia="仿宋" w:cs="仿宋"/>
                <w:color w:val="auto"/>
                <w:spacing w:val="-2"/>
                <w:sz w:val="24"/>
                <w:szCs w:val="24"/>
              </w:rPr>
              <w:t>审报告中推荐的成交候选人排序确定成交供应商。</w:t>
            </w:r>
          </w:p>
        </w:tc>
      </w:tr>
      <w:tr w14:paraId="5EBDB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41" w:hRule="atLeast"/>
          <w:jc w:val="center"/>
        </w:trPr>
        <w:tc>
          <w:tcPr>
            <w:tcW w:w="879" w:type="dxa"/>
            <w:shd w:val="clear" w:color="auto" w:fill="auto"/>
            <w:vAlign w:val="center"/>
          </w:tcPr>
          <w:p w14:paraId="715BC4B5">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6"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19</w:t>
            </w:r>
          </w:p>
        </w:tc>
        <w:tc>
          <w:tcPr>
            <w:tcW w:w="1250" w:type="dxa"/>
            <w:shd w:val="clear" w:color="auto" w:fill="auto"/>
            <w:vAlign w:val="center"/>
          </w:tcPr>
          <w:p w14:paraId="5F23232C">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评标方法</w:t>
            </w:r>
          </w:p>
        </w:tc>
        <w:tc>
          <w:tcPr>
            <w:tcW w:w="7290" w:type="dxa"/>
            <w:shd w:val="clear" w:color="auto" w:fill="auto"/>
            <w:vAlign w:val="center"/>
          </w:tcPr>
          <w:p w14:paraId="05010EA9">
            <w:pPr>
              <w:pStyle w:val="24"/>
              <w:keepNext w:val="0"/>
              <w:keepLines w:val="0"/>
              <w:pageBreakBefore w:val="0"/>
              <w:widowControl/>
              <w:kinsoku w:val="0"/>
              <w:wordWrap/>
              <w:overflowPunct/>
              <w:topLinePunct w:val="0"/>
              <w:autoSpaceDE w:val="0"/>
              <w:autoSpaceDN w:val="0"/>
              <w:bidi w:val="0"/>
              <w:adjustRightInd w:val="0"/>
              <w:snapToGrid w:val="0"/>
              <w:spacing w:before="117" w:line="36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pacing w:val="-1"/>
                <w:sz w:val="24"/>
                <w:szCs w:val="24"/>
              </w:rPr>
              <w:sym w:font="Wingdings 2" w:char="0052"/>
            </w:r>
            <w:r>
              <w:rPr>
                <w:rFonts w:hint="eastAsia" w:ascii="仿宋" w:hAnsi="仿宋" w:eastAsia="仿宋" w:cs="仿宋"/>
                <w:color w:val="auto"/>
                <w:spacing w:val="-1"/>
                <w:sz w:val="24"/>
                <w:szCs w:val="24"/>
              </w:rPr>
              <w:t>综合评分法</w:t>
            </w:r>
          </w:p>
          <w:p w14:paraId="4C3367DE">
            <w:pPr>
              <w:pStyle w:val="24"/>
              <w:keepNext w:val="0"/>
              <w:keepLines w:val="0"/>
              <w:pageBreakBefore w:val="0"/>
              <w:widowControl/>
              <w:kinsoku w:val="0"/>
              <w:wordWrap/>
              <w:overflowPunct/>
              <w:topLinePunct w:val="0"/>
              <w:autoSpaceDE w:val="0"/>
              <w:autoSpaceDN w:val="0"/>
              <w:bidi w:val="0"/>
              <w:adjustRightInd w:val="0"/>
              <w:snapToGrid w:val="0"/>
              <w:spacing w:before="14" w:line="36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pacing w:val="-3"/>
                <w:sz w:val="24"/>
                <w:szCs w:val="24"/>
              </w:rPr>
              <w:sym w:font="Wingdings 2" w:char="00A3"/>
            </w:r>
            <w:r>
              <w:rPr>
                <w:rFonts w:hint="eastAsia" w:ascii="仿宋" w:hAnsi="仿宋" w:eastAsia="仿宋" w:cs="仿宋"/>
                <w:color w:val="auto"/>
                <w:spacing w:val="-3"/>
                <w:sz w:val="24"/>
                <w:szCs w:val="24"/>
              </w:rPr>
              <w:t>最低评标价法</w:t>
            </w:r>
          </w:p>
          <w:p w14:paraId="1B97D287">
            <w:pPr>
              <w:pStyle w:val="24"/>
              <w:keepNext w:val="0"/>
              <w:keepLines w:val="0"/>
              <w:pageBreakBefore w:val="0"/>
              <w:widowControl/>
              <w:kinsoku w:val="0"/>
              <w:wordWrap/>
              <w:overflowPunct/>
              <w:topLinePunct w:val="0"/>
              <w:autoSpaceDE w:val="0"/>
              <w:autoSpaceDN w:val="0"/>
              <w:bidi w:val="0"/>
              <w:adjustRightInd w:val="0"/>
              <w:snapToGrid w:val="0"/>
              <w:spacing w:before="13" w:line="360" w:lineRule="exact"/>
              <w:ind w:left="143" w:right="3" w:firstLine="16"/>
              <w:jc w:val="left"/>
              <w:textAlignment w:val="baseline"/>
              <w:rPr>
                <w:rFonts w:hint="eastAsia" w:ascii="仿宋" w:hAnsi="仿宋" w:eastAsia="仿宋" w:cs="仿宋"/>
                <w:color w:val="auto"/>
                <w:sz w:val="24"/>
                <w:szCs w:val="24"/>
              </w:rPr>
            </w:pPr>
            <w:r>
              <w:rPr>
                <w:rFonts w:hint="eastAsia" w:ascii="仿宋" w:hAnsi="仿宋" w:eastAsia="仿宋" w:cs="仿宋"/>
                <w:color w:val="auto"/>
                <w:spacing w:val="-2"/>
                <w:sz w:val="24"/>
                <w:szCs w:val="24"/>
              </w:rPr>
              <w:t>1.最低评标价法</w:t>
            </w:r>
            <w:r>
              <w:rPr>
                <w:rFonts w:hint="eastAsia" w:ascii="仿宋" w:hAnsi="仿宋" w:eastAsia="仿宋" w:cs="仿宋"/>
                <w:color w:val="auto"/>
                <w:spacing w:val="-2"/>
                <w:sz w:val="24"/>
                <w:szCs w:val="24"/>
                <w:lang w:eastAsia="zh-CN"/>
              </w:rPr>
              <w:t>：</w:t>
            </w:r>
            <w:r>
              <w:rPr>
                <w:rFonts w:hint="eastAsia" w:ascii="仿宋" w:hAnsi="仿宋" w:eastAsia="仿宋" w:cs="仿宋"/>
                <w:color w:val="auto"/>
                <w:spacing w:val="-2"/>
                <w:sz w:val="24"/>
                <w:szCs w:val="24"/>
              </w:rPr>
              <w:t>是指以价格为主要因素确定</w:t>
            </w:r>
            <w:r>
              <w:rPr>
                <w:rFonts w:hint="eastAsia" w:ascii="仿宋" w:hAnsi="仿宋" w:eastAsia="仿宋" w:cs="仿宋"/>
                <w:color w:val="auto"/>
                <w:spacing w:val="-2"/>
                <w:sz w:val="24"/>
                <w:szCs w:val="24"/>
                <w:lang w:eastAsia="zh-CN"/>
              </w:rPr>
              <w:t>成交</w:t>
            </w:r>
            <w:r>
              <w:rPr>
                <w:rFonts w:hint="eastAsia" w:ascii="仿宋" w:hAnsi="仿宋" w:eastAsia="仿宋" w:cs="仿宋"/>
                <w:color w:val="auto"/>
                <w:spacing w:val="-3"/>
                <w:sz w:val="24"/>
                <w:szCs w:val="24"/>
              </w:rPr>
              <w:t>供应商的评</w:t>
            </w:r>
            <w:r>
              <w:rPr>
                <w:rFonts w:hint="eastAsia" w:ascii="仿宋" w:hAnsi="仿宋" w:eastAsia="仿宋" w:cs="仿宋"/>
                <w:color w:val="auto"/>
                <w:spacing w:val="-2"/>
                <w:sz w:val="24"/>
                <w:szCs w:val="24"/>
              </w:rPr>
              <w:t>标方法，即在全部满足采购文件实质性要求前提下，依据统一的价格要素评定最低报价，以提出最低报价的供应商作为</w:t>
            </w:r>
            <w:r>
              <w:rPr>
                <w:rFonts w:hint="eastAsia" w:ascii="仿宋" w:hAnsi="仿宋" w:eastAsia="仿宋" w:cs="仿宋"/>
                <w:color w:val="auto"/>
                <w:spacing w:val="-2"/>
                <w:sz w:val="24"/>
                <w:szCs w:val="24"/>
                <w:lang w:eastAsia="zh-CN"/>
              </w:rPr>
              <w:t>成交</w:t>
            </w:r>
            <w:r>
              <w:rPr>
                <w:rFonts w:hint="eastAsia" w:ascii="仿宋" w:hAnsi="仿宋" w:eastAsia="仿宋" w:cs="仿宋"/>
                <w:color w:val="auto"/>
                <w:spacing w:val="-2"/>
                <w:sz w:val="24"/>
                <w:szCs w:val="24"/>
              </w:rPr>
              <w:t>候选供应商或者</w:t>
            </w:r>
            <w:r>
              <w:rPr>
                <w:rFonts w:hint="eastAsia" w:ascii="仿宋" w:hAnsi="仿宋" w:eastAsia="仿宋" w:cs="仿宋"/>
                <w:color w:val="auto"/>
                <w:spacing w:val="-2"/>
                <w:sz w:val="24"/>
                <w:szCs w:val="24"/>
                <w:lang w:eastAsia="zh-CN"/>
              </w:rPr>
              <w:t>成交</w:t>
            </w:r>
            <w:r>
              <w:rPr>
                <w:rFonts w:hint="eastAsia" w:ascii="仿宋" w:hAnsi="仿宋" w:eastAsia="仿宋" w:cs="仿宋"/>
                <w:color w:val="auto"/>
                <w:spacing w:val="-2"/>
                <w:sz w:val="24"/>
                <w:szCs w:val="24"/>
              </w:rPr>
              <w:t>供应商的评标方法。响应报价相同的，按</w:t>
            </w:r>
            <w:r>
              <w:rPr>
                <w:rFonts w:hint="eastAsia" w:ascii="仿宋" w:hAnsi="仿宋" w:eastAsia="仿宋" w:cs="仿宋"/>
                <w:color w:val="auto"/>
                <w:spacing w:val="-1"/>
                <w:sz w:val="24"/>
                <w:szCs w:val="24"/>
              </w:rPr>
              <w:t>技术指标优劣顺序排列，技术指标较优的一方为</w:t>
            </w:r>
            <w:r>
              <w:rPr>
                <w:rFonts w:hint="eastAsia" w:ascii="仿宋" w:hAnsi="仿宋" w:eastAsia="仿宋" w:cs="仿宋"/>
                <w:color w:val="auto"/>
                <w:spacing w:val="-1"/>
                <w:sz w:val="24"/>
                <w:szCs w:val="24"/>
                <w:lang w:eastAsia="zh-CN"/>
              </w:rPr>
              <w:t>成交</w:t>
            </w:r>
            <w:r>
              <w:rPr>
                <w:rFonts w:hint="eastAsia" w:ascii="仿宋" w:hAnsi="仿宋" w:eastAsia="仿宋" w:cs="仿宋"/>
                <w:color w:val="auto"/>
                <w:spacing w:val="-1"/>
                <w:sz w:val="24"/>
                <w:szCs w:val="24"/>
              </w:rPr>
              <w:t>人。</w:t>
            </w:r>
          </w:p>
          <w:p w14:paraId="1CB3BB3E">
            <w:pPr>
              <w:pStyle w:val="24"/>
              <w:keepNext w:val="0"/>
              <w:keepLines w:val="0"/>
              <w:pageBreakBefore w:val="0"/>
              <w:widowControl/>
              <w:kinsoku w:val="0"/>
              <w:wordWrap/>
              <w:overflowPunct/>
              <w:topLinePunct w:val="0"/>
              <w:autoSpaceDE w:val="0"/>
              <w:autoSpaceDN w:val="0"/>
              <w:bidi w:val="0"/>
              <w:adjustRightInd w:val="0"/>
              <w:snapToGrid w:val="0"/>
              <w:spacing w:before="24" w:line="360" w:lineRule="exact"/>
              <w:ind w:left="143" w:leftChars="0" w:right="3" w:rightChars="0" w:firstLine="1" w:firstLine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1"/>
                <w:sz w:val="24"/>
                <w:szCs w:val="24"/>
              </w:rPr>
              <w:t>2.综合评分法</w:t>
            </w:r>
            <w:r>
              <w:rPr>
                <w:rFonts w:hint="eastAsia" w:ascii="仿宋" w:hAnsi="仿宋" w:eastAsia="仿宋" w:cs="仿宋"/>
                <w:color w:val="auto"/>
                <w:spacing w:val="-1"/>
                <w:sz w:val="24"/>
                <w:szCs w:val="24"/>
                <w:lang w:eastAsia="zh-CN"/>
              </w:rPr>
              <w:t>：</w:t>
            </w:r>
            <w:r>
              <w:rPr>
                <w:rFonts w:hint="eastAsia" w:ascii="仿宋" w:hAnsi="仿宋" w:eastAsia="仿宋" w:cs="仿宋"/>
                <w:color w:val="auto"/>
                <w:spacing w:val="-1"/>
                <w:sz w:val="24"/>
                <w:szCs w:val="24"/>
              </w:rPr>
              <w:t>是指在最大限度地满足采购文件实质性要求的</w:t>
            </w:r>
            <w:r>
              <w:rPr>
                <w:rFonts w:hint="eastAsia" w:ascii="仿宋" w:hAnsi="仿宋" w:eastAsia="仿宋" w:cs="仿宋"/>
                <w:color w:val="auto"/>
                <w:spacing w:val="-2"/>
                <w:sz w:val="24"/>
                <w:szCs w:val="24"/>
              </w:rPr>
              <w:t>前提下，按照采购文件中规定的评分细则评审后，以评标最终得分最高的供应商作为</w:t>
            </w:r>
            <w:r>
              <w:rPr>
                <w:rFonts w:hint="eastAsia" w:ascii="仿宋" w:hAnsi="仿宋" w:eastAsia="仿宋" w:cs="仿宋"/>
                <w:color w:val="auto"/>
                <w:spacing w:val="-2"/>
                <w:sz w:val="24"/>
                <w:szCs w:val="24"/>
                <w:lang w:eastAsia="zh-CN"/>
              </w:rPr>
              <w:t>成交</w:t>
            </w:r>
            <w:r>
              <w:rPr>
                <w:rFonts w:hint="eastAsia" w:ascii="仿宋" w:hAnsi="仿宋" w:eastAsia="仿宋" w:cs="仿宋"/>
                <w:color w:val="auto"/>
                <w:spacing w:val="-2"/>
                <w:sz w:val="24"/>
                <w:szCs w:val="24"/>
              </w:rPr>
              <w:t>人的评标方法。供应商的最终得分为所有评委评分的算术平均值。得分相同的，报价较低的一方为</w:t>
            </w:r>
            <w:r>
              <w:rPr>
                <w:rFonts w:hint="eastAsia" w:ascii="仿宋" w:hAnsi="仿宋" w:eastAsia="仿宋" w:cs="仿宋"/>
                <w:color w:val="auto"/>
                <w:spacing w:val="-2"/>
                <w:sz w:val="24"/>
                <w:szCs w:val="24"/>
                <w:lang w:eastAsia="zh-CN"/>
              </w:rPr>
              <w:t>成交</w:t>
            </w:r>
            <w:r>
              <w:rPr>
                <w:rFonts w:hint="eastAsia" w:ascii="仿宋" w:hAnsi="仿宋" w:eastAsia="仿宋" w:cs="仿宋"/>
                <w:color w:val="auto"/>
                <w:spacing w:val="-2"/>
                <w:sz w:val="24"/>
                <w:szCs w:val="24"/>
              </w:rPr>
              <w:t>人，响应报价相同的，技术指标较优的一方为</w:t>
            </w:r>
            <w:r>
              <w:rPr>
                <w:rFonts w:hint="eastAsia" w:ascii="仿宋" w:hAnsi="仿宋" w:eastAsia="仿宋" w:cs="仿宋"/>
                <w:color w:val="auto"/>
                <w:spacing w:val="-2"/>
                <w:sz w:val="24"/>
                <w:szCs w:val="24"/>
                <w:lang w:eastAsia="zh-CN"/>
              </w:rPr>
              <w:t>成交</w:t>
            </w:r>
            <w:r>
              <w:rPr>
                <w:rFonts w:hint="eastAsia" w:ascii="仿宋" w:hAnsi="仿宋" w:eastAsia="仿宋" w:cs="仿宋"/>
                <w:color w:val="auto"/>
                <w:spacing w:val="-2"/>
                <w:sz w:val="24"/>
                <w:szCs w:val="24"/>
              </w:rPr>
              <w:t>人。</w:t>
            </w:r>
          </w:p>
        </w:tc>
      </w:tr>
      <w:tr w14:paraId="094D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35" w:hRule="atLeast"/>
          <w:jc w:val="center"/>
        </w:trPr>
        <w:tc>
          <w:tcPr>
            <w:tcW w:w="879" w:type="dxa"/>
            <w:shd w:val="clear" w:color="auto" w:fill="auto"/>
            <w:vAlign w:val="center"/>
          </w:tcPr>
          <w:p w14:paraId="3A8C900A">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20</w:t>
            </w:r>
          </w:p>
        </w:tc>
        <w:tc>
          <w:tcPr>
            <w:tcW w:w="1250" w:type="dxa"/>
            <w:shd w:val="clear" w:color="auto" w:fill="auto"/>
            <w:vAlign w:val="center"/>
          </w:tcPr>
          <w:p w14:paraId="68009A1A">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3"/>
                <w:sz w:val="24"/>
                <w:szCs w:val="24"/>
              </w:rPr>
              <w:t>履约保证金</w:t>
            </w:r>
          </w:p>
        </w:tc>
        <w:tc>
          <w:tcPr>
            <w:tcW w:w="7290" w:type="dxa"/>
            <w:shd w:val="clear" w:color="auto" w:fill="auto"/>
            <w:vAlign w:val="center"/>
          </w:tcPr>
          <w:p w14:paraId="53D339C9">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履约保证金的形式：</w:t>
            </w:r>
            <w:r>
              <w:rPr>
                <w:rFonts w:hint="eastAsia" w:ascii="仿宋" w:hAnsi="仿宋" w:eastAsia="仿宋" w:cs="仿宋"/>
                <w:color w:val="auto"/>
                <w:sz w:val="24"/>
                <w:szCs w:val="24"/>
                <w:highlight w:val="none"/>
                <w:u w:val="single"/>
              </w:rPr>
              <w:t>银行转账支票、银行电汇、银行保函的形式</w:t>
            </w:r>
            <w:r>
              <w:rPr>
                <w:rFonts w:hint="eastAsia" w:ascii="仿宋" w:hAnsi="仿宋" w:eastAsia="仿宋" w:cs="仿宋"/>
                <w:color w:val="auto"/>
                <w:sz w:val="24"/>
                <w:szCs w:val="24"/>
                <w:highlight w:val="none"/>
                <w:u w:val="single"/>
                <w:lang w:eastAsia="zh-CN"/>
              </w:rPr>
              <w:t>。</w:t>
            </w:r>
          </w:p>
          <w:p w14:paraId="4D776895">
            <w:pPr>
              <w:pStyle w:val="24"/>
              <w:keepNext w:val="0"/>
              <w:keepLines w:val="0"/>
              <w:pageBreakBefore w:val="0"/>
              <w:widowControl/>
              <w:kinsoku w:val="0"/>
              <w:wordWrap/>
              <w:overflowPunct/>
              <w:topLinePunct w:val="0"/>
              <w:autoSpaceDE w:val="0"/>
              <w:autoSpaceDN w:val="0"/>
              <w:bidi w:val="0"/>
              <w:adjustRightInd w:val="0"/>
              <w:snapToGrid w:val="0"/>
              <w:spacing w:before="28" w:line="360" w:lineRule="exact"/>
              <w:ind w:right="9" w:rightChars="0"/>
              <w:jc w:val="left"/>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z w:val="24"/>
                <w:szCs w:val="24"/>
                <w:highlight w:val="none"/>
              </w:rPr>
              <w:t>履约保证金的金额：中标金额的</w:t>
            </w:r>
            <w:r>
              <w:rPr>
                <w:rFonts w:hint="eastAsia" w:ascii="仿宋" w:hAnsi="仿宋" w:eastAsia="仿宋" w:cs="仿宋"/>
                <w:color w:val="auto"/>
                <w:sz w:val="24"/>
                <w:szCs w:val="24"/>
                <w:highlight w:val="none"/>
                <w:u w:val="single"/>
                <w:lang w:val="en-US" w:eastAsia="zh-CN"/>
              </w:rPr>
              <w:t>10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投标人在收到中标通知书后，须</w:t>
            </w:r>
            <w:r>
              <w:rPr>
                <w:rFonts w:hint="eastAsia" w:ascii="仿宋" w:hAnsi="仿宋" w:eastAsia="仿宋" w:cs="仿宋"/>
                <w:color w:val="auto"/>
                <w:sz w:val="24"/>
                <w:szCs w:val="24"/>
                <w:highlight w:val="none"/>
                <w:lang w:val="en-US" w:eastAsia="zh-CN"/>
              </w:rPr>
              <w:t>在合同签订前</w:t>
            </w:r>
            <w:r>
              <w:rPr>
                <w:rFonts w:hint="eastAsia" w:ascii="仿宋" w:hAnsi="仿宋" w:eastAsia="仿宋" w:cs="仿宋"/>
                <w:color w:val="auto"/>
                <w:sz w:val="24"/>
                <w:szCs w:val="24"/>
                <w:highlight w:val="none"/>
              </w:rPr>
              <w:t>向招标人足额提交履约保证金</w:t>
            </w:r>
            <w:r>
              <w:rPr>
                <w:rFonts w:hint="eastAsia" w:ascii="仿宋" w:hAnsi="仿宋" w:eastAsia="仿宋" w:cs="仿宋"/>
                <w:color w:val="auto"/>
                <w:sz w:val="24"/>
                <w:szCs w:val="24"/>
                <w:highlight w:val="none"/>
                <w:lang w:eastAsia="zh-CN"/>
              </w:rPr>
              <w:t>。</w:t>
            </w:r>
          </w:p>
        </w:tc>
      </w:tr>
      <w:tr w14:paraId="4AA77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51" w:hRule="atLeast"/>
          <w:jc w:val="center"/>
        </w:trPr>
        <w:tc>
          <w:tcPr>
            <w:tcW w:w="879" w:type="dxa"/>
            <w:shd w:val="clear" w:color="auto" w:fill="auto"/>
            <w:vAlign w:val="center"/>
          </w:tcPr>
          <w:p w14:paraId="53C1C2E7">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21</w:t>
            </w:r>
          </w:p>
        </w:tc>
        <w:tc>
          <w:tcPr>
            <w:tcW w:w="1250" w:type="dxa"/>
            <w:shd w:val="clear" w:color="auto" w:fill="auto"/>
            <w:vAlign w:val="center"/>
          </w:tcPr>
          <w:p w14:paraId="76FAF3D5">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z w:val="24"/>
                <w:szCs w:val="24"/>
                <w:highlight w:val="none"/>
              </w:rPr>
              <w:t>评标委员会的组建</w:t>
            </w:r>
          </w:p>
        </w:tc>
        <w:tc>
          <w:tcPr>
            <w:tcW w:w="7290" w:type="dxa"/>
            <w:shd w:val="clear" w:color="auto" w:fill="auto"/>
            <w:vAlign w:val="center"/>
          </w:tcPr>
          <w:p w14:paraId="143E150F">
            <w:pPr>
              <w:keepNext w:val="0"/>
              <w:keepLines w:val="0"/>
              <w:pageBreakBefore w:val="0"/>
              <w:widowControl w:val="0"/>
              <w:kinsoku/>
              <w:wordWrap/>
              <w:overflowPunct/>
              <w:topLinePunct w:val="0"/>
              <w:bidi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1、评标委员会构成：</w:t>
            </w:r>
            <w:r>
              <w:rPr>
                <w:rFonts w:hint="eastAsia" w:ascii="仿宋" w:hAnsi="仿宋" w:eastAsia="仿宋" w:cs="仿宋"/>
                <w:color w:val="auto"/>
                <w:sz w:val="24"/>
                <w:szCs w:val="24"/>
                <w:highlight w:val="none"/>
                <w:u w:val="single"/>
              </w:rPr>
              <w:t>3人</w:t>
            </w:r>
            <w:r>
              <w:rPr>
                <w:rFonts w:hint="eastAsia" w:ascii="仿宋" w:hAnsi="仿宋" w:eastAsia="仿宋" w:cs="仿宋"/>
                <w:color w:val="auto"/>
                <w:sz w:val="24"/>
                <w:szCs w:val="24"/>
                <w:highlight w:val="none"/>
                <w:u w:val="single"/>
                <w:lang w:val="en-US" w:eastAsia="zh-CN"/>
              </w:rPr>
              <w:t>及</w:t>
            </w:r>
            <w:r>
              <w:rPr>
                <w:rFonts w:hint="eastAsia" w:ascii="仿宋" w:hAnsi="仿宋" w:eastAsia="仿宋" w:cs="仿宋"/>
                <w:color w:val="auto"/>
                <w:sz w:val="24"/>
                <w:szCs w:val="24"/>
                <w:highlight w:val="none"/>
                <w:u w:val="single"/>
              </w:rPr>
              <w:t>以上单数</w:t>
            </w:r>
            <w:r>
              <w:rPr>
                <w:rFonts w:hint="eastAsia" w:ascii="仿宋" w:hAnsi="仿宋" w:eastAsia="仿宋" w:cs="仿宋"/>
                <w:color w:val="auto"/>
                <w:sz w:val="24"/>
                <w:szCs w:val="24"/>
                <w:highlight w:val="none"/>
                <w:u w:val="single"/>
                <w:lang w:eastAsia="zh-CN"/>
              </w:rPr>
              <w:t>；若采购人代表参与评审，采购人代表不能超过评审委员会人数的1/3人，其余评审委员会成员依法从在</w:t>
            </w:r>
            <w:r>
              <w:rPr>
                <w:rFonts w:hint="eastAsia" w:ascii="仿宋" w:hAnsi="仿宋" w:eastAsia="仿宋" w:cs="仿宋"/>
                <w:color w:val="auto"/>
                <w:sz w:val="24"/>
                <w:szCs w:val="24"/>
                <w:highlight w:val="none"/>
                <w:u w:val="single"/>
                <w:lang w:val="en-US" w:eastAsia="zh-CN"/>
              </w:rPr>
              <w:t>政采云</w:t>
            </w:r>
            <w:r>
              <w:rPr>
                <w:rFonts w:hint="eastAsia" w:ascii="仿宋" w:hAnsi="仿宋" w:eastAsia="仿宋" w:cs="仿宋"/>
                <w:color w:val="auto"/>
                <w:sz w:val="24"/>
                <w:szCs w:val="24"/>
                <w:highlight w:val="none"/>
                <w:u w:val="single"/>
                <w:lang w:eastAsia="zh-CN"/>
              </w:rPr>
              <w:t>专家库随机抽取评审专家；若采购人代表不参与评审，全部在</w:t>
            </w:r>
            <w:r>
              <w:rPr>
                <w:rFonts w:hint="eastAsia" w:ascii="仿宋" w:hAnsi="仿宋" w:eastAsia="仿宋" w:cs="仿宋"/>
                <w:color w:val="auto"/>
                <w:sz w:val="24"/>
                <w:szCs w:val="24"/>
                <w:highlight w:val="none"/>
                <w:u w:val="single"/>
                <w:lang w:val="en-US" w:eastAsia="zh-CN"/>
              </w:rPr>
              <w:t>政采云</w:t>
            </w:r>
            <w:r>
              <w:rPr>
                <w:rFonts w:hint="eastAsia" w:ascii="仿宋" w:hAnsi="仿宋" w:eastAsia="仿宋" w:cs="仿宋"/>
                <w:color w:val="auto"/>
                <w:sz w:val="24"/>
                <w:szCs w:val="24"/>
                <w:highlight w:val="none"/>
                <w:u w:val="single"/>
                <w:lang w:eastAsia="zh-CN"/>
              </w:rPr>
              <w:t>专家库随机抽取评审专家。</w:t>
            </w:r>
          </w:p>
          <w:p w14:paraId="4680E557">
            <w:pPr>
              <w:keepNext w:val="0"/>
              <w:keepLines w:val="0"/>
              <w:pageBreakBefore w:val="0"/>
              <w:widowControl w:val="0"/>
              <w:numPr>
                <w:ilvl w:val="0"/>
                <w:numId w:val="3"/>
              </w:numPr>
              <w:kinsoku/>
              <w:wordWrap/>
              <w:overflowPunct/>
              <w:topLinePunct w:val="0"/>
              <w:bidi w:val="0"/>
              <w:spacing w:line="360" w:lineRule="exact"/>
              <w:ind w:firstLine="0" w:firstLineChars="0"/>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评审专家确定方式：</w:t>
            </w:r>
            <w:r>
              <w:rPr>
                <w:rFonts w:hint="eastAsia" w:ascii="仿宋" w:hAnsi="仿宋" w:eastAsia="仿宋" w:cs="仿宋"/>
                <w:color w:val="auto"/>
                <w:sz w:val="24"/>
                <w:szCs w:val="24"/>
                <w:highlight w:val="none"/>
                <w:u w:val="single"/>
                <w:lang w:val="en-US" w:eastAsia="zh-CN"/>
              </w:rPr>
              <w:t xml:space="preserve"> 随机抽取</w:t>
            </w:r>
          </w:p>
          <w:p w14:paraId="4949D552">
            <w:pPr>
              <w:keepNext w:val="0"/>
              <w:keepLines w:val="0"/>
              <w:pageBreakBefore w:val="0"/>
              <w:widowControl w:val="0"/>
              <w:numPr>
                <w:ilvl w:val="0"/>
                <w:numId w:val="3"/>
              </w:numPr>
              <w:kinsoku/>
              <w:wordWrap/>
              <w:overflowPunct/>
              <w:topLinePunct w:val="0"/>
              <w:bidi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color w:val="auto"/>
                <w:sz w:val="24"/>
                <w:szCs w:val="24"/>
                <w:highlight w:val="none"/>
              </w:rPr>
              <w:t>评审专家分类：</w:t>
            </w:r>
            <w:r>
              <w:rPr>
                <w:rFonts w:hint="eastAsia" w:ascii="仿宋" w:hAnsi="仿宋" w:eastAsia="仿宋" w:cs="仿宋"/>
                <w:color w:val="auto"/>
                <w:sz w:val="24"/>
                <w:szCs w:val="24"/>
                <w:highlight w:val="none"/>
                <w:lang w:val="en-US" w:eastAsia="zh-CN"/>
              </w:rPr>
              <w:t>包括但不限于</w:t>
            </w:r>
            <w:r>
              <w:rPr>
                <w:rFonts w:hint="eastAsia" w:ascii="仿宋" w:hAnsi="仿宋" w:eastAsia="仿宋" w:cs="仿宋"/>
                <w:color w:val="auto"/>
                <w:sz w:val="24"/>
                <w:szCs w:val="24"/>
                <w:highlight w:val="none"/>
                <w:u w:val="single"/>
                <w:lang w:val="en-US" w:eastAsia="zh-CN"/>
              </w:rPr>
              <w:t>市政公用</w:t>
            </w:r>
            <w:r>
              <w:rPr>
                <w:rFonts w:hint="eastAsia" w:ascii="仿宋" w:hAnsi="仿宋" w:eastAsia="仿宋" w:cs="仿宋"/>
                <w:color w:val="auto"/>
                <w:sz w:val="24"/>
                <w:szCs w:val="24"/>
                <w:highlight w:val="none"/>
                <w:u w:val="single"/>
                <w:lang w:eastAsia="zh-CN"/>
              </w:rPr>
              <w:t>工程</w:t>
            </w:r>
          </w:p>
        </w:tc>
      </w:tr>
      <w:tr w14:paraId="23E8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966" w:hRule="atLeast"/>
          <w:jc w:val="center"/>
        </w:trPr>
        <w:tc>
          <w:tcPr>
            <w:tcW w:w="879" w:type="dxa"/>
            <w:shd w:val="clear" w:color="auto" w:fill="auto"/>
            <w:vAlign w:val="center"/>
          </w:tcPr>
          <w:p w14:paraId="33253F63">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22</w:t>
            </w:r>
          </w:p>
        </w:tc>
        <w:tc>
          <w:tcPr>
            <w:tcW w:w="1250" w:type="dxa"/>
            <w:shd w:val="clear" w:color="auto" w:fill="auto"/>
            <w:vAlign w:val="center"/>
          </w:tcPr>
          <w:p w14:paraId="00180B2D">
            <w:pPr>
              <w:keepNext w:val="0"/>
              <w:keepLines w:val="0"/>
              <w:pageBreakBefore w:val="0"/>
              <w:widowControl w:val="0"/>
              <w:kinsoku/>
              <w:wordWrap/>
              <w:overflowPunct/>
              <w:topLinePunct w:val="0"/>
              <w:bidi w:val="0"/>
              <w:adjustRightInd w:val="0"/>
              <w:snapToGrid w:val="0"/>
              <w:spacing w:line="360" w:lineRule="exact"/>
              <w:ind w:firstLine="0" w:firstLineChars="0"/>
              <w:jc w:val="center"/>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响应文件份数</w:t>
            </w:r>
          </w:p>
        </w:tc>
        <w:tc>
          <w:tcPr>
            <w:tcW w:w="7290" w:type="dxa"/>
            <w:shd w:val="clear" w:color="auto" w:fill="auto"/>
            <w:vAlign w:val="center"/>
          </w:tcPr>
          <w:p w14:paraId="1E51196B">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响应文件份数：采用不见面开标：</w:t>
            </w:r>
          </w:p>
          <w:p w14:paraId="3427CFC3">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1．本项目采用不见面开标、供应商需要递交电子响应文件，加密的电子响应文件，在投标截止时间前通过政采云平台（https://www.zcygov.cn/）上传到指定位置。</w:t>
            </w:r>
          </w:p>
          <w:p w14:paraId="03013C7E">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项目采用远程不见面交易的模式。开标当日，供应商无需到达开标现场，仅需在任意地点通过政采云平台（https://www.zcygov.cn/）完成远程解密、提疑澄清、开标唱标、结果公布等交互环节。供应商必须使用能正确解密响应文件的“CA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友情提示：若供应商已领取副锁（含多把副锁）请注意正副锁的使用差别，务必使用生成响应文件的那把锁解密）。</w:t>
            </w:r>
          </w:p>
          <w:p w14:paraId="306298CE">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3.远程开标前，供应商务必在政采云平台（https://www.zcygov.cn/）响应文件上传模块中使用“模拟解密”功能，验证本机远程自助解密环境。</w:t>
            </w:r>
          </w:p>
          <w:p w14:paraId="3597467D">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4.本项目需进行二次报价，开标时请保持电话畅通。因通讯原因造成投标单位未及时报价的，由供应商自行承担责任。</w:t>
            </w:r>
          </w:p>
          <w:p w14:paraId="1BBC2418">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注意事项：开标结束后成交单位须按照此磋商文件格式要求提供纸质版响应文件三份（一正两副），递交至新疆昌盛方略项目管理有限公司（昌吉市西外环南路832号尚都社区国投大厦1幢14楼1419）</w:t>
            </w:r>
          </w:p>
          <w:p w14:paraId="7F72E942">
            <w:pPr>
              <w:keepNext w:val="0"/>
              <w:keepLines w:val="0"/>
              <w:pageBreakBefore w:val="0"/>
              <w:widowControl w:val="0"/>
              <w:kinsoku/>
              <w:wordWrap/>
              <w:overflowPunct/>
              <w:topLinePunct w:val="0"/>
              <w:bidi w:val="0"/>
              <w:adjustRightInd w:val="0"/>
              <w:snapToGrid w:val="0"/>
              <w:spacing w:line="360" w:lineRule="exact"/>
              <w:ind w:firstLine="0" w:firstLineChars="0"/>
              <w:jc w:val="left"/>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color w:val="auto"/>
                <w:sz w:val="24"/>
                <w:szCs w:val="24"/>
                <w:highlight w:val="none"/>
                <w:lang w:val="en-US" w:eastAsia="zh-CN"/>
              </w:rPr>
              <w:t>装订形式：不得采用活页、拉杆等形式，必须采用胶装</w:t>
            </w:r>
          </w:p>
        </w:tc>
      </w:tr>
      <w:tr w14:paraId="10A8E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25" w:hRule="atLeast"/>
          <w:jc w:val="center"/>
        </w:trPr>
        <w:tc>
          <w:tcPr>
            <w:tcW w:w="879" w:type="dxa"/>
            <w:shd w:val="clear" w:color="auto" w:fill="auto"/>
            <w:vAlign w:val="center"/>
          </w:tcPr>
          <w:p w14:paraId="44A380C3">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23</w:t>
            </w:r>
          </w:p>
        </w:tc>
        <w:tc>
          <w:tcPr>
            <w:tcW w:w="1250" w:type="dxa"/>
            <w:shd w:val="clear" w:color="auto" w:fill="auto"/>
            <w:vAlign w:val="center"/>
          </w:tcPr>
          <w:p w14:paraId="6C8E83D2">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color w:val="auto"/>
                <w:spacing w:val="-6"/>
                <w:sz w:val="24"/>
                <w:szCs w:val="24"/>
                <w:highlight w:val="none"/>
              </w:rPr>
              <w:t>质疑</w:t>
            </w:r>
          </w:p>
        </w:tc>
        <w:tc>
          <w:tcPr>
            <w:tcW w:w="7290" w:type="dxa"/>
            <w:shd w:val="clear" w:color="auto" w:fill="auto"/>
            <w:vAlign w:val="center"/>
          </w:tcPr>
          <w:p w14:paraId="0E40A808">
            <w:pPr>
              <w:pStyle w:val="24"/>
              <w:keepNext w:val="0"/>
              <w:keepLines w:val="0"/>
              <w:pageBreakBefore w:val="0"/>
              <w:widowControl/>
              <w:kinsoku w:val="0"/>
              <w:wordWrap/>
              <w:overflowPunct/>
              <w:topLinePunct w:val="0"/>
              <w:autoSpaceDE w:val="0"/>
              <w:autoSpaceDN w:val="0"/>
              <w:bidi w:val="0"/>
              <w:adjustRightInd w:val="0"/>
              <w:snapToGrid w:val="0"/>
              <w:spacing w:before="118" w:line="360" w:lineRule="exact"/>
              <w:ind w:left="139" w:right="7" w:firstLine="18"/>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1.递交方式</w:t>
            </w:r>
            <w:r>
              <w:rPr>
                <w:rFonts w:hint="eastAsia" w:ascii="仿宋" w:hAnsi="仿宋" w:eastAsia="仿宋" w:cs="仿宋"/>
                <w:color w:val="auto"/>
                <w:spacing w:val="3"/>
                <w:sz w:val="24"/>
                <w:szCs w:val="24"/>
                <w:highlight w:val="none"/>
              </w:rPr>
              <w:t>：</w:t>
            </w:r>
            <w:r>
              <w:rPr>
                <w:rFonts w:hint="eastAsia" w:ascii="仿宋" w:hAnsi="仿宋" w:eastAsia="仿宋" w:cs="仿宋"/>
                <w:color w:val="auto"/>
                <w:spacing w:val="3"/>
                <w:sz w:val="24"/>
                <w:szCs w:val="24"/>
                <w:highlight w:val="none"/>
                <w:lang w:eastAsia="zh-CN"/>
              </w:rPr>
              <w:t>（</w:t>
            </w:r>
            <w:r>
              <w:rPr>
                <w:rFonts w:hint="eastAsia" w:ascii="仿宋" w:hAnsi="仿宋" w:eastAsia="仿宋" w:cs="仿宋"/>
                <w:color w:val="auto"/>
                <w:spacing w:val="3"/>
                <w:sz w:val="24"/>
                <w:szCs w:val="24"/>
                <w:highlight w:val="none"/>
                <w:lang w:val="en-US" w:eastAsia="zh-CN"/>
              </w:rPr>
              <w:t>1）对</w:t>
            </w:r>
            <w:r>
              <w:rPr>
                <w:rFonts w:hint="eastAsia" w:ascii="仿宋" w:hAnsi="仿宋" w:eastAsia="仿宋" w:cs="仿宋"/>
                <w:color w:val="auto"/>
                <w:spacing w:val="3"/>
                <w:sz w:val="24"/>
                <w:szCs w:val="24"/>
                <w:highlight w:val="none"/>
              </w:rPr>
              <w:t>采购文</w:t>
            </w:r>
            <w:r>
              <w:rPr>
                <w:rFonts w:hint="eastAsia" w:ascii="仿宋" w:hAnsi="仿宋" w:eastAsia="仿宋" w:cs="仿宋"/>
                <w:color w:val="auto"/>
                <w:spacing w:val="-1"/>
                <w:sz w:val="24"/>
                <w:szCs w:val="24"/>
                <w:highlight w:val="none"/>
              </w:rPr>
              <w:t>件提出质疑的，应当在获取采购文</w:t>
            </w:r>
            <w:r>
              <w:rPr>
                <w:rFonts w:hint="eastAsia" w:ascii="仿宋" w:hAnsi="仿宋" w:eastAsia="仿宋" w:cs="仿宋"/>
                <w:color w:val="auto"/>
                <w:spacing w:val="3"/>
                <w:sz w:val="24"/>
                <w:szCs w:val="24"/>
                <w:highlight w:val="none"/>
              </w:rPr>
              <w:t>件或者采购文件公告期限届满之日起7个工作日内提出，</w:t>
            </w:r>
            <w:r>
              <w:rPr>
                <w:rFonts w:hint="eastAsia" w:ascii="仿宋" w:hAnsi="仿宋" w:eastAsia="仿宋" w:cs="仿宋"/>
                <w:color w:val="auto"/>
                <w:spacing w:val="2"/>
                <w:sz w:val="24"/>
                <w:szCs w:val="24"/>
                <w:highlight w:val="none"/>
              </w:rPr>
              <w:t>供应</w:t>
            </w:r>
            <w:r>
              <w:rPr>
                <w:rFonts w:hint="eastAsia" w:ascii="仿宋" w:hAnsi="仿宋" w:eastAsia="仿宋" w:cs="仿宋"/>
                <w:color w:val="auto"/>
                <w:spacing w:val="-6"/>
                <w:sz w:val="24"/>
                <w:szCs w:val="24"/>
                <w:highlight w:val="none"/>
              </w:rPr>
              <w:t>商应在法定质疑期内一次性提出所有质疑事项。（2）质疑函应</w:t>
            </w:r>
            <w:r>
              <w:rPr>
                <w:rFonts w:hint="eastAsia" w:ascii="仿宋" w:hAnsi="仿宋" w:eastAsia="仿宋" w:cs="仿宋"/>
                <w:color w:val="auto"/>
                <w:spacing w:val="-2"/>
                <w:sz w:val="24"/>
                <w:szCs w:val="24"/>
                <w:highlight w:val="none"/>
              </w:rPr>
              <w:t>以书面形式(按照财政部94号令要求)通知采购代理机构。采购</w:t>
            </w:r>
            <w:r>
              <w:rPr>
                <w:rFonts w:hint="eastAsia" w:ascii="仿宋" w:hAnsi="仿宋" w:eastAsia="仿宋" w:cs="仿宋"/>
                <w:color w:val="auto"/>
                <w:spacing w:val="3"/>
                <w:sz w:val="24"/>
                <w:szCs w:val="24"/>
                <w:highlight w:val="none"/>
              </w:rPr>
              <w:t>代理机构将在收到质疑函后7个工作日内作出答复</w:t>
            </w:r>
            <w:r>
              <w:rPr>
                <w:rFonts w:hint="eastAsia" w:ascii="仿宋" w:hAnsi="仿宋" w:eastAsia="仿宋" w:cs="仿宋"/>
                <w:color w:val="auto"/>
                <w:spacing w:val="2"/>
                <w:sz w:val="24"/>
                <w:szCs w:val="24"/>
                <w:highlight w:val="none"/>
              </w:rPr>
              <w:t>，并以书面</w:t>
            </w:r>
            <w:r>
              <w:rPr>
                <w:rFonts w:hint="eastAsia" w:ascii="仿宋" w:hAnsi="仿宋" w:eastAsia="仿宋" w:cs="仿宋"/>
                <w:color w:val="auto"/>
                <w:spacing w:val="-2"/>
                <w:sz w:val="24"/>
                <w:szCs w:val="24"/>
                <w:highlight w:val="none"/>
              </w:rPr>
              <w:t>形式通知质疑供应商。（注：供应商在法定质疑期内必须一次</w:t>
            </w:r>
            <w:r>
              <w:rPr>
                <w:rFonts w:hint="eastAsia" w:ascii="仿宋" w:hAnsi="仿宋" w:eastAsia="仿宋" w:cs="仿宋"/>
                <w:color w:val="auto"/>
                <w:spacing w:val="-1"/>
                <w:sz w:val="24"/>
                <w:szCs w:val="24"/>
                <w:highlight w:val="none"/>
              </w:rPr>
              <w:t>性提出针对同一采购程序环节的质疑）</w:t>
            </w:r>
          </w:p>
          <w:p w14:paraId="4E711DF9">
            <w:pPr>
              <w:pStyle w:val="24"/>
              <w:keepNext w:val="0"/>
              <w:keepLines w:val="0"/>
              <w:pageBreakBefore w:val="0"/>
              <w:widowControl/>
              <w:kinsoku w:val="0"/>
              <w:wordWrap/>
              <w:overflowPunct/>
              <w:topLinePunct w:val="0"/>
              <w:autoSpaceDE w:val="0"/>
              <w:autoSpaceDN w:val="0"/>
              <w:bidi w:val="0"/>
              <w:adjustRightInd w:val="0"/>
              <w:snapToGrid w:val="0"/>
              <w:spacing w:before="28" w:line="360" w:lineRule="exact"/>
              <w:ind w:left="143"/>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2.接收部门：</w:t>
            </w:r>
            <w:r>
              <w:rPr>
                <w:rFonts w:hint="eastAsia" w:ascii="仿宋" w:hAnsi="仿宋" w:eastAsia="仿宋" w:cs="仿宋"/>
                <w:color w:val="auto"/>
                <w:spacing w:val="-1"/>
                <w:sz w:val="24"/>
                <w:szCs w:val="24"/>
                <w:highlight w:val="none"/>
                <w:lang w:eastAsia="zh-CN"/>
              </w:rPr>
              <w:t>新疆昌盛方略项目管理有限公司</w:t>
            </w:r>
            <w:r>
              <w:rPr>
                <w:rFonts w:hint="eastAsia" w:ascii="仿宋" w:hAnsi="仿宋" w:eastAsia="仿宋" w:cs="仿宋"/>
                <w:color w:val="auto"/>
                <w:spacing w:val="-1"/>
                <w:sz w:val="24"/>
                <w:szCs w:val="24"/>
                <w:highlight w:val="none"/>
              </w:rPr>
              <w:t>。</w:t>
            </w:r>
          </w:p>
          <w:p w14:paraId="73F529B3">
            <w:pPr>
              <w:pStyle w:val="24"/>
              <w:keepNext w:val="0"/>
              <w:keepLines w:val="0"/>
              <w:pageBreakBefore w:val="0"/>
              <w:widowControl/>
              <w:kinsoku w:val="0"/>
              <w:wordWrap/>
              <w:overflowPunct/>
              <w:topLinePunct w:val="0"/>
              <w:autoSpaceDE w:val="0"/>
              <w:autoSpaceDN w:val="0"/>
              <w:bidi w:val="0"/>
              <w:adjustRightInd w:val="0"/>
              <w:snapToGrid w:val="0"/>
              <w:spacing w:before="27" w:line="360" w:lineRule="exact"/>
              <w:ind w:left="145"/>
              <w:jc w:val="left"/>
              <w:textAlignment w:val="baseline"/>
              <w:rPr>
                <w:rFonts w:hint="eastAsia" w:ascii="仿宋" w:hAnsi="仿宋" w:eastAsia="仿宋" w:cs="仿宋"/>
                <w:color w:val="auto"/>
                <w:spacing w:val="-1"/>
                <w:sz w:val="24"/>
                <w:szCs w:val="24"/>
                <w:highlight w:val="none"/>
                <w:lang w:val="en-US" w:eastAsia="zh-CN"/>
              </w:rPr>
            </w:pPr>
            <w:r>
              <w:rPr>
                <w:rFonts w:hint="eastAsia" w:ascii="仿宋" w:hAnsi="仿宋" w:eastAsia="仿宋" w:cs="仿宋"/>
                <w:color w:val="auto"/>
                <w:spacing w:val="-1"/>
                <w:sz w:val="24"/>
                <w:szCs w:val="24"/>
                <w:highlight w:val="none"/>
              </w:rPr>
              <w:t>3.联系电话：</w:t>
            </w:r>
            <w:r>
              <w:rPr>
                <w:rFonts w:hint="eastAsia" w:ascii="仿宋" w:hAnsi="仿宋" w:eastAsia="仿宋" w:cs="仿宋"/>
                <w:color w:val="auto"/>
                <w:spacing w:val="-1"/>
                <w:sz w:val="24"/>
                <w:szCs w:val="24"/>
                <w:highlight w:val="none"/>
                <w:lang w:val="en-US" w:eastAsia="zh-CN"/>
              </w:rPr>
              <w:t>0994-8165002、18699479057</w:t>
            </w:r>
          </w:p>
          <w:p w14:paraId="53977E42">
            <w:pPr>
              <w:pStyle w:val="24"/>
              <w:keepNext w:val="0"/>
              <w:keepLines w:val="0"/>
              <w:pageBreakBefore w:val="0"/>
              <w:widowControl/>
              <w:kinsoku w:val="0"/>
              <w:wordWrap/>
              <w:overflowPunct/>
              <w:topLinePunct w:val="0"/>
              <w:autoSpaceDE w:val="0"/>
              <w:autoSpaceDN w:val="0"/>
              <w:bidi w:val="0"/>
              <w:adjustRightInd w:val="0"/>
              <w:snapToGrid w:val="0"/>
              <w:spacing w:before="24" w:line="360" w:lineRule="exact"/>
              <w:ind w:left="139" w:leftChars="0"/>
              <w:jc w:val="left"/>
              <w:textAlignment w:val="baseline"/>
              <w:rPr>
                <w:rFonts w:hint="eastAsia" w:ascii="仿宋" w:hAnsi="仿宋" w:eastAsia="仿宋" w:cs="仿宋"/>
                <w:color w:val="auto"/>
                <w:spacing w:val="-1"/>
                <w:sz w:val="24"/>
                <w:szCs w:val="24"/>
                <w:highlight w:val="none"/>
              </w:rPr>
            </w:pPr>
            <w:r>
              <w:rPr>
                <w:rFonts w:hint="eastAsia" w:ascii="仿宋" w:hAnsi="仿宋" w:eastAsia="仿宋" w:cs="仿宋"/>
                <w:color w:val="auto"/>
                <w:spacing w:val="-1"/>
                <w:sz w:val="24"/>
                <w:szCs w:val="24"/>
                <w:highlight w:val="none"/>
              </w:rPr>
              <w:t>4.通讯地址：新疆昌吉回族自治州昌吉市南公园西路融投小镇1号楼A座14层（昌吉州国投大厦1幢14楼1419）</w:t>
            </w:r>
          </w:p>
          <w:p w14:paraId="020BACD3">
            <w:pPr>
              <w:pStyle w:val="24"/>
              <w:keepNext w:val="0"/>
              <w:keepLines w:val="0"/>
              <w:pageBreakBefore w:val="0"/>
              <w:widowControl/>
              <w:kinsoku w:val="0"/>
              <w:wordWrap/>
              <w:overflowPunct/>
              <w:topLinePunct w:val="0"/>
              <w:autoSpaceDE w:val="0"/>
              <w:autoSpaceDN w:val="0"/>
              <w:bidi w:val="0"/>
              <w:adjustRightInd w:val="0"/>
              <w:snapToGrid w:val="0"/>
              <w:spacing w:before="24" w:line="360" w:lineRule="exact"/>
              <w:ind w:left="139" w:leftChars="0"/>
              <w:jc w:val="left"/>
              <w:textAlignment w:val="baseline"/>
              <w:rPr>
                <w:rFonts w:hint="eastAsia" w:ascii="仿宋" w:hAnsi="仿宋" w:eastAsia="仿宋" w:cs="仿宋"/>
                <w:color w:val="auto"/>
                <w:spacing w:val="-1"/>
                <w:sz w:val="24"/>
                <w:szCs w:val="24"/>
                <w:highlight w:val="none"/>
                <w:lang w:val="en-US" w:eastAsia="zh-CN"/>
              </w:rPr>
            </w:pPr>
            <w:r>
              <w:rPr>
                <w:rFonts w:hint="eastAsia" w:ascii="仿宋" w:hAnsi="仿宋" w:eastAsia="仿宋" w:cs="仿宋"/>
                <w:color w:val="auto"/>
                <w:spacing w:val="-1"/>
                <w:sz w:val="24"/>
                <w:szCs w:val="24"/>
                <w:highlight w:val="none"/>
                <w:lang w:val="en-US" w:eastAsia="zh-CN"/>
              </w:rPr>
              <w:t>5.邮箱：1024878179@qq.com</w:t>
            </w:r>
          </w:p>
        </w:tc>
      </w:tr>
      <w:tr w14:paraId="66787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4" w:hRule="atLeast"/>
          <w:jc w:val="center"/>
        </w:trPr>
        <w:tc>
          <w:tcPr>
            <w:tcW w:w="879" w:type="dxa"/>
            <w:shd w:val="clear" w:color="auto" w:fill="auto"/>
            <w:vAlign w:val="center"/>
          </w:tcPr>
          <w:p w14:paraId="021806E8">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24</w:t>
            </w:r>
          </w:p>
        </w:tc>
        <w:tc>
          <w:tcPr>
            <w:tcW w:w="1250" w:type="dxa"/>
            <w:shd w:val="clear" w:color="auto" w:fill="auto"/>
            <w:vAlign w:val="center"/>
          </w:tcPr>
          <w:p w14:paraId="5599C829">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right="144" w:rightChars="0"/>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spacing w:val="-2"/>
                <w:sz w:val="24"/>
                <w:szCs w:val="24"/>
              </w:rPr>
              <w:t>采购代理服务费收取方式和</w:t>
            </w:r>
            <w:r>
              <w:rPr>
                <w:rFonts w:hint="eastAsia" w:ascii="仿宋" w:hAnsi="仿宋" w:eastAsia="仿宋" w:cs="仿宋"/>
                <w:color w:val="auto"/>
                <w:spacing w:val="-6"/>
                <w:sz w:val="24"/>
                <w:szCs w:val="24"/>
              </w:rPr>
              <w:t>标准</w:t>
            </w:r>
          </w:p>
        </w:tc>
        <w:tc>
          <w:tcPr>
            <w:tcW w:w="7290" w:type="dxa"/>
            <w:shd w:val="clear" w:color="auto" w:fill="auto"/>
            <w:vAlign w:val="center"/>
          </w:tcPr>
          <w:p w14:paraId="21961B72">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highlight w:val="none"/>
                <w:lang w:eastAsia="zh-CN"/>
              </w:rPr>
            </w:pPr>
            <w:r>
              <w:rPr>
                <w:rFonts w:hint="eastAsia" w:ascii="仿宋" w:hAnsi="仿宋" w:eastAsia="仿宋" w:cs="仿宋"/>
                <w:color w:val="auto"/>
                <w:spacing w:val="-4"/>
                <w:sz w:val="24"/>
                <w:szCs w:val="24"/>
                <w:lang w:val="en-US" w:eastAsia="en-US"/>
              </w:rPr>
              <w:t>招标代理服务费：</w:t>
            </w:r>
            <w:r>
              <w:rPr>
                <w:rFonts w:hint="eastAsia" w:ascii="仿宋" w:hAnsi="仿宋" w:eastAsia="仿宋" w:cs="仿宋"/>
                <w:color w:val="auto"/>
                <w:highlight w:val="none"/>
                <w:lang w:val="en-US" w:eastAsia="zh-CN"/>
              </w:rPr>
              <w:t>参照</w:t>
            </w:r>
            <w:r>
              <w:rPr>
                <w:rFonts w:hint="eastAsia" w:ascii="仿宋" w:hAnsi="仿宋" w:eastAsia="仿宋" w:cs="仿宋"/>
                <w:color w:val="auto"/>
                <w:highlight w:val="none"/>
                <w:lang w:eastAsia="zh-CN"/>
              </w:rPr>
              <w:t>“计价格[2002]1980号”、“发改价格[2011]534号”文件所列的“工程类”收费标准按差额累进方式计算后</w:t>
            </w:r>
            <w:r>
              <w:rPr>
                <w:rFonts w:hint="eastAsia" w:ascii="仿宋" w:hAnsi="仿宋" w:eastAsia="仿宋" w:cs="仿宋"/>
                <w:color w:val="auto"/>
                <w:highlight w:val="none"/>
                <w:lang w:val="en-US" w:eastAsia="zh-CN"/>
              </w:rPr>
              <w:t>下浮50</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向成交人收取</w:t>
            </w:r>
            <w:r>
              <w:rPr>
                <w:rFonts w:hint="eastAsia" w:ascii="仿宋" w:hAnsi="仿宋" w:eastAsia="仿宋" w:cs="仿宋"/>
                <w:color w:val="auto"/>
                <w:highlight w:val="none"/>
                <w:lang w:eastAsia="zh-CN"/>
              </w:rPr>
              <w:t>。</w:t>
            </w:r>
          </w:p>
          <w:p w14:paraId="28DB562D">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招标代理服务费的交纳方式：在领取</w:t>
            </w:r>
            <w:r>
              <w:rPr>
                <w:rFonts w:hint="eastAsia" w:ascii="仿宋" w:hAnsi="仿宋" w:eastAsia="仿宋" w:cs="仿宋"/>
                <w:color w:val="auto"/>
                <w:spacing w:val="-4"/>
                <w:sz w:val="24"/>
                <w:szCs w:val="24"/>
                <w:lang w:val="en-US" w:eastAsia="zh-CN"/>
              </w:rPr>
              <w:t>成交</w:t>
            </w:r>
            <w:r>
              <w:rPr>
                <w:rFonts w:hint="eastAsia" w:ascii="仿宋" w:hAnsi="仿宋" w:eastAsia="仿宋" w:cs="仿宋"/>
                <w:color w:val="auto"/>
                <w:spacing w:val="-4"/>
                <w:sz w:val="24"/>
                <w:szCs w:val="24"/>
                <w:lang w:val="en-US" w:eastAsia="en-US"/>
              </w:rPr>
              <w:t>通知书前向招标代理机构交纳服务费，可用电汇、现金等形式一次缴清。</w:t>
            </w:r>
          </w:p>
          <w:p w14:paraId="6ED8A03E">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缴纳招标代理服务费账号：</w:t>
            </w:r>
          </w:p>
          <w:p w14:paraId="1A96782F">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账户名称：新疆昌盛方略项目管理有限公司</w:t>
            </w:r>
          </w:p>
          <w:p w14:paraId="40F60FB3">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开 户 行：新疆昌吉农村商业银行股份有限公司天山北路支行</w:t>
            </w:r>
          </w:p>
          <w:p w14:paraId="22774034">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账    号：806010012010110433857</w:t>
            </w:r>
          </w:p>
          <w:p w14:paraId="31CCB77E">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行    号：402885000459</w:t>
            </w:r>
          </w:p>
          <w:p w14:paraId="04565508">
            <w:pPr>
              <w:pStyle w:val="24"/>
              <w:keepNext w:val="0"/>
              <w:keepLines w:val="0"/>
              <w:pageBreakBefore w:val="0"/>
              <w:widowControl/>
              <w:tabs>
                <w:tab w:val="left" w:pos="267"/>
              </w:tabs>
              <w:kinsoku w:val="0"/>
              <w:wordWrap/>
              <w:overflowPunct/>
              <w:topLinePunct w:val="0"/>
              <w:autoSpaceDE w:val="0"/>
              <w:autoSpaceDN w:val="0"/>
              <w:bidi w:val="0"/>
              <w:adjustRightInd w:val="0"/>
              <w:snapToGrid w:val="0"/>
              <w:spacing w:before="27" w:line="360" w:lineRule="exact"/>
              <w:ind w:left="140" w:leftChars="0" w:right="95" w:rightChars="0" w:hanging="10" w:firstLineChars="0"/>
              <w:jc w:val="left"/>
              <w:textAlignment w:val="baseline"/>
              <w:rPr>
                <w:rFonts w:hint="eastAsia" w:ascii="仿宋" w:hAnsi="仿宋" w:eastAsia="仿宋" w:cs="仿宋"/>
                <w:color w:val="auto"/>
                <w:spacing w:val="-4"/>
                <w:sz w:val="24"/>
                <w:szCs w:val="24"/>
                <w:lang w:val="en-US" w:eastAsia="en-US"/>
              </w:rPr>
            </w:pPr>
            <w:r>
              <w:rPr>
                <w:rFonts w:hint="eastAsia" w:ascii="仿宋" w:hAnsi="仿宋" w:eastAsia="仿宋" w:cs="仿宋"/>
                <w:color w:val="auto"/>
                <w:spacing w:val="-4"/>
                <w:sz w:val="24"/>
                <w:szCs w:val="24"/>
                <w:lang w:val="en-US" w:eastAsia="en-US"/>
              </w:rPr>
              <w:t>打款时请备注（招标编号或项目名称简称+代理费）</w:t>
            </w:r>
          </w:p>
        </w:tc>
      </w:tr>
      <w:tr w14:paraId="6A4EC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90" w:hRule="atLeast"/>
          <w:jc w:val="center"/>
        </w:trPr>
        <w:tc>
          <w:tcPr>
            <w:tcW w:w="879" w:type="dxa"/>
            <w:vMerge w:val="restart"/>
            <w:shd w:val="clear" w:color="auto" w:fill="auto"/>
            <w:vAlign w:val="center"/>
          </w:tcPr>
          <w:p w14:paraId="2B8CEAAB">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25</w:t>
            </w:r>
          </w:p>
        </w:tc>
        <w:tc>
          <w:tcPr>
            <w:tcW w:w="1250" w:type="dxa"/>
            <w:vMerge w:val="restart"/>
            <w:shd w:val="clear" w:color="auto" w:fill="auto"/>
            <w:vAlign w:val="center"/>
          </w:tcPr>
          <w:p w14:paraId="44FC381E">
            <w:pPr>
              <w:pStyle w:val="24"/>
              <w:keepNext w:val="0"/>
              <w:keepLines w:val="0"/>
              <w:pageBreakBefore w:val="0"/>
              <w:widowControl/>
              <w:kinsoku w:val="0"/>
              <w:wordWrap/>
              <w:overflowPunct/>
              <w:topLinePunct w:val="0"/>
              <w:autoSpaceDE w:val="0"/>
              <w:autoSpaceDN w:val="0"/>
              <w:bidi w:val="0"/>
              <w:adjustRightInd w:val="0"/>
              <w:snapToGrid w:val="0"/>
              <w:spacing w:before="1" w:line="360" w:lineRule="exact"/>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highlight w:val="none"/>
              </w:rPr>
              <w:t>中小微企业政策文件</w:t>
            </w:r>
          </w:p>
        </w:tc>
        <w:tc>
          <w:tcPr>
            <w:tcW w:w="7290" w:type="dxa"/>
            <w:shd w:val="clear" w:color="auto" w:fill="auto"/>
            <w:vAlign w:val="center"/>
          </w:tcPr>
          <w:p w14:paraId="71177F63">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highlight w:val="none"/>
                <w:lang w:eastAsia="zh-CN"/>
              </w:rPr>
              <w:t>1）根据财政部、工业和信息化部关于印发《政府采购促进中小企业发展管理办法》的通知（财库[2020]46号）和（财库[2020]19号），供应商及其所投产品的制造商均属于《工业和信息化部、国家统计局、国家发展和改革委员会、财政部关于印发中小企业划型标准规定的通知》（工信部联企业[2011]300号）中规定的小型、微型企业标准的，按招标文件格式提供《中小企业声明函》。</w:t>
            </w:r>
          </w:p>
        </w:tc>
      </w:tr>
      <w:tr w14:paraId="0F1FF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64" w:hRule="atLeast"/>
          <w:jc w:val="center"/>
        </w:trPr>
        <w:tc>
          <w:tcPr>
            <w:tcW w:w="879" w:type="dxa"/>
            <w:vMerge w:val="continue"/>
            <w:shd w:val="clear" w:color="auto" w:fill="auto"/>
            <w:vAlign w:val="center"/>
          </w:tcPr>
          <w:p w14:paraId="3BE7C33D">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eastAsia" w:ascii="仿宋" w:hAnsi="仿宋" w:eastAsia="仿宋" w:cs="仿宋"/>
                <w:snapToGrid w:val="0"/>
                <w:color w:val="auto"/>
                <w:kern w:val="0"/>
                <w:sz w:val="24"/>
                <w:szCs w:val="24"/>
                <w:lang w:val="en-US" w:eastAsia="zh-CN" w:bidi="ar-SA"/>
              </w:rPr>
            </w:pPr>
          </w:p>
        </w:tc>
        <w:tc>
          <w:tcPr>
            <w:tcW w:w="1250" w:type="dxa"/>
            <w:vMerge w:val="continue"/>
            <w:shd w:val="clear" w:color="auto" w:fill="auto"/>
            <w:vAlign w:val="center"/>
          </w:tcPr>
          <w:p w14:paraId="1CF9423E">
            <w:pPr>
              <w:pStyle w:val="24"/>
              <w:keepNext w:val="0"/>
              <w:keepLines w:val="0"/>
              <w:pageBreakBefore w:val="0"/>
              <w:widowControl/>
              <w:kinsoku w:val="0"/>
              <w:wordWrap/>
              <w:overflowPunct/>
              <w:topLinePunct w:val="0"/>
              <w:autoSpaceDE w:val="0"/>
              <w:autoSpaceDN w:val="0"/>
              <w:bidi w:val="0"/>
              <w:adjustRightInd w:val="0"/>
              <w:snapToGrid w:val="0"/>
              <w:spacing w:before="1" w:line="360" w:lineRule="exact"/>
              <w:jc w:val="center"/>
              <w:textAlignment w:val="baseline"/>
              <w:rPr>
                <w:rFonts w:hint="eastAsia" w:ascii="仿宋" w:hAnsi="仿宋" w:eastAsia="仿宋" w:cs="仿宋"/>
                <w:color w:val="auto"/>
                <w:highlight w:val="none"/>
              </w:rPr>
            </w:pPr>
          </w:p>
        </w:tc>
        <w:tc>
          <w:tcPr>
            <w:tcW w:w="7290" w:type="dxa"/>
            <w:shd w:val="clear" w:color="auto" w:fill="auto"/>
            <w:vAlign w:val="center"/>
          </w:tcPr>
          <w:p w14:paraId="27DFEA04">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highlight w:val="none"/>
                <w:lang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w:t>
            </w:r>
            <w:r>
              <w:rPr>
                <w:rFonts w:hint="eastAsia" w:ascii="仿宋" w:hAnsi="仿宋" w:eastAsia="仿宋" w:cs="仿宋"/>
                <w:color w:val="auto"/>
                <w:highlight w:val="none"/>
              </w:rPr>
              <w:t>监狱企业视同小型、微型企业。</w:t>
            </w:r>
          </w:p>
        </w:tc>
      </w:tr>
      <w:tr w14:paraId="24AA1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80" w:hRule="atLeast"/>
          <w:jc w:val="center"/>
        </w:trPr>
        <w:tc>
          <w:tcPr>
            <w:tcW w:w="879" w:type="dxa"/>
            <w:vMerge w:val="continue"/>
            <w:shd w:val="clear" w:color="auto" w:fill="auto"/>
            <w:vAlign w:val="center"/>
          </w:tcPr>
          <w:p w14:paraId="18B69A48">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eastAsia" w:ascii="仿宋" w:hAnsi="仿宋" w:eastAsia="仿宋" w:cs="仿宋"/>
                <w:snapToGrid w:val="0"/>
                <w:color w:val="auto"/>
                <w:kern w:val="0"/>
                <w:sz w:val="24"/>
                <w:szCs w:val="24"/>
                <w:lang w:val="en-US" w:eastAsia="zh-CN" w:bidi="ar-SA"/>
              </w:rPr>
            </w:pPr>
          </w:p>
        </w:tc>
        <w:tc>
          <w:tcPr>
            <w:tcW w:w="1250" w:type="dxa"/>
            <w:vMerge w:val="continue"/>
            <w:shd w:val="clear" w:color="auto" w:fill="auto"/>
            <w:vAlign w:val="center"/>
          </w:tcPr>
          <w:p w14:paraId="41A7B636">
            <w:pPr>
              <w:pStyle w:val="24"/>
              <w:keepNext w:val="0"/>
              <w:keepLines w:val="0"/>
              <w:pageBreakBefore w:val="0"/>
              <w:widowControl/>
              <w:kinsoku w:val="0"/>
              <w:wordWrap/>
              <w:overflowPunct/>
              <w:topLinePunct w:val="0"/>
              <w:autoSpaceDE w:val="0"/>
              <w:autoSpaceDN w:val="0"/>
              <w:bidi w:val="0"/>
              <w:adjustRightInd w:val="0"/>
              <w:snapToGrid w:val="0"/>
              <w:spacing w:before="1" w:line="360" w:lineRule="exact"/>
              <w:jc w:val="center"/>
              <w:textAlignment w:val="baseline"/>
              <w:rPr>
                <w:rFonts w:hint="eastAsia" w:ascii="仿宋" w:hAnsi="仿宋" w:eastAsia="仿宋" w:cs="仿宋"/>
                <w:color w:val="auto"/>
                <w:highlight w:val="none"/>
              </w:rPr>
            </w:pPr>
          </w:p>
        </w:tc>
        <w:tc>
          <w:tcPr>
            <w:tcW w:w="7290" w:type="dxa"/>
            <w:shd w:val="clear" w:color="auto" w:fill="auto"/>
            <w:vAlign w:val="center"/>
          </w:tcPr>
          <w:p w14:paraId="4671299C">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highlight w:val="none"/>
                <w:lang w:eastAsia="zh-CN"/>
              </w:rPr>
              <w:t>（3）根据财政部、民政部、中国残疾人联合会《关于促进残疾人就业政府采购政策的通知》（财库[2017]141号），在政府采购活动中，残疾人福利性单位视同小型、微型企业。供应商属于残疾人福利性单位的，按照招标文件格式提供残疾人福利性单位声明函。</w:t>
            </w:r>
          </w:p>
        </w:tc>
      </w:tr>
      <w:tr w14:paraId="23800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557" w:hRule="atLeast"/>
          <w:jc w:val="center"/>
        </w:trPr>
        <w:tc>
          <w:tcPr>
            <w:tcW w:w="879" w:type="dxa"/>
            <w:shd w:val="clear" w:color="auto" w:fill="auto"/>
            <w:vAlign w:val="center"/>
          </w:tcPr>
          <w:p w14:paraId="648A368D">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8"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26</w:t>
            </w:r>
          </w:p>
        </w:tc>
        <w:tc>
          <w:tcPr>
            <w:tcW w:w="1250" w:type="dxa"/>
            <w:vMerge w:val="restart"/>
            <w:shd w:val="clear" w:color="auto" w:fill="auto"/>
            <w:vAlign w:val="center"/>
          </w:tcPr>
          <w:p w14:paraId="3D1B3743">
            <w:pPr>
              <w:pStyle w:val="24"/>
              <w:keepNext w:val="0"/>
              <w:keepLines w:val="0"/>
              <w:pageBreakBefore w:val="0"/>
              <w:widowControl/>
              <w:kinsoku w:val="0"/>
              <w:wordWrap/>
              <w:overflowPunct/>
              <w:topLinePunct w:val="0"/>
              <w:autoSpaceDE w:val="0"/>
              <w:autoSpaceDN w:val="0"/>
              <w:bidi w:val="0"/>
              <w:adjustRightInd w:val="0"/>
              <w:snapToGrid w:val="0"/>
              <w:spacing w:before="263" w:line="360" w:lineRule="exact"/>
              <w:ind w:left="122" w:right="143"/>
              <w:jc w:val="center"/>
              <w:textAlignment w:val="baseline"/>
              <w:rPr>
                <w:rFonts w:hint="eastAsia" w:ascii="仿宋" w:hAnsi="仿宋" w:eastAsia="仿宋" w:cs="仿宋"/>
                <w:snapToGrid w:val="0"/>
                <w:color w:val="auto"/>
                <w:kern w:val="0"/>
                <w:sz w:val="24"/>
                <w:szCs w:val="24"/>
                <w:lang w:val="en-US" w:eastAsia="en-US" w:bidi="ar-SA"/>
              </w:rPr>
            </w:pPr>
            <w:r>
              <w:rPr>
                <w:rFonts w:hint="eastAsia" w:ascii="仿宋" w:hAnsi="仿宋" w:eastAsia="仿宋" w:cs="仿宋"/>
                <w:color w:val="auto"/>
                <w:highlight w:val="none"/>
                <w:lang w:eastAsia="zh-CN"/>
              </w:rPr>
              <w:t>重要说明</w:t>
            </w:r>
          </w:p>
        </w:tc>
        <w:tc>
          <w:tcPr>
            <w:tcW w:w="7290" w:type="dxa"/>
            <w:shd w:val="clear" w:color="auto" w:fill="auto"/>
            <w:vAlign w:val="center"/>
          </w:tcPr>
          <w:p w14:paraId="19EE78B5">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1.本项目采用全流程不见面电子开评标，投标供应商需要使用CA加密设备，供应商可通过新疆数字证书认证中心官网（https://www.xjca.com.cn/）或下载“新疆政务通”APP自行进行申领。</w:t>
            </w:r>
          </w:p>
          <w:p w14:paraId="5BC8D1C4">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2.本项目实行网上投标，采用加密电子投标文件(供应商须使用CA加密设备通过政采云电子投标客户端制作投标文件)。若供应商参与投标，自行承担投标一切费用。</w:t>
            </w:r>
          </w:p>
          <w:p w14:paraId="1E7C3E68">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7CF65D5B">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576FD401">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5.供应商在开标时须使用制作加密电子投标文件所使用的CA锁及电脑，电脑须提前配置好浏览器（建议使用谷歌浏览器），以便开标时解锁。</w:t>
            </w:r>
          </w:p>
          <w:p w14:paraId="5C9D8E93">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02511A6B">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snapToGrid w:val="0"/>
                <w:color w:val="auto"/>
                <w:kern w:val="0"/>
                <w:sz w:val="21"/>
                <w:szCs w:val="21"/>
                <w:highlight w:val="none"/>
                <w:lang w:val="en-US" w:eastAsia="zh-CN" w:bidi="ar-SA"/>
              </w:rPr>
            </w:pPr>
            <w:r>
              <w:rPr>
                <w:rFonts w:hint="eastAsia" w:ascii="仿宋" w:hAnsi="仿宋" w:eastAsia="仿宋" w:cs="仿宋"/>
                <w:color w:val="auto"/>
                <w:highlight w:val="none"/>
                <w:lang w:eastAsia="zh-CN"/>
              </w:rPr>
              <w:t>7.为了保证开评标顺利进行，政采云线上开标功能完全实现，供应商开标所使用的电脑设备须具有视频及语音功能。</w:t>
            </w:r>
          </w:p>
        </w:tc>
      </w:tr>
      <w:tr w14:paraId="2709C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903" w:hRule="atLeast"/>
          <w:jc w:val="center"/>
        </w:trPr>
        <w:tc>
          <w:tcPr>
            <w:tcW w:w="879" w:type="dxa"/>
            <w:shd w:val="clear" w:color="auto" w:fill="auto"/>
            <w:vAlign w:val="center"/>
          </w:tcPr>
          <w:p w14:paraId="7D59C219">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3" w:leftChars="0"/>
              <w:jc w:val="center"/>
              <w:textAlignment w:val="baseline"/>
              <w:rPr>
                <w:rFonts w:hint="default"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27</w:t>
            </w:r>
          </w:p>
        </w:tc>
        <w:tc>
          <w:tcPr>
            <w:tcW w:w="1250" w:type="dxa"/>
            <w:vMerge w:val="continue"/>
            <w:shd w:val="clear" w:color="auto" w:fill="auto"/>
            <w:vAlign w:val="center"/>
          </w:tcPr>
          <w:p w14:paraId="72278817">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right="143" w:rightChars="0"/>
              <w:jc w:val="center"/>
              <w:textAlignment w:val="baseline"/>
              <w:rPr>
                <w:rFonts w:hint="eastAsia" w:ascii="仿宋" w:hAnsi="仿宋" w:eastAsia="仿宋" w:cs="仿宋"/>
                <w:snapToGrid w:val="0"/>
                <w:color w:val="auto"/>
                <w:kern w:val="0"/>
                <w:sz w:val="24"/>
                <w:szCs w:val="24"/>
                <w:lang w:val="en-US" w:eastAsia="en-US" w:bidi="ar-SA"/>
              </w:rPr>
            </w:pPr>
          </w:p>
        </w:tc>
        <w:tc>
          <w:tcPr>
            <w:tcW w:w="7290" w:type="dxa"/>
            <w:shd w:val="clear" w:color="auto" w:fill="auto"/>
            <w:vAlign w:val="center"/>
          </w:tcPr>
          <w:p w14:paraId="3E87980B">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1、电子招投标情况说明：</w:t>
            </w:r>
          </w:p>
          <w:p w14:paraId="32A09F98">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（1）电子招投标：本项目以数据电文形式，依托“政府采购云平台（www.zcygov.cn）”进行招投标活动。</w:t>
            </w:r>
          </w:p>
          <w:p w14:paraId="2133D58A">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CD4647D">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（3）招标文件的获取：使用账号登录或者短信验证码或者使用CA登录政采云平台；进入“项目采购”应用，在获取招标文件 菜单中选择项目，获取招标文件</w:t>
            </w:r>
          </w:p>
          <w:p w14:paraId="6CFD207A">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（4）投标文件的解密：供应商按照平台提示和招标文件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03A377F0">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（5）具体操作指南：详见政采云平台“服务中心-帮助文档-项目采购-操作流程-电子招投标-政府采购项目电子交易管理操作指南-供应商”。</w:t>
            </w:r>
          </w:p>
          <w:p w14:paraId="37E9B1DF">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（6）供应商在进行上述操作时，如遇技术问题可登录政采云（https://</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"http://www.zcygov.cn/" \h </w:instrText>
            </w:r>
            <w:r>
              <w:rPr>
                <w:rFonts w:hint="eastAsia" w:ascii="仿宋" w:hAnsi="仿宋" w:eastAsia="仿宋" w:cs="仿宋"/>
                <w:color w:val="auto"/>
                <w:highlight w:val="none"/>
              </w:rPr>
              <w:fldChar w:fldCharType="separate"/>
            </w:r>
            <w:r>
              <w:rPr>
                <w:rFonts w:hint="eastAsia" w:ascii="仿宋" w:hAnsi="仿宋" w:eastAsia="仿宋" w:cs="仿宋"/>
                <w:color w:val="auto"/>
                <w:highlight w:val="none"/>
                <w:lang w:eastAsia="zh-CN"/>
              </w:rPr>
              <w:t>www.zcygov.cn/</w:t>
            </w:r>
            <w:r>
              <w:rPr>
                <w:rFonts w:hint="eastAsia" w:ascii="仿宋" w:hAnsi="仿宋" w:eastAsia="仿宋" w:cs="仿宋"/>
                <w:color w:val="auto"/>
                <w:highlight w:val="none"/>
                <w:lang w:eastAsia="zh-CN"/>
              </w:rPr>
              <w:fldChar w:fldCharType="end"/>
            </w:r>
            <w:r>
              <w:rPr>
                <w:rFonts w:hint="eastAsia" w:ascii="仿宋" w:hAnsi="仿宋" w:eastAsia="仿宋" w:cs="仿宋"/>
                <w:color w:val="auto"/>
                <w:highlight w:val="none"/>
                <w:lang w:eastAsia="zh-CN"/>
              </w:rPr>
              <w:t>），点击右侧咨询小采，获取采小蜜智能服务管家帮助，或拨打政采云服务热线95763获取热线服务帮助。</w:t>
            </w:r>
          </w:p>
          <w:p w14:paraId="4481BD79">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温馨提醒：供应商应提前上传，以便在上传时遇到技术问题，有充足的时间请教平台的技术人员。</w:t>
            </w:r>
          </w:p>
          <w:p w14:paraId="1B8099D5">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snapToGrid w:val="0"/>
                <w:color w:val="auto"/>
                <w:kern w:val="0"/>
                <w:sz w:val="21"/>
                <w:szCs w:val="21"/>
                <w:highlight w:val="none"/>
                <w:lang w:val="en-US" w:eastAsia="en-US" w:bidi="ar-SA"/>
              </w:rPr>
            </w:pPr>
            <w:r>
              <w:rPr>
                <w:rFonts w:hint="eastAsia" w:ascii="仿宋" w:hAnsi="仿宋" w:eastAsia="仿宋" w:cs="仿宋"/>
                <w:color w:val="auto"/>
                <w:highlight w:val="none"/>
                <w:lang w:eastAsia="zh-CN"/>
              </w:rPr>
              <w:t>2、供应商认为招标文件使自己的权益受到损害的，可以自收到招标文件之日（招标文件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或逾期提出的不予受理、答复。</w:t>
            </w:r>
          </w:p>
        </w:tc>
      </w:tr>
      <w:tr w14:paraId="16386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952" w:hRule="atLeast"/>
          <w:jc w:val="center"/>
        </w:trPr>
        <w:tc>
          <w:tcPr>
            <w:tcW w:w="879" w:type="dxa"/>
            <w:shd w:val="clear" w:color="auto" w:fill="auto"/>
            <w:vAlign w:val="center"/>
          </w:tcPr>
          <w:p w14:paraId="776A52BC">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01711132">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299BDD7D">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2EC8B443">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00CF6DC0">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632119E4">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28</w:t>
            </w:r>
          </w:p>
          <w:p w14:paraId="346714AB">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0DDA583C">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3341B5CC">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090FF3A2">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19B8699E">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71B5FEA0">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505EAC70">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eastAsia" w:ascii="仿宋" w:hAnsi="仿宋" w:eastAsia="仿宋" w:cs="仿宋"/>
                <w:color w:val="auto"/>
                <w:sz w:val="24"/>
                <w:szCs w:val="24"/>
              </w:rPr>
            </w:pPr>
          </w:p>
          <w:p w14:paraId="03E68746">
            <w:pPr>
              <w:pStyle w:val="24"/>
              <w:keepNext w:val="0"/>
              <w:keepLines w:val="0"/>
              <w:pageBreakBefore w:val="0"/>
              <w:widowControl/>
              <w:kinsoku w:val="0"/>
              <w:wordWrap/>
              <w:overflowPunct/>
              <w:topLinePunct w:val="0"/>
              <w:autoSpaceDE w:val="0"/>
              <w:autoSpaceDN w:val="0"/>
              <w:bidi w:val="0"/>
              <w:adjustRightInd w:val="0"/>
              <w:snapToGrid w:val="0"/>
              <w:spacing w:before="78" w:line="360" w:lineRule="exact"/>
              <w:ind w:left="253" w:leftChars="0"/>
              <w:jc w:val="center"/>
              <w:textAlignment w:val="baseline"/>
              <w:rPr>
                <w:rFonts w:hint="eastAsia" w:ascii="仿宋" w:hAnsi="仿宋" w:eastAsia="仿宋" w:cs="仿宋"/>
                <w:snapToGrid w:val="0"/>
                <w:color w:val="auto"/>
                <w:kern w:val="0"/>
                <w:sz w:val="24"/>
                <w:szCs w:val="24"/>
                <w:lang w:val="en-US" w:eastAsia="en-US" w:bidi="ar-SA"/>
              </w:rPr>
            </w:pPr>
          </w:p>
        </w:tc>
        <w:tc>
          <w:tcPr>
            <w:tcW w:w="1250" w:type="dxa"/>
            <w:shd w:val="clear" w:color="auto" w:fill="auto"/>
            <w:vAlign w:val="center"/>
          </w:tcPr>
          <w:p w14:paraId="1F53D2E9">
            <w:pPr>
              <w:keepNext w:val="0"/>
              <w:keepLines w:val="0"/>
              <w:pageBreakBefore w:val="0"/>
              <w:widowControl w:val="0"/>
              <w:shd w:val="clear"/>
              <w:wordWrap/>
              <w:overflowPunct/>
              <w:topLinePunct w:val="0"/>
              <w:bidi w:val="0"/>
              <w:spacing w:line="360" w:lineRule="exact"/>
              <w:jc w:val="center"/>
              <w:rPr>
                <w:rFonts w:hint="eastAsia" w:ascii="仿宋" w:hAnsi="仿宋" w:eastAsia="仿宋" w:cs="仿宋"/>
                <w:snapToGrid w:val="0"/>
                <w:color w:val="auto"/>
                <w:kern w:val="0"/>
                <w:sz w:val="21"/>
                <w:szCs w:val="21"/>
                <w:highlight w:val="none"/>
                <w:lang w:val="en-US" w:eastAsia="en-US" w:bidi="ar-SA"/>
              </w:rPr>
            </w:pPr>
            <w:r>
              <w:rPr>
                <w:rFonts w:hint="eastAsia" w:ascii="仿宋" w:hAnsi="仿宋" w:eastAsia="仿宋" w:cs="仿宋"/>
                <w:b/>
                <w:bCs/>
                <w:color w:val="auto"/>
                <w:highlight w:val="none"/>
              </w:rPr>
              <w:t>备注</w:t>
            </w:r>
          </w:p>
        </w:tc>
        <w:tc>
          <w:tcPr>
            <w:tcW w:w="7290" w:type="dxa"/>
            <w:shd w:val="clear" w:color="auto" w:fill="auto"/>
            <w:vAlign w:val="center"/>
          </w:tcPr>
          <w:p w14:paraId="25DDCAD8">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b/>
                <w:bCs/>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b/>
                <w:bCs/>
                <w:color w:val="auto"/>
                <w:highlight w:val="none"/>
                <w:lang w:eastAsia="zh-CN"/>
              </w:rPr>
              <w:t>着重提醒各供应商注意，并认真查看招标文件中的每一个条款及要求，因误读招标文件而造成的后果，采购人概不负责。</w:t>
            </w:r>
          </w:p>
          <w:p w14:paraId="05DA0962">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2、供应商使用相同IP地址的，一经发现，相关部门将进一步核实，查实后按串通投标处理。</w:t>
            </w:r>
          </w:p>
          <w:p w14:paraId="2504E4B6">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3、为保证本项目质量，良好的售后服务，最低报价不作为中标的唯一依据。</w:t>
            </w:r>
          </w:p>
          <w:p w14:paraId="6B348141">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4E300415">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5、其它：</w:t>
            </w:r>
          </w:p>
          <w:p w14:paraId="15E2AA70">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（1）投标企业严格遵守国家的法律法规及招标纪律，无违法违纪及商业贿赂行为。</w:t>
            </w:r>
          </w:p>
          <w:p w14:paraId="76FDBD98">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（2）不管投标结果如何，供应商均应自行承担投标所需一切费用。</w:t>
            </w:r>
          </w:p>
          <w:p w14:paraId="57EF29EA">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（3）供应商应以书面形式保证中标后由本公司组织实施，不得以任何理由将项目转包给其他机构。</w:t>
            </w:r>
          </w:p>
          <w:p w14:paraId="68BC67A0">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（4）招标文件中如出现前后不一致情况，均以前附表内容为准。</w:t>
            </w:r>
          </w:p>
          <w:p w14:paraId="4EFE8890">
            <w:pPr>
              <w:keepNext w:val="0"/>
              <w:keepLines w:val="0"/>
              <w:pageBreakBefore w:val="0"/>
              <w:widowControl w:val="0"/>
              <w:shd w:val="clear"/>
              <w:wordWrap/>
              <w:overflowPunct/>
              <w:topLinePunct w:val="0"/>
              <w:bidi w:val="0"/>
              <w:spacing w:line="360" w:lineRule="exact"/>
              <w:jc w:val="left"/>
              <w:rPr>
                <w:rFonts w:hint="eastAsia" w:ascii="仿宋" w:hAnsi="仿宋" w:eastAsia="仿宋" w:cs="仿宋"/>
                <w:snapToGrid w:val="0"/>
                <w:color w:val="auto"/>
                <w:kern w:val="0"/>
                <w:sz w:val="21"/>
                <w:szCs w:val="21"/>
                <w:highlight w:val="none"/>
                <w:lang w:val="en-US" w:eastAsia="en-US" w:bidi="ar-SA"/>
              </w:rPr>
            </w:pPr>
            <w:r>
              <w:rPr>
                <w:rFonts w:hint="eastAsia" w:ascii="仿宋" w:hAnsi="仿宋" w:eastAsia="仿宋" w:cs="仿宋"/>
                <w:color w:val="auto"/>
                <w:highlight w:val="none"/>
                <w:lang w:eastAsia="zh-CN"/>
              </w:rPr>
              <w:t>6、本项目为专门面向中小企业（含中型、小型、微型企业）采购项目，根据《政府采购促进中小企业发展管理办法》（财库[2020]46号）的规定，不再执行价格评审优惠的扶持政策。注：中小企业划分标准依据《工业和信息化部、国家统计局、国家发展和改革委员会、财政部关于印发中小企业划型标准规定的通知》（工信部联企业〔2011〕300号）规定。本项目采购标的对应的中小企业划分标准所属行业为</w:t>
            </w:r>
            <w:r>
              <w:rPr>
                <w:rFonts w:hint="eastAsia" w:ascii="仿宋" w:hAnsi="仿宋" w:eastAsia="仿宋" w:cs="仿宋"/>
                <w:b/>
                <w:bCs/>
                <w:color w:val="auto"/>
                <w:highlight w:val="none"/>
                <w:lang w:eastAsia="zh-CN"/>
              </w:rPr>
              <w:t>建筑业</w:t>
            </w:r>
            <w:r>
              <w:rPr>
                <w:rFonts w:hint="eastAsia" w:ascii="仿宋" w:hAnsi="仿宋" w:eastAsia="仿宋" w:cs="仿宋"/>
                <w:color w:val="auto"/>
                <w:highlight w:val="none"/>
                <w:lang w:eastAsia="zh-CN"/>
              </w:rPr>
              <w:t>。</w:t>
            </w:r>
          </w:p>
        </w:tc>
      </w:tr>
    </w:tbl>
    <w:p w14:paraId="67452F59">
      <w:pPr>
        <w:pageBreakBefore w:val="0"/>
        <w:wordWrap/>
        <w:topLinePunct w:val="0"/>
        <w:bidi w:val="0"/>
        <w:spacing w:line="480" w:lineRule="exact"/>
        <w:rPr>
          <w:rFonts w:hint="eastAsia" w:ascii="仿宋" w:hAnsi="仿宋" w:eastAsia="仿宋" w:cs="仿宋"/>
          <w:sz w:val="24"/>
          <w:szCs w:val="24"/>
        </w:rPr>
      </w:pPr>
      <w:r>
        <w:rPr>
          <w:rFonts w:hint="eastAsia" w:ascii="仿宋" w:hAnsi="仿宋" w:eastAsia="仿宋" w:cs="仿宋"/>
          <w:sz w:val="24"/>
          <w:szCs w:val="24"/>
        </w:rPr>
        <w:t>磋商供应商应仔细阅读本磋商文件的第二章“供应商须知”，下面所列资料是对“供应商须知”的具体补充和说明。如有矛盾，应以本表为准。标记“☑”的选项意为适用于本项目，标记“□”的选项意为不适用于本项目。</w:t>
      </w:r>
    </w:p>
    <w:p w14:paraId="10DD3B0E">
      <w:pPr>
        <w:pageBreakBefore w:val="0"/>
        <w:wordWrap/>
        <w:topLinePunct w:val="0"/>
        <w:bidi w:val="0"/>
        <w:spacing w:line="480" w:lineRule="exact"/>
        <w:rPr>
          <w:rFonts w:hint="eastAsia" w:ascii="仿宋" w:hAnsi="仿宋" w:eastAsia="仿宋" w:cs="仿宋"/>
          <w:sz w:val="24"/>
          <w:szCs w:val="24"/>
        </w:rPr>
      </w:pPr>
    </w:p>
    <w:p w14:paraId="52A489AE">
      <w:pPr>
        <w:pageBreakBefore w:val="0"/>
        <w:wordWrap/>
        <w:topLinePunct w:val="0"/>
        <w:bidi w:val="0"/>
        <w:spacing w:line="480" w:lineRule="exact"/>
        <w:rPr>
          <w:rFonts w:hint="eastAsia" w:ascii="仿宋" w:hAnsi="仿宋" w:eastAsia="仿宋" w:cs="仿宋"/>
          <w:sz w:val="24"/>
          <w:szCs w:val="24"/>
        </w:rPr>
      </w:pPr>
    </w:p>
    <w:p w14:paraId="2E5B27CB">
      <w:pPr>
        <w:pageBreakBefore w:val="0"/>
        <w:wordWrap/>
        <w:topLinePunct w:val="0"/>
        <w:bidi w:val="0"/>
        <w:spacing w:line="480" w:lineRule="exact"/>
        <w:rPr>
          <w:rFonts w:hint="eastAsia" w:ascii="仿宋" w:hAnsi="仿宋" w:eastAsia="仿宋" w:cs="仿宋"/>
          <w:sz w:val="24"/>
          <w:szCs w:val="24"/>
        </w:rPr>
      </w:pPr>
    </w:p>
    <w:p w14:paraId="298E8FB9">
      <w:pPr>
        <w:pageBreakBefore w:val="0"/>
        <w:wordWrap/>
        <w:topLinePunct w:val="0"/>
        <w:bidi w:val="0"/>
        <w:spacing w:line="480" w:lineRule="exact"/>
        <w:rPr>
          <w:rFonts w:hint="eastAsia" w:ascii="仿宋" w:hAnsi="仿宋" w:eastAsia="仿宋" w:cs="仿宋"/>
          <w:sz w:val="24"/>
          <w:szCs w:val="24"/>
        </w:rPr>
      </w:pPr>
    </w:p>
    <w:p w14:paraId="1900A3E8">
      <w:pPr>
        <w:pageBreakBefore w:val="0"/>
        <w:wordWrap/>
        <w:topLinePunct w:val="0"/>
        <w:bidi w:val="0"/>
        <w:spacing w:line="480" w:lineRule="exact"/>
        <w:rPr>
          <w:rFonts w:hint="eastAsia" w:ascii="仿宋" w:hAnsi="仿宋" w:eastAsia="仿宋" w:cs="仿宋"/>
          <w:sz w:val="24"/>
          <w:szCs w:val="24"/>
        </w:rPr>
      </w:pPr>
    </w:p>
    <w:p w14:paraId="60BE7388">
      <w:pPr>
        <w:pageBreakBefore w:val="0"/>
        <w:wordWrap/>
        <w:topLinePunct w:val="0"/>
        <w:bidi w:val="0"/>
        <w:spacing w:line="480" w:lineRule="exact"/>
        <w:rPr>
          <w:rFonts w:hint="eastAsia" w:ascii="仿宋" w:hAnsi="仿宋" w:eastAsia="仿宋" w:cs="仿宋"/>
          <w:sz w:val="24"/>
          <w:szCs w:val="24"/>
        </w:rPr>
      </w:pPr>
    </w:p>
    <w:p w14:paraId="63905A77">
      <w:pPr>
        <w:pageBreakBefore w:val="0"/>
        <w:wordWrap/>
        <w:topLinePunct w:val="0"/>
        <w:bidi w:val="0"/>
        <w:spacing w:line="480" w:lineRule="exact"/>
        <w:rPr>
          <w:rFonts w:hint="eastAsia" w:ascii="仿宋" w:hAnsi="仿宋" w:eastAsia="仿宋" w:cs="仿宋"/>
          <w:sz w:val="24"/>
          <w:szCs w:val="24"/>
        </w:rPr>
      </w:pPr>
    </w:p>
    <w:p w14:paraId="52821570">
      <w:pPr>
        <w:pageBreakBefore w:val="0"/>
        <w:wordWrap/>
        <w:topLinePunct w:val="0"/>
        <w:bidi w:val="0"/>
        <w:spacing w:line="480" w:lineRule="exact"/>
        <w:rPr>
          <w:rFonts w:hint="eastAsia" w:ascii="仿宋" w:hAnsi="仿宋" w:eastAsia="仿宋" w:cs="仿宋"/>
          <w:sz w:val="24"/>
          <w:szCs w:val="24"/>
        </w:rPr>
      </w:pPr>
    </w:p>
    <w:p w14:paraId="0F85226B">
      <w:pPr>
        <w:pageBreakBefore w:val="0"/>
        <w:wordWrap/>
        <w:topLinePunct w:val="0"/>
        <w:bidi w:val="0"/>
        <w:spacing w:line="480" w:lineRule="exact"/>
        <w:rPr>
          <w:rFonts w:hint="eastAsia" w:ascii="仿宋" w:hAnsi="仿宋" w:eastAsia="仿宋" w:cs="仿宋"/>
          <w:sz w:val="24"/>
          <w:szCs w:val="24"/>
        </w:rPr>
      </w:pPr>
    </w:p>
    <w:p w14:paraId="56CD5F89">
      <w:pPr>
        <w:pageBreakBefore w:val="0"/>
        <w:wordWrap/>
        <w:topLinePunct w:val="0"/>
        <w:bidi w:val="0"/>
        <w:spacing w:line="480" w:lineRule="exact"/>
        <w:rPr>
          <w:rFonts w:hint="eastAsia" w:ascii="仿宋" w:hAnsi="仿宋" w:eastAsia="仿宋" w:cs="仿宋"/>
          <w:sz w:val="24"/>
          <w:szCs w:val="24"/>
        </w:rPr>
      </w:pPr>
    </w:p>
    <w:p w14:paraId="3F73B3A8">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rPr>
      </w:pPr>
      <w:r>
        <w:rPr>
          <w:rFonts w:hint="eastAsia" w:ascii="仿宋" w:hAnsi="仿宋" w:eastAsia="仿宋" w:cs="仿宋"/>
          <w:b/>
          <w:bCs/>
          <w:sz w:val="24"/>
          <w:szCs w:val="24"/>
        </w:rPr>
        <w:t>二、供应商须知</w:t>
      </w:r>
    </w:p>
    <w:p w14:paraId="20F4A93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（一）总则</w:t>
      </w:r>
    </w:p>
    <w:p w14:paraId="46E47B9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1.适用范围</w:t>
      </w:r>
    </w:p>
    <w:p w14:paraId="5210169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1.1本竞争性磋商文件（也称磋商文件或采购文件）仅适用于本次竞争性磋商中所述项目的采购活动。</w:t>
      </w:r>
    </w:p>
    <w:p w14:paraId="46F9AE5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2.基本定义</w:t>
      </w:r>
    </w:p>
    <w:p w14:paraId="4473221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2.1根据《中华人民共和国政府采购法》及其实施条例等有关法律、法规和规章的规定，制定本竞争性磋商文件。</w:t>
      </w:r>
    </w:p>
    <w:p w14:paraId="30AED6B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2.2采购人：指依法进行政府采购的国家机关、事业单位、团体组织。</w:t>
      </w:r>
    </w:p>
    <w:p w14:paraId="5D037D7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2.3采购代理机构：指依法进行政府采购的国家机关、事业单位、团体组织委托的采购代理机构。</w:t>
      </w:r>
    </w:p>
    <w:p w14:paraId="75C464B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58326AF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供应商（也称“申请人”）：指向采购人提供货物、工程或者服务的法人、其他组织或者自然人。分支机构不得参加政府采购活动，但银行、保险、石油石化、电力、电信等有行业特殊情况的除外。本项目的供应商须满足以下条件：</w:t>
      </w:r>
    </w:p>
    <w:p w14:paraId="7A4F622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2.5.1具备《中华人民共和国政府采购法》第二十二条规定的条件，遵守本项目采购人本级和上级财政部门政府采购的有关规定。</w:t>
      </w:r>
    </w:p>
    <w:p w14:paraId="2ADB6BD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2.5.2以竞争性磋商公告中发布的方式依法获得了本项目的竞争性磋商文件。</w:t>
      </w:r>
    </w:p>
    <w:p w14:paraId="4FB089F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2.5.3符合本磋商文件规定并参加磋商的供应商。</w:t>
      </w:r>
    </w:p>
    <w:p w14:paraId="42A7539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2.6潜在供应商：指符合本磋商文件规定的供应商。</w:t>
      </w:r>
    </w:p>
    <w:p w14:paraId="06C0B25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3.资金来源</w:t>
      </w:r>
    </w:p>
    <w:p w14:paraId="4AE8A8D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3.1资金来源：见“</w:t>
      </w:r>
      <w:r>
        <w:rPr>
          <w:rFonts w:hint="eastAsia" w:ascii="仿宋" w:hAnsi="仿宋" w:eastAsia="仿宋" w:cs="仿宋"/>
          <w:sz w:val="24"/>
          <w:szCs w:val="24"/>
          <w:lang w:val="en-US" w:eastAsia="zh-CN"/>
        </w:rPr>
        <w:t>第二章 供应商须知前附表”</w:t>
      </w:r>
      <w:r>
        <w:rPr>
          <w:rFonts w:hint="eastAsia" w:ascii="仿宋" w:hAnsi="仿宋" w:eastAsia="仿宋" w:cs="仿宋"/>
          <w:sz w:val="24"/>
          <w:szCs w:val="24"/>
        </w:rPr>
        <w:t>。</w:t>
      </w:r>
    </w:p>
    <w:p w14:paraId="18FED80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4.供应商资格要求</w:t>
      </w:r>
    </w:p>
    <w:p w14:paraId="3617BC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4.1供应商资格要求：见“第一章竞争性磋商公告”；</w:t>
      </w:r>
    </w:p>
    <w:p w14:paraId="6F82D5B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4.2“第一章竞争性磋商公告”规定接受联合体磋商的，还应遵守以下规定：</w:t>
      </w:r>
    </w:p>
    <w:p w14:paraId="074E617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4.2.1两个以上的自然人、法人或者其他组织可以组成一个联合体，以一个供应商的身份共同参加政府采购。以联合体形式进行政府采购的，参加联合体的供应商均应当具备《政府采购法》第二十二条规定的条件。</w:t>
      </w:r>
    </w:p>
    <w:p w14:paraId="3D1C2F3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4.2.2联合体各方应按竞争性磋商文件提供的格式签订联合体协议书，明确约定联合体各方承担的工作和相应的责任，并将联合体协议书作为响应文件的一部分提交，该协议书对联合体所有成员均具有法律约束力。</w:t>
      </w:r>
    </w:p>
    <w:p w14:paraId="76D4822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4.2.3联合体中有同类资质的供应商按照联合体分工承担相同工作的，应当按照资质等级较低的供应商确定资质等级。</w:t>
      </w:r>
    </w:p>
    <w:p w14:paraId="4376E8F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4.2.4以联合体形式参加政府采购活动的，联合体各方不得再单独参加或者与其他供应商另外组成联合体参加同一合同项下的磋商，否则相关响应将被认定为响应无效。</w:t>
      </w:r>
    </w:p>
    <w:p w14:paraId="361B179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4.2.5大中型企业、其他自然人、法人或者非法人组织与小型、微型企业组成联合体共同参加磋商的，联合体协议书中应写明小型、微型企业的合同金额占到联合体磋商合同总金额的比例。</w:t>
      </w:r>
    </w:p>
    <w:p w14:paraId="7FECDB8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4.2.6联合体成交的，采购合同应由联合体各成员的合法授权代表签字及加盖联合体各成员公章，并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032E0ED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4.2.7联合体或其成员不得将其在合同项下的权利或义务全部或部分转让给第三人，有关分包事项须事先取得采购人书面同意并且须遵守相关法律、法规、本次磋商的全部相关规定。</w:t>
      </w:r>
    </w:p>
    <w:p w14:paraId="2996FC4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4.2.8对联合体磋商的其他资格要求见“第一章竞争性磋商公告”中的“二、供应商的资格要求”。</w:t>
      </w:r>
    </w:p>
    <w:p w14:paraId="1D02DE4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5.费用承担</w:t>
      </w:r>
    </w:p>
    <w:p w14:paraId="0DE97C1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5.1不论磋商的结果如何，供应商应承担所有与准备和参加磋商有关的费用。</w:t>
      </w:r>
    </w:p>
    <w:p w14:paraId="49E5DCE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6.保密</w:t>
      </w:r>
    </w:p>
    <w:p w14:paraId="6405CAA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6.1参与磋商活动的各方应对竞争性磋商文件和响应文件中的商业和技术等秘密保密，否则应承担相应的法律责任。</w:t>
      </w:r>
    </w:p>
    <w:p w14:paraId="5F53B1F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6.2供应商自领取竞争性磋商文件之日起，须承担本竞争性磋商项目保密义务，不得将因本次竞争性磋商获得的信息向第三人外传。由采购人向供应商提供的图纸、详细资料、样品、模型、模件和所有其它资料，被视为保密资料，仅被用于它所规定的用途。除非得到采购人的同意，不能向任何第三方透露。竞争性磋商结束后，应采购人要求，供应商应归还所有从采购人处获得的保密资料。</w:t>
      </w:r>
    </w:p>
    <w:p w14:paraId="1BC59C5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6.3采购代理机构有权将供应商提供的所有资料向有关政府部门或竞争性磋商的有关人员披露。</w:t>
      </w:r>
    </w:p>
    <w:p w14:paraId="161985C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6.4各级人民政府财政部门对政府采购活动进行监督检查，有权查阅、复制有关文件、资料，相关单位和人员应当予以配合。</w:t>
      </w:r>
    </w:p>
    <w:p w14:paraId="397B0E4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7.语言文字</w:t>
      </w:r>
    </w:p>
    <w:p w14:paraId="45D72BF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7.1竞争性磋商文件及响应文件使用的语言文字为中文。专用术语使用外文的，应附有中文注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5CA3CDF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8.计量单位</w:t>
      </w:r>
    </w:p>
    <w:p w14:paraId="2019F50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8.1所有计量均采用中华人民共和国法定计量单位。</w:t>
      </w:r>
    </w:p>
    <w:p w14:paraId="59EBD8C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9.现场考察和答疑会</w:t>
      </w:r>
    </w:p>
    <w:p w14:paraId="70C343D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9.1“供应商须知前附表”规定组织现场考察的，采购代理机构按“供应商须知前附表”规定的时间、地点组织供应商项目现场考察。</w:t>
      </w:r>
    </w:p>
    <w:p w14:paraId="15BC68B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9.2供应商现场考察发生的费用自理。</w:t>
      </w:r>
    </w:p>
    <w:p w14:paraId="65C86AC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9.3在现场考察中，因供应商自身原因发生的人员伤亡和财产损失，由供应商自行负责。</w:t>
      </w:r>
    </w:p>
    <w:p w14:paraId="39F5127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9.4采购人在现场考察中介绍的项目场地和相关的周边环境情况，仅供供应商在编制响应文件时参考，采购人和采购代理机构不对供应商据此作出的判断和决策负责。</w:t>
      </w:r>
    </w:p>
    <w:p w14:paraId="3C7DEBA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9.5“供应商须知前附表”规定召开答疑会的，采购代理机构按“供应商须知前附表”规定的时间和地点召开答疑会，澄清供应商提出的问题。</w:t>
      </w:r>
    </w:p>
    <w:p w14:paraId="32C54F9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9.6由于未参加现场考察或未参加答疑会而导致对项目实际情况不了解，影响响应文件编制、磋商报价准确性、综合因素响应不全面等问题的，由供应商自行承担不利评审后果。</w:t>
      </w:r>
    </w:p>
    <w:p w14:paraId="62FE03C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10.电子标说明</w:t>
      </w:r>
    </w:p>
    <w:p w14:paraId="5D6D31C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10.1本次采购采用电子交易方式，电子交易平台为</w:t>
      </w:r>
      <w:r>
        <w:rPr>
          <w:rFonts w:hint="eastAsia" w:ascii="仿宋" w:hAnsi="仿宋" w:eastAsia="仿宋" w:cs="仿宋"/>
          <w:sz w:val="24"/>
          <w:szCs w:val="24"/>
          <w:lang w:eastAsia="zh-CN"/>
        </w:rPr>
        <w:t>政采云平台（http：//www.zcygov.cn/）</w:t>
      </w:r>
      <w:r>
        <w:rPr>
          <w:rFonts w:hint="eastAsia" w:ascii="仿宋" w:hAnsi="仿宋" w:eastAsia="仿宋" w:cs="仿宋"/>
          <w:sz w:val="24"/>
          <w:szCs w:val="24"/>
        </w:rPr>
        <w:t>。供应商参与本项目电子交易活动前，应在政采云平台上注册供应商账号。编制电子响应文件前还需申领CA证书并绑定帐号。供应商应充分考虑完成平台注册、申领CA证书等所需的时间。潜在供应商领取文件须提前完成注册、CA证书和电子签章申领和绑定、下载投标客户端。因未办理CA数字证书、CA证书故障、操作不当等原因造成无法磋商或磋商失败等后果由供应商自行承担。供应商登录</w:t>
      </w:r>
      <w:r>
        <w:rPr>
          <w:rFonts w:hint="eastAsia" w:ascii="仿宋" w:hAnsi="仿宋" w:eastAsia="仿宋" w:cs="仿宋"/>
          <w:sz w:val="24"/>
          <w:szCs w:val="24"/>
          <w:lang w:eastAsia="zh-CN"/>
        </w:rPr>
        <w:t>新疆政府采购网</w:t>
      </w:r>
      <w:r>
        <w:rPr>
          <w:rFonts w:hint="eastAsia" w:ascii="仿宋" w:hAnsi="仿宋" w:eastAsia="仿宋" w:cs="仿宋"/>
          <w:sz w:val="24"/>
          <w:szCs w:val="24"/>
        </w:rPr>
        <w:t>“供应商注册”—“</w:t>
      </w:r>
      <w:r>
        <w:rPr>
          <w:rFonts w:hint="eastAsia" w:ascii="仿宋" w:hAnsi="仿宋" w:eastAsia="仿宋" w:cs="仿宋"/>
          <w:sz w:val="24"/>
          <w:szCs w:val="24"/>
          <w:lang w:eastAsia="zh-CN"/>
        </w:rPr>
        <w:t>新疆</w:t>
      </w:r>
      <w:r>
        <w:rPr>
          <w:rFonts w:hint="eastAsia" w:ascii="仿宋" w:hAnsi="仿宋" w:eastAsia="仿宋" w:cs="仿宋"/>
          <w:sz w:val="24"/>
          <w:szCs w:val="24"/>
        </w:rPr>
        <w:t>政府采购供应商入驻登记”—“立即登记”进行自助注册绑定。</w:t>
      </w:r>
    </w:p>
    <w:p w14:paraId="1CAF8AC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10.2供应商将</w:t>
      </w:r>
      <w:r>
        <w:rPr>
          <w:rFonts w:hint="eastAsia" w:ascii="仿宋" w:hAnsi="仿宋" w:eastAsia="仿宋" w:cs="仿宋"/>
          <w:sz w:val="24"/>
          <w:szCs w:val="24"/>
          <w:lang w:eastAsia="zh-CN"/>
        </w:rPr>
        <w:t>新疆政府采购</w:t>
      </w:r>
      <w:r>
        <w:rPr>
          <w:rFonts w:hint="eastAsia" w:ascii="仿宋" w:hAnsi="仿宋" w:eastAsia="仿宋" w:cs="仿宋"/>
          <w:sz w:val="24"/>
          <w:szCs w:val="24"/>
        </w:rPr>
        <w:t>电子交易云平台电子交易客户端下载、安装完成后，可通过账号密码或CA登录客户端进行响应文件制作。在使用政采云投标客户端时，建议使用</w:t>
      </w:r>
      <w:r>
        <w:rPr>
          <w:rFonts w:hint="eastAsia" w:ascii="仿宋" w:hAnsi="仿宋" w:eastAsia="仿宋" w:cs="仿宋"/>
          <w:sz w:val="24"/>
          <w:szCs w:val="24"/>
          <w:lang w:eastAsia="zh-CN"/>
        </w:rPr>
        <w:t>WIN7+64位及以上操作系统</w:t>
      </w:r>
      <w:r>
        <w:rPr>
          <w:rFonts w:hint="eastAsia" w:ascii="仿宋" w:hAnsi="仿宋" w:eastAsia="仿宋" w:cs="仿宋"/>
          <w:sz w:val="24"/>
          <w:szCs w:val="24"/>
        </w:rPr>
        <w:t>。供应商登录</w:t>
      </w:r>
      <w:r>
        <w:rPr>
          <w:rFonts w:hint="eastAsia" w:ascii="仿宋" w:hAnsi="仿宋" w:eastAsia="仿宋" w:cs="仿宋"/>
          <w:sz w:val="24"/>
          <w:szCs w:val="24"/>
          <w:lang w:eastAsia="zh-CN"/>
        </w:rPr>
        <w:t>新疆政府采购网</w:t>
      </w:r>
      <w:r>
        <w:rPr>
          <w:rFonts w:hint="eastAsia" w:ascii="仿宋" w:hAnsi="仿宋" w:eastAsia="仿宋" w:cs="仿宋"/>
          <w:sz w:val="24"/>
          <w:szCs w:val="24"/>
        </w:rPr>
        <w:t>“下载专区”—“电子招投标客户端下载”下载相关客户端，如有问题可拨打政采云客户服务热线95763进行咨询。</w:t>
      </w:r>
    </w:p>
    <w:p w14:paraId="492FD7E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10.3加密的电子响应文件应在响应文件递交截止时间前通过政采云平台上传完成。逾期上传或者未上传指定地点的响应文件，不予受理。</w:t>
      </w:r>
    </w:p>
    <w:p w14:paraId="2F7F59D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10.4供应商在磋商前须提前配置好电脑及浏览器，磋商时请使用制作加密电子响应文件的CA锁进行解密及报价确认。本项目响应文件解密时间详“供应商须知前附表”，如因自身原因导致无法正常解密，后果由供应商自行承担。</w:t>
      </w:r>
    </w:p>
    <w:p w14:paraId="3B62A87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10.5如遇“</w:t>
      </w:r>
      <w:r>
        <w:rPr>
          <w:rFonts w:hint="eastAsia" w:ascii="仿宋" w:hAnsi="仿宋" w:eastAsia="仿宋" w:cs="仿宋"/>
          <w:sz w:val="24"/>
          <w:szCs w:val="24"/>
          <w:lang w:eastAsia="zh-CN"/>
        </w:rPr>
        <w:t>政采云平台（http：//www.zcygov.cn/）</w:t>
      </w:r>
      <w:r>
        <w:rPr>
          <w:rFonts w:hint="eastAsia" w:ascii="仿宋" w:hAnsi="仿宋" w:eastAsia="仿宋" w:cs="仿宋"/>
          <w:sz w:val="24"/>
          <w:szCs w:val="24"/>
        </w:rPr>
        <w:t>”电子交易规则调整，以最新要求为准。</w:t>
      </w:r>
    </w:p>
    <w:p w14:paraId="5CC7E08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10.6电子交易系统咨询：供应商应当充分考虑到电子响应可能会发生的各种问题和风险，特别是响应文件签署、提交等问题，可按照“第一章竞争性磋商公告”的联系方式咨询相关人员。</w:t>
      </w:r>
    </w:p>
    <w:p w14:paraId="019B030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10.7由于本项目采用电子磋商方式，潜在供应商的名单将在递交响应文件截止时间后才会解密。因此，采购人或采购代理机构无法通过传统的传真或邮件方式，将竞争性磋商文件的澄清或修改内容逐一通知到每位已获取竞争性磋商文件的潜在供应商。为确保信息的及时性和准确性，澄清或修改的内容将仅在政采云平台以更正公告的形式发布。潜在供应商需密切关注该网站，及时查看并下载相关更正公告。若因潜在供应商未能及时查看或下载相关更正公告，而导致的一切后果，将由潜在供应商自行承担。</w:t>
      </w:r>
    </w:p>
    <w:p w14:paraId="76BA5FB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（二）磋商文件</w:t>
      </w:r>
    </w:p>
    <w:p w14:paraId="31455CB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11.磋商文件的构成</w:t>
      </w:r>
    </w:p>
    <w:p w14:paraId="5863581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第一章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竞争性磋商公告</w:t>
      </w:r>
    </w:p>
    <w:p w14:paraId="785287A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第二章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供应商须知</w:t>
      </w:r>
    </w:p>
    <w:p w14:paraId="4B6E532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第三章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项目采购需求</w:t>
      </w:r>
    </w:p>
    <w:p w14:paraId="55A2D8D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第四章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评审方法及标准</w:t>
      </w:r>
    </w:p>
    <w:p w14:paraId="45CB6AD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第五章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合同</w:t>
      </w:r>
    </w:p>
    <w:p w14:paraId="133EF08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第六章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响应文件的格式</w:t>
      </w:r>
    </w:p>
    <w:p w14:paraId="1DBEC1A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12.磋商文件的澄清或修改</w:t>
      </w:r>
    </w:p>
    <w:p w14:paraId="3C10B79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12.1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磋商文件询问的答复，在必要时将以澄清形式推送给每个获取竞争性磋商文件的潜在供应商</w:t>
      </w:r>
      <w:r>
        <w:rPr>
          <w:rFonts w:hint="eastAsia" w:ascii="仿宋" w:hAnsi="仿宋" w:eastAsia="仿宋" w:cs="仿宋"/>
          <w:sz w:val="24"/>
          <w:szCs w:val="24"/>
          <w:lang w:eastAsia="zh-CN"/>
        </w:rPr>
        <w:t>（</w:t>
      </w:r>
      <w:r>
        <w:rPr>
          <w:rFonts w:hint="eastAsia" w:ascii="仿宋" w:hAnsi="仿宋" w:eastAsia="仿宋" w:cs="仿宋"/>
          <w:sz w:val="24"/>
          <w:szCs w:val="24"/>
        </w:rPr>
        <w:t>答复中不包括问题的来源</w:t>
      </w:r>
      <w:r>
        <w:rPr>
          <w:rFonts w:hint="eastAsia" w:ascii="仿宋" w:hAnsi="仿宋" w:eastAsia="仿宋" w:cs="仿宋"/>
          <w:sz w:val="24"/>
          <w:szCs w:val="24"/>
          <w:lang w:eastAsia="zh-CN"/>
        </w:rPr>
        <w:t>）</w:t>
      </w:r>
      <w:r>
        <w:rPr>
          <w:rFonts w:hint="eastAsia" w:ascii="仿宋" w:hAnsi="仿宋" w:eastAsia="仿宋" w:cs="仿宋"/>
          <w:sz w:val="24"/>
          <w:szCs w:val="24"/>
        </w:rPr>
        <w:t>。</w:t>
      </w:r>
    </w:p>
    <w:p w14:paraId="6631EDF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供应商在规定的时间内未对竞争性磋商文件提出疑问或要求澄清的，采购代理机构将视其为同意，对在“供应商须知前附表”中“提出询问的时间要求”之后就竞争性磋商文件内容提出的疑问及澄清要求将不予受理。</w:t>
      </w:r>
    </w:p>
    <w:p w14:paraId="6AA8159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12.2采购人或者采购代理机构可以对已发出的竞争性磋商文件进行必要的澄清或者修改。澄清或修改的内容为竞争性磋商文件的组成部分，并对所有获取竞争性磋商文件的潜在供应商具有约束力。</w:t>
      </w:r>
    </w:p>
    <w:p w14:paraId="4AEABE6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12.3竞争性磋商文件的澄清或者修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竞争性磋商文件的供应商，不足5日的，应当顺延提交首次响应文件的截止时间。</w:t>
      </w:r>
    </w:p>
    <w:p w14:paraId="33BA057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12.4“供应商须知”所称“书面形式”包括系统消息、政府采购云平台发布的公告。</w:t>
      </w:r>
    </w:p>
    <w:p w14:paraId="60D653B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12.5采购代理机构一旦对竞争性磋商文件作出了澄清、修改，即刻发生效力，采购代理机构有关的澄清、修改文件，将作为竞争性磋商文件的组成部分，对所有现实的或潜在的供应商均具有约束力，而无论是否已经实际收到上述文件。同时，采购代理机构和供应商的权利及义务将受到新的截止期的约束。</w:t>
      </w:r>
    </w:p>
    <w:p w14:paraId="654FF75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12.6采购代理机构对竞争性磋商文件作出的澄清、修改在平台内进行披露，请供应商及时关注并获取相关资料。因登记有误、线路故障或其它任何意外情形，导致供应商未及时获取的，采购代理机构不因此承担任何责任，且有关的磋商活动继续有效地进行。当竞争性磋商文件的澄清、修改及进行其他答复等就同一内容的表述不一致时，以最后发布的内容为准。</w:t>
      </w:r>
    </w:p>
    <w:p w14:paraId="180CDD5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（三）响应文件</w:t>
      </w:r>
    </w:p>
    <w:p w14:paraId="3552DEF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13.响应文件的组成</w:t>
      </w:r>
    </w:p>
    <w:p w14:paraId="2F8C10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13.1供应商应完整地按竞争性磋商文件提供的响应文件格式及要求编写响应文件，具体内容详见“第六章</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响应文件的格式”的相关内容。</w:t>
      </w:r>
    </w:p>
    <w:p w14:paraId="4FF9AAA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13.2供应商应提交竞争性磋商文件要求的证明文件，证明其响应内容符合竞争性磋商文件规定，该证明文件是响应文件的一部分。证明文件形式可以是文字资料、图纸和数据等。</w:t>
      </w:r>
    </w:p>
    <w:p w14:paraId="3E7EDB8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13.3为保证公平公正，除非本磋商文件另有规定或说明，供应商对同一项目响应时，不得同时提供备选响应方案。</w:t>
      </w:r>
    </w:p>
    <w:p w14:paraId="6D47816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14.磋商报价</w:t>
      </w:r>
    </w:p>
    <w:p w14:paraId="16A2702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14.1磋商供应商的报价均应以人民币报价。磋商报价包括磋商供应商在首次提交的响应文件中的报价、磋商过程中的报价和最后报价，且均不得超过“第一章竞争性磋商公告”中规定的最高限价或者预算金额，否则其响应文件将被视为无效文件。</w:t>
      </w:r>
    </w:p>
    <w:p w14:paraId="72C54D1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无效文件。</w:t>
      </w:r>
    </w:p>
    <w:p w14:paraId="004B562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供应商的报价应包括为完成本项目所发生的一切费用和税费，采购人将不再支付报价以外的任何费用。只要投报了一个确定数额的总价，无论分项价格是否全部填报了相应的金额或免费字样，报价应被视为已经包含了但并不限于各分项工程费用及购买货物及其运送、安装、调试、验收、保险和相关服务等的费用和所需缴纳的所有价格、税、费。在其他情况下，由于已标价工程量清单填报不完整、不清楚或存在其他任何失误，所导致的任何不利后果均应当由供应商自行承担。</w:t>
      </w:r>
    </w:p>
    <w:p w14:paraId="06BBC22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供应商的报价应包括但不限于下列内容：</w:t>
      </w:r>
    </w:p>
    <w:p w14:paraId="6DBD3AB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14.2.1磋商工程费用及相关货物（含标准附件、备品备件、专用工具）等的出厂价（包括已在中国国内的进口货物完税后的仓库交货价、展室交货价或货架交货价）和运至最终目的地的运输费和保险费，安装调试、检验、技术服务、培训、质量保证、售后服务、税费等；</w:t>
      </w:r>
    </w:p>
    <w:p w14:paraId="6B3F144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14.2.2按照磋商文件要求完成本项目的全部相关费用。</w:t>
      </w:r>
    </w:p>
    <w:p w14:paraId="30181A1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14.3供应商须严格按照工程量清单规定的内容填写单价、合价以及其他事项。供应商应根据本磋商文件的规定和要求、市场价格水平及其走势、磋商供应商的管理水平、磋商供应商的方案和由这些因素决定的磋商供应商之于本项目的成本水平等提出自己的报价。报价应合理，并包含完成本磋商文件采购需求全部内容的所有费用，所有根据本磋商文件或其它原因应由磋商供应商支付的税款和其他应交纳的费用都应包括在报价中。</w:t>
      </w:r>
    </w:p>
    <w:p w14:paraId="514730F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14.4供应商在响应文件中注明免费的项目将视为包含在报价中。</w:t>
      </w:r>
    </w:p>
    <w:p w14:paraId="493176A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14.5每一种采购内容只允许有一个报价，否则其响应文件将被视为无效文件。除非磋商文件另有规定，不接受可选择或可调整的磋商方案和报价，任何有选择的或可调整的磋商方案和报价将被视为非响应性磋商而被拒绝。</w:t>
      </w:r>
    </w:p>
    <w:p w14:paraId="27456C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14.6供应商对磋商报价若有说明应在响应文件中显著处注明。</w:t>
      </w:r>
    </w:p>
    <w:p w14:paraId="651691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除政策性文件规定以外，供应商所报价格在合同实施期间不因市场变化因素而变动。</w:t>
      </w:r>
    </w:p>
    <w:p w14:paraId="45F30AF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14.7对于有配件、耗材、选件、备件和特殊工具的货物，还应填报磋商货物配件、耗材、选件表和备件及特殊工具清单，注明品牌、型号、产地、功能、单价、批量折扣等内容，该表格格式由供应商自行设计。供应商按照上述要求分类报价，其目的是便于评审，但在任何情况下并不限制采购人以其他条款签订合同的权利。</w:t>
      </w:r>
    </w:p>
    <w:p w14:paraId="48B5119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14.8最低报价不能作为成交的保证。</w:t>
      </w:r>
    </w:p>
    <w:p w14:paraId="49B6AC5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14.9供应商不能提供任何有选择性或可调整的报价（磋商文件另有规定的除外），否则其响应无效。</w:t>
      </w:r>
    </w:p>
    <w:p w14:paraId="6F80E9D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14.10采购人不得向供应商索要或者接受其给予的赠品、回扣或者与采购无关的其他商品、服务。</w:t>
      </w:r>
    </w:p>
    <w:p w14:paraId="302C8FA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15.响应文件有效期</w:t>
      </w:r>
    </w:p>
    <w:p w14:paraId="2F02992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15.1供应商提交的响应文件有效期见“供应商须知前附表”，磋商供应商承诺的响应文件有效期少于磋商文件规定期限的，其响应无效。</w:t>
      </w:r>
    </w:p>
    <w:p w14:paraId="1E91260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15.2响应文件有效期从递交响应文件的截止之日起算。响应文件中承诺的有效期应当不少于竞争性磋商文件中载明的响应文件有效期。响应文件有效期内供应商撤销响应文件的，采购人或者采购代理机构可以不退还磋商保证金。</w:t>
      </w:r>
    </w:p>
    <w:p w14:paraId="6C6E29D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15.3特殊情况下，在原响应文件有效期截止之前，采购代理机构或采购人可要求供应商延长响应文件有效期。需要延长响应文件有效期时，采购代理机构或采购人将以书面形式通知所有磋商供应商，供应商应以书面形式答复是否同意延长响应文件有效期。</w:t>
      </w:r>
    </w:p>
    <w:p w14:paraId="45D0560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15.4供应商同意延长的，其磋商保证金的有效期也相应延长，不得要求或被允许修改或撤销其响应文件；供应商拒绝延长的，其响应文件在原响应文件有效期满后将不再有效，但其提交的磋商保证金可予以退还。</w:t>
      </w:r>
    </w:p>
    <w:p w14:paraId="2DE7687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16.响应文件的编制</w:t>
      </w:r>
    </w:p>
    <w:p w14:paraId="1F24535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16.1响应文件应在供应商客户端中进行编制，在响应文件中要求加盖印章的，除有特殊说明之外，可使用电子签章签署。</w:t>
      </w:r>
    </w:p>
    <w:p w14:paraId="5F9CF5A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16.2供应商在供应商客户端中按照供应商客户端中的格式要求填写响应内容后，生成响应文件。供应商须按照竞争性磋商文件的要求对要求加盖印章的部分逐一进行签章。</w:t>
      </w:r>
    </w:p>
    <w:p w14:paraId="698B554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16.3供应商应详细阅读竞争性磋商文件的全部内容。响应文件须对竞争性磋商文件中的内容作出实质性和完整的响应，如果响应文件填报的内容不详，或没有提供竞争性磋商文件中所要求的全部资料及数据，将可能导致其响应无效。</w:t>
      </w:r>
    </w:p>
    <w:p w14:paraId="3FA7A55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16.4响应文件须严格按照本竞争性磋商文件第六章规定的格式提交，并按规定的统一格式逐项填写，不准有空项；无相应内容可填的项，应填写“无”、“未测试”、“没有相应指标”等明确的回答文字。由于编排混乱导致响应文件被误读或查找不到，其责任由供应商承担。</w:t>
      </w:r>
    </w:p>
    <w:p w14:paraId="22EB69B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16.5供应商须注意：为合理节约政府采购评审成本，提倡诚实信用的磋商行为，特别要求供应商应本着诚信精神，在本次响应文件的偏离表中，均以审慎的态度明确、清楚地披露各项偏离。若供应商对某一事项是否存在或是否属于偏离不能确定，亦必须在偏离表中清楚地表明该偏离事项，并可以注明不能确定的字样。任何情况下，对于供应商没有在偏离表中明确、清楚地披露的事项，包括可能属于被供应商在偏离表中遗漏披露的事项，一旦在评审中被发现存在偏离或被认定为属于偏离，则评审委员会有权视具体情形评审时予以处理，将可能导致响应无效。</w:t>
      </w:r>
    </w:p>
    <w:p w14:paraId="226226A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16.6供应商必须保证响应文件所提供的全部资料合法、真实可靠，并接受采购人、采购代理机构或评审委员会对其中任何资料进一步审查的要求。</w:t>
      </w:r>
    </w:p>
    <w:p w14:paraId="4DF0726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16.7供应商在响应文件及相关文件的签订、履行、通知等事项的文件中的单位盖章、印章、公章等处均指与当事人全称相一致的标准公章，不得使用其他形式（如带有“专用章”等字样的印章）。不符合本条规定的按无效响应处理。</w:t>
      </w:r>
    </w:p>
    <w:p w14:paraId="476CBE8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16.8电子响应文件的编制</w:t>
      </w:r>
    </w:p>
    <w:p w14:paraId="355F328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16.8.1电子响应文件需按竞争性磋商文件要求进行制作编制。响应文件制作时，不同内容按标签提示制作导入，按照竞争性磋商文件中明确的响应文件目录和格式进行编制，保证目录清晰、内容完整。</w:t>
      </w:r>
    </w:p>
    <w:p w14:paraId="6B37A80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16.8.2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被视为无效响应文件，其响应无效。</w:t>
      </w:r>
    </w:p>
    <w:p w14:paraId="07E0420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（四）响应文件的递交</w:t>
      </w:r>
    </w:p>
    <w:p w14:paraId="44D8664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17.磋商保证金</w:t>
      </w:r>
    </w:p>
    <w:p w14:paraId="7379B9D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17.1供应商应按照竞争性磋商文件“供应商须知前附表”规定的金额及要求交纳磋商保证金。供应商自愿超额缴纳磋商保证金的，响应文件不做无效处理。</w:t>
      </w:r>
    </w:p>
    <w:p w14:paraId="05DD4F8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17.2交纳磋商保证金可采用的形式：政府采购法律法规接受的支票、汇票、本票、网上银行支付或者金融机构、担保机构出具的保函等非现金形式。未按磋商文件要求提交磋商保证金的，其响应无效。磋商保证金有效期同响应文件有效期。</w:t>
      </w:r>
    </w:p>
    <w:p w14:paraId="0B242D6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件扫描后作为响应文件的组成部分与响应文件一起上传。由于到账时间晚于响应文件递交截止时间，或者票据错误、印鉴不清等原因导致不能到账的，其响应无效。</w:t>
      </w:r>
    </w:p>
    <w:p w14:paraId="16B9055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17.4供应商为联合体的，可以由联合体中的一方或者多方共同交纳磋商保证金，其交纳的磋商保证金对联合体各方均具有约束力。</w:t>
      </w:r>
    </w:p>
    <w:p w14:paraId="77D12B6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17.5采购人或者采购代理机构应当在采购活动结束后及时退还供应商的磋商保证金，采用银行保函、担保机构担保函等形式递交的磋商保证金，经供应商同意后采购人、采购代理机构可以不再退还，但因供应商自身原因导致无法及时退还的除外。未成交供应商的磋商保证金应当自成交通知书发出之日起5个工作日内退还，成交供应商的磋商保证金应当自采购合同签订之日起5个工作日内退还。</w:t>
      </w:r>
    </w:p>
    <w:p w14:paraId="534FB40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17.6供应商在响应文件递交截止时间前撤回已提交的响应文件的，自收到供应商书面撤回通知之日起5个工作日内，退还已收取的磋商保证金，但因供应商自身原因导致无法及时退还的除外。</w:t>
      </w:r>
    </w:p>
    <w:p w14:paraId="68265F3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17.7终止磋商的项目已经收取磋商保证金的，自终止采购活动后5个工作日内退还已收取的磋商保证金及其在银行产生的孳息。</w:t>
      </w:r>
    </w:p>
    <w:p w14:paraId="5AC74BD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17.8有下列情形之一的，磋商保证金不予退还,情节严重的将其列入不良记录名单：</w:t>
      </w:r>
    </w:p>
    <w:p w14:paraId="1640754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17.8.1供应商在提交响应文件截止时间后撤回响应文件的；</w:t>
      </w:r>
    </w:p>
    <w:p w14:paraId="7743239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17.8.2供应商在响应文件中提供虚假材料的；</w:t>
      </w:r>
    </w:p>
    <w:p w14:paraId="1CE0F26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17.8.3除因不可抗力或磋商文件认可的情形以外，成交供应商不与采购人签订合同的；</w:t>
      </w:r>
    </w:p>
    <w:p w14:paraId="77EA7EC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17.8.4供应商与采购人、其他供应商或者采购代理机构恶意串通的；</w:t>
      </w:r>
    </w:p>
    <w:p w14:paraId="225117C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17.8.5磋商文件规定的其他情形。</w:t>
      </w:r>
    </w:p>
    <w:p w14:paraId="1B63F7C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18.响应文件的加密</w:t>
      </w:r>
    </w:p>
    <w:p w14:paraId="5F7F5A5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18.1供应商在供应商客户端中生成响应文件并完成签章之后，使用CA证书在供应商客户端中对响应文件进行加密。</w:t>
      </w:r>
    </w:p>
    <w:p w14:paraId="3F9CF75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18.2供应商应在供应商客户端中对加密的响应文件进行解密验证，以防止响应文件加密异常，在开启时无法解密。</w:t>
      </w:r>
    </w:p>
    <w:p w14:paraId="79AD3A1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18.3供应商应保证加密响应文件的CA证书有效期在开启时间之前。若CA证书有效期临近开启时间，建议供应商提前办理CA证书续期，以免开启时无法进行解密。</w:t>
      </w:r>
    </w:p>
    <w:p w14:paraId="6F63D78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18.4供应商在响应文件递交截止时间前通过</w:t>
      </w:r>
      <w:r>
        <w:rPr>
          <w:rFonts w:hint="eastAsia" w:ascii="仿宋" w:hAnsi="仿宋" w:eastAsia="仿宋" w:cs="仿宋"/>
          <w:sz w:val="24"/>
          <w:szCs w:val="24"/>
          <w:lang w:eastAsia="zh-CN"/>
        </w:rPr>
        <w:t>新疆政府采购网</w:t>
      </w:r>
      <w:r>
        <w:rPr>
          <w:rFonts w:hint="eastAsia" w:ascii="仿宋" w:hAnsi="仿宋" w:eastAsia="仿宋" w:cs="仿宋"/>
          <w:sz w:val="24"/>
          <w:szCs w:val="24"/>
        </w:rPr>
        <w:t>（https://www.zcygov.cn/）的”政采云登录入口”登录后，将加密电子响应文件</w:t>
      </w:r>
      <w:r>
        <w:rPr>
          <w:rFonts w:hint="eastAsia" w:ascii="仿宋" w:hAnsi="仿宋" w:eastAsia="仿宋" w:cs="仿宋"/>
          <w:sz w:val="24"/>
          <w:szCs w:val="24"/>
          <w:lang w:eastAsia="zh-CN"/>
        </w:rPr>
        <w:t>，</w:t>
      </w:r>
      <w:r>
        <w:rPr>
          <w:rFonts w:hint="eastAsia" w:ascii="仿宋" w:hAnsi="仿宋" w:eastAsia="仿宋" w:cs="仿宋"/>
          <w:sz w:val="24"/>
          <w:szCs w:val="24"/>
        </w:rPr>
        <w:t>上传到对应项目的指定位置，供应商认为有必要提交的其他资料请于响应文件递交截止时间前一并提交。</w:t>
      </w:r>
    </w:p>
    <w:p w14:paraId="0068CB2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18.5如果供应商未按上述要求加密并上传，采购代理机构对响应文件的误投、无法解密、传输错误等问题概不负责。对由此造成无法正常开启的响应文件，采购代理机构有权予以拒绝，并退回供应商。</w:t>
      </w:r>
    </w:p>
    <w:p w14:paraId="038DE22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18.6本项目采用不见面开启方式，无需提供电子响应文件U盘。</w:t>
      </w:r>
    </w:p>
    <w:p w14:paraId="4C8BA76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19.响应文件的递交（上传）</w:t>
      </w:r>
    </w:p>
    <w:p w14:paraId="6DA382A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19.1供应商应在“第一章竞争性磋商公告”规定的响应文件递交截止时间前递交（上传）响应文件。</w:t>
      </w:r>
    </w:p>
    <w:p w14:paraId="371FBD5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19.2供应商递交（上传）响应文件的地点见“第一章竞争性磋商公告”。</w:t>
      </w:r>
    </w:p>
    <w:p w14:paraId="78AB454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19.3供应商应充分评估集中同时递交响应文件带来的网络影响，尽量避开递交响应文件高峰时间，错峰进行递交。供应商递交全部的响应文件后可在政采云平台（项目采购—投标文件上传）中获取响应文件递交回执单。</w:t>
      </w:r>
    </w:p>
    <w:p w14:paraId="02B50C3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19.4供应商应在供应商客户端中下载未加密且完成签章的响应文件妥善保存，以便启动应急开启程序时使用。</w:t>
      </w:r>
    </w:p>
    <w:p w14:paraId="48D3BA8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19.5供应商所递交的响应文件不予退还。</w:t>
      </w:r>
    </w:p>
    <w:p w14:paraId="306DB95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20.拒收</w:t>
      </w:r>
    </w:p>
    <w:p w14:paraId="698B150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20.1超过递交响应文件的截止时间或者不按照本章要求加密的响应文件，交易系统应当拒收。</w:t>
      </w:r>
    </w:p>
    <w:p w14:paraId="609B28D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21.响应文件的修改与撤回</w:t>
      </w:r>
    </w:p>
    <w:p w14:paraId="25F845D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21.1供应商在“第一章竞争性磋商公告”规定的响应文件递交截止时间之前，可在</w:t>
      </w:r>
      <w:r>
        <w:rPr>
          <w:rFonts w:hint="eastAsia" w:ascii="仿宋" w:hAnsi="仿宋" w:eastAsia="仿宋" w:cs="仿宋"/>
          <w:sz w:val="24"/>
          <w:szCs w:val="24"/>
          <w:lang w:eastAsia="zh-CN"/>
        </w:rPr>
        <w:t>新疆政府采购</w:t>
      </w:r>
      <w:r>
        <w:rPr>
          <w:rFonts w:hint="eastAsia" w:ascii="仿宋" w:hAnsi="仿宋" w:eastAsia="仿宋" w:cs="仿宋"/>
          <w:sz w:val="24"/>
          <w:szCs w:val="24"/>
        </w:rPr>
        <w:t>电子交易云平台上随时撤回已上传的电子响应文件，将修改好的电子响应文件在响应文件递交截止时间前重新上传到</w:t>
      </w:r>
      <w:r>
        <w:rPr>
          <w:rFonts w:hint="eastAsia" w:ascii="仿宋" w:hAnsi="仿宋" w:eastAsia="仿宋" w:cs="仿宋"/>
          <w:sz w:val="24"/>
          <w:szCs w:val="24"/>
          <w:lang w:eastAsia="zh-CN"/>
        </w:rPr>
        <w:t>新疆政府采购</w:t>
      </w:r>
      <w:r>
        <w:rPr>
          <w:rFonts w:hint="eastAsia" w:ascii="仿宋" w:hAnsi="仿宋" w:eastAsia="仿宋" w:cs="仿宋"/>
          <w:sz w:val="24"/>
          <w:szCs w:val="24"/>
        </w:rPr>
        <w:t>电子交易云平台的指定位置。</w:t>
      </w:r>
    </w:p>
    <w:p w14:paraId="10BFA12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（五）响应文件开启</w:t>
      </w:r>
    </w:p>
    <w:p w14:paraId="34CB1BD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22.响应文件开启</w:t>
      </w:r>
    </w:p>
    <w:p w14:paraId="5FAFC11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22.1供应商应按照“第一章竞争性磋商公告”中的要求参与开启。</w:t>
      </w:r>
    </w:p>
    <w:p w14:paraId="22ABFB7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23.开启时间和地点</w:t>
      </w:r>
    </w:p>
    <w:p w14:paraId="433C49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23.1开启时间和地点</w:t>
      </w:r>
    </w:p>
    <w:p w14:paraId="402D520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（1）递交响应文件截止时间前，供应商登录供应商客户端，通过供应商客户端进入交易系统“开标大厅”选择所投项目（或采购包）完成项目签到工作。</w:t>
      </w:r>
    </w:p>
    <w:p w14:paraId="7997EC5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（2）在“第一章竞争性磋商公告”规定的递交响应文件截止时间、开启时间及地点，采购代理机构通过</w:t>
      </w:r>
      <w:r>
        <w:rPr>
          <w:rFonts w:hint="eastAsia" w:ascii="仿宋" w:hAnsi="仿宋" w:eastAsia="仿宋" w:cs="仿宋"/>
          <w:sz w:val="24"/>
          <w:szCs w:val="24"/>
          <w:lang w:val="en-US" w:eastAsia="zh-CN"/>
        </w:rPr>
        <w:t>新疆</w:t>
      </w:r>
      <w:r>
        <w:rPr>
          <w:rFonts w:hint="eastAsia" w:ascii="仿宋" w:hAnsi="仿宋" w:eastAsia="仿宋" w:cs="仿宋"/>
          <w:sz w:val="24"/>
          <w:szCs w:val="24"/>
        </w:rPr>
        <w:t>政府采购电子交易云平台的“政采云远程开标大厅”组织响应文件开启工作。</w:t>
      </w:r>
    </w:p>
    <w:p w14:paraId="4923EC0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23.2响应文件开启：递交响应文件截止时间到后，工作人员启动开始解密指令，供应商应当按照“供应商须知前附表”规定及时进行响应文件解密，完成响应文件开启工作。</w:t>
      </w:r>
    </w:p>
    <w:p w14:paraId="6800AC6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23.3规定的时间内，非因</w:t>
      </w:r>
      <w:r>
        <w:rPr>
          <w:rFonts w:hint="eastAsia" w:ascii="仿宋" w:hAnsi="仿宋" w:eastAsia="仿宋" w:cs="仿宋"/>
          <w:sz w:val="24"/>
          <w:szCs w:val="24"/>
          <w:lang w:eastAsia="zh-CN"/>
        </w:rPr>
        <w:t>新疆政府采购</w:t>
      </w:r>
      <w:r>
        <w:rPr>
          <w:rFonts w:hint="eastAsia" w:ascii="仿宋" w:hAnsi="仿宋" w:eastAsia="仿宋" w:cs="仿宋"/>
          <w:sz w:val="24"/>
          <w:szCs w:val="24"/>
        </w:rPr>
        <w:t>电子交易云平台原因造成响应文件未解密的，视为供应商撤回响应文件。停止解密后，已解密开启的响应文件不足3家的，应当终止采购活动。</w:t>
      </w:r>
    </w:p>
    <w:p w14:paraId="137622F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23.4供应商或其授权代表对响应文件开启过程有疑义的，以及认为采购人、采购代理机构相关工作人员有需要回避的情形的，应在开启会议中提出询问或者回避申请。采购人、采购代理机构对供应商授权代表提出的询问或者回避申请应当及时处理。</w:t>
      </w:r>
    </w:p>
    <w:p w14:paraId="70BEBF9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23.5供应商未参加开启的，视同认可开启结果。</w:t>
      </w:r>
    </w:p>
    <w:p w14:paraId="3AF6991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（六）资格审查</w:t>
      </w:r>
    </w:p>
    <w:p w14:paraId="02D02EE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24.资格审查及审查主体</w:t>
      </w:r>
    </w:p>
    <w:p w14:paraId="7B79F54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24.1开启结束后，磋商小组依据法律法规和本竞争性磋商文件的规定，依法对供应商资格进行审查，以确定供应商是否具备磋商资格。</w:t>
      </w:r>
    </w:p>
    <w:p w14:paraId="6EAF49A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24.2资格审查按“第四章评审方法及标准”的规定进行。</w:t>
      </w:r>
    </w:p>
    <w:p w14:paraId="5D76CFB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24.3资格审查结束后，应及时对资格审查结果进行复核，对资格审查错误进行及时纠正并记录。</w:t>
      </w:r>
    </w:p>
    <w:p w14:paraId="1F598B9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24.4资格审查合格供应商不足3家的，不得评审。</w:t>
      </w:r>
    </w:p>
    <w:p w14:paraId="3B89F43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（七）项目评审</w:t>
      </w:r>
    </w:p>
    <w:p w14:paraId="0196C04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25.评审方法、程序及标准</w:t>
      </w:r>
    </w:p>
    <w:p w14:paraId="5179C63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25.1评审方法：综合评分法。</w:t>
      </w:r>
    </w:p>
    <w:p w14:paraId="7D7C60A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综合评分法，是指响应文件满足磋商文件全部实质性要求且按评审因素的量化指标评审得分最高的供应商为成交候选供应商的评审方法。</w:t>
      </w:r>
    </w:p>
    <w:p w14:paraId="6A00768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本项目评审方法、程序及标准详见“第四章评审方法及标准”。</w:t>
      </w:r>
    </w:p>
    <w:p w14:paraId="04778F6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25.2磋商准备：供应商应当按照“第二章供应商须知”的要求提前准备好磋商所需的设备，确保设备稳定可靠、互联网畅通。供应商登录供应商客户端，通过供应商客户端进入交易系统“开标大厅”，准时参加在线磋商，按照工作人员提示进行相关操作。未按上述要求进行的，导致的后果由供应商自行承担。</w:t>
      </w:r>
    </w:p>
    <w:p w14:paraId="7B6D8F1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26.磋商小组</w:t>
      </w:r>
    </w:p>
    <w:p w14:paraId="2E40C56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26.1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FBCAC1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26.2磋商小组成员有下列情形之一的，应当回避：</w:t>
      </w:r>
    </w:p>
    <w:p w14:paraId="66E96AE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（1）参加采购活动前3年内与磋商供应商存在劳动关系；</w:t>
      </w:r>
    </w:p>
    <w:p w14:paraId="6184440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（2）参加采购活动前3年内担任磋商供应商的董事、监事；</w:t>
      </w:r>
    </w:p>
    <w:p w14:paraId="00809A6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（3）参加采购活动前3年内是磋商供应商的控股股东或者实际控制人；</w:t>
      </w:r>
    </w:p>
    <w:p w14:paraId="1BA1470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（4）与磋商供应商的法定代表人或者负责人有夫妻、直系血亲、三代以内旁系血亲或者近姻亲关系；</w:t>
      </w:r>
    </w:p>
    <w:p w14:paraId="680819C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（5）与磋商供应商有其他可能影响采购活动公平、公正进行的关系。</w:t>
      </w:r>
    </w:p>
    <w:p w14:paraId="1AE3053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27.评审</w:t>
      </w:r>
    </w:p>
    <w:p w14:paraId="1B253B5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27.1磋商小组按照“第四章评审方法及标准”的规定对响应文件进行评审。“第四章评审方法及标准”没有规定的方法、评审因素和标准，不作为评审依据。</w:t>
      </w:r>
    </w:p>
    <w:p w14:paraId="6C58EFB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27.2磋商小组按“供应商须知前附表”规定的成交候选人数量在评审报告中向采购人推荐成交候选人。</w:t>
      </w:r>
    </w:p>
    <w:p w14:paraId="30E7505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27.3开启之后，直到签订合同止，凡是属于审查、澄清、评价和比较磋商的有关资料以及确定成交意向等，均不得向供应商或者其他与评审无关的人员透露。</w:t>
      </w:r>
    </w:p>
    <w:p w14:paraId="2A2B4AC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27.4在确定成交人之前，供应商试图在响应文件审查、澄清、比较和评审时对磋商小组、采购人和采购代理机构施加任何影响都可能导致其响应无效。</w:t>
      </w:r>
    </w:p>
    <w:p w14:paraId="1DC4687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27.5电子招投标的应急措施</w:t>
      </w:r>
    </w:p>
    <w:p w14:paraId="4342D0A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27.5.1电子开启、评审如出现下列原因，导致系统无法正常运行或无法正常评审时，应采取应急措施。</w:t>
      </w:r>
    </w:p>
    <w:p w14:paraId="2D92855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（1）系统服务器发生故障，无法访问或无法使用系统；</w:t>
      </w:r>
    </w:p>
    <w:p w14:paraId="3D1CFFF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（2）系统的软件或数据库出现错误，不能进行正常操作；</w:t>
      </w:r>
    </w:p>
    <w:p w14:paraId="0FD76DB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（3）系统发现有安全漏洞，有潜在的泄密危险；</w:t>
      </w:r>
    </w:p>
    <w:p w14:paraId="31E02B7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（4）病毒发作或受到外来病毒的攻击；</w:t>
      </w:r>
    </w:p>
    <w:p w14:paraId="76CCF7C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（5）出现其他不可抗拒的客观原因造成开评标系统无法正常使用。</w:t>
      </w:r>
    </w:p>
    <w:p w14:paraId="264083D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出现上述情况时，应对未开启的暂停开启。已在系统内开启、评审的立即停止。采取应急措施时，必须对原有资料及信息作出妥善保密处理。</w:t>
      </w:r>
    </w:p>
    <w:p w14:paraId="05CF791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27.5.2因系统原因导致供应商均无法解密电子响应文件时，采购代理机构可在开启现场直接导入供应商在递交响应文件截止时间前递交的未加密的电子响应文件进行开启、评审。</w:t>
      </w:r>
    </w:p>
    <w:p w14:paraId="5DA4098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27.6供应商瑕疵滞后发现的处理规则</w:t>
      </w:r>
    </w:p>
    <w:p w14:paraId="2E3F8CD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27.6.1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14:paraId="298D6F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（八）成交</w:t>
      </w:r>
    </w:p>
    <w:p w14:paraId="6D1138C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28.确定成交供应商</w:t>
      </w:r>
    </w:p>
    <w:p w14:paraId="440EC1E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28.1确定成交供应商详见“供应商须知前附表”。</w:t>
      </w:r>
    </w:p>
    <w:p w14:paraId="0E81123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29.成交结果公告</w:t>
      </w:r>
    </w:p>
    <w:p w14:paraId="5AAA0A8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29.1采购人或者采购代理机构应当在成交供应商确定后2个工作日内，在省级以上财政部门指定的政府采购信息发布媒体上公告成交结果，磋商文件、成交供应商的评审总得分随成交结果同时公告。</w:t>
      </w:r>
    </w:p>
    <w:p w14:paraId="50F3D11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29.2成交人为中小企业享受中小企业扶持政策的，其“中小企业声明函”随成交结果同时公告。</w:t>
      </w:r>
    </w:p>
    <w:p w14:paraId="1D3CD4F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30.成交通知书</w:t>
      </w:r>
    </w:p>
    <w:p w14:paraId="325BAD5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30.1发布成交结果公告同时向成交供应商发出成交通知书。成交通知书是合同的组成部分,对成交供应商和采购人具有同等法律效力。</w:t>
      </w:r>
    </w:p>
    <w:p w14:paraId="7853A28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（九）签订合同</w:t>
      </w:r>
    </w:p>
    <w:p w14:paraId="37EB37F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31.履约保证金</w:t>
      </w:r>
    </w:p>
    <w:p w14:paraId="7C892DE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31.1在签订合同前，成交供应商应按“供应商须知前附表”规定的金额、担保形式和采购人认可的履约担保格式向采购人提交履约保证金。</w:t>
      </w:r>
    </w:p>
    <w:p w14:paraId="60C7CA4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31.2成交供应商不能按本章第31.1项要求提交履约担保的，视为放弃成交，给采购人造成损失的，成交供应商还应当承担民事责任。</w:t>
      </w:r>
    </w:p>
    <w:p w14:paraId="28D793B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32.签订合同</w:t>
      </w:r>
    </w:p>
    <w:p w14:paraId="0E14084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32.1采购人与成交供应商应当在成交通知书发出之日起</w:t>
      </w:r>
      <w:r>
        <w:rPr>
          <w:rFonts w:hint="eastAsia" w:ascii="仿宋" w:hAnsi="仿宋" w:eastAsia="仿宋" w:cs="仿宋"/>
          <w:sz w:val="24"/>
          <w:szCs w:val="24"/>
          <w:lang w:val="en-US" w:eastAsia="zh-CN"/>
        </w:rPr>
        <w:t>30</w:t>
      </w:r>
      <w:r>
        <w:rPr>
          <w:rFonts w:hint="eastAsia" w:ascii="仿宋" w:hAnsi="仿宋" w:eastAsia="仿宋" w:cs="仿宋"/>
          <w:sz w:val="24"/>
          <w:szCs w:val="24"/>
        </w:rPr>
        <w:t>日内，按照磋商文件确定的合同文本以及采购标的、规格型号、采购金额、采购数量、技术和服务要求等事项签订政府采购合同。采购人因不可抗力原因迟延签订合同的，应当自不可抗力事由消除之日起7日内完成合同签订事宜。所签订的合同不得对磋商文件和成交供应商响应文件作实质性修改。成交人无正当理由拒签合同，给采购人造成损失的，成交人还应当承担民事责任。</w:t>
      </w:r>
    </w:p>
    <w:p w14:paraId="08CB9CC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32.2成交供应商拒绝签订政府采购合同的，采购人可以按照《政府采购竞争性磋商采购方式管理暂行办法》（财库〔2014〕214号）第二十八条第二款的规定确定其他供应商作为成交供应商并签订政府采购合同，也可以重新开展采购活动。拒绝签订政府采购合同的成交供应商不得参加对该项目重新开展的采购活动。</w:t>
      </w:r>
    </w:p>
    <w:p w14:paraId="6681FAB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32.3采购人和成交供应商不得向对方提出任何不合理的要求，作为签订合同的条件，双方不得私下订立背离合同实质性内容的协议。</w:t>
      </w:r>
    </w:p>
    <w:p w14:paraId="4B86BA0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32.4联合体成交的，联合体各方应当共同与采购人签订合同，就采购合同约定的事项向采购人承担连带责任。</w:t>
      </w:r>
    </w:p>
    <w:p w14:paraId="11C0E36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32.5本项目的非主体、非关键性工作是否允许分包，见“供应商须知前附表”。供应商未遵守竞争性磋商文件分包规定的，其响应无效。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成交无效。成交供应商就采购项目和分包项目向采购人负责，分包供应商就分包项目承担责任。政府采购合同不能转包。</w:t>
      </w:r>
    </w:p>
    <w:p w14:paraId="79B9D60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32.6采购合同履行中，采购人需追加与合同标的相同的货物、工程或者服务的，在不改变合同其他条款的前提下，可以与成交供应商协商签订补充合同，但所有补充合同的采购金额不得超过原合同采购金额的百分之十。</w:t>
      </w:r>
    </w:p>
    <w:p w14:paraId="7E37408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32.7采购人应于签订合同之日起2个工作日内在政采云平台备案公示。</w:t>
      </w:r>
    </w:p>
    <w:p w14:paraId="4B3F69C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（十）质疑和投诉</w:t>
      </w:r>
    </w:p>
    <w:p w14:paraId="3E78905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33.质疑</w:t>
      </w:r>
    </w:p>
    <w:p w14:paraId="22F5A2C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33.1供应商认为磋商文件、评审过程、成交结果使自己的权益受到损害的，可以在知道或者应知其权益受到损害之日起7个工作日内，以书面形式向采购人、采购代理机构提出质疑，详见“供应商须知前附表”。供应商在法定质疑期内一次性提出针对同一采购程序环节的质疑。</w:t>
      </w:r>
    </w:p>
    <w:p w14:paraId="30833FE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33.2提出质疑的供应商（以下简称质疑供应商）应当是参与所质疑项目采购活动的供应商。</w:t>
      </w:r>
    </w:p>
    <w:p w14:paraId="735D4E3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33.3潜在供应商已依法获取其可质疑的磋商文件的，可以对该文件提出质疑。对磋商文件提出质疑的，应当在获取磋商文件或者磋商文件公告期限届满之日起7个工作日内提出。</w:t>
      </w:r>
    </w:p>
    <w:p w14:paraId="19567C2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33.4供应商提出质疑应当提交质疑函和必要的证明材料。质疑函应当包括下列内容：</w:t>
      </w:r>
    </w:p>
    <w:p w14:paraId="13685F3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（1）供应商的姓名或者名称、地址、邮编、联系人及联系电话；</w:t>
      </w:r>
    </w:p>
    <w:p w14:paraId="2A31462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（2）质疑项目的名称、编号；</w:t>
      </w:r>
    </w:p>
    <w:p w14:paraId="5C6F8BD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（3）具体、明确的质疑事项和与质疑事项相关的请求；</w:t>
      </w:r>
    </w:p>
    <w:p w14:paraId="376F8F8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（4）事实依据；</w:t>
      </w:r>
    </w:p>
    <w:p w14:paraId="64FA902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（5）必要的法律依据；</w:t>
      </w:r>
    </w:p>
    <w:p w14:paraId="036C442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（6）提出质疑的日期。</w:t>
      </w:r>
    </w:p>
    <w:p w14:paraId="0AD9A20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供应商为自然人的，应当由本人签字；供应商为法人或者其他组织的，应当由法定代表人、主要负责人，或者其授权代表签字或者盖章，并加盖公章。</w:t>
      </w:r>
    </w:p>
    <w:p w14:paraId="75B3338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33.5质疑函不符合上述要求的，采购人或代理机构应书面告知具体事项，质疑人应当按要求进行修改或补充，并在质疑有效期限内提交。</w:t>
      </w:r>
    </w:p>
    <w:p w14:paraId="42AE15E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33.6供应商进行虚假和恶意质疑投诉的，采购代理机构将提请有关部门将其列入不良记录名单，在一至三年内禁止参加政府采购活动，并将处理决定在相关政府采购媒体上公布。</w:t>
      </w:r>
    </w:p>
    <w:p w14:paraId="38B13B8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33.7质疑函应当使用中文，并采用财政部门制定的范本。</w:t>
      </w:r>
    </w:p>
    <w:p w14:paraId="6D22C83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34.质疑答复</w:t>
      </w:r>
    </w:p>
    <w:p w14:paraId="075E06E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34.1采购人、采购代理机构不得拒收质疑供应商在法定质疑期内发出的质疑函，应当在收到质疑函后7个工作日内作出答复，并以书面形式通知质疑供应商和其他有关供应商。</w:t>
      </w:r>
    </w:p>
    <w:p w14:paraId="74CB6A9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34.2供应商对评审过程、成交结果提出质疑的，采购人、采购代理机构可以组织原竞争性磋商小组协助答复质疑。</w:t>
      </w:r>
    </w:p>
    <w:p w14:paraId="2CC1CE9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质疑答复应当包括下列内容：</w:t>
      </w:r>
    </w:p>
    <w:p w14:paraId="6069272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（1）质疑供应商的姓名或者名称；</w:t>
      </w:r>
    </w:p>
    <w:p w14:paraId="471435B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（2）收到质疑函的日期、质疑项目名称及编号；</w:t>
      </w:r>
    </w:p>
    <w:p w14:paraId="6E34E09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（3）质疑事项、质疑答复的具体内容、事实依据和法律依据；</w:t>
      </w:r>
    </w:p>
    <w:p w14:paraId="48021CB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（4）告知质疑供应商依法投诉的权利；</w:t>
      </w:r>
    </w:p>
    <w:p w14:paraId="6934D66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（5）质疑答复人名称；</w:t>
      </w:r>
    </w:p>
    <w:p w14:paraId="062D9F0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（6）答复质疑的日期。</w:t>
      </w:r>
    </w:p>
    <w:p w14:paraId="12BD4AC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34.3质疑答复的内容不得涉及商业秘密。</w:t>
      </w:r>
    </w:p>
    <w:p w14:paraId="3C4AD78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35.投诉</w:t>
      </w:r>
    </w:p>
    <w:p w14:paraId="5B058D4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35.1质疑供应商对采购人、采购代理机构的答复不满意，或者采购人、采购代理机构未在规定时间内作出答复的，可以在答复期满后15个工作日内向同级政府采购监督管理部门提起投诉。</w:t>
      </w:r>
    </w:p>
    <w:p w14:paraId="15F6D02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35.2投诉人投诉时,应当提交投诉书和必要的证明材料，并按照被投诉采购人、采购代理机构（以下简称被投诉人）和与投诉事项有关的供应商数量提供投诉书的副本。投诉书应当包括下列内容：</w:t>
      </w:r>
    </w:p>
    <w:p w14:paraId="59886ED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（1）投诉人和被投诉人的姓名或者名称、通讯地址、邮编、联系人及联系电话；</w:t>
      </w:r>
    </w:p>
    <w:p w14:paraId="30727E7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（2）质疑和质疑答复情况说明及相关证明材料；</w:t>
      </w:r>
    </w:p>
    <w:p w14:paraId="710A4C2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（3）具体、明确的投诉事项和与投诉事项相关的投诉请求；</w:t>
      </w:r>
    </w:p>
    <w:p w14:paraId="1F5A980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（4）事实依据；</w:t>
      </w:r>
    </w:p>
    <w:p w14:paraId="1F6A5D7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（5）法律依据；</w:t>
      </w:r>
    </w:p>
    <w:p w14:paraId="6328807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（6）提起投诉的日期。</w:t>
      </w:r>
    </w:p>
    <w:p w14:paraId="50733E5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投诉人为自然人的，应当由本人签字；投诉人为法人或者其他组织的，应当由法定代表人、主要负责人，或者其授权代表签字或者盖章，并加盖公章。</w:t>
      </w:r>
    </w:p>
    <w:p w14:paraId="20B3692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35.3供应商质疑、投诉应当有明确的请求和必要的证明材料。供应商投诉的事项不得超出已质疑事项的范围，但基于质疑答复内容提出的投诉事项除外。</w:t>
      </w:r>
    </w:p>
    <w:p w14:paraId="08A9A35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35.4投诉书应当使用中文，并采用财政部门制定的范本。</w:t>
      </w:r>
    </w:p>
    <w:p w14:paraId="08C0CA8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（十一）采购代理服务费</w:t>
      </w:r>
    </w:p>
    <w:p w14:paraId="6F05D68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36.收取方式和标准</w:t>
      </w:r>
    </w:p>
    <w:p w14:paraId="04F8D91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36.1采购代理机构按“供应商须知前附表”规定的方式和标准收取采购代理服务费。</w:t>
      </w:r>
    </w:p>
    <w:p w14:paraId="6EDAD7D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（十二）无效响应和终止采购活动</w:t>
      </w:r>
    </w:p>
    <w:p w14:paraId="1653F09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37.无效响应</w:t>
      </w:r>
    </w:p>
    <w:p w14:paraId="32FF019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37.1响应文件存在“第四章评审方法及标准”规定的响应无效情形的，做无效响应处理。</w:t>
      </w:r>
    </w:p>
    <w:p w14:paraId="70332CE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38.终止采购活动</w:t>
      </w:r>
    </w:p>
    <w:p w14:paraId="753C0FA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38.1出现下列情形之一的，应当终止竞争性磋商采购活动，发布项目终止公告并说明原因，重新开展采购活动：</w:t>
      </w:r>
    </w:p>
    <w:p w14:paraId="7D9EE03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（1）因情况变化，不再符合规定的竞争性磋商采购方式适用情形的；</w:t>
      </w:r>
    </w:p>
    <w:p w14:paraId="7FF5163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（2）出现影响采购公正的违法、违规行为的；</w:t>
      </w:r>
    </w:p>
    <w:p w14:paraId="48E88BF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（3）在采购过程中符合要求的供应商或者报价未超过采购预算的供应商不足3家的（市场竞争不充分的科研项目、需要扶持的科技成果转化项目提交最后报价的供应商可以为2家）。</w:t>
      </w:r>
    </w:p>
    <w:p w14:paraId="34E5BBD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38.2在采购活动中因重大变故，采购任务取消的，采购人或者采购代理机构应当终止采购活动，通知所有参加采购活动的供应商，并将项目实施情况和采购任务取消原因报送本级财政部门。</w:t>
      </w:r>
    </w:p>
    <w:p w14:paraId="5644C0E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（十三）落实政府采购政策（包括但不限于下列具体政策要求）</w:t>
      </w:r>
    </w:p>
    <w:p w14:paraId="6A96670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39.中小企业、监狱企业及残疾人福利性单位</w:t>
      </w:r>
    </w:p>
    <w:p w14:paraId="4F95492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号）、《政府采购促进中小企业发展管理办法》（财库〔2020〕46号）、《关于印发中小企业划型标准规定的通知》（工信部联企业〔2011〕300号）、《金融业企业划型标准规定》（〔2015〕309号）等国务院批准的中小企业划分标准执行。</w:t>
      </w:r>
    </w:p>
    <w:p w14:paraId="23708AE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39.2为促进中小企业发展，依据《关于印发&lt;政府采购促进中小企业发展管理办法&gt;的通知》（财库〔2020〕46号）、《财政部司法部关于政府采购支持监狱企业发展有关问题的通知》（财库〔2014〕68号）、《关于促进残疾人就业政府采购政策的通知》（财库〔2017〕141号）的规定，本项目供应商如需享受中小企业相关政策的，且符合上述文件规定的，应按本磋商文件规定格式提供“中小企业声明函”或“监狱企业证明文件”或“残疾人福利性单位声明函”，评审时，磋商小组将依据本磋商文件“供应商须知前附表”规定的报价扣除比例，对供应商报价进行价格扣除，用扣除后的价格参与评审；磋商公告中明确项目专门面向中小企业采购的，“中小企业声明函”为资格要求文件，供应商参与磋商须按本磋商文件规定格式提供“中小企业声明函”或“监狱企业证明文件”或“残疾人福利性单位声明函”等作为资格证明文件。</w:t>
      </w:r>
    </w:p>
    <w:p w14:paraId="75559A4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39.3供应商提供的货物、工程或者服务符合下列情形的，享受中小企业扶持政策：</w:t>
      </w:r>
    </w:p>
    <w:p w14:paraId="1B688EA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39.3.1在货物采购项目中，货物由中小企业制造，即货物由中小企业生产且使用该中小企业商号或者注册商标；</w:t>
      </w:r>
    </w:p>
    <w:p w14:paraId="51E44B5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39.3.2在工程采购项目中，工程由中小企业承建，即工程施工单位为中小企业；</w:t>
      </w:r>
    </w:p>
    <w:p w14:paraId="16D8DFD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39.3.3在服务采购项目中，服务由中小企业承接，即提供服务的人员为中小企业依照《中华人民共和国劳动合同法》订立劳动合同的从业人员。</w:t>
      </w:r>
    </w:p>
    <w:p w14:paraId="37BDA55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39.4在货物采购项目中，供应商提供的货物既有中小企业制造货物，也有大型企业制造货物的，不享受中小企业扶持政策。</w:t>
      </w:r>
    </w:p>
    <w:p w14:paraId="42E0272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39.5以联合体形式参加政府采购活动，联合体各方均为中小企业的，联合体视同中小企业。其中，联合体各方均为小微企业的，联合体视同小微企业。</w:t>
      </w:r>
    </w:p>
    <w:p w14:paraId="4E3B48E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39.6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w:t>
      </w:r>
      <w:r>
        <w:rPr>
          <w:rFonts w:hint="eastAsia" w:ascii="仿宋" w:hAnsi="仿宋" w:eastAsia="仿宋" w:cs="仿宋"/>
          <w:sz w:val="24"/>
          <w:szCs w:val="24"/>
          <w:lang w:eastAsia="zh-CN"/>
        </w:rPr>
        <w:t>新疆</w:t>
      </w:r>
      <w:r>
        <w:rPr>
          <w:rFonts w:hint="eastAsia" w:ascii="仿宋" w:hAnsi="仿宋" w:eastAsia="仿宋" w:cs="仿宋"/>
          <w:sz w:val="24"/>
          <w:szCs w:val="24"/>
        </w:rPr>
        <w:t>监狱管理局、戒毒管理局的企业。</w:t>
      </w:r>
    </w:p>
    <w:p w14:paraId="0913FC9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w:t>
      </w:r>
      <w:r>
        <w:rPr>
          <w:rFonts w:hint="eastAsia" w:ascii="仿宋" w:hAnsi="仿宋" w:eastAsia="仿宋" w:cs="仿宋"/>
          <w:sz w:val="24"/>
          <w:szCs w:val="24"/>
          <w:lang w:val="en-US" w:eastAsia="zh-CN"/>
        </w:rPr>
        <w:t>7</w:t>
      </w:r>
      <w:r>
        <w:rPr>
          <w:rFonts w:hint="eastAsia" w:ascii="仿宋" w:hAnsi="仿宋" w:eastAsia="仿宋" w:cs="仿宋"/>
          <w:sz w:val="24"/>
          <w:szCs w:val="24"/>
        </w:rPr>
        <w:t>本项目是否专门面向中小企业预留采购份额见“第一章竞争性磋商</w:t>
      </w:r>
      <w:r>
        <w:rPr>
          <w:rFonts w:hint="eastAsia" w:ascii="仿宋" w:hAnsi="仿宋" w:eastAsia="仿宋" w:cs="仿宋"/>
          <w:sz w:val="24"/>
          <w:szCs w:val="24"/>
          <w:lang w:val="en-US" w:eastAsia="zh-CN"/>
        </w:rPr>
        <w:t>公告</w:t>
      </w:r>
      <w:r>
        <w:rPr>
          <w:rFonts w:hint="eastAsia" w:ascii="仿宋" w:hAnsi="仿宋" w:eastAsia="仿宋" w:cs="仿宋"/>
          <w:sz w:val="24"/>
          <w:szCs w:val="24"/>
        </w:rPr>
        <w:t>”。</w:t>
      </w:r>
    </w:p>
    <w:p w14:paraId="618B27B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39.9采购标的对应的中小企业划分标准所属行业见“供应商须知前附表”。</w:t>
      </w:r>
    </w:p>
    <w:p w14:paraId="570B0FE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39.10小微企业价格评审优惠的政策调整：见“第四章评审方法及标准”。</w:t>
      </w:r>
    </w:p>
    <w:p w14:paraId="143B013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0</w:t>
      </w:r>
      <w:r>
        <w:rPr>
          <w:rFonts w:hint="eastAsia" w:ascii="仿宋" w:hAnsi="仿宋" w:eastAsia="仿宋" w:cs="仿宋"/>
          <w:sz w:val="24"/>
          <w:szCs w:val="24"/>
        </w:rPr>
        <w:t>.需要补充的其他内容</w:t>
      </w:r>
    </w:p>
    <w:p w14:paraId="49C8222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0</w:t>
      </w:r>
      <w:r>
        <w:rPr>
          <w:rFonts w:hint="eastAsia" w:ascii="仿宋" w:hAnsi="仿宋" w:eastAsia="仿宋" w:cs="仿宋"/>
          <w:sz w:val="24"/>
          <w:szCs w:val="24"/>
        </w:rPr>
        <w:t>.1需要补充的其他内容：见供应商须知前附表。</w:t>
      </w:r>
    </w:p>
    <w:p w14:paraId="51F0D11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1</w:t>
      </w:r>
      <w:r>
        <w:rPr>
          <w:rFonts w:hint="eastAsia" w:ascii="仿宋" w:hAnsi="仿宋" w:eastAsia="仿宋" w:cs="仿宋"/>
          <w:sz w:val="24"/>
          <w:szCs w:val="24"/>
        </w:rPr>
        <w:t>.适用法律</w:t>
      </w:r>
    </w:p>
    <w:p w14:paraId="5C4CFB9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1</w:t>
      </w:r>
      <w:r>
        <w:rPr>
          <w:rFonts w:hint="eastAsia" w:ascii="仿宋" w:hAnsi="仿宋" w:eastAsia="仿宋" w:cs="仿宋"/>
          <w:sz w:val="24"/>
          <w:szCs w:val="24"/>
        </w:rPr>
        <w:t>.1采购人、采购代理机构及供应商的一切采购活动均适用《中华人民共和国政府采购法》、《中华人民共和国政府采购法实施条例》、《政府采购竞争性磋商采购方式管理暂行办法》（财库〔2014〕214号）及相关法律法规。</w:t>
      </w:r>
    </w:p>
    <w:p w14:paraId="1A34802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1</w:t>
      </w:r>
      <w:r>
        <w:rPr>
          <w:rFonts w:hint="eastAsia" w:ascii="仿宋" w:hAnsi="仿宋" w:eastAsia="仿宋" w:cs="仿宋"/>
          <w:sz w:val="24"/>
          <w:szCs w:val="24"/>
        </w:rPr>
        <w:t>.2政府采购合同的履行、违约责任和解决争议的方法等适用《中华人民共和国民法典》。</w:t>
      </w:r>
    </w:p>
    <w:p w14:paraId="21A32D3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2</w:t>
      </w:r>
      <w:r>
        <w:rPr>
          <w:rFonts w:hint="eastAsia" w:ascii="仿宋" w:hAnsi="仿宋" w:eastAsia="仿宋" w:cs="仿宋"/>
          <w:sz w:val="24"/>
          <w:szCs w:val="24"/>
        </w:rPr>
        <w:t>.解释权</w:t>
      </w:r>
    </w:p>
    <w:p w14:paraId="49FAA4E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val="en-US" w:eastAsia="zh-CN"/>
        </w:rPr>
        <w:t>2</w:t>
      </w:r>
      <w:r>
        <w:rPr>
          <w:rFonts w:hint="eastAsia" w:ascii="仿宋" w:hAnsi="仿宋" w:eastAsia="仿宋" w:cs="仿宋"/>
          <w:sz w:val="24"/>
          <w:szCs w:val="24"/>
        </w:rPr>
        <w:t>.1本竞争性磋商文件最终解释权归采购人或采购代理机构所有。</w:t>
      </w:r>
    </w:p>
    <w:p w14:paraId="449372B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1FE739A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6CDD2119">
      <w:pPr>
        <w:pageBreakBefore w:val="0"/>
        <w:wordWrap/>
        <w:topLinePunct w:val="0"/>
        <w:bidi w:val="0"/>
        <w:spacing w:line="480" w:lineRule="exact"/>
        <w:rPr>
          <w:rFonts w:hint="eastAsia" w:ascii="仿宋" w:hAnsi="仿宋" w:eastAsia="仿宋" w:cs="仿宋"/>
          <w:sz w:val="24"/>
          <w:szCs w:val="24"/>
        </w:rPr>
      </w:pPr>
    </w:p>
    <w:p w14:paraId="04621BE8">
      <w:pPr>
        <w:pStyle w:val="3"/>
        <w:pageBreakBefore w:val="0"/>
        <w:wordWrap/>
        <w:topLinePunct w:val="0"/>
        <w:bidi w:val="0"/>
        <w:spacing w:line="480" w:lineRule="exact"/>
        <w:jc w:val="center"/>
        <w:outlineLvl w:val="9"/>
        <w:rPr>
          <w:rFonts w:hint="eastAsia" w:ascii="仿宋" w:hAnsi="仿宋" w:eastAsia="仿宋" w:cs="仿宋"/>
          <w:sz w:val="28"/>
          <w:szCs w:val="28"/>
        </w:rPr>
      </w:pPr>
    </w:p>
    <w:p w14:paraId="5E2B2C45">
      <w:pPr>
        <w:pageBreakBefore w:val="0"/>
        <w:wordWrap/>
        <w:topLinePunct w:val="0"/>
        <w:bidi w:val="0"/>
        <w:spacing w:line="480" w:lineRule="exact"/>
        <w:rPr>
          <w:rFonts w:hint="eastAsia" w:ascii="仿宋" w:hAnsi="仿宋" w:eastAsia="仿宋" w:cs="仿宋"/>
          <w:sz w:val="28"/>
          <w:szCs w:val="28"/>
        </w:rPr>
      </w:pPr>
    </w:p>
    <w:p w14:paraId="79C6F33E">
      <w:pPr>
        <w:pageBreakBefore w:val="0"/>
        <w:wordWrap/>
        <w:topLinePunct w:val="0"/>
        <w:bidi w:val="0"/>
        <w:spacing w:line="480" w:lineRule="exact"/>
        <w:rPr>
          <w:rFonts w:hint="eastAsia" w:ascii="仿宋" w:hAnsi="仿宋" w:eastAsia="仿宋" w:cs="仿宋"/>
          <w:sz w:val="28"/>
          <w:szCs w:val="28"/>
        </w:rPr>
      </w:pPr>
    </w:p>
    <w:p w14:paraId="3C6C1077">
      <w:pPr>
        <w:pageBreakBefore w:val="0"/>
        <w:wordWrap/>
        <w:topLinePunct w:val="0"/>
        <w:bidi w:val="0"/>
        <w:spacing w:line="480" w:lineRule="exact"/>
        <w:rPr>
          <w:rFonts w:hint="eastAsia" w:ascii="仿宋" w:hAnsi="仿宋" w:eastAsia="仿宋" w:cs="仿宋"/>
          <w:sz w:val="28"/>
          <w:szCs w:val="28"/>
        </w:rPr>
      </w:pPr>
    </w:p>
    <w:p w14:paraId="179FAC4D">
      <w:pPr>
        <w:pageBreakBefore w:val="0"/>
        <w:wordWrap/>
        <w:topLinePunct w:val="0"/>
        <w:bidi w:val="0"/>
        <w:spacing w:line="480" w:lineRule="exact"/>
        <w:rPr>
          <w:rFonts w:hint="eastAsia" w:ascii="仿宋" w:hAnsi="仿宋" w:eastAsia="仿宋" w:cs="仿宋"/>
          <w:sz w:val="28"/>
          <w:szCs w:val="28"/>
        </w:rPr>
      </w:pPr>
    </w:p>
    <w:p w14:paraId="7C419BF7">
      <w:pPr>
        <w:pageBreakBefore w:val="0"/>
        <w:wordWrap/>
        <w:topLinePunct w:val="0"/>
        <w:bidi w:val="0"/>
        <w:spacing w:line="480" w:lineRule="exact"/>
        <w:rPr>
          <w:rFonts w:hint="eastAsia" w:ascii="仿宋" w:hAnsi="仿宋" w:eastAsia="仿宋" w:cs="仿宋"/>
          <w:sz w:val="28"/>
          <w:szCs w:val="28"/>
        </w:rPr>
      </w:pPr>
    </w:p>
    <w:p w14:paraId="342169F9">
      <w:pPr>
        <w:pageBreakBefore w:val="0"/>
        <w:wordWrap/>
        <w:topLinePunct w:val="0"/>
        <w:bidi w:val="0"/>
        <w:spacing w:line="480" w:lineRule="exact"/>
        <w:rPr>
          <w:rFonts w:hint="eastAsia" w:ascii="仿宋" w:hAnsi="仿宋" w:eastAsia="仿宋" w:cs="仿宋"/>
          <w:sz w:val="28"/>
          <w:szCs w:val="28"/>
        </w:rPr>
      </w:pPr>
    </w:p>
    <w:p w14:paraId="21E1A002">
      <w:pPr>
        <w:pageBreakBefore w:val="0"/>
        <w:wordWrap/>
        <w:topLinePunct w:val="0"/>
        <w:bidi w:val="0"/>
        <w:spacing w:line="480" w:lineRule="exact"/>
        <w:rPr>
          <w:rFonts w:hint="eastAsia" w:ascii="仿宋" w:hAnsi="仿宋" w:eastAsia="仿宋" w:cs="仿宋"/>
          <w:sz w:val="28"/>
          <w:szCs w:val="28"/>
        </w:rPr>
      </w:pPr>
    </w:p>
    <w:p w14:paraId="576AC778">
      <w:pPr>
        <w:pageBreakBefore w:val="0"/>
        <w:wordWrap/>
        <w:topLinePunct w:val="0"/>
        <w:bidi w:val="0"/>
        <w:spacing w:line="480" w:lineRule="exact"/>
        <w:rPr>
          <w:rFonts w:hint="eastAsia" w:ascii="仿宋" w:hAnsi="仿宋" w:eastAsia="仿宋" w:cs="仿宋"/>
          <w:sz w:val="28"/>
          <w:szCs w:val="28"/>
        </w:rPr>
      </w:pPr>
    </w:p>
    <w:p w14:paraId="3A2DED6A">
      <w:pPr>
        <w:pageBreakBefore w:val="0"/>
        <w:wordWrap/>
        <w:topLinePunct w:val="0"/>
        <w:bidi w:val="0"/>
        <w:spacing w:line="480" w:lineRule="exact"/>
        <w:rPr>
          <w:rFonts w:hint="eastAsia" w:ascii="仿宋" w:hAnsi="仿宋" w:eastAsia="仿宋" w:cs="仿宋"/>
          <w:sz w:val="28"/>
          <w:szCs w:val="28"/>
        </w:rPr>
      </w:pPr>
    </w:p>
    <w:p w14:paraId="2DDEBD48">
      <w:pPr>
        <w:pageBreakBefore w:val="0"/>
        <w:wordWrap/>
        <w:topLinePunct w:val="0"/>
        <w:bidi w:val="0"/>
        <w:spacing w:line="480" w:lineRule="exact"/>
        <w:rPr>
          <w:rFonts w:hint="eastAsia" w:ascii="仿宋" w:hAnsi="仿宋" w:eastAsia="仿宋" w:cs="仿宋"/>
          <w:sz w:val="28"/>
          <w:szCs w:val="28"/>
        </w:rPr>
      </w:pPr>
    </w:p>
    <w:p w14:paraId="138ABD3D">
      <w:pPr>
        <w:pageBreakBefore w:val="0"/>
        <w:wordWrap/>
        <w:topLinePunct w:val="0"/>
        <w:bidi w:val="0"/>
        <w:spacing w:line="480" w:lineRule="exact"/>
        <w:rPr>
          <w:rFonts w:hint="eastAsia" w:ascii="仿宋" w:hAnsi="仿宋" w:eastAsia="仿宋" w:cs="仿宋"/>
          <w:sz w:val="28"/>
          <w:szCs w:val="28"/>
        </w:rPr>
      </w:pPr>
    </w:p>
    <w:p w14:paraId="7B4BC228">
      <w:pPr>
        <w:pageBreakBefore w:val="0"/>
        <w:wordWrap/>
        <w:topLinePunct w:val="0"/>
        <w:bidi w:val="0"/>
        <w:spacing w:line="480" w:lineRule="exact"/>
        <w:rPr>
          <w:rFonts w:hint="eastAsia" w:ascii="仿宋" w:hAnsi="仿宋" w:eastAsia="仿宋" w:cs="仿宋"/>
          <w:sz w:val="28"/>
          <w:szCs w:val="28"/>
        </w:rPr>
      </w:pPr>
    </w:p>
    <w:p w14:paraId="450B5985">
      <w:pPr>
        <w:pageBreakBefore w:val="0"/>
        <w:wordWrap/>
        <w:topLinePunct w:val="0"/>
        <w:bidi w:val="0"/>
        <w:spacing w:line="480" w:lineRule="exact"/>
        <w:rPr>
          <w:rFonts w:hint="eastAsia" w:ascii="仿宋" w:hAnsi="仿宋" w:eastAsia="仿宋" w:cs="仿宋"/>
          <w:sz w:val="28"/>
          <w:szCs w:val="28"/>
        </w:rPr>
      </w:pPr>
    </w:p>
    <w:p w14:paraId="342FC1CC">
      <w:pPr>
        <w:pStyle w:val="3"/>
        <w:pageBreakBefore w:val="0"/>
        <w:wordWrap/>
        <w:topLinePunct w:val="0"/>
        <w:bidi w:val="0"/>
        <w:spacing w:line="480" w:lineRule="exact"/>
        <w:jc w:val="center"/>
        <w:rPr>
          <w:rFonts w:hint="eastAsia" w:ascii="仿宋" w:hAnsi="仿宋" w:eastAsia="仿宋" w:cs="仿宋"/>
          <w:sz w:val="24"/>
          <w:szCs w:val="24"/>
        </w:rPr>
      </w:pPr>
      <w:bookmarkStart w:id="4" w:name="_Toc18175"/>
      <w:r>
        <w:rPr>
          <w:rFonts w:hint="eastAsia" w:ascii="仿宋" w:hAnsi="仿宋" w:eastAsia="仿宋" w:cs="仿宋"/>
          <w:sz w:val="28"/>
          <w:szCs w:val="28"/>
          <w:lang w:val="en-US" w:eastAsia="zh-CN"/>
        </w:rPr>
        <w:t xml:space="preserve">第三章 </w:t>
      </w:r>
      <w:r>
        <w:rPr>
          <w:rFonts w:hint="eastAsia" w:ascii="仿宋" w:hAnsi="仿宋" w:eastAsia="仿宋" w:cs="仿宋"/>
          <w:sz w:val="28"/>
          <w:szCs w:val="28"/>
        </w:rPr>
        <w:t>项目采购需求</w:t>
      </w:r>
      <w:bookmarkEnd w:id="4"/>
    </w:p>
    <w:p w14:paraId="4B533D26">
      <w:pPr>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sz w:val="24"/>
          <w:szCs w:val="24"/>
          <w:lang w:eastAsia="zh-CN"/>
        </w:rPr>
      </w:pPr>
      <w:r>
        <w:rPr>
          <w:rFonts w:hint="eastAsia" w:ascii="仿宋" w:hAnsi="仿宋" w:eastAsia="仿宋" w:cs="仿宋"/>
          <w:b/>
          <w:bCs/>
          <w:sz w:val="24"/>
          <w:szCs w:val="24"/>
        </w:rPr>
        <w:t>项目名称：</w:t>
      </w:r>
      <w:r>
        <w:rPr>
          <w:rFonts w:hint="eastAsia" w:ascii="仿宋" w:hAnsi="仿宋" w:eastAsia="仿宋" w:cs="仿宋"/>
          <w:sz w:val="24"/>
          <w:szCs w:val="24"/>
          <w:lang w:eastAsia="zh-CN"/>
        </w:rPr>
        <w:t>2025年城区花卉景观布置工程</w:t>
      </w:r>
    </w:p>
    <w:p w14:paraId="28F6AA1E">
      <w:pPr>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sz w:val="24"/>
          <w:szCs w:val="24"/>
          <w:lang w:eastAsia="zh-CN"/>
        </w:rPr>
      </w:pPr>
      <w:r>
        <w:rPr>
          <w:rFonts w:hint="eastAsia" w:ascii="仿宋" w:hAnsi="仿宋" w:eastAsia="仿宋" w:cs="仿宋"/>
          <w:b/>
          <w:bCs/>
          <w:sz w:val="24"/>
          <w:szCs w:val="24"/>
          <w:lang w:val="en-US" w:eastAsia="zh-CN"/>
        </w:rPr>
        <w:t>工程</w:t>
      </w:r>
      <w:r>
        <w:rPr>
          <w:rFonts w:hint="eastAsia" w:ascii="仿宋" w:hAnsi="仿宋" w:eastAsia="仿宋" w:cs="仿宋"/>
          <w:b/>
          <w:bCs/>
          <w:sz w:val="24"/>
          <w:szCs w:val="24"/>
        </w:rPr>
        <w:t>地点：</w:t>
      </w:r>
      <w:r>
        <w:rPr>
          <w:rFonts w:hint="eastAsia" w:ascii="仿宋" w:hAnsi="仿宋" w:eastAsia="仿宋" w:cs="仿宋"/>
          <w:sz w:val="24"/>
          <w:szCs w:val="24"/>
          <w:lang w:val="en-US" w:eastAsia="zh-CN"/>
        </w:rPr>
        <w:t>昌吉市</w:t>
      </w:r>
    </w:p>
    <w:p w14:paraId="6BE0D160">
      <w:pPr>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sz w:val="24"/>
          <w:szCs w:val="24"/>
          <w:highlight w:val="yellow"/>
        </w:rPr>
      </w:pPr>
      <w:r>
        <w:rPr>
          <w:rFonts w:hint="eastAsia" w:ascii="仿宋" w:hAnsi="仿宋" w:eastAsia="仿宋" w:cs="仿宋"/>
          <w:b/>
          <w:bCs/>
          <w:sz w:val="24"/>
          <w:szCs w:val="24"/>
        </w:rPr>
        <w:t>合同履行期限：</w:t>
      </w:r>
      <w:r>
        <w:rPr>
          <w:rFonts w:hint="eastAsia" w:ascii="仿宋" w:hAnsi="仿宋" w:eastAsia="仿宋" w:cs="仿宋"/>
          <w:color w:val="auto"/>
          <w:sz w:val="24"/>
          <w:szCs w:val="24"/>
          <w:highlight w:val="none"/>
          <w:lang w:val="en-US" w:eastAsia="zh-CN"/>
        </w:rPr>
        <w:t>2025年4月23日开工，2025年10月23日竣工，总工期184天（日历日）。</w:t>
      </w:r>
    </w:p>
    <w:p w14:paraId="38208557">
      <w:pPr>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报价要求</w:t>
      </w:r>
    </w:p>
    <w:p w14:paraId="260AED6E">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b w:val="0"/>
          <w:bCs w:val="0"/>
          <w:sz w:val="24"/>
          <w:szCs w:val="24"/>
          <w:highlight w:val="none"/>
          <w:lang w:eastAsia="zh-CN"/>
        </w:rPr>
      </w:pPr>
      <w:r>
        <w:rPr>
          <w:rFonts w:hint="eastAsia" w:ascii="仿宋" w:hAnsi="仿宋" w:eastAsia="仿宋" w:cs="仿宋"/>
          <w:b w:val="0"/>
          <w:bCs w:val="0"/>
          <w:sz w:val="24"/>
          <w:szCs w:val="24"/>
          <w:highlight w:val="none"/>
          <w:lang w:eastAsia="zh-CN"/>
        </w:rPr>
        <w:t>（1）供应商的投标报价不得超出预算金额，如超出，视为无效投标处理。</w:t>
      </w:r>
    </w:p>
    <w:p w14:paraId="6137C405">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highlight w:val="yellow"/>
        </w:rPr>
      </w:pPr>
      <w:r>
        <w:rPr>
          <w:rFonts w:hint="eastAsia" w:ascii="仿宋" w:hAnsi="仿宋" w:eastAsia="仿宋" w:cs="仿宋"/>
          <w:b w:val="0"/>
          <w:bCs w:val="0"/>
          <w:sz w:val="24"/>
          <w:szCs w:val="24"/>
          <w:highlight w:val="none"/>
          <w:lang w:eastAsia="zh-CN"/>
        </w:rPr>
        <w:t>（2）已标价工程量清单说明文字与招标文件规定一致，未进行实质性修改和删减；供应商必须按招标工程量清单填报价格。项目编码、项目名称、项目特征、计量单位、工程量必须与招标工程量清单一致。</w:t>
      </w:r>
    </w:p>
    <w:p w14:paraId="49792B54">
      <w:pPr>
        <w:pageBreakBefore w:val="0"/>
        <w:widowControl/>
        <w:kinsoku w:val="0"/>
        <w:wordWrap/>
        <w:overflowPunct/>
        <w:topLinePunct w:val="0"/>
        <w:autoSpaceDE w:val="0"/>
        <w:autoSpaceDN w:val="0"/>
        <w:bidi w:val="0"/>
        <w:adjustRightInd w:val="0"/>
        <w:snapToGrid w:val="0"/>
        <w:spacing w:line="480" w:lineRule="exact"/>
        <w:ind w:firstLine="482" w:firstLineChars="200"/>
        <w:textAlignment w:val="baseline"/>
        <w:rPr>
          <w:rFonts w:hint="eastAsia" w:ascii="仿宋" w:hAnsi="仿宋" w:eastAsia="仿宋" w:cs="仿宋"/>
          <w:sz w:val="24"/>
          <w:szCs w:val="24"/>
          <w:lang w:eastAsia="zh-CN"/>
        </w:rPr>
      </w:pPr>
      <w:r>
        <w:rPr>
          <w:rFonts w:hint="eastAsia" w:ascii="仿宋" w:hAnsi="仿宋" w:eastAsia="仿宋" w:cs="仿宋"/>
          <w:b/>
          <w:bCs/>
          <w:sz w:val="24"/>
          <w:szCs w:val="24"/>
        </w:rPr>
        <w:t>工程量清单</w:t>
      </w:r>
      <w:r>
        <w:rPr>
          <w:rFonts w:hint="eastAsia" w:ascii="仿宋" w:hAnsi="仿宋" w:eastAsia="仿宋" w:cs="仿宋"/>
          <w:b/>
          <w:bCs/>
          <w:sz w:val="24"/>
          <w:szCs w:val="24"/>
          <w:lang w:eastAsia="zh-CN"/>
        </w:rPr>
        <w:t>：</w:t>
      </w:r>
      <w:r>
        <w:rPr>
          <w:rFonts w:hint="eastAsia" w:ascii="仿宋" w:hAnsi="仿宋" w:eastAsia="仿宋" w:cs="仿宋"/>
          <w:sz w:val="24"/>
          <w:szCs w:val="24"/>
          <w:lang w:eastAsia="zh-CN"/>
        </w:rPr>
        <w:t>（</w:t>
      </w:r>
      <w:r>
        <w:rPr>
          <w:rFonts w:hint="eastAsia" w:ascii="仿宋" w:hAnsi="仿宋" w:eastAsia="仿宋" w:cs="仿宋"/>
          <w:sz w:val="24"/>
          <w:szCs w:val="24"/>
        </w:rPr>
        <w:t>工程量清单详见采购文件附件</w:t>
      </w:r>
      <w:r>
        <w:rPr>
          <w:rFonts w:hint="eastAsia" w:ascii="仿宋" w:hAnsi="仿宋" w:eastAsia="仿宋" w:cs="仿宋"/>
          <w:sz w:val="24"/>
          <w:szCs w:val="24"/>
          <w:lang w:eastAsia="zh-CN"/>
        </w:rPr>
        <w:t>）</w:t>
      </w:r>
    </w:p>
    <w:p w14:paraId="5A2AD762">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20FFD1B8">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0587CB9B">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36E87B00">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6182696B">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5148F012">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18DFB912">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34B6EEB2">
      <w:pPr>
        <w:pStyle w:val="2"/>
        <w:rPr>
          <w:rFonts w:hint="eastAsia" w:ascii="仿宋" w:hAnsi="仿宋" w:eastAsia="仿宋" w:cs="仿宋"/>
          <w:sz w:val="24"/>
          <w:szCs w:val="24"/>
        </w:rPr>
      </w:pPr>
    </w:p>
    <w:p w14:paraId="15B3A4BF">
      <w:pPr>
        <w:pStyle w:val="2"/>
        <w:rPr>
          <w:rFonts w:hint="eastAsia" w:ascii="仿宋" w:hAnsi="仿宋" w:eastAsia="仿宋" w:cs="仿宋"/>
          <w:sz w:val="24"/>
          <w:szCs w:val="24"/>
        </w:rPr>
      </w:pPr>
    </w:p>
    <w:p w14:paraId="53286AB0">
      <w:pPr>
        <w:pStyle w:val="2"/>
        <w:rPr>
          <w:rFonts w:hint="eastAsia" w:ascii="仿宋" w:hAnsi="仿宋" w:eastAsia="仿宋" w:cs="仿宋"/>
          <w:sz w:val="24"/>
          <w:szCs w:val="24"/>
        </w:rPr>
      </w:pPr>
    </w:p>
    <w:p w14:paraId="32ADC4C6">
      <w:pPr>
        <w:pStyle w:val="2"/>
        <w:rPr>
          <w:rFonts w:hint="eastAsia" w:ascii="仿宋" w:hAnsi="仿宋" w:eastAsia="仿宋" w:cs="仿宋"/>
          <w:sz w:val="24"/>
          <w:szCs w:val="24"/>
        </w:rPr>
      </w:pPr>
    </w:p>
    <w:p w14:paraId="6C0B49A4">
      <w:pPr>
        <w:pStyle w:val="2"/>
        <w:rPr>
          <w:rFonts w:hint="eastAsia" w:ascii="仿宋" w:hAnsi="仿宋" w:eastAsia="仿宋" w:cs="仿宋"/>
          <w:sz w:val="24"/>
          <w:szCs w:val="24"/>
        </w:rPr>
      </w:pPr>
    </w:p>
    <w:p w14:paraId="47084C03">
      <w:pPr>
        <w:pStyle w:val="2"/>
        <w:rPr>
          <w:rFonts w:hint="eastAsia" w:ascii="仿宋" w:hAnsi="仿宋" w:eastAsia="仿宋" w:cs="仿宋"/>
          <w:sz w:val="24"/>
          <w:szCs w:val="24"/>
        </w:rPr>
      </w:pPr>
    </w:p>
    <w:p w14:paraId="1EF01263">
      <w:pPr>
        <w:pStyle w:val="2"/>
        <w:rPr>
          <w:rFonts w:hint="eastAsia" w:ascii="仿宋" w:hAnsi="仿宋" w:eastAsia="仿宋" w:cs="仿宋"/>
          <w:sz w:val="24"/>
          <w:szCs w:val="24"/>
        </w:rPr>
      </w:pPr>
    </w:p>
    <w:p w14:paraId="423756F5">
      <w:pPr>
        <w:pStyle w:val="2"/>
        <w:rPr>
          <w:rFonts w:hint="eastAsia" w:ascii="仿宋" w:hAnsi="仿宋" w:eastAsia="仿宋" w:cs="仿宋"/>
          <w:sz w:val="24"/>
          <w:szCs w:val="24"/>
        </w:rPr>
      </w:pPr>
    </w:p>
    <w:p w14:paraId="0A859E8F">
      <w:pPr>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18C397F5">
      <w:pPr>
        <w:pStyle w:val="3"/>
        <w:pageBreakBefore w:val="0"/>
        <w:widowControl/>
        <w:kinsoku w:val="0"/>
        <w:wordWrap/>
        <w:overflowPunct/>
        <w:topLinePunct w:val="0"/>
        <w:autoSpaceDE w:val="0"/>
        <w:autoSpaceDN w:val="0"/>
        <w:bidi w:val="0"/>
        <w:adjustRightInd w:val="0"/>
        <w:snapToGrid w:val="0"/>
        <w:spacing w:line="480" w:lineRule="exact"/>
        <w:ind w:firstLine="562" w:firstLineChars="200"/>
        <w:jc w:val="center"/>
        <w:textAlignment w:val="baseline"/>
        <w:outlineLvl w:val="9"/>
        <w:rPr>
          <w:rFonts w:hint="eastAsia" w:ascii="仿宋" w:hAnsi="仿宋" w:eastAsia="仿宋" w:cs="仿宋"/>
          <w:sz w:val="28"/>
          <w:szCs w:val="28"/>
        </w:rPr>
      </w:pPr>
    </w:p>
    <w:p w14:paraId="4D138CC2">
      <w:pPr>
        <w:pageBreakBefore w:val="0"/>
        <w:widowControl/>
        <w:kinsoku w:val="0"/>
        <w:wordWrap/>
        <w:overflowPunct/>
        <w:topLinePunct w:val="0"/>
        <w:autoSpaceDE w:val="0"/>
        <w:autoSpaceDN w:val="0"/>
        <w:bidi w:val="0"/>
        <w:adjustRightInd w:val="0"/>
        <w:snapToGrid w:val="0"/>
        <w:spacing w:line="480" w:lineRule="exact"/>
        <w:ind w:firstLine="560" w:firstLineChars="200"/>
        <w:textAlignment w:val="baseline"/>
        <w:rPr>
          <w:rFonts w:hint="eastAsia" w:ascii="仿宋" w:hAnsi="仿宋" w:eastAsia="仿宋" w:cs="仿宋"/>
          <w:sz w:val="28"/>
          <w:szCs w:val="28"/>
        </w:rPr>
      </w:pPr>
    </w:p>
    <w:p w14:paraId="791946E4">
      <w:pPr>
        <w:pStyle w:val="3"/>
        <w:pageBreakBefore w:val="0"/>
        <w:wordWrap/>
        <w:topLinePunct w:val="0"/>
        <w:bidi w:val="0"/>
        <w:spacing w:line="480" w:lineRule="exact"/>
        <w:jc w:val="center"/>
        <w:rPr>
          <w:rFonts w:hint="eastAsia" w:ascii="仿宋" w:hAnsi="仿宋" w:eastAsia="仿宋" w:cs="仿宋"/>
          <w:sz w:val="28"/>
          <w:szCs w:val="28"/>
        </w:rPr>
      </w:pPr>
      <w:bookmarkStart w:id="5" w:name="_Toc8153"/>
      <w:r>
        <w:rPr>
          <w:rFonts w:hint="eastAsia" w:ascii="仿宋" w:hAnsi="仿宋" w:eastAsia="仿宋" w:cs="仿宋"/>
          <w:sz w:val="28"/>
          <w:szCs w:val="28"/>
        </w:rPr>
        <w:t>第四章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评审方法及标准</w:t>
      </w:r>
      <w:bookmarkEnd w:id="5"/>
    </w:p>
    <w:p w14:paraId="3C50A17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一、评审方法</w:t>
      </w:r>
    </w:p>
    <w:p w14:paraId="737E422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本项目采用综合评分法。综合评分法是指经磋商确定最终采购需求和提交最后报价（因落实政府采购政策进行价格调整的，以调整后的价格计算）的供应商的响应文件满足磋商文件全部实质性要求且按评审因素的量化指标评审得分最高的供应商为成交候选供应商的评审方法。</w:t>
      </w:r>
    </w:p>
    <w:p w14:paraId="4403445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二、评审程序</w:t>
      </w:r>
    </w:p>
    <w:p w14:paraId="5FDBCB9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（一）资格审查和符合性审查</w:t>
      </w:r>
    </w:p>
    <w:p w14:paraId="0CE3F96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磋商小组根据磋商文件规定的供应商资格条件、评审成交的标准等事项，对供应商的响应文件进行评审。资格审查和符合性审查不符合磋商文件要求的响应文件，按无效文件处理，不进入磋商，并告知有关供应商。</w:t>
      </w:r>
    </w:p>
    <w:p w14:paraId="66B5CB5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2.通过资格性审查和符合性审查的有效供应商不足3家的应当终止竞争性磋商采购活动，发布项目终止公告并说明原因，重新开展采购活动。</w:t>
      </w:r>
    </w:p>
    <w:p w14:paraId="571C72A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（二）响应文件澄清</w:t>
      </w:r>
    </w:p>
    <w:p w14:paraId="009A9FA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EB86CB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7AD2904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（三）磋商程序</w:t>
      </w:r>
    </w:p>
    <w:p w14:paraId="25E99DC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磋商小组应当依据磋商文件规定的程序、评审成交的标准等事项与实质性响应磋商文件要求的供应商进行磋商。</w:t>
      </w:r>
    </w:p>
    <w:p w14:paraId="467B96D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1.第一轮磋商</w:t>
      </w:r>
    </w:p>
    <w:p w14:paraId="45AA94D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1.1磋商小组将按照系统随机的顺序决定供应商的磋商顺序，并集中与单一供应商分别进行磋商。</w:t>
      </w:r>
    </w:p>
    <w:p w14:paraId="01CC1BB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1.2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14:paraId="3A23113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1.3磋商过程中，磋商小组可以根据磋商文件和磋商情况实质性变动采购需求中的技术、服务要求以及合同条款，但不得变动磋商文件中的其他内容。实质性变动的内容，须经采购人代表确认。</w:t>
      </w:r>
    </w:p>
    <w:p w14:paraId="627371B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1.4对磋商文件作出的实质性变动的内容是磋商文件的有效组成部分。磋商小组应将磋商文件的变动情况以书面形式通知所有参加磋商的供应商。</w:t>
      </w:r>
    </w:p>
    <w:p w14:paraId="44DCB47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1.5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14:paraId="4E94D61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2.多轮磋商</w:t>
      </w:r>
    </w:p>
    <w:p w14:paraId="5AE5771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2.1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14:paraId="5BB62F4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2.3磋商程序同第一轮磋商。</w:t>
      </w:r>
    </w:p>
    <w:p w14:paraId="6B2EFF7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3.最后报价</w:t>
      </w:r>
    </w:p>
    <w:p w14:paraId="4A570FF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3.1磋商文件中能够详细列明采购标的的技术、服务要求的，磋商结束后，磋商小组应当要求所有实质性响应的供应商，在规定时间内，以书面的方式经授权代表签字（或加盖公章）后提交最后报价，提交最后报价的供应商不得少于3家（市场竞争不充分的科研项目，以及需要扶持的科技成果转化项目可以为2家）。</w:t>
      </w:r>
    </w:p>
    <w:p w14:paraId="622FCD1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3.2磋商文件中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6DB057C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3.3最后报价是供应商响应文件的有效组成部分。逾时不提交的，视同退出磋商。</w:t>
      </w:r>
    </w:p>
    <w:p w14:paraId="55F5082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最后报价出现前后不一致的，按照下列规定修正：</w:t>
      </w:r>
    </w:p>
    <w:p w14:paraId="222DEDF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（1）大写金额和小写金额不一致的，以大写金额为准；</w:t>
      </w:r>
    </w:p>
    <w:p w14:paraId="0378AAF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（2）单价金额小数点或百分比有明显错位的，以最后报价表的总价为准，并修改单价；</w:t>
      </w:r>
    </w:p>
    <w:p w14:paraId="30E5AC0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（3）总价金额与按单价汇总金额不一致的，以单价金额计算结果为准；</w:t>
      </w:r>
    </w:p>
    <w:p w14:paraId="4D8AD63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（4）同时出现两种以上不一致的，按照前款规定的顺序修正；</w:t>
      </w:r>
    </w:p>
    <w:p w14:paraId="1850ED4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修正后的报价应通过书面方式通知供应商，由供应商授权代表签字（或加盖公章）确认后产生约束力，供应商不确认的，按照无效响应处理。</w:t>
      </w:r>
    </w:p>
    <w:p w14:paraId="6C83F9F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4.商务技术评审</w:t>
      </w:r>
    </w:p>
    <w:p w14:paraId="7657139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4.1经磋商确定最终采购需求和提交最后报价的供应商后，由磋商小组采用综合评分法对提交最后报价的供应商的响应文件和最后报价进行综合评分。</w:t>
      </w:r>
    </w:p>
    <w:p w14:paraId="7791D63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5.报价评审</w:t>
      </w:r>
    </w:p>
    <w:p w14:paraId="7203DD1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5.1报价合理性说明：磋商小组认为供应商的最后报价明显低于其他供应商最后报价，有可能影响工程质量或者不能诚信履约的，应当要求其在合理的时间内提供说明，必要时提交相关证明材料；供应商不能证明其最后报价合理性的，磋商小组应当将其作无效响应处理。</w:t>
      </w:r>
    </w:p>
    <w:p w14:paraId="7A17CBE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5.1.1供应商应根据答疑内容在规定的时间内提供说明和相关证明材料，磋商小组认定相关证明材料对此报价的说明或者证明材料可以佐证此报价的工程质量和具有诚信履约能力，予以通过审查；</w:t>
      </w:r>
    </w:p>
    <w:p w14:paraId="7A57CFC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5.1.2供应商提供的说明或者证明材料必须按照国家相关规定，逐项对其报价作详细陈述，并由法定代表人或者其授权代表签字确认并加盖公章；</w:t>
      </w:r>
    </w:p>
    <w:p w14:paraId="0BAFD72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5.1.3供应商不能合理说明或者不能提供相关证明材料的，由磋商小组认定该供应商以低于成本报价竞标，有可能影响工程质量或者不能诚信履约，应当将其作为无效响应处理；</w:t>
      </w:r>
    </w:p>
    <w:p w14:paraId="2BAC6F0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5.1.4供应商也可以有预见性地准备好上述要求的书面说明和相关证明材料并加盖公章。</w:t>
      </w:r>
    </w:p>
    <w:p w14:paraId="597A71E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5.2价格扣除：</w:t>
      </w:r>
    </w:p>
    <w:p w14:paraId="5D778D4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非专门面向中小企业的采购项目或采购包，对符合规定的小微企业（监狱企业、残疾人福利性单位、联合体各方均为小微企业的联合体、符合小微企业划分标准的个体工商户视同小微企业）报价按照竞争性磋商文件“供应商须知前附表”中的规定扣除，对小微企业中的监狱企业、残疾人福利性单位、采购产品纳入创新产品应用示范推荐目录内企业、采购产品获得节能产品或环境标志产品认证证书的企业报价按照本竞争性磋商文件“供应商须知前附表”中的规定扣除，用扣除后的价格计算评审基准价。</w:t>
      </w:r>
    </w:p>
    <w:p w14:paraId="4A59AEA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14:paraId="1D6A881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（3）组成联合体或者接受分包的小微企业与联合体内其他企业、分包企业之间存在直接控股、管理关系的，不享受价格扣除优惠政策。</w:t>
      </w:r>
    </w:p>
    <w:p w14:paraId="36891CE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（4）价格扣除比例对小型企业和微型企业同等对待，不作区分。</w:t>
      </w:r>
    </w:p>
    <w:p w14:paraId="36AA7AF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w:t>
      </w:r>
      <w:r>
        <w:rPr>
          <w:rFonts w:hint="eastAsia" w:ascii="仿宋" w:hAnsi="仿宋" w:eastAsia="仿宋" w:cs="仿宋"/>
          <w:b w:val="0"/>
          <w:bCs w:val="0"/>
          <w:sz w:val="24"/>
          <w:szCs w:val="24"/>
        </w:rPr>
        <w:t>专门面向中小企业、预留部分采购份额面向中小企业采购的项目或采购包，评审时不再进行价格扣除。</w:t>
      </w:r>
    </w:p>
    <w:p w14:paraId="3FB4C8B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（6）若供应商同时属于小型或微型企业、监狱企业、残疾人福利性单位中的两种及以上，将不重复享受小微企业价格扣减的优惠政策。</w:t>
      </w:r>
    </w:p>
    <w:p w14:paraId="440B5F7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5.3价格分采用低价优先法计算，即满足磋商文件要求且最后报价最低的供应商的价格为磋商基准价，其价格分为满分。其他供应商的价格分统一按照下列公式计算：</w:t>
      </w:r>
    </w:p>
    <w:p w14:paraId="111D190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磋商报价得分=（磋商基准价/最后磋商报价）×价格分值</w:t>
      </w:r>
    </w:p>
    <w:p w14:paraId="3F7FF43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项目评审过程中，不得去掉最后报价中的最高报价和最低报价。计算方法详见本章“三、评审标准”中的具体计算公式。</w:t>
      </w:r>
    </w:p>
    <w:p w14:paraId="5B2578D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6.计分办法及复核</w:t>
      </w:r>
    </w:p>
    <w:p w14:paraId="6F63ACC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6.1评审过程中，各项分值一般精确到小数点后两位，评审得分应当为商务评分、技术评分、报价评分之和。磋商小组各成员应当汇总每个供应商的得分。</w:t>
      </w:r>
    </w:p>
    <w:p w14:paraId="124E169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6.2评审结果汇总完成后，采购代理机构应当对评审结果进行复核。经复核发现存在以下情形之一的，磋商小组应当当场修改评审结果，并在评审报告中记载：</w:t>
      </w:r>
    </w:p>
    <w:p w14:paraId="009762A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（1）资格性检查认定错误的；</w:t>
      </w:r>
    </w:p>
    <w:p w14:paraId="794A803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（2）分值汇总计算错误的；</w:t>
      </w:r>
    </w:p>
    <w:p w14:paraId="28D1945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（3）分项评分超出评分标准范围的；</w:t>
      </w:r>
    </w:p>
    <w:p w14:paraId="1352548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（4）磋商小组成员对客观分评分不一致的；</w:t>
      </w:r>
    </w:p>
    <w:p w14:paraId="53DDDFD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（5）经磋商小组一致认定评分畸高、畸低的。</w:t>
      </w:r>
    </w:p>
    <w:p w14:paraId="0A34D37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6.3各供应商的最终得分为磋商小组所有成员对各供应商评审得分汇总后的算术平均值。</w:t>
      </w:r>
    </w:p>
    <w:p w14:paraId="7811D9F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0F2F7AE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6.5采购人或者采购代理机构不得通过对供应商进行考察等方式改变评审结果。</w:t>
      </w:r>
    </w:p>
    <w:p w14:paraId="39CC0D0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7.评审报告</w:t>
      </w:r>
    </w:p>
    <w:p w14:paraId="57A27AF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7.1磋商小组从质量和服务均能满足磋商文件实质性要求的供应商中，按照综合得分由高到低的顺序推荐3名（市场竞争不充分的科研项目，以及需要扶持的科技成果转化项目可以为2家）以上成交候选供应商。评审得分相同的，磋商小组按照最后报价由低到高的顺序推荐；得分相同且最后报价相同的，按照技术指标优劣顺序推荐。响应文件满足磋商文件全部实质性要求且评审得分最高的供应商为排名第一的成交候选供应商。磋商小组依据评审结果形成评审报告。</w:t>
      </w:r>
    </w:p>
    <w:p w14:paraId="01B6B32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7.2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1FD2764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8.响应无效的情形</w:t>
      </w:r>
    </w:p>
    <w:p w14:paraId="01D6C35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8.1供应商存在下列情况之一的，其响应无效：</w:t>
      </w:r>
    </w:p>
    <w:p w14:paraId="607A6B0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（1）不同供应商的响应文件由同一单位或者个人编制；</w:t>
      </w:r>
    </w:p>
    <w:p w14:paraId="2A3598C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（2）不同供应商委托同一单位或者个人办理磋商响应事宜；</w:t>
      </w:r>
    </w:p>
    <w:p w14:paraId="6CD6156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（3）不同供应商的响应文件载明的项目管理成员或者联系人员为同一人；</w:t>
      </w:r>
    </w:p>
    <w:p w14:paraId="2779DA7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（4）不同供应商的响应文件异常一致或者磋商报价呈规律性差异；</w:t>
      </w:r>
    </w:p>
    <w:p w14:paraId="604D607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（5）不同供应商的响应文件相互混装；</w:t>
      </w:r>
    </w:p>
    <w:p w14:paraId="05793D0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（6）不同供应商的磋商保证金从同一单位或者个人的账户转出；</w:t>
      </w:r>
    </w:p>
    <w:p w14:paraId="7B74074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（7）不同供应商使用同一电脑（机器特征值一致：如MAC地址等）或使用同一电子密钥，编制或上传电子响应文件；</w:t>
      </w:r>
    </w:p>
    <w:p w14:paraId="46849D9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（8）法律、法规、规章和竞争性磋商文件规定的其他响应无效的情形。</w:t>
      </w:r>
    </w:p>
    <w:p w14:paraId="0406B2C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8.2磋商小组应当审查所有供应商的响应文件是否对竞争性磋商文件提出的所有实质性要求和条件做出响应。未能在实质上响应的供应商，其响应无效。</w:t>
      </w:r>
    </w:p>
    <w:p w14:paraId="567CAC4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8.3供应商不得误导、干扰磋商小组的评审活动，否则其响应无效。</w:t>
      </w:r>
    </w:p>
    <w:p w14:paraId="3F5F3A6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9.停止评审的情形</w:t>
      </w:r>
    </w:p>
    <w:p w14:paraId="169096E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9.1磋商小组在评审过程中发现供应商有行贿、提供虚假材料或者串通等违法行为的，应当及时向财政部门报告。</w:t>
      </w:r>
    </w:p>
    <w:p w14:paraId="7156514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9.2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p w14:paraId="051C4C44">
      <w:pPr>
        <w:keepNext w:val="0"/>
        <w:keepLines w:val="0"/>
        <w:pageBreakBefore w:val="0"/>
        <w:widowControl/>
        <w:kinsoku w:val="0"/>
        <w:wordWrap/>
        <w:overflowPunct/>
        <w:topLinePunct w:val="0"/>
        <w:autoSpaceDE w:val="0"/>
        <w:autoSpaceDN w:val="0"/>
        <w:bidi w:val="0"/>
        <w:adjustRightInd w:val="0"/>
        <w:snapToGrid w:val="0"/>
        <w:spacing w:line="480" w:lineRule="exact"/>
        <w:textAlignment w:val="baseline"/>
        <w:rPr>
          <w:rFonts w:hint="eastAsia" w:ascii="仿宋" w:hAnsi="仿宋" w:eastAsia="仿宋" w:cs="仿宋"/>
          <w:sz w:val="24"/>
          <w:szCs w:val="24"/>
        </w:rPr>
      </w:pPr>
      <w:r>
        <w:rPr>
          <w:rFonts w:hint="eastAsia" w:ascii="仿宋" w:hAnsi="仿宋" w:eastAsia="仿宋" w:cs="仿宋"/>
          <w:sz w:val="24"/>
          <w:szCs w:val="24"/>
        </w:rPr>
        <w:t>三、评审标准</w:t>
      </w:r>
    </w:p>
    <w:p w14:paraId="0196CAF3">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（一）资格审查表</w:t>
      </w:r>
    </w:p>
    <w:tbl>
      <w:tblPr>
        <w:tblStyle w:val="25"/>
        <w:tblW w:w="941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Layout w:type="fixed"/>
        <w:tblCellMar>
          <w:top w:w="0" w:type="dxa"/>
          <w:left w:w="0" w:type="dxa"/>
          <w:bottom w:w="0" w:type="dxa"/>
          <w:right w:w="0" w:type="dxa"/>
        </w:tblCellMar>
      </w:tblPr>
      <w:tblGrid>
        <w:gridCol w:w="728"/>
        <w:gridCol w:w="7284"/>
        <w:gridCol w:w="1406"/>
      </w:tblGrid>
      <w:tr w14:paraId="7FF993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454" w:hRule="atLeast"/>
          <w:jc w:val="center"/>
        </w:trPr>
        <w:tc>
          <w:tcPr>
            <w:tcW w:w="728" w:type="dxa"/>
            <w:shd w:val="clear" w:color="auto" w:fill="auto"/>
            <w:vAlign w:val="center"/>
          </w:tcPr>
          <w:p w14:paraId="0FCF43A2">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b/>
                <w:bCs/>
                <w:sz w:val="24"/>
                <w:szCs w:val="24"/>
              </w:rPr>
            </w:pPr>
            <w:r>
              <w:rPr>
                <w:rFonts w:hint="eastAsia" w:ascii="仿宋" w:hAnsi="仿宋" w:eastAsia="仿宋" w:cs="仿宋"/>
                <w:b/>
                <w:bCs/>
                <w:sz w:val="24"/>
                <w:szCs w:val="24"/>
              </w:rPr>
              <w:t>序号</w:t>
            </w:r>
          </w:p>
        </w:tc>
        <w:tc>
          <w:tcPr>
            <w:tcW w:w="7284" w:type="dxa"/>
            <w:shd w:val="clear" w:color="auto" w:fill="auto"/>
            <w:vAlign w:val="center"/>
          </w:tcPr>
          <w:p w14:paraId="28334171">
            <w:pPr>
              <w:keepNext w:val="0"/>
              <w:keepLines w:val="0"/>
              <w:pageBreakBefore w:val="0"/>
              <w:widowControl/>
              <w:kinsoku w:val="0"/>
              <w:wordWrap/>
              <w:overflowPunct/>
              <w:topLinePunct w:val="0"/>
              <w:autoSpaceDE w:val="0"/>
              <w:autoSpaceDN w:val="0"/>
              <w:bidi w:val="0"/>
              <w:adjustRightInd w:val="0"/>
              <w:snapToGrid w:val="0"/>
              <w:spacing w:line="480" w:lineRule="exact"/>
              <w:ind w:firstLine="482" w:firstLineChars="200"/>
              <w:jc w:val="center"/>
              <w:textAlignment w:val="baseline"/>
              <w:rPr>
                <w:rFonts w:hint="eastAsia" w:ascii="仿宋" w:hAnsi="仿宋" w:eastAsia="仿宋" w:cs="仿宋"/>
                <w:b/>
                <w:bCs/>
                <w:sz w:val="24"/>
                <w:szCs w:val="24"/>
              </w:rPr>
            </w:pPr>
            <w:r>
              <w:rPr>
                <w:rFonts w:hint="eastAsia" w:ascii="仿宋" w:hAnsi="仿宋" w:eastAsia="仿宋" w:cs="仿宋"/>
                <w:b/>
                <w:bCs/>
                <w:sz w:val="24"/>
                <w:szCs w:val="24"/>
              </w:rPr>
              <w:t>审查内容</w:t>
            </w:r>
          </w:p>
        </w:tc>
        <w:tc>
          <w:tcPr>
            <w:tcW w:w="1406" w:type="dxa"/>
            <w:shd w:val="clear" w:color="auto" w:fill="auto"/>
            <w:vAlign w:val="center"/>
          </w:tcPr>
          <w:p w14:paraId="4A933060">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default" w:ascii="仿宋" w:hAnsi="仿宋" w:eastAsia="仿宋" w:cs="仿宋"/>
                <w:b/>
                <w:bCs/>
                <w:sz w:val="24"/>
                <w:szCs w:val="24"/>
                <w:lang w:val="en-US" w:eastAsia="zh-CN"/>
              </w:rPr>
            </w:pPr>
            <w:r>
              <w:rPr>
                <w:rFonts w:hint="eastAsia" w:ascii="仿宋" w:hAnsi="仿宋" w:eastAsia="仿宋" w:cs="仿宋"/>
                <w:b/>
                <w:bCs/>
                <w:color w:val="auto"/>
                <w:highlight w:val="none"/>
                <w:lang w:val="en-US" w:eastAsia="zh-CN"/>
              </w:rPr>
              <w:t>审查结果</w:t>
            </w:r>
          </w:p>
        </w:tc>
      </w:tr>
      <w:tr w14:paraId="5B3B02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646" w:hRule="atLeast"/>
          <w:jc w:val="center"/>
        </w:trPr>
        <w:tc>
          <w:tcPr>
            <w:tcW w:w="728" w:type="dxa"/>
            <w:shd w:val="clear" w:color="auto" w:fill="auto"/>
            <w:vAlign w:val="center"/>
          </w:tcPr>
          <w:p w14:paraId="617E8795">
            <w:pPr>
              <w:keepNext w:val="0"/>
              <w:keepLines w:val="0"/>
              <w:pageBreakBefore w:val="0"/>
              <w:widowControl/>
              <w:kinsoku w:val="0"/>
              <w:wordWrap/>
              <w:overflowPunct/>
              <w:topLinePunct w:val="0"/>
              <w:autoSpaceDE w:val="0"/>
              <w:autoSpaceDN w:val="0"/>
              <w:bidi w:val="0"/>
              <w:adjustRightInd w:val="0"/>
              <w:snapToGrid w:val="0"/>
              <w:spacing w:line="480" w:lineRule="exact"/>
              <w:ind w:firstLine="240" w:firstLineChars="100"/>
              <w:jc w:val="left"/>
              <w:textAlignment w:val="baseline"/>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p>
        </w:tc>
        <w:tc>
          <w:tcPr>
            <w:tcW w:w="7284" w:type="dxa"/>
            <w:shd w:val="clear" w:color="auto" w:fill="auto"/>
            <w:vAlign w:val="center"/>
          </w:tcPr>
          <w:p w14:paraId="184BEFC3">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default" w:ascii="仿宋" w:hAnsi="仿宋" w:eastAsia="仿宋" w:cs="仿宋"/>
                <w:sz w:val="24"/>
                <w:szCs w:val="24"/>
                <w:lang w:val="en-US" w:eastAsia="zh-CN"/>
              </w:rPr>
            </w:pPr>
            <w:r>
              <w:rPr>
                <w:rFonts w:hint="eastAsia" w:ascii="仿宋" w:hAnsi="仿宋" w:eastAsia="仿宋" w:cs="仿宋"/>
                <w:sz w:val="24"/>
                <w:szCs w:val="24"/>
                <w:lang w:eastAsia="zh-CN"/>
              </w:rPr>
              <w:t>供应商名称与营业执照、资质证书一致（符合法定工商变更程序除外）</w:t>
            </w:r>
          </w:p>
        </w:tc>
        <w:tc>
          <w:tcPr>
            <w:tcW w:w="1406" w:type="dxa"/>
            <w:shd w:val="clear" w:color="auto" w:fill="auto"/>
            <w:vAlign w:val="center"/>
          </w:tcPr>
          <w:p w14:paraId="2407766C">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rPr>
            </w:pPr>
          </w:p>
        </w:tc>
      </w:tr>
      <w:tr w14:paraId="745693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903" w:hRule="atLeast"/>
          <w:jc w:val="center"/>
        </w:trPr>
        <w:tc>
          <w:tcPr>
            <w:tcW w:w="728" w:type="dxa"/>
            <w:shd w:val="clear" w:color="auto" w:fill="auto"/>
            <w:vAlign w:val="center"/>
          </w:tcPr>
          <w:p w14:paraId="1E03DFBD">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7284" w:type="dxa"/>
            <w:shd w:val="clear" w:color="auto" w:fill="auto"/>
            <w:vAlign w:val="center"/>
          </w:tcPr>
          <w:p w14:paraId="7FCA5215">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供应商</w:t>
            </w:r>
            <w:r>
              <w:rPr>
                <w:rFonts w:hint="eastAsia" w:ascii="仿宋" w:hAnsi="仿宋" w:eastAsia="仿宋" w:cs="仿宋"/>
                <w:sz w:val="24"/>
                <w:szCs w:val="24"/>
                <w:lang w:eastAsia="zh-CN"/>
              </w:rPr>
              <w:t>具</w:t>
            </w:r>
            <w:r>
              <w:rPr>
                <w:rFonts w:hint="eastAsia" w:ascii="仿宋" w:hAnsi="仿宋" w:eastAsia="仿宋" w:cs="仿宋"/>
                <w:sz w:val="24"/>
                <w:szCs w:val="24"/>
                <w:lang w:val="en-US" w:eastAsia="zh-CN"/>
              </w:rPr>
              <w:t>备</w:t>
            </w:r>
            <w:r>
              <w:rPr>
                <w:rFonts w:hint="eastAsia" w:ascii="仿宋" w:hAnsi="仿宋" w:eastAsia="仿宋" w:cs="仿宋"/>
                <w:sz w:val="24"/>
                <w:szCs w:val="24"/>
                <w:lang w:eastAsia="zh-CN"/>
              </w:rPr>
              <w:t>市政公用工程施工总承包三级及以上资质，且具</w:t>
            </w:r>
            <w:r>
              <w:rPr>
                <w:rFonts w:hint="eastAsia" w:ascii="仿宋" w:hAnsi="仿宋" w:eastAsia="仿宋" w:cs="仿宋"/>
                <w:sz w:val="24"/>
                <w:szCs w:val="24"/>
                <w:lang w:val="en-US" w:eastAsia="zh-CN"/>
              </w:rPr>
              <w:t>备</w:t>
            </w:r>
            <w:r>
              <w:rPr>
                <w:rFonts w:hint="eastAsia" w:ascii="仿宋" w:hAnsi="仿宋" w:eastAsia="仿宋" w:cs="仿宋"/>
                <w:sz w:val="24"/>
                <w:szCs w:val="24"/>
                <w:lang w:eastAsia="zh-CN"/>
              </w:rPr>
              <w:t>有效的安全生产许可证</w:t>
            </w:r>
            <w:r>
              <w:rPr>
                <w:rFonts w:hint="eastAsia" w:ascii="仿宋" w:hAnsi="仿宋" w:eastAsia="仿宋" w:cs="仿宋"/>
                <w:sz w:val="24"/>
                <w:szCs w:val="24"/>
                <w:lang w:val="en-US" w:eastAsia="zh-CN"/>
              </w:rPr>
              <w:t>；</w:t>
            </w:r>
          </w:p>
        </w:tc>
        <w:tc>
          <w:tcPr>
            <w:tcW w:w="1406" w:type="dxa"/>
            <w:shd w:val="clear" w:color="auto" w:fill="auto"/>
            <w:vAlign w:val="center"/>
          </w:tcPr>
          <w:p w14:paraId="0423E104">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rPr>
            </w:pPr>
          </w:p>
        </w:tc>
      </w:tr>
      <w:tr w14:paraId="24C306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2250" w:hRule="atLeast"/>
          <w:jc w:val="center"/>
        </w:trPr>
        <w:tc>
          <w:tcPr>
            <w:tcW w:w="728" w:type="dxa"/>
            <w:shd w:val="clear" w:color="auto" w:fill="auto"/>
            <w:vAlign w:val="center"/>
          </w:tcPr>
          <w:p w14:paraId="78176426">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3</w:t>
            </w:r>
          </w:p>
        </w:tc>
        <w:tc>
          <w:tcPr>
            <w:tcW w:w="7284" w:type="dxa"/>
            <w:shd w:val="clear" w:color="auto" w:fill="auto"/>
            <w:vAlign w:val="center"/>
          </w:tcPr>
          <w:p w14:paraId="07DAA16D">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项目负责人须具备市政公用工程专业二级及以上建造师注册证书，注册单位名称与投标人名称一致，具备有效的安全生产考核合格证书（B类），未在其他建设工程项目任职，并提供无在建项目的承诺书（无在建承诺书承诺时间须在开标截止时间前）；</w:t>
            </w:r>
          </w:p>
        </w:tc>
        <w:tc>
          <w:tcPr>
            <w:tcW w:w="1406" w:type="dxa"/>
            <w:shd w:val="clear" w:color="auto" w:fill="auto"/>
            <w:vAlign w:val="center"/>
          </w:tcPr>
          <w:p w14:paraId="6D0C2D00">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rPr>
            </w:pPr>
          </w:p>
        </w:tc>
      </w:tr>
      <w:tr w14:paraId="67820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903" w:hRule="atLeast"/>
          <w:jc w:val="center"/>
        </w:trPr>
        <w:tc>
          <w:tcPr>
            <w:tcW w:w="728" w:type="dxa"/>
            <w:shd w:val="clear" w:color="auto" w:fill="auto"/>
            <w:vAlign w:val="center"/>
          </w:tcPr>
          <w:p w14:paraId="0712DBC6">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4</w:t>
            </w:r>
          </w:p>
        </w:tc>
        <w:tc>
          <w:tcPr>
            <w:tcW w:w="7284" w:type="dxa"/>
            <w:shd w:val="clear" w:color="auto" w:fill="auto"/>
            <w:vAlign w:val="center"/>
          </w:tcPr>
          <w:p w14:paraId="70ABB331">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具有履行合同所必需的设备和专业技术能力（声明函格式自拟）即具有完成本项目采购能力；</w:t>
            </w:r>
          </w:p>
        </w:tc>
        <w:tc>
          <w:tcPr>
            <w:tcW w:w="1406" w:type="dxa"/>
            <w:shd w:val="clear" w:color="auto" w:fill="auto"/>
            <w:vAlign w:val="center"/>
          </w:tcPr>
          <w:p w14:paraId="473D5C5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sz w:val="24"/>
                <w:szCs w:val="24"/>
              </w:rPr>
            </w:pPr>
          </w:p>
        </w:tc>
      </w:tr>
      <w:tr w14:paraId="19F865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903" w:hRule="atLeast"/>
          <w:jc w:val="center"/>
        </w:trPr>
        <w:tc>
          <w:tcPr>
            <w:tcW w:w="728" w:type="dxa"/>
            <w:shd w:val="clear" w:color="auto" w:fill="auto"/>
            <w:vAlign w:val="center"/>
          </w:tcPr>
          <w:p w14:paraId="6A62F76D">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7284" w:type="dxa"/>
            <w:shd w:val="clear" w:color="auto" w:fill="auto"/>
            <w:vAlign w:val="center"/>
          </w:tcPr>
          <w:p w14:paraId="05513E48">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具有依法缴纳税收和社会保障资金的良好记录（提供相应证明材料或声明函格式自拟）；</w:t>
            </w:r>
          </w:p>
        </w:tc>
        <w:tc>
          <w:tcPr>
            <w:tcW w:w="1406" w:type="dxa"/>
            <w:shd w:val="clear" w:color="auto" w:fill="auto"/>
            <w:vAlign w:val="center"/>
          </w:tcPr>
          <w:p w14:paraId="4D79086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sz w:val="24"/>
                <w:szCs w:val="24"/>
              </w:rPr>
            </w:pPr>
          </w:p>
        </w:tc>
      </w:tr>
      <w:tr w14:paraId="208B9D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1352" w:hRule="atLeast"/>
          <w:jc w:val="center"/>
        </w:trPr>
        <w:tc>
          <w:tcPr>
            <w:tcW w:w="728" w:type="dxa"/>
            <w:shd w:val="clear" w:color="auto" w:fill="auto"/>
            <w:vAlign w:val="center"/>
          </w:tcPr>
          <w:p w14:paraId="044F537A">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w:t>
            </w:r>
          </w:p>
        </w:tc>
        <w:tc>
          <w:tcPr>
            <w:tcW w:w="7284" w:type="dxa"/>
            <w:shd w:val="clear" w:color="auto" w:fill="auto"/>
            <w:vAlign w:val="center"/>
          </w:tcPr>
          <w:p w14:paraId="3891A575">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单位负责人为同一人或者存在直接控股、管理关系的不同供应商，不得参加同一合同项下的政府采购活动（提供声明函格式自拟）；</w:t>
            </w:r>
          </w:p>
        </w:tc>
        <w:tc>
          <w:tcPr>
            <w:tcW w:w="1406" w:type="dxa"/>
            <w:shd w:val="clear" w:color="auto" w:fill="auto"/>
            <w:vAlign w:val="center"/>
          </w:tcPr>
          <w:p w14:paraId="42A0608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sz w:val="24"/>
                <w:szCs w:val="24"/>
              </w:rPr>
            </w:pPr>
          </w:p>
        </w:tc>
      </w:tr>
      <w:tr w14:paraId="0AA33E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2375" w:hRule="atLeast"/>
          <w:jc w:val="center"/>
        </w:trPr>
        <w:tc>
          <w:tcPr>
            <w:tcW w:w="728" w:type="dxa"/>
            <w:shd w:val="clear" w:color="auto" w:fill="auto"/>
            <w:vAlign w:val="center"/>
          </w:tcPr>
          <w:p w14:paraId="3C0EBFAA">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7284" w:type="dxa"/>
            <w:shd w:val="clear" w:color="auto" w:fill="auto"/>
            <w:vAlign w:val="center"/>
          </w:tcPr>
          <w:p w14:paraId="3038B339">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参加政府采购活动前三年内，在经营活动中没有重大违法记录，在“信用中国”网站（www.creditchina.gov.cn）、中国政府采购网（www.ccgp.gov.cn）没有被列入失信被执行人、重大税收违法失信主体名单、政府采购严重违法失信行为记录名单及其他不符合规定条件；</w:t>
            </w:r>
          </w:p>
          <w:p w14:paraId="17DF44E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left"/>
              <w:textAlignment w:val="baseline"/>
              <w:rPr>
                <w:rFonts w:hint="eastAsia" w:ascii="仿宋" w:hAnsi="仿宋" w:eastAsia="仿宋" w:cs="仿宋"/>
                <w:sz w:val="24"/>
                <w:szCs w:val="24"/>
                <w:lang w:val="en-US" w:eastAsia="zh-CN"/>
              </w:rPr>
            </w:pPr>
          </w:p>
        </w:tc>
        <w:tc>
          <w:tcPr>
            <w:tcW w:w="1406" w:type="dxa"/>
            <w:shd w:val="clear" w:color="auto" w:fill="auto"/>
            <w:vAlign w:val="center"/>
          </w:tcPr>
          <w:p w14:paraId="43C5709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sz w:val="24"/>
                <w:szCs w:val="24"/>
              </w:rPr>
            </w:pPr>
          </w:p>
        </w:tc>
      </w:tr>
      <w:tr w14:paraId="78F7A9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shd w:val="clear" w:color="auto" w:fill="auto"/>
          <w:tblCellMar>
            <w:top w:w="0" w:type="dxa"/>
            <w:left w:w="0" w:type="dxa"/>
            <w:bottom w:w="0" w:type="dxa"/>
            <w:right w:w="0" w:type="dxa"/>
          </w:tblCellMar>
        </w:tblPrEx>
        <w:trPr>
          <w:trHeight w:val="1357" w:hRule="atLeast"/>
          <w:jc w:val="center"/>
        </w:trPr>
        <w:tc>
          <w:tcPr>
            <w:tcW w:w="728" w:type="dxa"/>
            <w:shd w:val="clear" w:color="auto" w:fill="auto"/>
            <w:vAlign w:val="center"/>
          </w:tcPr>
          <w:p w14:paraId="79401687">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7284" w:type="dxa"/>
            <w:shd w:val="clear" w:color="auto" w:fill="auto"/>
            <w:vAlign w:val="center"/>
          </w:tcPr>
          <w:p w14:paraId="202BC51A">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落实政府采购政策需满足的资格要求：本项目为专门面向中小企业采购的项目，</w:t>
            </w:r>
            <w:bookmarkStart w:id="6" w:name="OLE_LINK6"/>
            <w:r>
              <w:rPr>
                <w:rFonts w:hint="eastAsia" w:ascii="仿宋" w:hAnsi="仿宋" w:eastAsia="仿宋" w:cs="仿宋"/>
                <w:sz w:val="24"/>
                <w:szCs w:val="24"/>
                <w:lang w:val="en-US" w:eastAsia="zh-CN"/>
              </w:rPr>
              <w:t>供应商应出具中小企业声明函或证明材料</w:t>
            </w:r>
            <w:bookmarkEnd w:id="6"/>
            <w:r>
              <w:rPr>
                <w:rFonts w:hint="eastAsia" w:ascii="仿宋" w:hAnsi="仿宋" w:eastAsia="仿宋" w:cs="仿宋"/>
                <w:sz w:val="24"/>
                <w:szCs w:val="24"/>
                <w:lang w:val="en-US" w:eastAsia="zh-CN"/>
              </w:rPr>
              <w:t>；</w:t>
            </w:r>
          </w:p>
        </w:tc>
        <w:tc>
          <w:tcPr>
            <w:tcW w:w="1406" w:type="dxa"/>
            <w:shd w:val="clear" w:color="auto" w:fill="auto"/>
            <w:vAlign w:val="center"/>
          </w:tcPr>
          <w:p w14:paraId="7355DD8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sz w:val="24"/>
                <w:szCs w:val="24"/>
              </w:rPr>
            </w:pPr>
          </w:p>
        </w:tc>
      </w:tr>
    </w:tbl>
    <w:p w14:paraId="2CA1C01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备注：</w:t>
      </w:r>
    </w:p>
    <w:p w14:paraId="32BAA03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1.供应商须按上表格式要求提供相关证明文件，响应文件中须编入清晰的扫描件或网页截图。所有证明材料须清晰可辨认，如因证明材料模糊无法辨认，缺页、漏页导致无法进行评审认定的，责任由供应商承担。</w:t>
      </w:r>
    </w:p>
    <w:p w14:paraId="66373B4B">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2.信用信息核查</w:t>
      </w:r>
    </w:p>
    <w:p w14:paraId="49CA617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2.1资格审查阶段应当核查供应商信用记录，供应商被列入失信被执行人、重大税收违法失信主体、政府采购严重违法失信行为记录名单的，采购人拒绝其参与政府采购活动。</w:t>
      </w:r>
    </w:p>
    <w:p w14:paraId="249B4E8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3.对于响应文件中有任意一条不满足上表要求的，将导致其响应无效，不得进入下一项评审。</w:t>
      </w:r>
    </w:p>
    <w:p w14:paraId="7B9FF46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sectPr>
          <w:footerReference r:id="rId9" w:type="default"/>
          <w:pgSz w:w="11906" w:h="16839"/>
          <w:pgMar w:top="1166" w:right="1023" w:bottom="1315" w:left="1023" w:header="829" w:footer="1047" w:gutter="0"/>
          <w:pgNumType w:fmt="decimal" w:start="1"/>
          <w:cols w:space="720" w:num="1"/>
        </w:sectPr>
      </w:pPr>
    </w:p>
    <w:p w14:paraId="21A1021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（二）符合性审查表</w:t>
      </w:r>
    </w:p>
    <w:tbl>
      <w:tblPr>
        <w:tblStyle w:val="25"/>
        <w:tblW w:w="92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506"/>
        <w:gridCol w:w="1825"/>
        <w:gridCol w:w="5534"/>
        <w:gridCol w:w="1384"/>
      </w:tblGrid>
      <w:tr w14:paraId="72CB2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80" w:hRule="atLeast"/>
          <w:jc w:val="center"/>
        </w:trPr>
        <w:tc>
          <w:tcPr>
            <w:tcW w:w="506" w:type="dxa"/>
            <w:shd w:val="clear" w:color="auto" w:fill="auto"/>
            <w:textDirection w:val="tbRlV"/>
            <w:vAlign w:val="center"/>
          </w:tcPr>
          <w:p w14:paraId="38B0E755">
            <w:pPr>
              <w:keepNext w:val="0"/>
              <w:keepLines w:val="0"/>
              <w:pageBreakBefore w:val="0"/>
              <w:widowControl/>
              <w:kinsoku w:val="0"/>
              <w:wordWrap/>
              <w:overflowPunct/>
              <w:topLinePunct w:val="0"/>
              <w:autoSpaceDE w:val="0"/>
              <w:autoSpaceDN w:val="0"/>
              <w:bidi w:val="0"/>
              <w:adjustRightInd w:val="0"/>
              <w:snapToGrid w:val="0"/>
              <w:spacing w:line="480" w:lineRule="exact"/>
              <w:ind w:left="0" w:leftChars="0" w:firstLine="0" w:firstLineChars="0"/>
              <w:jc w:val="center"/>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rPr>
              <w:t>序号</w:t>
            </w:r>
          </w:p>
        </w:tc>
        <w:tc>
          <w:tcPr>
            <w:tcW w:w="1825" w:type="dxa"/>
            <w:shd w:val="clear" w:color="auto" w:fill="auto"/>
            <w:vAlign w:val="center"/>
          </w:tcPr>
          <w:p w14:paraId="7120E76C">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rPr>
              <w:t>审查项名称</w:t>
            </w:r>
          </w:p>
        </w:tc>
        <w:tc>
          <w:tcPr>
            <w:tcW w:w="5534" w:type="dxa"/>
            <w:shd w:val="clear" w:color="auto" w:fill="auto"/>
            <w:vAlign w:val="center"/>
          </w:tcPr>
          <w:p w14:paraId="673DB43C">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rPr>
              <w:t>审查内容</w:t>
            </w:r>
          </w:p>
        </w:tc>
        <w:tc>
          <w:tcPr>
            <w:tcW w:w="1384" w:type="dxa"/>
            <w:shd w:val="clear" w:color="auto" w:fill="auto"/>
            <w:vAlign w:val="center"/>
          </w:tcPr>
          <w:p w14:paraId="5F8488BD">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rPr>
              <w:t>审查结果</w:t>
            </w:r>
          </w:p>
        </w:tc>
      </w:tr>
      <w:tr w14:paraId="51EC7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29" w:hRule="atLeast"/>
          <w:jc w:val="center"/>
        </w:trPr>
        <w:tc>
          <w:tcPr>
            <w:tcW w:w="506" w:type="dxa"/>
            <w:shd w:val="clear" w:color="auto" w:fill="auto"/>
            <w:vAlign w:val="center"/>
          </w:tcPr>
          <w:p w14:paraId="689358CE">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825" w:type="dxa"/>
            <w:shd w:val="clear" w:color="auto" w:fill="auto"/>
            <w:vAlign w:val="center"/>
          </w:tcPr>
          <w:p w14:paraId="3F780EDE">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响应文件签署</w:t>
            </w:r>
          </w:p>
        </w:tc>
        <w:tc>
          <w:tcPr>
            <w:tcW w:w="5534" w:type="dxa"/>
            <w:shd w:val="clear" w:color="auto" w:fill="auto"/>
            <w:vAlign w:val="center"/>
          </w:tcPr>
          <w:p w14:paraId="53F3BC5E">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响应文件按磋商文件要求签署、盖章的</w:t>
            </w:r>
            <w:r>
              <w:rPr>
                <w:rFonts w:hint="eastAsia" w:ascii="仿宋" w:hAnsi="仿宋" w:eastAsia="仿宋" w:cs="仿宋"/>
                <w:color w:val="auto"/>
                <w:sz w:val="24"/>
                <w:szCs w:val="24"/>
                <w:lang w:eastAsia="zh-CN"/>
              </w:rPr>
              <w:t>。</w:t>
            </w:r>
          </w:p>
        </w:tc>
        <w:tc>
          <w:tcPr>
            <w:tcW w:w="1384" w:type="dxa"/>
            <w:shd w:val="clear" w:color="auto" w:fill="auto"/>
            <w:vAlign w:val="center"/>
          </w:tcPr>
          <w:p w14:paraId="4F4E0260">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2B6DF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98" w:hRule="atLeast"/>
          <w:jc w:val="center"/>
        </w:trPr>
        <w:tc>
          <w:tcPr>
            <w:tcW w:w="506" w:type="dxa"/>
            <w:shd w:val="clear" w:color="auto" w:fill="auto"/>
            <w:vAlign w:val="center"/>
          </w:tcPr>
          <w:p w14:paraId="7479831F">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825" w:type="dxa"/>
            <w:shd w:val="clear" w:color="auto" w:fill="auto"/>
            <w:vAlign w:val="center"/>
          </w:tcPr>
          <w:p w14:paraId="3812F1EB">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磋商保证金</w:t>
            </w:r>
          </w:p>
        </w:tc>
        <w:tc>
          <w:tcPr>
            <w:tcW w:w="5534" w:type="dxa"/>
            <w:shd w:val="clear" w:color="auto" w:fill="auto"/>
            <w:vAlign w:val="center"/>
          </w:tcPr>
          <w:p w14:paraId="030A3126">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供应商按照</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eastAsia="zh-CN"/>
              </w:rPr>
              <w:t>文件的规定提交</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eastAsia="zh-CN"/>
              </w:rPr>
              <w:t>保证金</w:t>
            </w:r>
            <w:r>
              <w:rPr>
                <w:rFonts w:hint="eastAsia" w:ascii="仿宋" w:hAnsi="仿宋" w:eastAsia="仿宋" w:cs="仿宋"/>
                <w:color w:val="auto"/>
                <w:sz w:val="24"/>
                <w:szCs w:val="24"/>
                <w:lang w:val="en-US" w:eastAsia="zh-CN"/>
              </w:rPr>
              <w:t>的</w:t>
            </w:r>
            <w:r>
              <w:rPr>
                <w:rFonts w:hint="eastAsia" w:ascii="仿宋" w:hAnsi="仿宋" w:eastAsia="仿宋" w:cs="仿宋"/>
                <w:color w:val="auto"/>
                <w:sz w:val="24"/>
                <w:szCs w:val="24"/>
                <w:lang w:eastAsia="zh-CN"/>
              </w:rPr>
              <w:t>。</w:t>
            </w:r>
          </w:p>
        </w:tc>
        <w:tc>
          <w:tcPr>
            <w:tcW w:w="1384" w:type="dxa"/>
            <w:shd w:val="clear" w:color="auto" w:fill="auto"/>
            <w:vAlign w:val="center"/>
          </w:tcPr>
          <w:p w14:paraId="59C1D54A">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1CB0A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93" w:hRule="atLeast"/>
          <w:jc w:val="center"/>
        </w:trPr>
        <w:tc>
          <w:tcPr>
            <w:tcW w:w="506" w:type="dxa"/>
            <w:shd w:val="clear" w:color="auto" w:fill="auto"/>
            <w:vAlign w:val="center"/>
          </w:tcPr>
          <w:p w14:paraId="07F375B4">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825" w:type="dxa"/>
            <w:shd w:val="clear" w:color="auto" w:fill="auto"/>
            <w:vAlign w:val="center"/>
          </w:tcPr>
          <w:p w14:paraId="502C2596">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磋商响应性报价</w:t>
            </w:r>
          </w:p>
        </w:tc>
        <w:tc>
          <w:tcPr>
            <w:tcW w:w="5534" w:type="dxa"/>
            <w:shd w:val="clear" w:color="auto" w:fill="auto"/>
            <w:vAlign w:val="center"/>
          </w:tcPr>
          <w:p w14:paraId="27B01EBB">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lang w:eastAsia="zh-CN"/>
              </w:rPr>
            </w:pPr>
            <w:r>
              <w:rPr>
                <w:rFonts w:hint="eastAsia" w:ascii="仿宋" w:hAnsi="仿宋" w:eastAsia="仿宋" w:cs="仿宋"/>
                <w:color w:val="auto"/>
                <w:sz w:val="24"/>
                <w:szCs w:val="24"/>
              </w:rPr>
              <w:t>供应商报价未超过磋商文件中规定的最高限价或者预算金额的</w:t>
            </w:r>
            <w:r>
              <w:rPr>
                <w:rFonts w:hint="eastAsia" w:ascii="仿宋" w:hAnsi="仿宋" w:eastAsia="仿宋" w:cs="仿宋"/>
                <w:color w:val="auto"/>
                <w:sz w:val="24"/>
                <w:szCs w:val="24"/>
                <w:lang w:eastAsia="zh-CN"/>
              </w:rPr>
              <w:t>。</w:t>
            </w:r>
          </w:p>
        </w:tc>
        <w:tc>
          <w:tcPr>
            <w:tcW w:w="1384" w:type="dxa"/>
            <w:shd w:val="clear" w:color="auto" w:fill="auto"/>
            <w:vAlign w:val="center"/>
          </w:tcPr>
          <w:p w14:paraId="68F749E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7C8E3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9" w:hRule="atLeast"/>
          <w:jc w:val="center"/>
        </w:trPr>
        <w:tc>
          <w:tcPr>
            <w:tcW w:w="506" w:type="dxa"/>
            <w:shd w:val="clear" w:color="auto" w:fill="auto"/>
            <w:vAlign w:val="center"/>
          </w:tcPr>
          <w:p w14:paraId="2D222C74">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825" w:type="dxa"/>
            <w:shd w:val="clear" w:color="auto" w:fill="auto"/>
            <w:vAlign w:val="center"/>
          </w:tcPr>
          <w:p w14:paraId="6C66A637">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虚假材料</w:t>
            </w:r>
          </w:p>
        </w:tc>
        <w:tc>
          <w:tcPr>
            <w:tcW w:w="5534" w:type="dxa"/>
            <w:shd w:val="clear" w:color="auto" w:fill="auto"/>
            <w:vAlign w:val="center"/>
          </w:tcPr>
          <w:p w14:paraId="66BD927B">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响应文件未提供虚假材料的</w:t>
            </w:r>
            <w:r>
              <w:rPr>
                <w:rFonts w:hint="eastAsia" w:ascii="仿宋" w:hAnsi="仿宋" w:eastAsia="仿宋" w:cs="仿宋"/>
                <w:color w:val="auto"/>
                <w:sz w:val="24"/>
                <w:szCs w:val="24"/>
                <w:lang w:eastAsia="zh-CN"/>
              </w:rPr>
              <w:t>。</w:t>
            </w:r>
          </w:p>
        </w:tc>
        <w:tc>
          <w:tcPr>
            <w:tcW w:w="1384" w:type="dxa"/>
            <w:shd w:val="clear" w:color="auto" w:fill="auto"/>
            <w:vAlign w:val="center"/>
          </w:tcPr>
          <w:p w14:paraId="1895717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6B587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40" w:hRule="atLeast"/>
          <w:jc w:val="center"/>
        </w:trPr>
        <w:tc>
          <w:tcPr>
            <w:tcW w:w="506" w:type="dxa"/>
            <w:shd w:val="clear" w:color="auto" w:fill="auto"/>
            <w:vAlign w:val="center"/>
          </w:tcPr>
          <w:p w14:paraId="527EE7E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p w14:paraId="692278F7">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825" w:type="dxa"/>
            <w:shd w:val="clear" w:color="auto" w:fill="auto"/>
            <w:vAlign w:val="center"/>
          </w:tcPr>
          <w:p w14:paraId="5A57E4EC">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报价修正</w:t>
            </w:r>
          </w:p>
        </w:tc>
        <w:tc>
          <w:tcPr>
            <w:tcW w:w="5534" w:type="dxa"/>
            <w:shd w:val="clear" w:color="auto" w:fill="auto"/>
            <w:vAlign w:val="center"/>
          </w:tcPr>
          <w:p w14:paraId="00E20613">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highlight w:val="none"/>
                <w:lang w:eastAsia="zh-CN" w:bidi="ar"/>
              </w:rPr>
              <w:t>报价出现前后不一致时，供应商按照招标文件评标办法要求确认修正后的报价。</w:t>
            </w:r>
          </w:p>
        </w:tc>
        <w:tc>
          <w:tcPr>
            <w:tcW w:w="1384" w:type="dxa"/>
            <w:shd w:val="clear" w:color="auto" w:fill="auto"/>
            <w:vAlign w:val="center"/>
          </w:tcPr>
          <w:p w14:paraId="0E2E5AE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74748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5" w:hRule="atLeast"/>
          <w:jc w:val="center"/>
        </w:trPr>
        <w:tc>
          <w:tcPr>
            <w:tcW w:w="506" w:type="dxa"/>
            <w:shd w:val="clear" w:color="auto" w:fill="auto"/>
            <w:vAlign w:val="center"/>
          </w:tcPr>
          <w:p w14:paraId="3F0F6AF7">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1825" w:type="dxa"/>
            <w:shd w:val="clear" w:color="auto" w:fill="auto"/>
            <w:vAlign w:val="center"/>
          </w:tcPr>
          <w:p w14:paraId="1D371488">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default" w:ascii="仿宋" w:hAnsi="仿宋" w:eastAsia="仿宋" w:cs="仿宋"/>
                <w:color w:val="auto"/>
                <w:sz w:val="24"/>
                <w:szCs w:val="24"/>
                <w:lang w:val="en-US"/>
              </w:rPr>
            </w:pPr>
            <w:r>
              <w:rPr>
                <w:rFonts w:hint="eastAsia" w:ascii="仿宋" w:hAnsi="仿宋" w:eastAsia="仿宋" w:cs="仿宋"/>
                <w:color w:val="auto"/>
                <w:sz w:val="24"/>
                <w:szCs w:val="24"/>
                <w:lang w:eastAsia="zh-CN"/>
              </w:rPr>
              <w:t>投标有效期、</w:t>
            </w:r>
            <w:r>
              <w:rPr>
                <w:rFonts w:hint="eastAsia" w:ascii="仿宋" w:hAnsi="仿宋" w:eastAsia="仿宋" w:cs="仿宋"/>
                <w:color w:val="auto"/>
                <w:sz w:val="24"/>
                <w:szCs w:val="24"/>
                <w:lang w:val="en-US" w:eastAsia="zh-CN"/>
              </w:rPr>
              <w:t>质量标准、合同履行期限</w:t>
            </w:r>
          </w:p>
        </w:tc>
        <w:tc>
          <w:tcPr>
            <w:tcW w:w="5534" w:type="dxa"/>
            <w:shd w:val="clear" w:color="auto" w:fill="auto"/>
            <w:vAlign w:val="center"/>
          </w:tcPr>
          <w:p w14:paraId="30DA8130">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投标有效期、</w:t>
            </w:r>
            <w:r>
              <w:rPr>
                <w:rFonts w:hint="eastAsia" w:ascii="仿宋" w:hAnsi="仿宋" w:eastAsia="仿宋" w:cs="仿宋"/>
                <w:color w:val="auto"/>
                <w:sz w:val="24"/>
                <w:szCs w:val="24"/>
                <w:lang w:val="en-US" w:eastAsia="zh-CN"/>
              </w:rPr>
              <w:t>质量标准、合同履行期限</w:t>
            </w:r>
            <w:r>
              <w:rPr>
                <w:rFonts w:hint="eastAsia" w:ascii="仿宋" w:hAnsi="仿宋" w:eastAsia="仿宋" w:cs="仿宋"/>
                <w:color w:val="auto"/>
                <w:sz w:val="24"/>
                <w:szCs w:val="24"/>
                <w:lang w:eastAsia="zh-CN"/>
              </w:rPr>
              <w:t>满足招标文件要求的。</w:t>
            </w:r>
          </w:p>
        </w:tc>
        <w:tc>
          <w:tcPr>
            <w:tcW w:w="1384" w:type="dxa"/>
            <w:shd w:val="clear" w:color="auto" w:fill="auto"/>
            <w:vAlign w:val="center"/>
          </w:tcPr>
          <w:p w14:paraId="0A010382">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4A1CF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40" w:hRule="atLeast"/>
          <w:jc w:val="center"/>
        </w:trPr>
        <w:tc>
          <w:tcPr>
            <w:tcW w:w="506" w:type="dxa"/>
            <w:shd w:val="clear" w:color="auto" w:fill="auto"/>
            <w:vAlign w:val="center"/>
          </w:tcPr>
          <w:p w14:paraId="534D58B0">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1825" w:type="dxa"/>
            <w:shd w:val="clear" w:color="auto" w:fill="auto"/>
            <w:vAlign w:val="center"/>
          </w:tcPr>
          <w:p w14:paraId="7A497914">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附加条件</w:t>
            </w:r>
          </w:p>
        </w:tc>
        <w:tc>
          <w:tcPr>
            <w:tcW w:w="5534" w:type="dxa"/>
            <w:shd w:val="clear" w:color="auto" w:fill="auto"/>
            <w:vAlign w:val="center"/>
          </w:tcPr>
          <w:p w14:paraId="4A1FEC4F">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响应文件没有采购人不能接受的附加条件的</w:t>
            </w:r>
          </w:p>
        </w:tc>
        <w:tc>
          <w:tcPr>
            <w:tcW w:w="1384" w:type="dxa"/>
            <w:shd w:val="clear" w:color="auto" w:fill="auto"/>
            <w:vAlign w:val="center"/>
          </w:tcPr>
          <w:p w14:paraId="290ED138">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3E9BC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9" w:hRule="atLeast"/>
          <w:jc w:val="center"/>
        </w:trPr>
        <w:tc>
          <w:tcPr>
            <w:tcW w:w="506" w:type="dxa"/>
            <w:shd w:val="clear" w:color="auto" w:fill="auto"/>
            <w:vAlign w:val="center"/>
          </w:tcPr>
          <w:p w14:paraId="14884B54">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1825" w:type="dxa"/>
            <w:shd w:val="clear" w:color="auto" w:fill="auto"/>
            <w:vAlign w:val="center"/>
          </w:tcPr>
          <w:p w14:paraId="59109CC2">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工程量清单</w:t>
            </w:r>
          </w:p>
        </w:tc>
        <w:tc>
          <w:tcPr>
            <w:tcW w:w="5534" w:type="dxa"/>
            <w:shd w:val="clear" w:color="auto" w:fill="auto"/>
            <w:vAlign w:val="center"/>
          </w:tcPr>
          <w:p w14:paraId="384C81BD">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未改变磋商文件提供工程量清单中的项目编码、项目名称、项目特征、计量单位和工程量的</w:t>
            </w:r>
          </w:p>
        </w:tc>
        <w:tc>
          <w:tcPr>
            <w:tcW w:w="1384" w:type="dxa"/>
            <w:shd w:val="clear" w:color="auto" w:fill="auto"/>
            <w:vAlign w:val="center"/>
          </w:tcPr>
          <w:p w14:paraId="3D280C4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7AE68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atLeast"/>
          <w:jc w:val="center"/>
        </w:trPr>
        <w:tc>
          <w:tcPr>
            <w:tcW w:w="506" w:type="dxa"/>
            <w:shd w:val="clear" w:color="auto" w:fill="auto"/>
            <w:vAlign w:val="center"/>
          </w:tcPr>
          <w:p w14:paraId="1A45BA3D">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1825" w:type="dxa"/>
            <w:shd w:val="clear" w:color="auto" w:fill="auto"/>
            <w:vAlign w:val="center"/>
          </w:tcPr>
          <w:p w14:paraId="46108F3B">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不可竞争费</w:t>
            </w:r>
          </w:p>
        </w:tc>
        <w:tc>
          <w:tcPr>
            <w:tcW w:w="5534" w:type="dxa"/>
            <w:shd w:val="clear" w:color="auto" w:fill="auto"/>
            <w:vAlign w:val="center"/>
          </w:tcPr>
          <w:p w14:paraId="5B70FD30">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未改动规费、税金及安全文明施工费中“环境保护费、文明施工费、安全施工费”等不可竞争费的计费基础和费率的</w:t>
            </w:r>
          </w:p>
        </w:tc>
        <w:tc>
          <w:tcPr>
            <w:tcW w:w="1384" w:type="dxa"/>
            <w:shd w:val="clear" w:color="auto" w:fill="auto"/>
            <w:vAlign w:val="center"/>
          </w:tcPr>
          <w:p w14:paraId="6FD08FD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4D486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23" w:hRule="atLeast"/>
          <w:jc w:val="center"/>
        </w:trPr>
        <w:tc>
          <w:tcPr>
            <w:tcW w:w="506" w:type="dxa"/>
            <w:shd w:val="clear" w:color="auto" w:fill="auto"/>
            <w:vAlign w:val="center"/>
          </w:tcPr>
          <w:p w14:paraId="11F0B4C0">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10</w:t>
            </w:r>
          </w:p>
        </w:tc>
        <w:tc>
          <w:tcPr>
            <w:tcW w:w="1825" w:type="dxa"/>
            <w:shd w:val="clear" w:color="auto" w:fill="auto"/>
            <w:vAlign w:val="center"/>
          </w:tcPr>
          <w:p w14:paraId="50D4A6BB">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暂估价</w:t>
            </w:r>
          </w:p>
        </w:tc>
        <w:tc>
          <w:tcPr>
            <w:tcW w:w="5534" w:type="dxa"/>
            <w:shd w:val="clear" w:color="auto" w:fill="auto"/>
            <w:vAlign w:val="center"/>
          </w:tcPr>
          <w:p w14:paraId="460937C8">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未改动暂列金、专业工程暂估价的；未改动材料、设备等暂估单价的</w:t>
            </w:r>
          </w:p>
        </w:tc>
        <w:tc>
          <w:tcPr>
            <w:tcW w:w="1384" w:type="dxa"/>
            <w:shd w:val="clear" w:color="auto" w:fill="auto"/>
            <w:vAlign w:val="center"/>
          </w:tcPr>
          <w:p w14:paraId="2547A2D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r w14:paraId="6E8CD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27" w:hRule="atLeast"/>
          <w:jc w:val="center"/>
        </w:trPr>
        <w:tc>
          <w:tcPr>
            <w:tcW w:w="506" w:type="dxa"/>
            <w:shd w:val="clear" w:color="auto" w:fill="auto"/>
            <w:vAlign w:val="center"/>
          </w:tcPr>
          <w:p w14:paraId="025BB082">
            <w:pPr>
              <w:keepNext w:val="0"/>
              <w:keepLines w:val="0"/>
              <w:pageBreakBefore w:val="0"/>
              <w:widowControl/>
              <w:kinsoku w:val="0"/>
              <w:wordWrap/>
              <w:overflowPunct/>
              <w:topLinePunct w:val="0"/>
              <w:autoSpaceDE w:val="0"/>
              <w:autoSpaceDN w:val="0"/>
              <w:bidi w:val="0"/>
              <w:adjustRightInd w:val="0"/>
              <w:snapToGrid w:val="0"/>
              <w:spacing w:line="480" w:lineRule="exact"/>
              <w:jc w:val="center"/>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1825" w:type="dxa"/>
            <w:shd w:val="clear" w:color="auto" w:fill="auto"/>
            <w:vAlign w:val="center"/>
          </w:tcPr>
          <w:p w14:paraId="2DD8419D">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其他无效情形</w:t>
            </w:r>
          </w:p>
        </w:tc>
        <w:tc>
          <w:tcPr>
            <w:tcW w:w="5534" w:type="dxa"/>
            <w:shd w:val="clear" w:color="auto" w:fill="auto"/>
            <w:vAlign w:val="center"/>
          </w:tcPr>
          <w:p w14:paraId="04B7200B">
            <w:pPr>
              <w:keepNext w:val="0"/>
              <w:keepLines w:val="0"/>
              <w:pageBreakBefore w:val="0"/>
              <w:widowControl/>
              <w:kinsoku w:val="0"/>
              <w:wordWrap/>
              <w:overflowPunct/>
              <w:topLinePunct w:val="0"/>
              <w:autoSpaceDE w:val="0"/>
              <w:autoSpaceDN w:val="0"/>
              <w:bidi w:val="0"/>
              <w:adjustRightInd w:val="0"/>
              <w:snapToGrid w:val="0"/>
              <w:spacing w:line="480" w:lineRule="exact"/>
              <w:jc w:val="left"/>
              <w:textAlignment w:val="baseline"/>
              <w:rPr>
                <w:rFonts w:hint="eastAsia" w:ascii="仿宋" w:hAnsi="仿宋" w:eastAsia="仿宋" w:cs="仿宋"/>
                <w:color w:val="auto"/>
                <w:sz w:val="24"/>
                <w:szCs w:val="24"/>
              </w:rPr>
            </w:pPr>
            <w:r>
              <w:rPr>
                <w:rFonts w:hint="eastAsia" w:ascii="仿宋" w:hAnsi="仿宋" w:eastAsia="仿宋" w:cs="仿宋"/>
                <w:color w:val="auto"/>
                <w:sz w:val="24"/>
                <w:szCs w:val="24"/>
              </w:rPr>
              <w:t>未出现法律、法规、规章以及本磋商文件规定属于响应无效的其他情形。</w:t>
            </w:r>
          </w:p>
        </w:tc>
        <w:tc>
          <w:tcPr>
            <w:tcW w:w="1384" w:type="dxa"/>
            <w:shd w:val="clear" w:color="auto" w:fill="auto"/>
            <w:vAlign w:val="center"/>
          </w:tcPr>
          <w:p w14:paraId="6477F6AF">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jc w:val="center"/>
              <w:textAlignment w:val="baseline"/>
              <w:rPr>
                <w:rFonts w:hint="eastAsia" w:ascii="仿宋" w:hAnsi="仿宋" w:eastAsia="仿宋" w:cs="仿宋"/>
                <w:color w:val="auto"/>
                <w:sz w:val="24"/>
                <w:szCs w:val="24"/>
              </w:rPr>
            </w:pPr>
          </w:p>
        </w:tc>
      </w:tr>
    </w:tbl>
    <w:p w14:paraId="66F5E076">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1F0F4C47">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sectPr>
          <w:headerReference r:id="rId10" w:type="default"/>
          <w:footerReference r:id="rId11" w:type="default"/>
          <w:pgSz w:w="11906" w:h="16839"/>
          <w:pgMar w:top="1166" w:right="1313" w:bottom="1315" w:left="1338" w:header="829" w:footer="1047" w:gutter="0"/>
          <w:pgNumType w:fmt="decimal"/>
          <w:cols w:space="720" w:num="1"/>
        </w:sectPr>
      </w:pPr>
    </w:p>
    <w:p w14:paraId="334BB64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（三）评分标准</w:t>
      </w:r>
    </w:p>
    <w:tbl>
      <w:tblPr>
        <w:tblStyle w:val="25"/>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71"/>
        <w:gridCol w:w="1189"/>
        <w:gridCol w:w="771"/>
        <w:gridCol w:w="6309"/>
      </w:tblGrid>
      <w:tr w14:paraId="4F61B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9" w:hRule="atLeast"/>
          <w:jc w:val="center"/>
        </w:trPr>
        <w:tc>
          <w:tcPr>
            <w:tcW w:w="1171" w:type="dxa"/>
            <w:vAlign w:val="center"/>
          </w:tcPr>
          <w:p w14:paraId="1D750F58">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b/>
                <w:bCs/>
                <w:sz w:val="24"/>
                <w:szCs w:val="24"/>
              </w:rPr>
            </w:pPr>
            <w:r>
              <w:rPr>
                <w:rFonts w:hint="eastAsia" w:ascii="仿宋" w:hAnsi="仿宋" w:eastAsia="仿宋" w:cs="仿宋"/>
                <w:b/>
                <w:bCs/>
                <w:sz w:val="24"/>
                <w:szCs w:val="24"/>
              </w:rPr>
              <w:t>评标项目</w:t>
            </w:r>
          </w:p>
        </w:tc>
        <w:tc>
          <w:tcPr>
            <w:tcW w:w="1189" w:type="dxa"/>
            <w:vAlign w:val="center"/>
          </w:tcPr>
          <w:p w14:paraId="36492626">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b/>
                <w:bCs/>
                <w:sz w:val="24"/>
                <w:szCs w:val="24"/>
              </w:rPr>
            </w:pPr>
            <w:r>
              <w:rPr>
                <w:rFonts w:hint="eastAsia" w:ascii="仿宋" w:hAnsi="仿宋" w:eastAsia="仿宋" w:cs="仿宋"/>
                <w:b/>
                <w:bCs/>
                <w:sz w:val="24"/>
                <w:szCs w:val="24"/>
              </w:rPr>
              <w:t>评标分项</w:t>
            </w:r>
          </w:p>
        </w:tc>
        <w:tc>
          <w:tcPr>
            <w:tcW w:w="771" w:type="dxa"/>
            <w:vAlign w:val="center"/>
          </w:tcPr>
          <w:p w14:paraId="0E5B8CE1">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b/>
                <w:bCs/>
                <w:sz w:val="24"/>
                <w:szCs w:val="24"/>
              </w:rPr>
            </w:pPr>
            <w:r>
              <w:rPr>
                <w:rFonts w:hint="eastAsia" w:ascii="仿宋" w:hAnsi="仿宋" w:eastAsia="仿宋" w:cs="仿宋"/>
                <w:b/>
                <w:bCs/>
                <w:sz w:val="24"/>
                <w:szCs w:val="24"/>
              </w:rPr>
              <w:t>分值</w:t>
            </w:r>
          </w:p>
        </w:tc>
        <w:tc>
          <w:tcPr>
            <w:tcW w:w="6309" w:type="dxa"/>
            <w:vAlign w:val="center"/>
          </w:tcPr>
          <w:p w14:paraId="2DB99E04">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b/>
                <w:bCs/>
                <w:sz w:val="24"/>
                <w:szCs w:val="24"/>
              </w:rPr>
            </w:pPr>
            <w:r>
              <w:rPr>
                <w:rFonts w:hint="eastAsia" w:ascii="仿宋" w:hAnsi="仿宋" w:eastAsia="仿宋" w:cs="仿宋"/>
                <w:b/>
                <w:bCs/>
                <w:sz w:val="24"/>
                <w:szCs w:val="24"/>
              </w:rPr>
              <w:t>子项目及分值</w:t>
            </w:r>
          </w:p>
        </w:tc>
      </w:tr>
      <w:tr w14:paraId="384EE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atLeast"/>
          <w:jc w:val="center"/>
        </w:trPr>
        <w:tc>
          <w:tcPr>
            <w:tcW w:w="1171" w:type="dxa"/>
            <w:vAlign w:val="center"/>
          </w:tcPr>
          <w:p w14:paraId="509C76F4">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价格部分</w:t>
            </w:r>
          </w:p>
          <w:p w14:paraId="5BE4DD84">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3</w:t>
            </w:r>
            <w:r>
              <w:rPr>
                <w:rFonts w:hint="eastAsia" w:ascii="仿宋" w:hAnsi="仿宋" w:eastAsia="仿宋" w:cs="仿宋"/>
                <w:sz w:val="24"/>
                <w:szCs w:val="24"/>
              </w:rPr>
              <w:t>0分）</w:t>
            </w:r>
          </w:p>
        </w:tc>
        <w:tc>
          <w:tcPr>
            <w:tcW w:w="1189" w:type="dxa"/>
            <w:vAlign w:val="center"/>
          </w:tcPr>
          <w:p w14:paraId="5A35CDB7">
            <w:pPr>
              <w:keepNext w:val="0"/>
              <w:keepLines w:val="0"/>
              <w:pageBreakBefore w:val="0"/>
              <w:widowControl/>
              <w:kinsoku w:val="0"/>
              <w:wordWrap/>
              <w:overflowPunct/>
              <w:topLinePunct w:val="0"/>
              <w:autoSpaceDE w:val="0"/>
              <w:autoSpaceDN w:val="0"/>
              <w:bidi w:val="0"/>
              <w:adjustRightInd w:val="0"/>
              <w:snapToGrid w:val="0"/>
              <w:spacing w:line="440" w:lineRule="exact"/>
              <w:jc w:val="both"/>
              <w:textAlignment w:val="baseline"/>
              <w:rPr>
                <w:rFonts w:hint="eastAsia" w:ascii="仿宋" w:hAnsi="仿宋" w:eastAsia="仿宋" w:cs="仿宋"/>
                <w:sz w:val="24"/>
                <w:szCs w:val="24"/>
              </w:rPr>
            </w:pPr>
            <w:r>
              <w:rPr>
                <w:rFonts w:hint="eastAsia" w:ascii="仿宋" w:hAnsi="仿宋" w:eastAsia="仿宋" w:cs="仿宋"/>
                <w:sz w:val="24"/>
                <w:szCs w:val="24"/>
              </w:rPr>
              <w:t>响应报价</w:t>
            </w:r>
          </w:p>
        </w:tc>
        <w:tc>
          <w:tcPr>
            <w:tcW w:w="771" w:type="dxa"/>
            <w:vAlign w:val="center"/>
          </w:tcPr>
          <w:p w14:paraId="5E9AE2B6">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26DDBF8D">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0分</w:t>
            </w:r>
          </w:p>
        </w:tc>
        <w:tc>
          <w:tcPr>
            <w:tcW w:w="6309" w:type="dxa"/>
            <w:vAlign w:val="center"/>
          </w:tcPr>
          <w:p w14:paraId="5F513487">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rPr>
            </w:pPr>
            <w:r>
              <w:rPr>
                <w:rFonts w:hint="eastAsia" w:ascii="仿宋" w:hAnsi="仿宋" w:eastAsia="仿宋" w:cs="仿宋"/>
                <w:sz w:val="24"/>
                <w:szCs w:val="24"/>
              </w:rPr>
              <w:t>满足采购文件要求且投标价格最低的最终响应报价为评标基准价，其价格分为满分。其他供应商的价格分统一按照下列公式计算：</w:t>
            </w:r>
          </w:p>
          <w:p w14:paraId="0177A51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rPr>
            </w:pPr>
            <w:r>
              <w:rPr>
                <w:rFonts w:hint="eastAsia" w:ascii="仿宋" w:hAnsi="仿宋" w:eastAsia="仿宋" w:cs="仿宋"/>
                <w:sz w:val="24"/>
                <w:szCs w:val="24"/>
              </w:rPr>
              <w:t>响应报价得分=（评标基准价／最终响应报价</w:t>
            </w:r>
            <w:r>
              <w:rPr>
                <w:rFonts w:hint="eastAsia" w:ascii="仿宋" w:hAnsi="仿宋" w:eastAsia="仿宋" w:cs="仿宋"/>
                <w:sz w:val="24"/>
                <w:szCs w:val="24"/>
                <w:lang w:eastAsia="zh-CN"/>
              </w:rPr>
              <w:t>）</w:t>
            </w:r>
            <w:r>
              <w:rPr>
                <w:rFonts w:hint="eastAsia" w:ascii="仿宋" w:hAnsi="仿宋" w:eastAsia="仿宋" w:cs="仿宋"/>
                <w:sz w:val="24"/>
                <w:szCs w:val="24"/>
              </w:rPr>
              <w:t>×价格分值</w:t>
            </w:r>
          </w:p>
        </w:tc>
      </w:tr>
      <w:tr w14:paraId="0AE34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75" w:hRule="atLeast"/>
          <w:jc w:val="center"/>
        </w:trPr>
        <w:tc>
          <w:tcPr>
            <w:tcW w:w="1171" w:type="dxa"/>
            <w:vMerge w:val="restart"/>
            <w:vAlign w:val="center"/>
          </w:tcPr>
          <w:p w14:paraId="4A9C13E3">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商务部分</w:t>
            </w:r>
          </w:p>
          <w:p w14:paraId="103E07FC">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30</w:t>
            </w:r>
            <w:r>
              <w:rPr>
                <w:rFonts w:hint="eastAsia" w:ascii="仿宋" w:hAnsi="仿宋" w:eastAsia="仿宋" w:cs="仿宋"/>
                <w:sz w:val="24"/>
                <w:szCs w:val="24"/>
              </w:rPr>
              <w:t>分）</w:t>
            </w:r>
          </w:p>
        </w:tc>
        <w:tc>
          <w:tcPr>
            <w:tcW w:w="1189" w:type="dxa"/>
            <w:vAlign w:val="center"/>
          </w:tcPr>
          <w:p w14:paraId="6282B83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6FB38CA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6D7498B3">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03CFDE40">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类似业绩</w:t>
            </w:r>
          </w:p>
        </w:tc>
        <w:tc>
          <w:tcPr>
            <w:tcW w:w="771" w:type="dxa"/>
            <w:vAlign w:val="center"/>
          </w:tcPr>
          <w:p w14:paraId="2740DA9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24B2210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0AFC5FC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p w14:paraId="125A54B3">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分</w:t>
            </w:r>
          </w:p>
        </w:tc>
        <w:tc>
          <w:tcPr>
            <w:tcW w:w="6309" w:type="dxa"/>
            <w:vAlign w:val="center"/>
          </w:tcPr>
          <w:p w14:paraId="1FF9EB3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rPr>
            </w:pPr>
            <w:r>
              <w:rPr>
                <w:rFonts w:hint="eastAsia" w:ascii="仿宋" w:hAnsi="仿宋" w:eastAsia="仿宋" w:cs="仿宋"/>
                <w:sz w:val="24"/>
                <w:szCs w:val="24"/>
              </w:rPr>
              <w:t>供应商提供2022年</w:t>
            </w:r>
            <w:r>
              <w:rPr>
                <w:rFonts w:hint="eastAsia" w:ascii="仿宋" w:hAnsi="仿宋" w:eastAsia="仿宋" w:cs="仿宋"/>
                <w:sz w:val="24"/>
                <w:szCs w:val="24"/>
                <w:lang w:val="en-US" w:eastAsia="zh-CN"/>
              </w:rPr>
              <w:t>3</w:t>
            </w:r>
            <w:r>
              <w:rPr>
                <w:rFonts w:hint="eastAsia" w:ascii="仿宋" w:hAnsi="仿宋" w:eastAsia="仿宋" w:cs="仿宋"/>
                <w:sz w:val="24"/>
                <w:szCs w:val="24"/>
              </w:rPr>
              <w:t>月至响应文件提交截止时间前完成的类似项目业绩，每提供一个得</w:t>
            </w:r>
            <w:r>
              <w:rPr>
                <w:rFonts w:hint="eastAsia" w:ascii="仿宋" w:hAnsi="仿宋" w:eastAsia="仿宋" w:cs="仿宋"/>
                <w:sz w:val="24"/>
                <w:szCs w:val="24"/>
                <w:lang w:val="en-US" w:eastAsia="zh-CN"/>
              </w:rPr>
              <w:t>3</w:t>
            </w:r>
            <w:r>
              <w:rPr>
                <w:rFonts w:hint="eastAsia" w:ascii="仿宋" w:hAnsi="仿宋" w:eastAsia="仿宋" w:cs="仿宋"/>
                <w:sz w:val="24"/>
                <w:szCs w:val="24"/>
              </w:rPr>
              <w:t>分，满分</w:t>
            </w:r>
            <w:r>
              <w:rPr>
                <w:rFonts w:hint="eastAsia" w:ascii="仿宋" w:hAnsi="仿宋" w:eastAsia="仿宋" w:cs="仿宋"/>
                <w:sz w:val="24"/>
                <w:szCs w:val="24"/>
                <w:lang w:val="en-US" w:eastAsia="zh-CN"/>
              </w:rPr>
              <w:t>9</w:t>
            </w:r>
            <w:r>
              <w:rPr>
                <w:rFonts w:hint="eastAsia" w:ascii="仿宋" w:hAnsi="仿宋" w:eastAsia="仿宋" w:cs="仿宋"/>
                <w:sz w:val="24"/>
                <w:szCs w:val="24"/>
              </w:rPr>
              <w:t>分。</w:t>
            </w:r>
          </w:p>
          <w:p w14:paraId="7DE18BE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rPr>
            </w:pPr>
            <w:r>
              <w:rPr>
                <w:rFonts w:hint="eastAsia" w:ascii="仿宋" w:hAnsi="仿宋" w:eastAsia="仿宋" w:cs="仿宋"/>
                <w:sz w:val="24"/>
                <w:szCs w:val="24"/>
              </w:rPr>
              <w:t>注：业绩证明材料须提供</w:t>
            </w:r>
            <w:r>
              <w:rPr>
                <w:rFonts w:hint="eastAsia" w:ascii="仿宋" w:hAnsi="仿宋" w:eastAsia="仿宋" w:cs="仿宋"/>
                <w:sz w:val="24"/>
                <w:szCs w:val="24"/>
                <w:lang w:val="en-US" w:eastAsia="zh-CN"/>
              </w:rPr>
              <w:t>中标（</w:t>
            </w:r>
            <w:r>
              <w:rPr>
                <w:rFonts w:hint="eastAsia" w:ascii="仿宋" w:hAnsi="仿宋" w:eastAsia="仿宋" w:cs="仿宋"/>
                <w:sz w:val="24"/>
                <w:szCs w:val="24"/>
                <w:lang w:eastAsia="zh-CN"/>
              </w:rPr>
              <w:t>成交）</w:t>
            </w:r>
            <w:r>
              <w:rPr>
                <w:rFonts w:hint="eastAsia" w:ascii="仿宋" w:hAnsi="仿宋" w:eastAsia="仿宋" w:cs="仿宋"/>
                <w:sz w:val="24"/>
                <w:szCs w:val="24"/>
              </w:rPr>
              <w:t>通知书</w:t>
            </w:r>
            <w:r>
              <w:rPr>
                <w:rFonts w:hint="eastAsia" w:ascii="仿宋" w:hAnsi="仿宋" w:eastAsia="仿宋" w:cs="仿宋"/>
                <w:sz w:val="24"/>
                <w:szCs w:val="24"/>
                <w:lang w:val="en-US" w:eastAsia="zh-CN"/>
              </w:rPr>
              <w:t>和</w:t>
            </w:r>
            <w:r>
              <w:rPr>
                <w:rFonts w:hint="eastAsia" w:ascii="仿宋" w:hAnsi="仿宋" w:eastAsia="仿宋" w:cs="仿宋"/>
                <w:sz w:val="24"/>
                <w:szCs w:val="24"/>
              </w:rPr>
              <w:t>合同原件扫描件加盖供应商公章，以合同签订时间为准。</w:t>
            </w:r>
          </w:p>
        </w:tc>
      </w:tr>
      <w:tr w14:paraId="594F4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43" w:hRule="atLeast"/>
          <w:jc w:val="center"/>
        </w:trPr>
        <w:tc>
          <w:tcPr>
            <w:tcW w:w="1171" w:type="dxa"/>
            <w:vMerge w:val="continue"/>
            <w:vAlign w:val="center"/>
          </w:tcPr>
          <w:p w14:paraId="125F65F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tc>
        <w:tc>
          <w:tcPr>
            <w:tcW w:w="1189" w:type="dxa"/>
            <w:vAlign w:val="center"/>
          </w:tcPr>
          <w:p w14:paraId="010E9E19">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项目负责人</w:t>
            </w:r>
          </w:p>
        </w:tc>
        <w:tc>
          <w:tcPr>
            <w:tcW w:w="771" w:type="dxa"/>
            <w:vAlign w:val="center"/>
          </w:tcPr>
          <w:p w14:paraId="616D6F89">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8分</w:t>
            </w:r>
          </w:p>
        </w:tc>
        <w:tc>
          <w:tcPr>
            <w:tcW w:w="6309" w:type="dxa"/>
            <w:vAlign w:val="center"/>
          </w:tcPr>
          <w:p w14:paraId="222FF963">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①项目负责人</w:t>
            </w:r>
            <w:r>
              <w:rPr>
                <w:rFonts w:hint="eastAsia" w:ascii="仿宋" w:hAnsi="仿宋" w:eastAsia="仿宋" w:cs="仿宋"/>
                <w:sz w:val="24"/>
                <w:szCs w:val="24"/>
              </w:rPr>
              <w:t>具备相关专业中级及以上职称，得</w:t>
            </w:r>
            <w:r>
              <w:rPr>
                <w:rFonts w:hint="eastAsia" w:ascii="仿宋" w:hAnsi="仿宋" w:eastAsia="仿宋" w:cs="仿宋"/>
                <w:sz w:val="24"/>
                <w:szCs w:val="24"/>
                <w:lang w:val="en-US" w:eastAsia="zh-CN"/>
              </w:rPr>
              <w:t>4</w:t>
            </w:r>
            <w:r>
              <w:rPr>
                <w:rFonts w:hint="eastAsia" w:ascii="仿宋" w:hAnsi="仿宋" w:eastAsia="仿宋" w:cs="仿宋"/>
                <w:sz w:val="24"/>
                <w:szCs w:val="24"/>
              </w:rPr>
              <w:t>分</w:t>
            </w:r>
            <w:r>
              <w:rPr>
                <w:rFonts w:hint="eastAsia" w:ascii="仿宋" w:hAnsi="仿宋" w:eastAsia="仿宋" w:cs="仿宋"/>
                <w:sz w:val="24"/>
                <w:szCs w:val="24"/>
                <w:lang w:eastAsia="zh-CN"/>
              </w:rPr>
              <w:t>；</w:t>
            </w:r>
          </w:p>
          <w:p w14:paraId="06BBA118">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lang w:eastAsia="zh-CN"/>
              </w:rPr>
            </w:pPr>
            <w:r>
              <w:rPr>
                <w:rFonts w:hint="eastAsia" w:ascii="仿宋" w:hAnsi="仿宋" w:eastAsia="仿宋" w:cs="仿宋"/>
                <w:sz w:val="24"/>
                <w:szCs w:val="24"/>
                <w:lang w:eastAsia="zh-CN"/>
              </w:rPr>
              <w:t>②项目负责人</w:t>
            </w:r>
            <w:r>
              <w:rPr>
                <w:rFonts w:hint="eastAsia" w:ascii="仿宋" w:hAnsi="仿宋" w:eastAsia="仿宋" w:cs="仿宋"/>
                <w:sz w:val="24"/>
                <w:szCs w:val="24"/>
                <w:lang w:val="en-US" w:eastAsia="zh-CN"/>
              </w:rPr>
              <w:t>提供</w:t>
            </w:r>
            <w:r>
              <w:rPr>
                <w:rFonts w:hint="eastAsia" w:ascii="仿宋" w:hAnsi="仿宋" w:eastAsia="仿宋" w:cs="仿宋"/>
                <w:sz w:val="24"/>
                <w:szCs w:val="24"/>
              </w:rPr>
              <w:t>2022年</w:t>
            </w:r>
            <w:r>
              <w:rPr>
                <w:rFonts w:hint="eastAsia" w:ascii="仿宋" w:hAnsi="仿宋" w:eastAsia="仿宋" w:cs="仿宋"/>
                <w:sz w:val="24"/>
                <w:szCs w:val="24"/>
                <w:lang w:val="en-US" w:eastAsia="zh-CN"/>
              </w:rPr>
              <w:t>3</w:t>
            </w:r>
            <w:r>
              <w:rPr>
                <w:rFonts w:hint="eastAsia" w:ascii="仿宋" w:hAnsi="仿宋" w:eastAsia="仿宋" w:cs="仿宋"/>
                <w:sz w:val="24"/>
                <w:szCs w:val="24"/>
              </w:rPr>
              <w:t>月至响应文件提交截止时间前完成的类似项目业绩</w:t>
            </w:r>
            <w:r>
              <w:rPr>
                <w:rFonts w:hint="eastAsia" w:ascii="仿宋" w:hAnsi="仿宋" w:eastAsia="仿宋" w:cs="仿宋"/>
                <w:sz w:val="24"/>
                <w:szCs w:val="24"/>
                <w:lang w:eastAsia="zh-CN"/>
              </w:rPr>
              <w:t>，每</w:t>
            </w:r>
            <w:r>
              <w:rPr>
                <w:rFonts w:hint="eastAsia" w:ascii="仿宋" w:hAnsi="仿宋" w:eastAsia="仿宋" w:cs="仿宋"/>
                <w:sz w:val="24"/>
                <w:szCs w:val="24"/>
                <w:lang w:val="en-US" w:eastAsia="zh-CN"/>
              </w:rPr>
              <w:t>提供</w:t>
            </w:r>
            <w:r>
              <w:rPr>
                <w:rFonts w:hint="eastAsia" w:ascii="仿宋" w:hAnsi="仿宋" w:eastAsia="仿宋" w:cs="仿宋"/>
                <w:sz w:val="24"/>
                <w:szCs w:val="24"/>
                <w:lang w:eastAsia="zh-CN"/>
              </w:rPr>
              <w:t>1</w:t>
            </w:r>
            <w:r>
              <w:rPr>
                <w:rFonts w:hint="eastAsia" w:ascii="仿宋" w:hAnsi="仿宋" w:eastAsia="仿宋" w:cs="仿宋"/>
                <w:sz w:val="24"/>
                <w:szCs w:val="24"/>
                <w:lang w:val="en-US" w:eastAsia="zh-CN"/>
              </w:rPr>
              <w:t>个得4</w:t>
            </w:r>
            <w:r>
              <w:rPr>
                <w:rFonts w:hint="eastAsia" w:ascii="仿宋" w:hAnsi="仿宋" w:eastAsia="仿宋" w:cs="仿宋"/>
                <w:sz w:val="24"/>
                <w:szCs w:val="24"/>
                <w:lang w:eastAsia="zh-CN"/>
              </w:rPr>
              <w:t>分，</w:t>
            </w:r>
            <w:r>
              <w:rPr>
                <w:rFonts w:hint="eastAsia" w:ascii="仿宋" w:hAnsi="仿宋" w:eastAsia="仿宋" w:cs="仿宋"/>
                <w:sz w:val="24"/>
                <w:szCs w:val="24"/>
                <w:lang w:val="en-US" w:eastAsia="zh-CN"/>
              </w:rPr>
              <w:t>满分4分</w:t>
            </w:r>
            <w:r>
              <w:rPr>
                <w:rFonts w:hint="eastAsia" w:ascii="仿宋" w:hAnsi="仿宋" w:eastAsia="仿宋" w:cs="仿宋"/>
                <w:sz w:val="24"/>
                <w:szCs w:val="24"/>
                <w:lang w:eastAsia="zh-CN"/>
              </w:rPr>
              <w:t>。</w:t>
            </w:r>
          </w:p>
          <w:p w14:paraId="36C1519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sz w:val="24"/>
                <w:szCs w:val="24"/>
              </w:rPr>
            </w:pPr>
            <w:r>
              <w:rPr>
                <w:rFonts w:hint="eastAsia" w:ascii="仿宋" w:hAnsi="仿宋" w:eastAsia="仿宋" w:cs="仿宋"/>
                <w:sz w:val="24"/>
                <w:szCs w:val="24"/>
              </w:rPr>
              <w:t>注：业绩证明材料须提供</w:t>
            </w:r>
            <w:r>
              <w:rPr>
                <w:rFonts w:hint="eastAsia" w:ascii="仿宋" w:hAnsi="仿宋" w:eastAsia="仿宋" w:cs="仿宋"/>
                <w:sz w:val="24"/>
                <w:szCs w:val="24"/>
                <w:lang w:val="en-US" w:eastAsia="zh-CN"/>
              </w:rPr>
              <w:t>中标（</w:t>
            </w:r>
            <w:r>
              <w:rPr>
                <w:rFonts w:hint="eastAsia" w:ascii="仿宋" w:hAnsi="仿宋" w:eastAsia="仿宋" w:cs="仿宋"/>
                <w:sz w:val="24"/>
                <w:szCs w:val="24"/>
                <w:lang w:eastAsia="zh-CN"/>
              </w:rPr>
              <w:t>成交）</w:t>
            </w:r>
            <w:r>
              <w:rPr>
                <w:rFonts w:hint="eastAsia" w:ascii="仿宋" w:hAnsi="仿宋" w:eastAsia="仿宋" w:cs="仿宋"/>
                <w:sz w:val="24"/>
                <w:szCs w:val="24"/>
              </w:rPr>
              <w:t>通知书</w:t>
            </w:r>
            <w:r>
              <w:rPr>
                <w:rFonts w:hint="eastAsia" w:ascii="仿宋" w:hAnsi="仿宋" w:eastAsia="仿宋" w:cs="仿宋"/>
                <w:sz w:val="24"/>
                <w:szCs w:val="24"/>
                <w:lang w:val="en-US" w:eastAsia="zh-CN"/>
              </w:rPr>
              <w:t>和</w:t>
            </w:r>
            <w:r>
              <w:rPr>
                <w:rFonts w:hint="eastAsia" w:ascii="仿宋" w:hAnsi="仿宋" w:eastAsia="仿宋" w:cs="仿宋"/>
                <w:sz w:val="24"/>
                <w:szCs w:val="24"/>
              </w:rPr>
              <w:t>合同原件扫描件加盖供应商公章，以合同签订时间为准。</w:t>
            </w:r>
          </w:p>
        </w:tc>
      </w:tr>
      <w:tr w14:paraId="31BB6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2" w:hRule="atLeast"/>
          <w:jc w:val="center"/>
        </w:trPr>
        <w:tc>
          <w:tcPr>
            <w:tcW w:w="1171" w:type="dxa"/>
            <w:vMerge w:val="continue"/>
            <w:vAlign w:val="center"/>
          </w:tcPr>
          <w:p w14:paraId="2BB872F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tc>
        <w:tc>
          <w:tcPr>
            <w:tcW w:w="1189" w:type="dxa"/>
            <w:shd w:val="clear" w:color="auto" w:fill="auto"/>
            <w:vAlign w:val="top"/>
          </w:tcPr>
          <w:p w14:paraId="25C7B23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47547B04">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1883076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5652C5BC">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025BF28D">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106B354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5C753EBB">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sz w:val="24"/>
                <w:szCs w:val="24"/>
              </w:rPr>
            </w:pPr>
            <w:r>
              <w:rPr>
                <w:rFonts w:hint="eastAsia" w:ascii="仿宋" w:hAnsi="仿宋" w:eastAsia="仿宋" w:cs="仿宋"/>
                <w:sz w:val="24"/>
                <w:szCs w:val="24"/>
              </w:rPr>
              <w:t>项目管理</w:t>
            </w:r>
          </w:p>
          <w:p w14:paraId="3B957E4E">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kern w:val="2"/>
                <w:sz w:val="24"/>
                <w:szCs w:val="24"/>
                <w:lang w:val="en-US" w:eastAsia="zh-CN" w:bidi="ar-SA"/>
              </w:rPr>
            </w:pPr>
            <w:r>
              <w:rPr>
                <w:rFonts w:hint="eastAsia" w:ascii="仿宋" w:hAnsi="仿宋" w:eastAsia="仿宋" w:cs="仿宋"/>
                <w:sz w:val="24"/>
                <w:szCs w:val="24"/>
              </w:rPr>
              <w:t>人员</w:t>
            </w:r>
          </w:p>
        </w:tc>
        <w:tc>
          <w:tcPr>
            <w:tcW w:w="771" w:type="dxa"/>
            <w:shd w:val="clear" w:color="auto" w:fill="auto"/>
            <w:vAlign w:val="top"/>
          </w:tcPr>
          <w:p w14:paraId="5DA4333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6841581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2B33770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4446116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15813E82">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6E17E82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11059264">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kern w:val="2"/>
                <w:sz w:val="24"/>
                <w:szCs w:val="24"/>
                <w:lang w:val="en-US" w:eastAsia="zh-CN" w:bidi="ar-SA"/>
              </w:rPr>
            </w:pPr>
            <w:r>
              <w:rPr>
                <w:rFonts w:hint="eastAsia" w:ascii="仿宋" w:hAnsi="仿宋" w:eastAsia="仿宋" w:cs="仿宋"/>
                <w:sz w:val="24"/>
                <w:szCs w:val="24"/>
              </w:rPr>
              <w:t>1</w:t>
            </w:r>
            <w:r>
              <w:rPr>
                <w:rFonts w:hint="eastAsia" w:ascii="仿宋" w:hAnsi="仿宋" w:eastAsia="仿宋" w:cs="仿宋"/>
                <w:sz w:val="24"/>
                <w:szCs w:val="24"/>
                <w:lang w:val="en-US" w:eastAsia="zh-CN"/>
              </w:rPr>
              <w:t>1</w:t>
            </w:r>
            <w:r>
              <w:rPr>
                <w:rFonts w:hint="eastAsia" w:ascii="仿宋" w:hAnsi="仿宋" w:eastAsia="仿宋" w:cs="仿宋"/>
                <w:sz w:val="24"/>
                <w:szCs w:val="24"/>
              </w:rPr>
              <w:t>分</w:t>
            </w:r>
          </w:p>
        </w:tc>
        <w:tc>
          <w:tcPr>
            <w:tcW w:w="6309" w:type="dxa"/>
            <w:shd w:val="clear" w:color="auto" w:fill="auto"/>
            <w:vAlign w:val="top"/>
          </w:tcPr>
          <w:p w14:paraId="2B4C04F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①技术负责人具备相关专业</w:t>
            </w:r>
            <w:r>
              <w:rPr>
                <w:rFonts w:hint="eastAsia" w:ascii="仿宋" w:hAnsi="仿宋" w:eastAsia="仿宋" w:cs="仿宋"/>
                <w:sz w:val="24"/>
                <w:szCs w:val="24"/>
                <w:lang w:val="en-US" w:eastAsia="zh-CN"/>
              </w:rPr>
              <w:t>中级</w:t>
            </w:r>
            <w:r>
              <w:rPr>
                <w:rFonts w:hint="eastAsia" w:ascii="仿宋" w:hAnsi="仿宋" w:eastAsia="仿宋" w:cs="仿宋"/>
                <w:sz w:val="24"/>
                <w:szCs w:val="24"/>
              </w:rPr>
              <w:t>及以上职称，得2分；</w:t>
            </w:r>
          </w:p>
          <w:p w14:paraId="5C2C302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r>
              <w:rPr>
                <w:rFonts w:hint="default" w:ascii="仿宋" w:hAnsi="仿宋" w:eastAsia="仿宋" w:cs="仿宋"/>
                <w:sz w:val="24"/>
                <w:szCs w:val="24"/>
              </w:rPr>
              <w:t>②</w:t>
            </w:r>
            <w:r>
              <w:rPr>
                <w:rFonts w:hint="eastAsia" w:ascii="仿宋" w:hAnsi="仿宋" w:eastAsia="仿宋" w:cs="仿宋"/>
                <w:sz w:val="24"/>
                <w:szCs w:val="24"/>
              </w:rPr>
              <w:t>项目管理机构关键岗位人员</w:t>
            </w:r>
            <w:r>
              <w:rPr>
                <w:rFonts w:hint="eastAsia" w:ascii="仿宋" w:hAnsi="仿宋" w:eastAsia="仿宋" w:cs="仿宋"/>
                <w:sz w:val="24"/>
                <w:szCs w:val="24"/>
                <w:lang w:eastAsia="zh-CN"/>
              </w:rPr>
              <w:t>（</w:t>
            </w:r>
            <w:r>
              <w:rPr>
                <w:rFonts w:hint="eastAsia" w:ascii="仿宋" w:hAnsi="仿宋" w:eastAsia="仿宋" w:cs="仿宋"/>
                <w:sz w:val="24"/>
                <w:szCs w:val="24"/>
              </w:rPr>
              <w:t>除项目负责人、技术负责人外</w:t>
            </w:r>
            <w:r>
              <w:rPr>
                <w:rFonts w:hint="eastAsia" w:ascii="仿宋" w:hAnsi="仿宋" w:eastAsia="仿宋" w:cs="仿宋"/>
                <w:sz w:val="24"/>
                <w:szCs w:val="24"/>
                <w:lang w:eastAsia="zh-CN"/>
              </w:rPr>
              <w:t>）</w:t>
            </w:r>
            <w:r>
              <w:rPr>
                <w:rFonts w:hint="eastAsia" w:ascii="仿宋" w:hAnsi="仿宋" w:eastAsia="仿宋" w:cs="仿宋"/>
                <w:sz w:val="24"/>
                <w:szCs w:val="24"/>
              </w:rPr>
              <w:t>具有相关专业中级及以上职称的，每一人得1分，最多得4分；</w:t>
            </w:r>
          </w:p>
          <w:p w14:paraId="6C048E5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r>
              <w:rPr>
                <w:rFonts w:hint="default" w:ascii="仿宋" w:hAnsi="仿宋" w:eastAsia="仿宋" w:cs="仿宋"/>
                <w:sz w:val="24"/>
                <w:szCs w:val="24"/>
              </w:rPr>
              <w:t>③</w:t>
            </w:r>
            <w:r>
              <w:rPr>
                <w:rFonts w:hint="eastAsia" w:ascii="仿宋" w:hAnsi="仿宋" w:eastAsia="仿宋" w:cs="仿宋"/>
                <w:sz w:val="24"/>
                <w:szCs w:val="24"/>
              </w:rPr>
              <w:t>关键岗位人员：施工员（1名）、质量员（1名）、安全员（1名）、造价人员（1名）、资料员（1名），以上有效人员配备齐全的得5分；每缺少一名以上有效人员的，扣2分，扣完为止。</w:t>
            </w:r>
          </w:p>
          <w:p w14:paraId="7A0289DF">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kern w:val="2"/>
                <w:sz w:val="24"/>
                <w:szCs w:val="24"/>
                <w:lang w:val="en-US" w:eastAsia="zh-CN" w:bidi="ar-SA"/>
              </w:rPr>
            </w:pPr>
            <w:r>
              <w:rPr>
                <w:rFonts w:hint="eastAsia" w:ascii="仿宋" w:hAnsi="仿宋" w:eastAsia="仿宋" w:cs="仿宋"/>
                <w:sz w:val="24"/>
                <w:szCs w:val="24"/>
              </w:rPr>
              <w:t>注：需提供拟投入人员基本信息的名单，且拟投入人员须为本企业人员；安全员须具有有效的安全生产考核合格证，造价人员须具有有效的注册造价工程师执业资格；上述人员未按要求提供证明材料的不得分。</w:t>
            </w:r>
          </w:p>
        </w:tc>
      </w:tr>
      <w:tr w14:paraId="1B2F2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2" w:hRule="atLeast"/>
          <w:jc w:val="center"/>
        </w:trPr>
        <w:tc>
          <w:tcPr>
            <w:tcW w:w="1171" w:type="dxa"/>
            <w:vMerge w:val="continue"/>
            <w:vAlign w:val="center"/>
          </w:tcPr>
          <w:p w14:paraId="3BFD39C0">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jc w:val="center"/>
              <w:textAlignment w:val="baseline"/>
              <w:rPr>
                <w:rFonts w:hint="eastAsia" w:ascii="仿宋" w:hAnsi="仿宋" w:eastAsia="仿宋" w:cs="仿宋"/>
                <w:sz w:val="24"/>
                <w:szCs w:val="24"/>
              </w:rPr>
            </w:pPr>
          </w:p>
        </w:tc>
        <w:tc>
          <w:tcPr>
            <w:tcW w:w="1189" w:type="dxa"/>
            <w:shd w:val="clear" w:color="auto" w:fill="auto"/>
            <w:vAlign w:val="top"/>
          </w:tcPr>
          <w:p w14:paraId="36668CAB">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714A26F3">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sz w:val="24"/>
                <w:szCs w:val="24"/>
              </w:rPr>
            </w:pPr>
            <w:r>
              <w:rPr>
                <w:rFonts w:hint="eastAsia" w:ascii="仿宋" w:hAnsi="仿宋" w:eastAsia="仿宋" w:cs="仿宋"/>
                <w:sz w:val="24"/>
                <w:szCs w:val="24"/>
              </w:rPr>
              <w:t>不随意更</w:t>
            </w:r>
          </w:p>
          <w:p w14:paraId="5D5831A8">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sz w:val="24"/>
                <w:szCs w:val="24"/>
              </w:rPr>
            </w:pPr>
            <w:r>
              <w:rPr>
                <w:rFonts w:hint="eastAsia" w:ascii="仿宋" w:hAnsi="仿宋" w:eastAsia="仿宋" w:cs="仿宋"/>
                <w:sz w:val="24"/>
                <w:szCs w:val="24"/>
              </w:rPr>
              <w:t>换人员承</w:t>
            </w:r>
          </w:p>
          <w:p w14:paraId="35BDA4FF">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kern w:val="2"/>
                <w:sz w:val="24"/>
                <w:szCs w:val="24"/>
                <w:lang w:val="en-US" w:eastAsia="zh-CN" w:bidi="ar-SA"/>
              </w:rPr>
            </w:pPr>
            <w:r>
              <w:rPr>
                <w:rFonts w:hint="eastAsia" w:ascii="仿宋" w:hAnsi="仿宋" w:eastAsia="仿宋" w:cs="仿宋"/>
                <w:sz w:val="24"/>
                <w:szCs w:val="24"/>
              </w:rPr>
              <w:t>诺</w:t>
            </w:r>
          </w:p>
        </w:tc>
        <w:tc>
          <w:tcPr>
            <w:tcW w:w="771" w:type="dxa"/>
            <w:shd w:val="clear" w:color="auto" w:fill="auto"/>
            <w:vAlign w:val="top"/>
          </w:tcPr>
          <w:p w14:paraId="473C7D15">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56F17AA3">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p>
          <w:p w14:paraId="63269FF0">
            <w:pPr>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ascii="仿宋" w:hAnsi="仿宋" w:eastAsia="仿宋" w:cs="仿宋"/>
                <w:kern w:val="2"/>
                <w:sz w:val="24"/>
                <w:szCs w:val="24"/>
                <w:lang w:val="en-US" w:eastAsia="zh-CN" w:bidi="ar-SA"/>
              </w:rPr>
            </w:pPr>
            <w:r>
              <w:rPr>
                <w:rFonts w:hint="eastAsia" w:ascii="仿宋" w:hAnsi="仿宋" w:eastAsia="仿宋" w:cs="仿宋"/>
                <w:sz w:val="24"/>
                <w:szCs w:val="24"/>
              </w:rPr>
              <w:t>2分</w:t>
            </w:r>
          </w:p>
        </w:tc>
        <w:tc>
          <w:tcPr>
            <w:tcW w:w="6309" w:type="dxa"/>
            <w:shd w:val="clear" w:color="auto" w:fill="auto"/>
            <w:vAlign w:val="top"/>
          </w:tcPr>
          <w:p w14:paraId="46035619">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sz w:val="24"/>
                <w:szCs w:val="24"/>
              </w:rPr>
            </w:pPr>
            <w:r>
              <w:rPr>
                <w:rFonts w:hint="eastAsia" w:ascii="仿宋" w:hAnsi="仿宋" w:eastAsia="仿宋" w:cs="仿宋"/>
                <w:sz w:val="24"/>
                <w:szCs w:val="24"/>
              </w:rPr>
              <w:t>①有不随意更换项目负责人、技术负责人及“五大员”的承诺，得1分；未提供不得分。</w:t>
            </w:r>
          </w:p>
          <w:p w14:paraId="0AF3D561">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kern w:val="2"/>
                <w:sz w:val="24"/>
                <w:szCs w:val="24"/>
                <w:lang w:val="en-US" w:eastAsia="zh-CN" w:bidi="ar-SA"/>
              </w:rPr>
            </w:pPr>
            <w:r>
              <w:rPr>
                <w:rFonts w:hint="eastAsia" w:ascii="仿宋" w:hAnsi="仿宋" w:eastAsia="仿宋" w:cs="仿宋"/>
                <w:sz w:val="24"/>
                <w:szCs w:val="24"/>
              </w:rPr>
              <w:t>②承诺若出现随意更换项目负责人、技术负责人及“五大员”的情况，有具体经济处罚措施的，得1分。（描述简单，内容不合理或有缺失的，每有一处扣0.5分；未提供不得分）</w:t>
            </w:r>
          </w:p>
        </w:tc>
      </w:tr>
      <w:tr w14:paraId="022D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2" w:hRule="atLeast"/>
          <w:jc w:val="center"/>
        </w:trPr>
        <w:tc>
          <w:tcPr>
            <w:tcW w:w="1171" w:type="dxa"/>
            <w:vMerge w:val="restart"/>
            <w:vAlign w:val="center"/>
          </w:tcPr>
          <w:p w14:paraId="230CBF52">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lang w:val="en-US" w:eastAsia="zh-CN"/>
              </w:rPr>
            </w:pPr>
            <w:r>
              <w:rPr>
                <w:rFonts w:hint="eastAsia" w:ascii="仿宋" w:hAnsi="仿宋" w:eastAsia="仿宋" w:cs="仿宋"/>
                <w:sz w:val="24"/>
                <w:szCs w:val="24"/>
              </w:rPr>
              <w:t>技术部分</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40分）</w:t>
            </w:r>
          </w:p>
        </w:tc>
        <w:tc>
          <w:tcPr>
            <w:tcW w:w="1189" w:type="dxa"/>
            <w:shd w:val="clear" w:color="auto" w:fill="auto"/>
            <w:vAlign w:val="center"/>
          </w:tcPr>
          <w:p w14:paraId="25AF7BDA">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施工方案</w:t>
            </w:r>
          </w:p>
        </w:tc>
        <w:tc>
          <w:tcPr>
            <w:tcW w:w="771" w:type="dxa"/>
            <w:shd w:val="clear" w:color="auto" w:fill="auto"/>
            <w:vAlign w:val="center"/>
          </w:tcPr>
          <w:p w14:paraId="702D4919">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7分</w:t>
            </w:r>
          </w:p>
        </w:tc>
        <w:tc>
          <w:tcPr>
            <w:tcW w:w="6309" w:type="dxa"/>
            <w:shd w:val="clear" w:color="auto" w:fill="auto"/>
            <w:vAlign w:val="center"/>
          </w:tcPr>
          <w:p w14:paraId="4E375E84">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综合考虑供应商针对本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lang w:eastAsia="zh-CN"/>
              </w:rPr>
              <w:t>所提供的</w:t>
            </w:r>
            <w:r>
              <w:rPr>
                <w:rFonts w:hint="eastAsia" w:ascii="仿宋" w:hAnsi="仿宋" w:eastAsia="仿宋" w:cs="仿宋"/>
                <w:color w:val="auto"/>
                <w:sz w:val="24"/>
                <w:szCs w:val="24"/>
                <w:highlight w:val="none"/>
                <w:lang w:val="en-US" w:eastAsia="zh-CN"/>
              </w:rPr>
              <w:t>项目实施</w:t>
            </w:r>
            <w:r>
              <w:rPr>
                <w:rFonts w:hint="eastAsia" w:ascii="仿宋" w:hAnsi="仿宋" w:eastAsia="仿宋" w:cs="仿宋"/>
                <w:color w:val="auto"/>
                <w:sz w:val="24"/>
                <w:szCs w:val="24"/>
                <w:highlight w:val="none"/>
                <w:lang w:eastAsia="zh-CN"/>
              </w:rPr>
              <w:t>方案。方案全面，全面响应项目要求，合理组织工作，可以切实保障项目的实际需要以及突发任务需要，风险预案覆盖所有关键环节，得（</w:t>
            </w:r>
            <w:r>
              <w:rPr>
                <w:rFonts w:hint="eastAsia" w:ascii="仿宋" w:hAnsi="仿宋" w:eastAsia="仿宋" w:cs="仿宋"/>
                <w:color w:val="auto"/>
                <w:sz w:val="24"/>
                <w:szCs w:val="24"/>
                <w:highlight w:val="none"/>
                <w:lang w:val="en-US" w:eastAsia="zh-CN"/>
              </w:rPr>
              <w:t>5-7]</w:t>
            </w:r>
            <w:r>
              <w:rPr>
                <w:rFonts w:hint="eastAsia" w:ascii="仿宋" w:hAnsi="仿宋" w:eastAsia="仿宋" w:cs="仿宋"/>
                <w:color w:val="auto"/>
                <w:sz w:val="24"/>
                <w:szCs w:val="24"/>
                <w:highlight w:val="none"/>
                <w:lang w:eastAsia="zh-CN"/>
              </w:rPr>
              <w:t>分；方案片面，组织工作的合理性有待提升，可以基本保障项目的实际需要以及突发任务需要，得（</w:t>
            </w: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lang w:eastAsia="zh-CN"/>
              </w:rPr>
              <w:t>]分；方案缺乏针对性，组织工作有待完善，不能很好地反映服务情况，风险预案缺失关键环节，得（0-</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]分。</w:t>
            </w:r>
          </w:p>
          <w:p w14:paraId="6B497FEC">
            <w:pPr>
              <w:pStyle w:val="2"/>
              <w:keepNext w:val="0"/>
              <w:keepLines w:val="0"/>
              <w:pageBreakBefore w:val="0"/>
              <w:widowControl/>
              <w:kinsoku w:val="0"/>
              <w:wordWrap/>
              <w:overflowPunct/>
              <w:topLinePunct w:val="0"/>
              <w:autoSpaceDE w:val="0"/>
              <w:autoSpaceDN w:val="0"/>
              <w:bidi w:val="0"/>
              <w:adjustRightInd w:val="0"/>
              <w:snapToGrid w:val="0"/>
              <w:spacing w:line="440" w:lineRule="exact"/>
              <w:textAlignment w:val="baseline"/>
              <w:rPr>
                <w:rFonts w:hint="eastAsia"/>
                <w:lang w:val="en-US" w:eastAsia="zh-CN"/>
              </w:rPr>
            </w:pPr>
            <w:r>
              <w:rPr>
                <w:rFonts w:hint="eastAsia" w:ascii="仿宋" w:hAnsi="仿宋" w:eastAsia="仿宋" w:cs="仿宋"/>
                <w:b/>
                <w:bCs/>
                <w:color w:val="auto"/>
                <w:sz w:val="24"/>
                <w:szCs w:val="24"/>
                <w:highlight w:val="none"/>
                <w:lang w:eastAsia="zh-CN"/>
              </w:rPr>
              <w:t>说明：“（”代表不包含本数，“]”代表包含“本数”。</w:t>
            </w:r>
          </w:p>
        </w:tc>
      </w:tr>
      <w:tr w14:paraId="03248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4" w:hRule="atLeast"/>
          <w:jc w:val="center"/>
        </w:trPr>
        <w:tc>
          <w:tcPr>
            <w:tcW w:w="1171" w:type="dxa"/>
            <w:vMerge w:val="continue"/>
            <w:vAlign w:val="center"/>
          </w:tcPr>
          <w:p w14:paraId="4D6625F3">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lang w:val="en-US" w:eastAsia="zh-CN"/>
              </w:rPr>
            </w:pPr>
          </w:p>
        </w:tc>
        <w:tc>
          <w:tcPr>
            <w:tcW w:w="1189" w:type="dxa"/>
            <w:shd w:val="clear" w:color="auto" w:fill="auto"/>
            <w:vAlign w:val="center"/>
          </w:tcPr>
          <w:p w14:paraId="212F3BCB">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质量及安全保证措施</w:t>
            </w:r>
          </w:p>
        </w:tc>
        <w:tc>
          <w:tcPr>
            <w:tcW w:w="771" w:type="dxa"/>
            <w:shd w:val="clear" w:color="auto" w:fill="auto"/>
            <w:vAlign w:val="center"/>
          </w:tcPr>
          <w:p w14:paraId="2933FBA9">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tc>
        <w:tc>
          <w:tcPr>
            <w:tcW w:w="6309" w:type="dxa"/>
            <w:shd w:val="clear" w:color="auto" w:fill="auto"/>
            <w:vAlign w:val="center"/>
          </w:tcPr>
          <w:p w14:paraId="652ECC1A">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质量保障措施得当合理，风险防控合理、</w:t>
            </w:r>
            <w:r>
              <w:rPr>
                <w:rFonts w:hint="eastAsia" w:ascii="仿宋" w:hAnsi="仿宋" w:eastAsia="仿宋" w:cs="仿宋"/>
                <w:color w:val="auto"/>
                <w:sz w:val="24"/>
                <w:szCs w:val="24"/>
                <w:highlight w:val="none"/>
                <w:lang w:val="en-US" w:eastAsia="zh-CN"/>
              </w:rPr>
              <w:t>项目实施</w:t>
            </w:r>
            <w:r>
              <w:rPr>
                <w:rFonts w:hint="eastAsia" w:ascii="仿宋" w:hAnsi="仿宋" w:eastAsia="仿宋" w:cs="仿宋"/>
                <w:color w:val="auto"/>
                <w:sz w:val="24"/>
                <w:szCs w:val="24"/>
                <w:highlight w:val="none"/>
                <w:lang w:eastAsia="zh-CN"/>
              </w:rPr>
              <w:t>过程中安全保证措施完善、详细合理，可行性强，得（</w:t>
            </w:r>
            <w:r>
              <w:rPr>
                <w:rFonts w:hint="eastAsia" w:ascii="仿宋" w:hAnsi="仿宋" w:eastAsia="仿宋" w:cs="仿宋"/>
                <w:color w:val="auto"/>
                <w:sz w:val="24"/>
                <w:szCs w:val="24"/>
                <w:highlight w:val="none"/>
                <w:lang w:val="en-US" w:eastAsia="zh-CN"/>
              </w:rPr>
              <w:t>5-7</w:t>
            </w:r>
            <w:r>
              <w:rPr>
                <w:rFonts w:hint="eastAsia" w:ascii="仿宋" w:hAnsi="仿宋" w:eastAsia="仿宋" w:cs="仿宋"/>
                <w:color w:val="auto"/>
                <w:sz w:val="24"/>
                <w:szCs w:val="24"/>
                <w:highlight w:val="none"/>
                <w:lang w:eastAsia="zh-CN"/>
              </w:rPr>
              <w:t>]分；质量保障措施符合要求，具有风险防控，但缺少详尽性，绿化应急案件处置过程安全保证措施可行性有待考验，得（</w:t>
            </w: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lang w:eastAsia="zh-CN"/>
              </w:rPr>
              <w:t>]分；质量保障措施不完善，风险保障体系及绿化应急案件处置过程安全保证措施可行性有缺失，得（0-</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]分。</w:t>
            </w:r>
          </w:p>
          <w:p w14:paraId="5203615E">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0" w:firstLineChars="0"/>
              <w:jc w:val="left"/>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sz w:val="24"/>
                <w:szCs w:val="24"/>
                <w:highlight w:val="none"/>
                <w:lang w:eastAsia="zh-CN"/>
              </w:rPr>
              <w:t>说明：“（”代表不包含本数，“]”代表包含“本数”。</w:t>
            </w:r>
          </w:p>
        </w:tc>
      </w:tr>
      <w:tr w14:paraId="7370B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4" w:hRule="atLeast"/>
          <w:jc w:val="center"/>
        </w:trPr>
        <w:tc>
          <w:tcPr>
            <w:tcW w:w="1171" w:type="dxa"/>
            <w:vMerge w:val="continue"/>
            <w:vAlign w:val="center"/>
          </w:tcPr>
          <w:p w14:paraId="72561C6E">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p>
        </w:tc>
        <w:tc>
          <w:tcPr>
            <w:tcW w:w="1189" w:type="dxa"/>
            <w:shd w:val="clear" w:color="auto" w:fill="auto"/>
            <w:vAlign w:val="center"/>
          </w:tcPr>
          <w:p w14:paraId="09432E17">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环境保护管理体系与措施</w:t>
            </w:r>
          </w:p>
        </w:tc>
        <w:tc>
          <w:tcPr>
            <w:tcW w:w="771" w:type="dxa"/>
            <w:shd w:val="clear" w:color="auto" w:fill="auto"/>
            <w:vAlign w:val="center"/>
          </w:tcPr>
          <w:p w14:paraId="6188E534">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6309" w:type="dxa"/>
            <w:shd w:val="clear" w:color="auto" w:fill="auto"/>
            <w:vAlign w:val="center"/>
          </w:tcPr>
          <w:p w14:paraId="5C2A6F14">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环境保护管理体系健全、职责明确，环境保护管理要点分析全面、措施合理，得（</w:t>
            </w:r>
            <w:r>
              <w:rPr>
                <w:rFonts w:hint="eastAsia" w:ascii="仿宋" w:hAnsi="仿宋" w:eastAsia="仿宋" w:cs="仿宋"/>
                <w:color w:val="auto"/>
                <w:sz w:val="24"/>
                <w:szCs w:val="24"/>
                <w:highlight w:val="none"/>
                <w:lang w:val="en-US" w:eastAsia="zh-CN"/>
              </w:rPr>
              <w:t>4-6</w:t>
            </w:r>
            <w:r>
              <w:rPr>
                <w:rFonts w:hint="eastAsia" w:ascii="仿宋" w:hAnsi="仿宋" w:eastAsia="仿宋" w:cs="仿宋"/>
                <w:color w:val="auto"/>
                <w:sz w:val="24"/>
                <w:szCs w:val="24"/>
                <w:highlight w:val="none"/>
                <w:lang w:eastAsia="zh-CN"/>
              </w:rPr>
              <w:t>]分；</w:t>
            </w:r>
          </w:p>
          <w:p w14:paraId="0B6F029A">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环境保护管理体系较健全、职责较明确，环境保护管理要点分析、措施基本合理，得（</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lang w:eastAsia="zh-CN"/>
              </w:rPr>
              <w:t>]分；</w:t>
            </w:r>
          </w:p>
          <w:p w14:paraId="2EF3E15F">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环境保护管理体系不健全、职责不明确，环境保护管理要点分析、措施不合理，得（0-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]分；未提供对应内容不得分。</w:t>
            </w:r>
          </w:p>
          <w:p w14:paraId="76F4DD21">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0" w:firstLineChars="0"/>
              <w:jc w:val="left"/>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sz w:val="24"/>
                <w:szCs w:val="24"/>
                <w:highlight w:val="none"/>
                <w:lang w:eastAsia="zh-CN"/>
              </w:rPr>
              <w:t>说明：“（”代表不包含本数，“]”代表包含“本数”。</w:t>
            </w:r>
          </w:p>
        </w:tc>
      </w:tr>
      <w:tr w14:paraId="780CC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4" w:hRule="atLeast"/>
          <w:jc w:val="center"/>
        </w:trPr>
        <w:tc>
          <w:tcPr>
            <w:tcW w:w="1171" w:type="dxa"/>
            <w:vMerge w:val="continue"/>
            <w:vAlign w:val="center"/>
          </w:tcPr>
          <w:p w14:paraId="48FD32C5">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p>
        </w:tc>
        <w:tc>
          <w:tcPr>
            <w:tcW w:w="1189" w:type="dxa"/>
            <w:shd w:val="clear" w:color="auto" w:fill="auto"/>
            <w:vAlign w:val="center"/>
          </w:tcPr>
          <w:p w14:paraId="15B64B94">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工程进度计划与措施</w:t>
            </w:r>
          </w:p>
        </w:tc>
        <w:tc>
          <w:tcPr>
            <w:tcW w:w="771" w:type="dxa"/>
            <w:shd w:val="clear" w:color="auto" w:fill="auto"/>
            <w:vAlign w:val="center"/>
          </w:tcPr>
          <w:p w14:paraId="68C98225">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tc>
        <w:tc>
          <w:tcPr>
            <w:tcW w:w="6309" w:type="dxa"/>
            <w:shd w:val="clear" w:color="auto" w:fill="auto"/>
            <w:vAlign w:val="center"/>
          </w:tcPr>
          <w:p w14:paraId="4AE140AF">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供应商根据</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lang w:eastAsia="zh-CN"/>
              </w:rPr>
              <w:t>情况对工作任务的时间进度进行安排。措施有效可行，各阶段工作划分衔接紧密，无缺陷，得（</w:t>
            </w:r>
            <w:r>
              <w:rPr>
                <w:rFonts w:hint="eastAsia" w:ascii="仿宋" w:hAnsi="仿宋" w:eastAsia="仿宋" w:cs="仿宋"/>
                <w:color w:val="auto"/>
                <w:sz w:val="24"/>
                <w:szCs w:val="24"/>
                <w:highlight w:val="none"/>
                <w:lang w:val="en-US" w:eastAsia="zh-CN"/>
              </w:rPr>
              <w:t>5-7</w:t>
            </w:r>
            <w:r>
              <w:rPr>
                <w:rFonts w:hint="eastAsia" w:ascii="仿宋" w:hAnsi="仿宋" w:eastAsia="仿宋" w:cs="仿宋"/>
                <w:color w:val="auto"/>
                <w:sz w:val="24"/>
                <w:szCs w:val="24"/>
                <w:highlight w:val="none"/>
                <w:lang w:eastAsia="zh-CN"/>
              </w:rPr>
              <w:t>]分；措施有效性、可行性有待考证，各阶段工作划分衔接不明确，存在缺陷的，得（</w:t>
            </w: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lang w:eastAsia="zh-CN"/>
              </w:rPr>
              <w:t>]分；措施不可行，各阶段工作划分无衔接，存在严重缺陷，得（0-</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]分。</w:t>
            </w:r>
          </w:p>
          <w:p w14:paraId="1B86003E">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0" w:firstLineChars="0"/>
              <w:jc w:val="left"/>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sz w:val="24"/>
                <w:szCs w:val="24"/>
                <w:highlight w:val="none"/>
                <w:lang w:eastAsia="zh-CN"/>
              </w:rPr>
              <w:t>说明：“（”代表不包含本数，“]”代表包含“本数”。</w:t>
            </w:r>
          </w:p>
        </w:tc>
      </w:tr>
      <w:tr w14:paraId="67D86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4" w:hRule="atLeast"/>
          <w:jc w:val="center"/>
        </w:trPr>
        <w:tc>
          <w:tcPr>
            <w:tcW w:w="1171" w:type="dxa"/>
            <w:vMerge w:val="continue"/>
            <w:vAlign w:val="center"/>
          </w:tcPr>
          <w:p w14:paraId="27210504">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p>
        </w:tc>
        <w:tc>
          <w:tcPr>
            <w:tcW w:w="1189" w:type="dxa"/>
            <w:shd w:val="clear" w:color="auto" w:fill="auto"/>
            <w:vAlign w:val="center"/>
          </w:tcPr>
          <w:p w14:paraId="670D81DC">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资源配备计划</w:t>
            </w:r>
          </w:p>
        </w:tc>
        <w:tc>
          <w:tcPr>
            <w:tcW w:w="771" w:type="dxa"/>
            <w:shd w:val="clear" w:color="auto" w:fill="auto"/>
            <w:vAlign w:val="center"/>
          </w:tcPr>
          <w:p w14:paraId="18E448B6">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tc>
        <w:tc>
          <w:tcPr>
            <w:tcW w:w="6309" w:type="dxa"/>
            <w:shd w:val="clear" w:color="auto" w:fill="auto"/>
            <w:vAlign w:val="center"/>
          </w:tcPr>
          <w:p w14:paraId="68F22790">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施工人员安排计划科学、经济、合理的，得（</w:t>
            </w:r>
            <w:r>
              <w:rPr>
                <w:rFonts w:hint="eastAsia" w:ascii="仿宋" w:hAnsi="仿宋" w:eastAsia="仿宋" w:cs="仿宋"/>
                <w:color w:val="auto"/>
                <w:sz w:val="24"/>
                <w:szCs w:val="24"/>
                <w:highlight w:val="none"/>
                <w:lang w:val="en-US" w:eastAsia="zh-CN"/>
              </w:rPr>
              <w:t>2-3.5</w:t>
            </w:r>
            <w:r>
              <w:rPr>
                <w:rFonts w:hint="eastAsia" w:ascii="仿宋" w:hAnsi="仿宋" w:eastAsia="仿宋" w:cs="仿宋"/>
                <w:color w:val="auto"/>
                <w:sz w:val="24"/>
                <w:szCs w:val="24"/>
                <w:highlight w:val="none"/>
                <w:lang w:eastAsia="zh-CN"/>
              </w:rPr>
              <w:t>]分；对施工人员配置进行了适当计划安排的，得（0-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]分；未提供对应内容不得分；</w:t>
            </w:r>
          </w:p>
          <w:p w14:paraId="341332F1">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主要施工机械设备使用计划科学、经济、合理的，得（</w:t>
            </w:r>
            <w:r>
              <w:rPr>
                <w:rFonts w:hint="eastAsia" w:ascii="仿宋" w:hAnsi="仿宋" w:eastAsia="仿宋" w:cs="仿宋"/>
                <w:color w:val="auto"/>
                <w:sz w:val="24"/>
                <w:szCs w:val="24"/>
                <w:highlight w:val="none"/>
                <w:lang w:val="en-US" w:eastAsia="zh-CN"/>
              </w:rPr>
              <w:t>2-3.5</w:t>
            </w:r>
            <w:r>
              <w:rPr>
                <w:rFonts w:hint="eastAsia" w:ascii="仿宋" w:hAnsi="仿宋" w:eastAsia="仿宋" w:cs="仿宋"/>
                <w:color w:val="auto"/>
                <w:sz w:val="24"/>
                <w:szCs w:val="24"/>
                <w:highlight w:val="none"/>
                <w:lang w:eastAsia="zh-CN"/>
              </w:rPr>
              <w:t>]分；对施工机械设备使用进行了适当计划安排的，得（0-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]分；未提供对应内容不得分。</w:t>
            </w:r>
          </w:p>
          <w:p w14:paraId="37C1104D">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0" w:firstLineChars="0"/>
              <w:jc w:val="left"/>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sz w:val="24"/>
                <w:szCs w:val="24"/>
                <w:highlight w:val="none"/>
                <w:lang w:eastAsia="zh-CN"/>
              </w:rPr>
              <w:t>说明：“（”代表不包含本数，“]”代表包含“本数”。</w:t>
            </w:r>
          </w:p>
        </w:tc>
      </w:tr>
      <w:tr w14:paraId="1CB76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4" w:hRule="atLeast"/>
          <w:jc w:val="center"/>
        </w:trPr>
        <w:tc>
          <w:tcPr>
            <w:tcW w:w="1171" w:type="dxa"/>
            <w:vMerge w:val="continue"/>
            <w:vAlign w:val="center"/>
          </w:tcPr>
          <w:p w14:paraId="11E05E05">
            <w:pPr>
              <w:keepNext w:val="0"/>
              <w:keepLines w:val="0"/>
              <w:pageBreakBefore w:val="0"/>
              <w:widowControl/>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sz w:val="24"/>
                <w:szCs w:val="24"/>
              </w:rPr>
            </w:pPr>
          </w:p>
        </w:tc>
        <w:tc>
          <w:tcPr>
            <w:tcW w:w="1189" w:type="dxa"/>
            <w:shd w:val="clear" w:color="auto" w:fill="auto"/>
            <w:vAlign w:val="center"/>
          </w:tcPr>
          <w:p w14:paraId="12F7CE79">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工作重点、难点分析及合理化建议</w:t>
            </w:r>
          </w:p>
        </w:tc>
        <w:tc>
          <w:tcPr>
            <w:tcW w:w="771" w:type="dxa"/>
            <w:shd w:val="clear" w:color="auto" w:fill="auto"/>
            <w:vAlign w:val="center"/>
          </w:tcPr>
          <w:p w14:paraId="46528D45">
            <w:pPr>
              <w:keepNext w:val="0"/>
              <w:keepLines w:val="0"/>
              <w:pageBreakBefore w:val="0"/>
              <w:widowControl/>
              <w:shd w:val="clear"/>
              <w:kinsoku w:val="0"/>
              <w:wordWrap/>
              <w:overflowPunct/>
              <w:topLinePunct w:val="0"/>
              <w:autoSpaceDE w:val="0"/>
              <w:autoSpaceDN w:val="0"/>
              <w:bidi w:val="0"/>
              <w:adjustRightInd w:val="0"/>
              <w:snapToGrid w:val="0"/>
              <w:spacing w:line="440" w:lineRule="exact"/>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tc>
        <w:tc>
          <w:tcPr>
            <w:tcW w:w="6309" w:type="dxa"/>
            <w:shd w:val="clear" w:color="auto" w:fill="auto"/>
            <w:vAlign w:val="center"/>
          </w:tcPr>
          <w:p w14:paraId="68D89A1D">
            <w:pPr>
              <w:keepNext w:val="0"/>
              <w:keepLines w:val="0"/>
              <w:pageBreakBefore w:val="0"/>
              <w:widowControl/>
              <w:shd w:val="clear"/>
              <w:kinsoku w:val="0"/>
              <w:wordWrap/>
              <w:overflowPunct/>
              <w:topLinePunct w:val="0"/>
              <w:autoSpaceDE w:val="0"/>
              <w:autoSpaceDN w:val="0"/>
              <w:bidi w:val="0"/>
              <w:adjustRightInd w:val="0"/>
              <w:snapToGrid w:val="0"/>
              <w:spacing w:line="440" w:lineRule="exact"/>
              <w:ind w:firstLine="480" w:firstLineChars="200"/>
              <w:jc w:val="left"/>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针对项目实施过程中的时间进度、质量要求、资金安排、风险把控等方面进行工作重点、难点进行分析，并提出切实可行的合理化建议，整体分析合理、可操作性强的，得（</w:t>
            </w:r>
            <w:r>
              <w:rPr>
                <w:rFonts w:hint="eastAsia" w:ascii="仿宋" w:hAnsi="仿宋" w:eastAsia="仿宋" w:cs="仿宋"/>
                <w:color w:val="auto"/>
                <w:sz w:val="24"/>
                <w:szCs w:val="24"/>
                <w:highlight w:val="none"/>
                <w:lang w:val="en-US" w:eastAsia="zh-CN"/>
              </w:rPr>
              <w:t>4-6</w:t>
            </w:r>
            <w:r>
              <w:rPr>
                <w:rFonts w:hint="eastAsia" w:ascii="仿宋" w:hAnsi="仿宋" w:eastAsia="仿宋" w:cs="仿宋"/>
                <w:color w:val="auto"/>
                <w:sz w:val="24"/>
                <w:szCs w:val="24"/>
                <w:highlight w:val="none"/>
                <w:lang w:eastAsia="zh-CN"/>
              </w:rPr>
              <w:t>]分；对项目实施过程中的工作重点、难点分析进行简要分析，具有适当合理化建议，整体分析基本全面合理、具备一定操作性的，得（</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lang w:eastAsia="zh-CN"/>
              </w:rPr>
              <w:t>]分；对项目实施过程中的工作重点、难点分析</w:t>
            </w:r>
            <w:r>
              <w:rPr>
                <w:rFonts w:hint="eastAsia" w:ascii="仿宋" w:hAnsi="仿宋" w:eastAsia="仿宋" w:cs="仿宋"/>
                <w:color w:val="auto"/>
                <w:sz w:val="24"/>
                <w:szCs w:val="24"/>
                <w:highlight w:val="none"/>
                <w:lang w:val="en-US" w:eastAsia="zh-CN"/>
              </w:rPr>
              <w:t>不全面、不合理的，得</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]分。</w:t>
            </w:r>
          </w:p>
          <w:p w14:paraId="535794CD">
            <w:pPr>
              <w:pStyle w:val="10"/>
              <w:keepNext w:val="0"/>
              <w:keepLines w:val="0"/>
              <w:pageBreakBefore w:val="0"/>
              <w:widowControl/>
              <w:numPr>
                <w:ilvl w:val="0"/>
                <w:numId w:val="0"/>
              </w:numPr>
              <w:shd w:val="clear"/>
              <w:kinsoku w:val="0"/>
              <w:wordWrap/>
              <w:overflowPunct/>
              <w:topLinePunct w:val="0"/>
              <w:autoSpaceDE w:val="0"/>
              <w:autoSpaceDN w:val="0"/>
              <w:bidi w:val="0"/>
              <w:adjustRightInd w:val="0"/>
              <w:snapToGrid w:val="0"/>
              <w:spacing w:line="440" w:lineRule="exact"/>
              <w:ind w:left="0" w:leftChars="0" w:firstLine="0" w:firstLineChars="0"/>
              <w:jc w:val="left"/>
              <w:textAlignment w:val="baseline"/>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sz w:val="24"/>
                <w:szCs w:val="24"/>
                <w:highlight w:val="none"/>
                <w:lang w:eastAsia="zh-CN"/>
              </w:rPr>
              <w:t>说明：“（”代表不包含本数，“]”代表包含“本数”。</w:t>
            </w:r>
          </w:p>
        </w:tc>
      </w:tr>
    </w:tbl>
    <w:p w14:paraId="3782138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7D392A9D">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263B4A51">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2E1E07E9">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37D9540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4D47595C">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4470399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0E410F55">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78A9A5C8">
      <w:pPr>
        <w:pStyle w:val="2"/>
        <w:rPr>
          <w:rFonts w:hint="eastAsia"/>
        </w:rPr>
      </w:pPr>
    </w:p>
    <w:p w14:paraId="03035E04">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p w14:paraId="66B3637C">
      <w:pPr>
        <w:pStyle w:val="3"/>
        <w:pageBreakBefore w:val="0"/>
        <w:wordWrap/>
        <w:topLinePunct w:val="0"/>
        <w:bidi w:val="0"/>
        <w:spacing w:line="480" w:lineRule="exact"/>
        <w:jc w:val="center"/>
        <w:rPr>
          <w:rFonts w:hint="eastAsia" w:ascii="仿宋" w:hAnsi="仿宋" w:eastAsia="仿宋" w:cs="仿宋"/>
          <w:sz w:val="28"/>
          <w:szCs w:val="28"/>
        </w:rPr>
      </w:pPr>
      <w:bookmarkStart w:id="7" w:name="_Toc11818"/>
      <w:r>
        <w:rPr>
          <w:rFonts w:hint="eastAsia" w:ascii="仿宋" w:hAnsi="仿宋" w:eastAsia="仿宋" w:cs="仿宋"/>
          <w:sz w:val="28"/>
          <w:szCs w:val="28"/>
        </w:rPr>
        <w:t>第五章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合同</w:t>
      </w:r>
      <w:bookmarkEnd w:id="7"/>
    </w:p>
    <w:p w14:paraId="73B04631">
      <w:pPr>
        <w:pageBreakBefore w:val="0"/>
        <w:kinsoku/>
        <w:overflowPunct/>
        <w:topLinePunct w:val="0"/>
        <w:bidi w:val="0"/>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b/>
          <w:bCs/>
          <w:color w:val="auto"/>
          <w:sz w:val="24"/>
          <w:szCs w:val="24"/>
          <w:highlight w:val="none"/>
          <w:lang w:val="en-US" w:eastAsia="zh-CN"/>
        </w:rPr>
        <w:t>本合同仅供参考，具体合同条款甲乙双方自行约定</w:t>
      </w:r>
      <w:r>
        <w:rPr>
          <w:rFonts w:hint="eastAsia" w:ascii="仿宋" w:hAnsi="仿宋" w:eastAsia="仿宋" w:cs="仿宋"/>
          <w:b w:val="0"/>
          <w:bCs w:val="0"/>
          <w:color w:val="auto"/>
          <w:sz w:val="24"/>
          <w:szCs w:val="24"/>
          <w:highlight w:val="none"/>
          <w:lang w:val="en-US" w:eastAsia="zh-CN"/>
        </w:rPr>
        <w:t>）</w:t>
      </w:r>
    </w:p>
    <w:p w14:paraId="106D4162">
      <w:pPr>
        <w:pageBreakBefore w:val="0"/>
        <w:kinsoku/>
        <w:overflowPunct/>
        <w:topLinePunct w:val="0"/>
        <w:bidi w:val="0"/>
        <w:spacing w:line="440" w:lineRule="exact"/>
        <w:ind w:firstLine="0" w:firstLineChars="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（GF—2017—0201）</w:t>
      </w:r>
    </w:p>
    <w:p w14:paraId="4E7E3BB8">
      <w:pPr>
        <w:pageBreakBefore w:val="0"/>
        <w:kinsoku/>
        <w:overflowPunct/>
        <w:topLinePunct w:val="0"/>
        <w:bidi w:val="0"/>
        <w:spacing w:line="440" w:lineRule="exact"/>
        <w:ind w:firstLine="0" w:firstLineChars="0"/>
        <w:jc w:val="center"/>
        <w:rPr>
          <w:rFonts w:hint="eastAsia" w:ascii="仿宋" w:hAnsi="仿宋" w:eastAsia="仿宋" w:cs="仿宋"/>
          <w:b/>
          <w:color w:val="auto"/>
          <w:sz w:val="24"/>
          <w:szCs w:val="24"/>
          <w:highlight w:val="none"/>
        </w:rPr>
      </w:pPr>
    </w:p>
    <w:p w14:paraId="39A17A30">
      <w:pPr>
        <w:pageBreakBefore w:val="0"/>
        <w:kinsoku/>
        <w:overflowPunct/>
        <w:topLinePunct w:val="0"/>
        <w:bidi w:val="0"/>
        <w:spacing w:line="440" w:lineRule="exact"/>
        <w:ind w:firstLine="0" w:firstLineChars="0"/>
        <w:jc w:val="center"/>
        <w:rPr>
          <w:rFonts w:hint="eastAsia" w:ascii="仿宋" w:hAnsi="仿宋" w:eastAsia="仿宋" w:cs="仿宋"/>
          <w:b/>
          <w:color w:val="auto"/>
          <w:sz w:val="24"/>
          <w:szCs w:val="24"/>
          <w:highlight w:val="none"/>
        </w:rPr>
      </w:pPr>
    </w:p>
    <w:p w14:paraId="555B7185">
      <w:pPr>
        <w:pageBreakBefore w:val="0"/>
        <w:kinsoku/>
        <w:overflowPunct/>
        <w:topLinePunct w:val="0"/>
        <w:bidi w:val="0"/>
        <w:spacing w:line="440" w:lineRule="exact"/>
        <w:ind w:firstLine="0" w:firstLineChars="0"/>
        <w:jc w:val="center"/>
        <w:rPr>
          <w:rFonts w:hint="eastAsia" w:ascii="仿宋" w:hAnsi="仿宋" w:eastAsia="仿宋" w:cs="仿宋"/>
          <w:b/>
          <w:color w:val="auto"/>
          <w:sz w:val="24"/>
          <w:szCs w:val="24"/>
          <w:highlight w:val="none"/>
        </w:rPr>
      </w:pPr>
    </w:p>
    <w:p w14:paraId="3BBE2748">
      <w:pPr>
        <w:pageBreakBefore w:val="0"/>
        <w:kinsoku/>
        <w:overflowPunct/>
        <w:topLinePunct w:val="0"/>
        <w:bidi w:val="0"/>
        <w:spacing w:line="440" w:lineRule="exact"/>
        <w:ind w:firstLine="0" w:firstLineChars="0"/>
        <w:jc w:val="center"/>
        <w:rPr>
          <w:rFonts w:hint="eastAsia" w:ascii="仿宋" w:hAnsi="仿宋" w:eastAsia="仿宋" w:cs="仿宋"/>
          <w:b/>
          <w:color w:val="auto"/>
          <w:sz w:val="24"/>
          <w:szCs w:val="24"/>
          <w:highlight w:val="none"/>
        </w:rPr>
      </w:pPr>
    </w:p>
    <w:p w14:paraId="1C5E21FF">
      <w:pPr>
        <w:pageBreakBefore w:val="0"/>
        <w:kinsoku/>
        <w:overflowPunct/>
        <w:topLinePunct w:val="0"/>
        <w:bidi w:val="0"/>
        <w:spacing w:line="440" w:lineRule="exact"/>
        <w:ind w:firstLine="0" w:firstLineChars="0"/>
        <w:jc w:val="center"/>
        <w:rPr>
          <w:rFonts w:hint="eastAsia" w:ascii="仿宋" w:hAnsi="仿宋" w:eastAsia="仿宋" w:cs="仿宋"/>
          <w:b/>
          <w:color w:val="auto"/>
          <w:sz w:val="24"/>
          <w:szCs w:val="24"/>
          <w:highlight w:val="none"/>
        </w:rPr>
      </w:pPr>
    </w:p>
    <w:p w14:paraId="3F2DDA53">
      <w:pPr>
        <w:pageBreakBefore w:val="0"/>
        <w:kinsoku/>
        <w:overflowPunct/>
        <w:topLinePunct w:val="0"/>
        <w:bidi w:val="0"/>
        <w:spacing w:line="440" w:lineRule="exact"/>
        <w:ind w:firstLine="0" w:firstLineChars="0"/>
        <w:jc w:val="center"/>
        <w:rPr>
          <w:rFonts w:hint="eastAsia" w:ascii="仿宋" w:hAnsi="仿宋" w:eastAsia="仿宋" w:cs="仿宋"/>
          <w:b/>
          <w:color w:val="auto"/>
          <w:sz w:val="24"/>
          <w:szCs w:val="24"/>
          <w:highlight w:val="none"/>
        </w:rPr>
      </w:pPr>
    </w:p>
    <w:p w14:paraId="26DA2574">
      <w:pPr>
        <w:pageBreakBefore w:val="0"/>
        <w:kinsoku/>
        <w:overflowPunct/>
        <w:topLinePunct w:val="0"/>
        <w:bidi w:val="0"/>
        <w:spacing w:line="440" w:lineRule="exact"/>
        <w:ind w:firstLine="0" w:firstLineChars="0"/>
        <w:jc w:val="center"/>
        <w:outlineLvl w:val="9"/>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建设工程施工合同</w:t>
      </w:r>
    </w:p>
    <w:p w14:paraId="118A8E94">
      <w:pPr>
        <w:pageBreakBefore w:val="0"/>
        <w:kinsoku/>
        <w:overflowPunct/>
        <w:topLinePunct w:val="0"/>
        <w:bidi w:val="0"/>
        <w:spacing w:line="440" w:lineRule="exact"/>
        <w:ind w:firstLine="0" w:firstLineChars="0"/>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（示范文本）</w:t>
      </w:r>
    </w:p>
    <w:p w14:paraId="71872128">
      <w:pPr>
        <w:pageBreakBefore w:val="0"/>
        <w:kinsoku/>
        <w:overflowPunct/>
        <w:topLinePunct w:val="0"/>
        <w:bidi w:val="0"/>
        <w:spacing w:line="440" w:lineRule="exact"/>
        <w:ind w:firstLine="0" w:firstLineChars="0"/>
        <w:jc w:val="both"/>
        <w:rPr>
          <w:rFonts w:hint="eastAsia" w:ascii="仿宋" w:hAnsi="仿宋" w:eastAsia="仿宋" w:cs="仿宋"/>
          <w:b/>
          <w:color w:val="auto"/>
          <w:sz w:val="24"/>
          <w:szCs w:val="24"/>
          <w:highlight w:val="none"/>
        </w:rPr>
      </w:pPr>
    </w:p>
    <w:p w14:paraId="67FF454E">
      <w:pPr>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101F9892">
      <w:pPr>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49E4E46C">
      <w:pPr>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2C54C651">
      <w:pPr>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49AAD71A">
      <w:pPr>
        <w:pageBreakBefore w:val="0"/>
        <w:kinsoku/>
        <w:overflowPunct/>
        <w:topLinePunct w:val="0"/>
        <w:bidi w:val="0"/>
        <w:spacing w:line="440" w:lineRule="exact"/>
        <w:ind w:right="2719" w:rightChars="1295" w:firstLine="0" w:firstLineChars="0"/>
        <w:jc w:val="distribute"/>
        <w:rPr>
          <w:rFonts w:hint="eastAsia" w:ascii="仿宋" w:hAnsi="仿宋" w:eastAsia="仿宋" w:cs="仿宋"/>
          <w:b/>
          <w:color w:val="auto"/>
          <w:sz w:val="24"/>
          <w:szCs w:val="24"/>
          <w:highlight w:val="none"/>
        </w:rPr>
      </w:pPr>
    </w:p>
    <w:p w14:paraId="5D6029E1">
      <w:pPr>
        <w:pStyle w:val="18"/>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5541A574">
      <w:pPr>
        <w:pStyle w:val="18"/>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14A28B3C">
      <w:pPr>
        <w:pStyle w:val="18"/>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11042063">
      <w:pPr>
        <w:pStyle w:val="18"/>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01917A33">
      <w:pPr>
        <w:pStyle w:val="18"/>
        <w:pageBreakBefore w:val="0"/>
        <w:kinsoku/>
        <w:overflowPunct/>
        <w:topLinePunct w:val="0"/>
        <w:bidi w:val="0"/>
        <w:spacing w:line="440" w:lineRule="exact"/>
        <w:ind w:firstLine="0" w:firstLineChars="0"/>
        <w:rPr>
          <w:rFonts w:hint="eastAsia" w:ascii="仿宋" w:hAnsi="仿宋" w:eastAsia="仿宋" w:cs="仿宋"/>
          <w:b/>
          <w:color w:val="auto"/>
          <w:sz w:val="24"/>
          <w:szCs w:val="24"/>
          <w:highlight w:val="none"/>
        </w:rPr>
      </w:pPr>
    </w:p>
    <w:p w14:paraId="3E9315D0">
      <w:pPr>
        <w:pageBreakBefore w:val="0"/>
        <w:kinsoku/>
        <w:overflowPunct/>
        <w:topLinePunct w:val="0"/>
        <w:bidi w:val="0"/>
        <w:spacing w:line="440" w:lineRule="exact"/>
        <w:ind w:right="2719" w:rightChars="1295" w:firstLine="0" w:firstLineChars="0"/>
        <w:jc w:val="distribute"/>
        <w:rPr>
          <w:rFonts w:hint="eastAsia" w:ascii="仿宋" w:hAnsi="仿宋" w:eastAsia="仿宋" w:cs="仿宋"/>
          <w:b/>
          <w:color w:val="auto"/>
          <w:sz w:val="24"/>
          <w:szCs w:val="24"/>
          <w:highlight w:val="none"/>
        </w:rPr>
      </w:pPr>
    </w:p>
    <w:p w14:paraId="5FA202A9">
      <w:pPr>
        <w:pageBreakBefore w:val="0"/>
        <w:kinsoku/>
        <w:overflowPunct/>
        <w:topLinePunct w:val="0"/>
        <w:bidi w:val="0"/>
        <w:spacing w:line="440" w:lineRule="exact"/>
        <w:ind w:right="2719" w:rightChars="1295"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3945890</wp:posOffset>
                </wp:positionH>
                <wp:positionV relativeFrom="paragraph">
                  <wp:posOffset>71120</wp:posOffset>
                </wp:positionV>
                <wp:extent cx="675005" cy="457200"/>
                <wp:effectExtent l="4445" t="4445" r="6350" b="14605"/>
                <wp:wrapNone/>
                <wp:docPr id="7" name="文本框 7"/>
                <wp:cNvGraphicFramePr/>
                <a:graphic xmlns:a="http://schemas.openxmlformats.org/drawingml/2006/main">
                  <a:graphicData uri="http://schemas.microsoft.com/office/word/2010/wordprocessingShape">
                    <wps:wsp>
                      <wps:cNvSpPr txBox="1">
                        <a:spLocks noChangeArrowheads="1"/>
                      </wps:cNvSpPr>
                      <wps:spPr bwMode="auto">
                        <a:xfrm>
                          <a:off x="0" y="0"/>
                          <a:ext cx="675005" cy="457200"/>
                        </a:xfrm>
                        <a:prstGeom prst="rect">
                          <a:avLst/>
                        </a:prstGeom>
                        <a:noFill/>
                        <a:ln w="9525" cmpd="sng">
                          <a:solidFill>
                            <a:srgbClr val="FFFFFF"/>
                          </a:solidFill>
                          <a:miter lim="800000"/>
                        </a:ln>
                        <a:effectLst/>
                      </wps:spPr>
                      <wps:txbx>
                        <w:txbxContent>
                          <w:p w14:paraId="1954D3AD">
                            <w:pPr>
                              <w:rPr>
                                <w:rFonts w:hint="eastAsia" w:ascii="仿宋_GB2312" w:hAnsi="仿宋_GB2312" w:eastAsia="仿宋_GB2312" w:cs="仿宋_GB2312"/>
                                <w:b/>
                                <w:bCs/>
                                <w:sz w:val="32"/>
                              </w:rPr>
                            </w:pPr>
                            <w:r>
                              <w:rPr>
                                <w:rFonts w:hint="eastAsia" w:ascii="仿宋_GB2312" w:hAnsi="仿宋_GB2312" w:eastAsia="仿宋_GB2312" w:cs="仿宋_GB2312"/>
                                <w:b/>
                                <w:bCs/>
                                <w:sz w:val="32"/>
                              </w:rPr>
                              <w:t>制定</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0.7pt;margin-top:5.6pt;height:36pt;width:53.15pt;z-index:251659264;mso-width-relative:page;mso-height-relative:page;" filled="f" stroked="t" coordsize="21600,21600" o:gfxdata="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sZ1d2NgAAAAJAQAADwAAAAAAAAAB&#10;ACAAAAAiAAAAZHJzL2Rvd25yZXYueG1sUEsBAhQAFAAAAAgAh07iQJJoRBlJAgAAdgQAAA4AAAAA&#10;AAAAAQAgAAAAJwEAAGRycy9lMm9Eb2MueG1sUEsFBgAAAAAGAAYAWQEAAOIFAAAAAA==&#10;">
                <v:fill on="f" focussize="0,0"/>
                <v:stroke color="#FFFFFF" miterlimit="8" joinstyle="miter"/>
                <v:imagedata o:title=""/>
                <o:lock v:ext="edit" aspectratio="f"/>
                <v:textbox>
                  <w:txbxContent>
                    <w:p w14:paraId="1954D3AD">
                      <w:pPr>
                        <w:rPr>
                          <w:rFonts w:hint="eastAsia" w:ascii="仿宋_GB2312" w:hAnsi="仿宋_GB2312" w:eastAsia="仿宋_GB2312" w:cs="仿宋_GB2312"/>
                          <w:b/>
                          <w:bCs/>
                          <w:sz w:val="32"/>
                        </w:rPr>
                      </w:pPr>
                      <w:r>
                        <w:rPr>
                          <w:rFonts w:hint="eastAsia" w:ascii="仿宋_GB2312" w:hAnsi="仿宋_GB2312" w:eastAsia="仿宋_GB2312" w:cs="仿宋_GB2312"/>
                          <w:b/>
                          <w:bCs/>
                          <w:sz w:val="32"/>
                        </w:rPr>
                        <w:t>制定</w:t>
                      </w:r>
                    </w:p>
                  </w:txbxContent>
                </v:textbox>
              </v:shape>
            </w:pict>
          </mc:Fallback>
        </mc:AlternateContent>
      </w:r>
      <w:r>
        <w:rPr>
          <w:rFonts w:hint="eastAsia" w:ascii="仿宋" w:hAnsi="仿宋" w:eastAsia="仿宋" w:cs="仿宋"/>
          <w:b/>
          <w:color w:val="auto"/>
          <w:sz w:val="24"/>
          <w:szCs w:val="24"/>
          <w:highlight w:val="none"/>
        </w:rPr>
        <w:t>住房城乡建设部</w:t>
      </w:r>
    </w:p>
    <w:p w14:paraId="1FF5E90C">
      <w:pPr>
        <w:pageBreakBefore w:val="0"/>
        <w:kinsoku/>
        <w:overflowPunct/>
        <w:topLinePunct w:val="0"/>
        <w:bidi w:val="0"/>
        <w:spacing w:line="440" w:lineRule="exact"/>
        <w:ind w:right="2719" w:rightChars="1295"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国家工商行政管理总局</w:t>
      </w:r>
    </w:p>
    <w:p w14:paraId="27A436E7">
      <w:pPr>
        <w:pageBreakBefore w:val="0"/>
        <w:widowControl/>
        <w:kinsoku/>
        <w:overflowPunct/>
        <w:topLinePunct w:val="0"/>
        <w:bidi w:val="0"/>
        <w:spacing w:line="440" w:lineRule="exact"/>
        <w:ind w:firstLine="0" w:firstLineChars="0"/>
        <w:jc w:val="center"/>
        <w:rPr>
          <w:rFonts w:hint="eastAsia" w:ascii="仿宋" w:hAnsi="仿宋" w:eastAsia="仿宋" w:cs="仿宋"/>
          <w:color w:val="auto"/>
          <w:kern w:val="0"/>
          <w:sz w:val="24"/>
          <w:szCs w:val="24"/>
          <w:highlight w:val="none"/>
        </w:rPr>
      </w:pPr>
    </w:p>
    <w:p w14:paraId="4A25EAA4">
      <w:pPr>
        <w:pageBreakBefore w:val="0"/>
        <w:kinsoku/>
        <w:overflowPunct/>
        <w:topLinePunct w:val="0"/>
        <w:bidi w:val="0"/>
        <w:spacing w:line="440" w:lineRule="exact"/>
        <w:ind w:firstLine="0" w:firstLineChars="0"/>
        <w:rPr>
          <w:rFonts w:hint="eastAsia" w:ascii="仿宋" w:hAnsi="仿宋" w:eastAsia="仿宋" w:cs="仿宋"/>
          <w:color w:val="auto"/>
          <w:sz w:val="24"/>
          <w:szCs w:val="24"/>
          <w:highlight w:val="none"/>
          <w:lang w:val="zh-CN"/>
        </w:rPr>
      </w:pPr>
      <w:bookmarkStart w:id="8" w:name="_Toc14338"/>
      <w:bookmarkStart w:id="9" w:name="_Toc296503025"/>
      <w:bookmarkStart w:id="10" w:name="_Toc296890982"/>
    </w:p>
    <w:p w14:paraId="490EE4B0">
      <w:pPr>
        <w:pageBreakBefore w:val="0"/>
        <w:kinsoku/>
        <w:overflowPunct/>
        <w:topLinePunct w:val="0"/>
        <w:bidi w:val="0"/>
        <w:spacing w:line="440" w:lineRule="exact"/>
        <w:ind w:firstLine="0" w:firstLineChars="0"/>
        <w:rPr>
          <w:rFonts w:hint="eastAsia" w:ascii="仿宋" w:hAnsi="仿宋" w:eastAsia="仿宋" w:cs="仿宋"/>
          <w:color w:val="auto"/>
          <w:sz w:val="24"/>
          <w:szCs w:val="24"/>
          <w:highlight w:val="none"/>
          <w:lang w:val="zh-CN"/>
        </w:rPr>
      </w:pPr>
    </w:p>
    <w:p w14:paraId="280B3456">
      <w:pPr>
        <w:pageBreakBefore w:val="0"/>
        <w:kinsoku/>
        <w:overflowPunct/>
        <w:topLinePunct w:val="0"/>
        <w:bidi w:val="0"/>
        <w:spacing w:line="440" w:lineRule="exact"/>
        <w:ind w:firstLine="0" w:firstLineChars="0"/>
        <w:rPr>
          <w:rFonts w:hint="eastAsia" w:ascii="仿宋" w:hAnsi="仿宋" w:eastAsia="仿宋" w:cs="仿宋"/>
          <w:color w:val="auto"/>
          <w:sz w:val="24"/>
          <w:szCs w:val="24"/>
          <w:highlight w:val="none"/>
          <w:lang w:val="zh-CN"/>
        </w:rPr>
      </w:pPr>
    </w:p>
    <w:p w14:paraId="215B8968">
      <w:pPr>
        <w:pStyle w:val="31"/>
        <w:pageBreakBefore w:val="0"/>
        <w:kinsoku/>
        <w:overflowPunct/>
        <w:topLinePunct w:val="0"/>
        <w:bidi w:val="0"/>
        <w:spacing w:before="0" w:after="0" w:line="440" w:lineRule="exact"/>
        <w:ind w:firstLine="0" w:firstLineChars="0"/>
        <w:jc w:val="center"/>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说  明</w:t>
      </w:r>
      <w:bookmarkEnd w:id="8"/>
    </w:p>
    <w:p w14:paraId="78937B1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了指导建设工程施工合同当事人的签约行为，维护合同当事人的合法权益，依据《中华人民共和国民法典》、《中华人民共和国建筑法》、《中华人民共和国招标投标法》以及相关法律法规，住房城乡建设部、国家工商行政管理总局对《建设工程施工合同（示范文本）》（GF-</w:t>
      </w:r>
      <w:r>
        <w:rPr>
          <w:rFonts w:hint="eastAsia" w:ascii="仿宋" w:hAnsi="仿宋" w:eastAsia="仿宋" w:cs="仿宋"/>
          <w:color w:val="auto"/>
          <w:sz w:val="24"/>
          <w:szCs w:val="24"/>
          <w:highlight w:val="none"/>
          <w:lang w:val="en-US" w:eastAsia="zh-CN"/>
        </w:rPr>
        <w:t>2013</w:t>
      </w:r>
      <w:r>
        <w:rPr>
          <w:rFonts w:hint="eastAsia" w:ascii="仿宋" w:hAnsi="仿宋" w:eastAsia="仿宋" w:cs="仿宋"/>
          <w:color w:val="auto"/>
          <w:sz w:val="24"/>
          <w:szCs w:val="24"/>
          <w:highlight w:val="none"/>
        </w:rPr>
        <w:t>-0201）进行了修订，制定了《建设工程施工合同（示范文本）》（GF-201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-0201）（以下简称《示范文本》）。为了便于合同当事人使用《示范文本》，现就有关问题说明如下：</w:t>
      </w:r>
    </w:p>
    <w:p w14:paraId="7F811DCC">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仿宋" w:hAnsi="仿宋" w:eastAsia="仿宋" w:cs="仿宋"/>
          <w:b/>
          <w:bCs w:val="0"/>
          <w:color w:val="auto"/>
          <w:sz w:val="24"/>
          <w:szCs w:val="24"/>
          <w:highlight w:val="none"/>
        </w:rPr>
      </w:pPr>
      <w:bookmarkStart w:id="11" w:name="_Toc25163"/>
      <w:r>
        <w:rPr>
          <w:rFonts w:hint="eastAsia" w:ascii="仿宋" w:hAnsi="仿宋" w:eastAsia="仿宋" w:cs="仿宋"/>
          <w:b/>
          <w:bCs w:val="0"/>
          <w:color w:val="auto"/>
          <w:sz w:val="24"/>
          <w:szCs w:val="24"/>
          <w:highlight w:val="none"/>
        </w:rPr>
        <w:t>一、《示范文本》的组成</w:t>
      </w:r>
      <w:bookmarkEnd w:id="11"/>
    </w:p>
    <w:p w14:paraId="157515D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《示范文本》由合同协议书、通用合同条款和专用合同条款三部分组成。</w:t>
      </w:r>
    </w:p>
    <w:p w14:paraId="7E9C8C8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仿宋" w:hAnsi="仿宋" w:eastAsia="仿宋" w:cs="仿宋"/>
          <w:color w:val="auto"/>
          <w:sz w:val="24"/>
          <w:szCs w:val="24"/>
          <w:highlight w:val="none"/>
        </w:rPr>
      </w:pPr>
      <w:bookmarkStart w:id="12" w:name="_Toc26436"/>
      <w:r>
        <w:rPr>
          <w:rFonts w:hint="eastAsia" w:ascii="仿宋" w:hAnsi="仿宋" w:eastAsia="仿宋" w:cs="仿宋"/>
          <w:color w:val="auto"/>
          <w:sz w:val="24"/>
          <w:szCs w:val="24"/>
          <w:highlight w:val="none"/>
        </w:rPr>
        <w:t>（一）合同协议书</w:t>
      </w:r>
      <w:bookmarkEnd w:id="12"/>
    </w:p>
    <w:p w14:paraId="4761DBF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384FA85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仿宋" w:hAnsi="仿宋" w:eastAsia="仿宋" w:cs="仿宋"/>
          <w:color w:val="auto"/>
          <w:sz w:val="24"/>
          <w:szCs w:val="24"/>
          <w:highlight w:val="none"/>
        </w:rPr>
      </w:pPr>
      <w:bookmarkStart w:id="13" w:name="_Toc16079"/>
      <w:r>
        <w:rPr>
          <w:rFonts w:hint="eastAsia" w:ascii="仿宋" w:hAnsi="仿宋" w:eastAsia="仿宋" w:cs="仿宋"/>
          <w:color w:val="auto"/>
          <w:sz w:val="24"/>
          <w:szCs w:val="24"/>
          <w:highlight w:val="none"/>
        </w:rPr>
        <w:t>（二）通用合同条款</w:t>
      </w:r>
      <w:bookmarkEnd w:id="13"/>
    </w:p>
    <w:p w14:paraId="707608A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通用合同条款是合同当事人根据《中华人民共和国民法典》、《中华人民共和国建筑法》等法律法规的规定，就工程建设的实施及相关事项，对合同当事人的权利义务作出的原则性约定。</w:t>
      </w:r>
    </w:p>
    <w:p w14:paraId="07E7CAD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69761E2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outlineLvl w:val="9"/>
        <w:rPr>
          <w:rFonts w:hint="eastAsia" w:ascii="仿宋" w:hAnsi="仿宋" w:eastAsia="仿宋" w:cs="仿宋"/>
          <w:color w:val="auto"/>
          <w:sz w:val="24"/>
          <w:szCs w:val="24"/>
          <w:highlight w:val="none"/>
        </w:rPr>
      </w:pPr>
      <w:bookmarkStart w:id="14" w:name="_Toc28415"/>
      <w:r>
        <w:rPr>
          <w:rFonts w:hint="eastAsia" w:ascii="仿宋" w:hAnsi="仿宋" w:eastAsia="仿宋" w:cs="仿宋"/>
          <w:color w:val="auto"/>
          <w:sz w:val="24"/>
          <w:szCs w:val="24"/>
          <w:highlight w:val="none"/>
        </w:rPr>
        <w:t>（三）专用合同条款</w:t>
      </w:r>
      <w:bookmarkEnd w:id="14"/>
    </w:p>
    <w:p w14:paraId="2275D5E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6372E89C">
      <w:pPr>
        <w:keepNext w:val="0"/>
        <w:keepLines w:val="0"/>
        <w:pageBreakBefore w:val="0"/>
        <w:widowControl w:val="0"/>
        <w:kinsoku/>
        <w:wordWrap/>
        <w:overflowPunct/>
        <w:topLinePunct w:val="0"/>
        <w:autoSpaceDE/>
        <w:autoSpaceDN/>
        <w:bidi w:val="0"/>
        <w:adjustRightInd/>
        <w:snapToGrid/>
        <w:spacing w:line="440" w:lineRule="exact"/>
        <w:ind w:right="25" w:rightChars="12"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专用合同条款的编号应与相应的通用合同条款的编号一致；</w:t>
      </w:r>
    </w:p>
    <w:p w14:paraId="4DFD020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合同当事人可以通过对专用合同条款的修改，满足具体建设工程的特殊要求，避免直接修改通用合同条款；</w:t>
      </w:r>
    </w:p>
    <w:p w14:paraId="505B0E9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在专用合同条款中有横道线的地方，合同当事人可针对相应的通用合同条款进行细化、完善、补充、修改或另行约定；如无细化、完善、补充、修改或另行约定，则填写“无”或划“/”。</w:t>
      </w:r>
    </w:p>
    <w:p w14:paraId="7140C39E">
      <w:pPr>
        <w:keepNext w:val="0"/>
        <w:keepLines w:val="0"/>
        <w:pageBreakBefore w:val="0"/>
        <w:widowControl w:val="0"/>
        <w:kinsoku/>
        <w:wordWrap/>
        <w:overflowPunct/>
        <w:topLinePunct w:val="0"/>
        <w:autoSpaceDE/>
        <w:autoSpaceDN/>
        <w:bidi w:val="0"/>
        <w:adjustRightInd/>
        <w:snapToGrid/>
        <w:spacing w:line="440" w:lineRule="exact"/>
        <w:textAlignment w:val="auto"/>
        <w:outlineLvl w:val="9"/>
        <w:rPr>
          <w:rFonts w:hint="eastAsia" w:ascii="仿宋" w:hAnsi="仿宋" w:eastAsia="仿宋" w:cs="仿宋"/>
          <w:b/>
          <w:bCs w:val="0"/>
          <w:color w:val="auto"/>
          <w:sz w:val="24"/>
          <w:szCs w:val="24"/>
          <w:highlight w:val="none"/>
        </w:rPr>
      </w:pPr>
      <w:bookmarkStart w:id="15" w:name="_Toc15208"/>
      <w:r>
        <w:rPr>
          <w:rFonts w:hint="eastAsia" w:ascii="仿宋" w:hAnsi="仿宋" w:eastAsia="仿宋" w:cs="仿宋"/>
          <w:b/>
          <w:bCs w:val="0"/>
          <w:color w:val="auto"/>
          <w:sz w:val="24"/>
          <w:szCs w:val="24"/>
          <w:highlight w:val="none"/>
        </w:rPr>
        <w:t>二、《示范文本》的性质和适用范围</w:t>
      </w:r>
      <w:bookmarkEnd w:id="15"/>
    </w:p>
    <w:p w14:paraId="5136DC6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sectPr>
          <w:footerReference r:id="rId13" w:type="first"/>
          <w:footerReference r:id="rId12" w:type="default"/>
          <w:pgSz w:w="11906" w:h="16838"/>
          <w:pgMar w:top="1440" w:right="1463" w:bottom="1440" w:left="1463" w:header="851" w:footer="992"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color w:val="auto"/>
          <w:sz w:val="24"/>
          <w:szCs w:val="24"/>
          <w:highlight w:val="none"/>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bookmarkEnd w:id="9"/>
    <w:bookmarkEnd w:id="10"/>
    <w:p w14:paraId="5E8686C4">
      <w:pPr>
        <w:pStyle w:val="4"/>
        <w:pageBreakBefore w:val="0"/>
        <w:kinsoku/>
        <w:overflowPunct/>
        <w:topLinePunct w:val="0"/>
        <w:bidi w:val="0"/>
        <w:spacing w:line="440" w:lineRule="exact"/>
        <w:jc w:val="center"/>
        <w:outlineLvl w:val="1"/>
        <w:rPr>
          <w:rFonts w:hint="eastAsia" w:ascii="仿宋" w:hAnsi="仿宋" w:eastAsia="仿宋" w:cs="仿宋"/>
          <w:b w:val="0"/>
          <w:color w:val="auto"/>
          <w:sz w:val="24"/>
          <w:szCs w:val="24"/>
        </w:rPr>
      </w:pPr>
      <w:bookmarkStart w:id="16" w:name="_Toc4960"/>
      <w:bookmarkStart w:id="17" w:name="_Toc12788"/>
      <w:bookmarkStart w:id="18" w:name="_Toc7537"/>
      <w:r>
        <w:rPr>
          <w:rFonts w:hint="eastAsia" w:ascii="仿宋" w:hAnsi="仿宋" w:eastAsia="仿宋" w:cs="仿宋"/>
          <w:color w:val="auto"/>
          <w:sz w:val="24"/>
          <w:szCs w:val="24"/>
        </w:rPr>
        <w:t>第一部分 合同协议书</w:t>
      </w:r>
      <w:bookmarkEnd w:id="16"/>
      <w:bookmarkEnd w:id="17"/>
      <w:bookmarkEnd w:id="18"/>
    </w:p>
    <w:p w14:paraId="135B2E3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发包人（全称）：</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 xml:space="preserve">       </w:t>
      </w:r>
    </w:p>
    <w:p w14:paraId="6B87355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承包人（全称）：</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 xml:space="preserve">        </w:t>
      </w:r>
    </w:p>
    <w:p w14:paraId="63EAA0B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根据《中华人民共和国合同法》、《中华人民共和国建筑法》及有关法律规定，遵循平等、自愿、公平和诚实信用的原则，双方就</w:t>
      </w:r>
      <w:r>
        <w:rPr>
          <w:rFonts w:hint="eastAsia" w:ascii="仿宋" w:hAnsi="仿宋" w:eastAsia="仿宋" w:cs="仿宋"/>
          <w:strike w:val="0"/>
          <w:dstrike w:val="0"/>
          <w:color w:val="auto"/>
          <w:sz w:val="24"/>
          <w:szCs w:val="24"/>
          <w:u w:val="single"/>
        </w:rPr>
        <w:t xml:space="preserve"> </w:t>
      </w:r>
      <w:r>
        <w:rPr>
          <w:rFonts w:hint="eastAsia" w:ascii="仿宋" w:hAnsi="仿宋" w:eastAsia="仿宋" w:cs="仿宋"/>
          <w:strike w:val="0"/>
          <w:dstrike w:val="0"/>
          <w:color w:val="auto"/>
          <w:sz w:val="24"/>
          <w:szCs w:val="24"/>
          <w:u w:val="single"/>
          <w:lang w:val="en-US" w:eastAsia="zh-CN"/>
        </w:rPr>
        <w:t xml:space="preserve">           </w:t>
      </w:r>
      <w:r>
        <w:rPr>
          <w:rFonts w:hint="eastAsia" w:ascii="仿宋" w:hAnsi="仿宋" w:eastAsia="仿宋" w:cs="仿宋"/>
          <w:strike w:val="0"/>
          <w:dstrike w:val="0"/>
          <w:color w:val="auto"/>
          <w:sz w:val="24"/>
          <w:szCs w:val="24"/>
          <w:u w:val="single"/>
        </w:rPr>
        <w:t xml:space="preserve"> </w:t>
      </w:r>
      <w:r>
        <w:rPr>
          <w:rFonts w:hint="eastAsia" w:ascii="仿宋" w:hAnsi="仿宋" w:eastAsia="仿宋" w:cs="仿宋"/>
          <w:color w:val="auto"/>
          <w:sz w:val="24"/>
          <w:szCs w:val="24"/>
        </w:rPr>
        <w:t>工程施工及有关事项协商一致，共同达成如下协议：</w:t>
      </w:r>
    </w:p>
    <w:p w14:paraId="72D2ADA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bookmarkStart w:id="19" w:name="_Toc23342"/>
      <w:bookmarkStart w:id="20" w:name="_Toc1203"/>
      <w:bookmarkStart w:id="21" w:name="_Toc30639"/>
      <w:r>
        <w:rPr>
          <w:rFonts w:hint="eastAsia" w:ascii="仿宋" w:hAnsi="仿宋" w:eastAsia="仿宋" w:cs="仿宋"/>
          <w:color w:val="auto"/>
          <w:sz w:val="24"/>
          <w:szCs w:val="24"/>
        </w:rPr>
        <w:t>一、工程概况</w:t>
      </w:r>
      <w:bookmarkEnd w:id="19"/>
      <w:bookmarkEnd w:id="20"/>
      <w:bookmarkEnd w:id="21"/>
    </w:p>
    <w:p w14:paraId="6CEFF6B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1.工程名称：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4B36F3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2.工程地点：</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3647CEE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3.工程立项批准文号：</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789E6B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4.资金来源：</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w:t>
      </w:r>
    </w:p>
    <w:p w14:paraId="66BAF35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5.工程内容：</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4BD835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群体工程应附《承包人承揽工程项目一览表》（附件1）。</w:t>
      </w:r>
    </w:p>
    <w:p w14:paraId="1455BF1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6.工程承包范围：</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6E084B2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bookmarkStart w:id="22" w:name="_Toc17544"/>
      <w:bookmarkStart w:id="23" w:name="_Toc25264"/>
      <w:bookmarkStart w:id="24" w:name="_Toc24345"/>
      <w:r>
        <w:rPr>
          <w:rFonts w:hint="eastAsia" w:ascii="仿宋" w:hAnsi="仿宋" w:eastAsia="仿宋" w:cs="仿宋"/>
          <w:color w:val="auto"/>
          <w:sz w:val="24"/>
          <w:szCs w:val="24"/>
        </w:rPr>
        <w:t>二、合同工期</w:t>
      </w:r>
      <w:bookmarkEnd w:id="22"/>
      <w:bookmarkEnd w:id="23"/>
      <w:bookmarkEnd w:id="24"/>
    </w:p>
    <w:p w14:paraId="3619A1B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计划开工日期：</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日。</w:t>
      </w:r>
    </w:p>
    <w:p w14:paraId="34621D4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计划竣工日期：</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日。</w:t>
      </w:r>
    </w:p>
    <w:p w14:paraId="76FF599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工期总日历天数：</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天。工期总日历天数与根据前述计划开竣工日期计算的工期天数不一致的，以工期总日历天数为准。</w:t>
      </w:r>
    </w:p>
    <w:p w14:paraId="46A43997">
      <w:pPr>
        <w:pStyle w:val="5"/>
        <w:pageBreakBefore w:val="0"/>
        <w:kinsoku/>
        <w:overflowPunct/>
        <w:topLinePunct w:val="0"/>
        <w:bidi w:val="0"/>
        <w:spacing w:before="120" w:after="120" w:line="440" w:lineRule="exact"/>
        <w:ind w:firstLine="480" w:firstLineChars="200"/>
        <w:outlineLvl w:val="2"/>
        <w:rPr>
          <w:rFonts w:hint="eastAsia" w:ascii="仿宋" w:hAnsi="仿宋" w:eastAsia="仿宋" w:cs="仿宋"/>
          <w:b w:val="0"/>
          <w:color w:val="auto"/>
          <w:sz w:val="24"/>
          <w:szCs w:val="24"/>
        </w:rPr>
      </w:pPr>
      <w:bookmarkStart w:id="25" w:name="_Toc15513"/>
      <w:bookmarkStart w:id="26" w:name="_Toc9165"/>
      <w:bookmarkStart w:id="27" w:name="_Toc21472"/>
      <w:r>
        <w:rPr>
          <w:rFonts w:hint="eastAsia" w:ascii="仿宋" w:hAnsi="仿宋" w:eastAsia="仿宋" w:cs="仿宋"/>
          <w:b w:val="0"/>
          <w:color w:val="auto"/>
          <w:sz w:val="24"/>
          <w:szCs w:val="24"/>
        </w:rPr>
        <w:t>三、质量标准</w:t>
      </w:r>
      <w:bookmarkEnd w:id="25"/>
      <w:bookmarkEnd w:id="26"/>
      <w:bookmarkEnd w:id="27"/>
    </w:p>
    <w:p w14:paraId="2672D0D9">
      <w:pPr>
        <w:pageBreakBefore w:val="0"/>
        <w:kinsoku/>
        <w:overflowPunct/>
        <w:topLinePunct w:val="0"/>
        <w:bidi w:val="0"/>
        <w:spacing w:line="440" w:lineRule="exact"/>
        <w:ind w:firstLine="459"/>
        <w:rPr>
          <w:rFonts w:hint="eastAsia" w:ascii="仿宋" w:hAnsi="仿宋" w:eastAsia="仿宋" w:cs="仿宋"/>
          <w:color w:val="auto"/>
          <w:sz w:val="24"/>
          <w:szCs w:val="24"/>
        </w:rPr>
      </w:pPr>
      <w:r>
        <w:rPr>
          <w:rFonts w:hint="eastAsia" w:ascii="仿宋" w:hAnsi="仿宋" w:eastAsia="仿宋" w:cs="仿宋"/>
          <w:color w:val="auto"/>
          <w:sz w:val="24"/>
          <w:szCs w:val="24"/>
        </w:rPr>
        <w:t>工程质量符合</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标准。</w:t>
      </w:r>
    </w:p>
    <w:p w14:paraId="29388E95">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bookmarkStart w:id="28" w:name="_Toc6517"/>
      <w:bookmarkStart w:id="29" w:name="_Toc29089"/>
      <w:bookmarkStart w:id="30" w:name="_Toc351203484"/>
      <w:r>
        <w:rPr>
          <w:rFonts w:hint="eastAsia" w:ascii="仿宋" w:hAnsi="仿宋" w:eastAsia="仿宋" w:cs="仿宋"/>
          <w:b w:val="0"/>
          <w:color w:val="auto"/>
          <w:sz w:val="24"/>
          <w:szCs w:val="24"/>
        </w:rPr>
        <w:t>四、签约合同价与合同价格形式</w:t>
      </w:r>
      <w:bookmarkEnd w:id="28"/>
      <w:bookmarkEnd w:id="29"/>
      <w:bookmarkEnd w:id="30"/>
      <w:r>
        <w:rPr>
          <w:rFonts w:hint="eastAsia" w:ascii="仿宋" w:hAnsi="仿宋" w:eastAsia="仿宋" w:cs="仿宋"/>
          <w:b w:val="0"/>
          <w:color w:val="auto"/>
          <w:sz w:val="24"/>
          <w:szCs w:val="24"/>
        </w:rPr>
        <w:tab/>
      </w:r>
    </w:p>
    <w:p w14:paraId="4C10530A">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1.签约合同价为：</w:t>
      </w:r>
    </w:p>
    <w:p w14:paraId="396F9CAF">
      <w:pPr>
        <w:pageBreakBefore w:val="0"/>
        <w:kinsoku/>
        <w:overflowPunct/>
        <w:topLinePunct w:val="0"/>
        <w:bidi w:val="0"/>
        <w:spacing w:line="440" w:lineRule="exact"/>
        <w:ind w:firstLine="600" w:firstLineChars="250"/>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26FF7AB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其中：</w:t>
      </w:r>
    </w:p>
    <w:p w14:paraId="2F31BBE6">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（1）安全文明施工费：</w:t>
      </w:r>
    </w:p>
    <w:p w14:paraId="6F06F409">
      <w:pPr>
        <w:pageBreakBefore w:val="0"/>
        <w:kinsoku/>
        <w:overflowPunct/>
        <w:topLinePunct w:val="0"/>
        <w:bidi w:val="0"/>
        <w:spacing w:line="440" w:lineRule="exact"/>
        <w:ind w:firstLine="1080" w:firstLineChars="450"/>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5E08CB9E">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（2）材料和工程设备暂估价金额：</w:t>
      </w:r>
    </w:p>
    <w:p w14:paraId="42F653C5">
      <w:pPr>
        <w:pageBreakBefore w:val="0"/>
        <w:kinsoku/>
        <w:overflowPunct/>
        <w:topLinePunct w:val="0"/>
        <w:bidi w:val="0"/>
        <w:spacing w:line="440" w:lineRule="exact"/>
        <w:ind w:firstLine="1080" w:firstLineChars="450"/>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38C0109C">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（3）专业工程暂估价金额：</w:t>
      </w:r>
    </w:p>
    <w:p w14:paraId="477B4FDE">
      <w:pPr>
        <w:pageBreakBefore w:val="0"/>
        <w:kinsoku/>
        <w:overflowPunct/>
        <w:topLinePunct w:val="0"/>
        <w:bidi w:val="0"/>
        <w:spacing w:line="440" w:lineRule="exact"/>
        <w:ind w:firstLine="1080" w:firstLineChars="450"/>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276336F5">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（4）暂列金额：</w:t>
      </w:r>
    </w:p>
    <w:p w14:paraId="77ED2F90">
      <w:pPr>
        <w:pageBreakBefore w:val="0"/>
        <w:kinsoku/>
        <w:overflowPunct/>
        <w:topLinePunct w:val="0"/>
        <w:bidi w:val="0"/>
        <w:spacing w:line="440" w:lineRule="exact"/>
        <w:ind w:firstLine="1080" w:firstLineChars="450"/>
        <w:rPr>
          <w:rFonts w:hint="eastAsia" w:ascii="仿宋" w:hAnsi="仿宋" w:eastAsia="仿宋" w:cs="仿宋"/>
          <w:color w:val="auto"/>
          <w:sz w:val="24"/>
          <w:szCs w:val="24"/>
        </w:rPr>
      </w:pPr>
      <w:r>
        <w:rPr>
          <w:rFonts w:hint="eastAsia" w:ascii="仿宋" w:hAnsi="仿宋" w:eastAsia="仿宋" w:cs="仿宋"/>
          <w:color w:val="auto"/>
          <w:sz w:val="24"/>
          <w:szCs w:val="24"/>
        </w:rPr>
        <w:t>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17ECF4E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2.合同价格形式：</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40CBE3E0">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r>
        <w:rPr>
          <w:rFonts w:hint="eastAsia" w:ascii="仿宋" w:hAnsi="仿宋" w:eastAsia="仿宋" w:cs="仿宋"/>
          <w:bCs w:val="0"/>
          <w:color w:val="auto"/>
          <w:sz w:val="24"/>
          <w:szCs w:val="24"/>
        </w:rPr>
        <w:t xml:space="preserve">   </w:t>
      </w:r>
      <w:bookmarkStart w:id="31" w:name="_Toc351203485"/>
      <w:bookmarkStart w:id="32" w:name="_Toc1945"/>
      <w:bookmarkStart w:id="33" w:name="_Toc28544"/>
      <w:r>
        <w:rPr>
          <w:rFonts w:hint="eastAsia" w:ascii="仿宋" w:hAnsi="仿宋" w:eastAsia="仿宋" w:cs="仿宋"/>
          <w:b w:val="0"/>
          <w:color w:val="auto"/>
          <w:sz w:val="24"/>
          <w:szCs w:val="24"/>
        </w:rPr>
        <w:t>五、</w:t>
      </w:r>
      <w:bookmarkEnd w:id="31"/>
      <w:r>
        <w:rPr>
          <w:rFonts w:hint="eastAsia" w:ascii="仿宋" w:hAnsi="仿宋" w:eastAsia="仿宋" w:cs="仿宋"/>
          <w:b w:val="0"/>
          <w:color w:val="auto"/>
          <w:sz w:val="24"/>
          <w:szCs w:val="24"/>
        </w:rPr>
        <w:t>项目经理</w:t>
      </w:r>
      <w:bookmarkEnd w:id="32"/>
      <w:bookmarkEnd w:id="33"/>
    </w:p>
    <w:p w14:paraId="7CD7E12B">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承包人项目经理：</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05472E3E">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bookmarkStart w:id="34" w:name="_Toc351203486"/>
      <w:bookmarkStart w:id="35" w:name="_Toc4873"/>
      <w:bookmarkStart w:id="36" w:name="_Toc26911"/>
      <w:r>
        <w:rPr>
          <w:rFonts w:hint="eastAsia" w:ascii="仿宋" w:hAnsi="仿宋" w:eastAsia="仿宋" w:cs="仿宋"/>
          <w:b w:val="0"/>
          <w:color w:val="auto"/>
          <w:sz w:val="24"/>
          <w:szCs w:val="24"/>
        </w:rPr>
        <w:t>六、合同文件构成</w:t>
      </w:r>
      <w:bookmarkEnd w:id="34"/>
      <w:bookmarkEnd w:id="35"/>
      <w:bookmarkEnd w:id="36"/>
    </w:p>
    <w:p w14:paraId="19607A6A">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本协议书与下列文件一起构成合同文件：</w:t>
      </w:r>
    </w:p>
    <w:p w14:paraId="1CB0F74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（1）中标通知书（如果有）；</w:t>
      </w:r>
    </w:p>
    <w:p w14:paraId="1283DB8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（2）投标函及其附录（如果有）； </w:t>
      </w:r>
    </w:p>
    <w:p w14:paraId="02FF436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（3）专用合同条款及其附件；</w:t>
      </w:r>
    </w:p>
    <w:p w14:paraId="0E0BE06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（4）通用合同条款；</w:t>
      </w:r>
    </w:p>
    <w:p w14:paraId="3366A1D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（5）技术标准和要求；</w:t>
      </w:r>
    </w:p>
    <w:p w14:paraId="2D16C6D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（6）图纸；</w:t>
      </w:r>
    </w:p>
    <w:p w14:paraId="4174743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（7）已标价工程量清单或预算书；</w:t>
      </w:r>
    </w:p>
    <w:p w14:paraId="631F926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（8）其他合同文件。</w:t>
      </w:r>
    </w:p>
    <w:p w14:paraId="41B4874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在合同订立及履行过程中形成的与合同有关的文件均构成合同文件组成部分。</w:t>
      </w:r>
    </w:p>
    <w:p w14:paraId="02737AB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上述各项合同文件包括合同当事人就该项合同文件所作出的补充和修改，属于同一类内容的文件，应以最新签署的为准。专用合同条款及其附件须经合同当事人签字或盖章。</w:t>
      </w:r>
    </w:p>
    <w:p w14:paraId="1EA70520">
      <w:pPr>
        <w:pStyle w:val="5"/>
        <w:pageBreakBefore w:val="0"/>
        <w:kinsoku/>
        <w:overflowPunct/>
        <w:topLinePunct w:val="0"/>
        <w:bidi w:val="0"/>
        <w:spacing w:before="120" w:after="120" w:line="440" w:lineRule="exact"/>
        <w:outlineLvl w:val="2"/>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 xml:space="preserve">  </w:t>
      </w:r>
      <w:r>
        <w:rPr>
          <w:rFonts w:hint="eastAsia" w:ascii="仿宋" w:hAnsi="仿宋" w:eastAsia="仿宋" w:cs="仿宋"/>
          <w:b w:val="0"/>
          <w:color w:val="auto"/>
          <w:sz w:val="24"/>
          <w:szCs w:val="24"/>
        </w:rPr>
        <w:t xml:space="preserve"> </w:t>
      </w:r>
      <w:bookmarkStart w:id="37" w:name="_Toc351203487"/>
      <w:bookmarkStart w:id="38" w:name="_Toc32401"/>
      <w:bookmarkStart w:id="39" w:name="_Toc30144"/>
      <w:r>
        <w:rPr>
          <w:rFonts w:hint="eastAsia" w:ascii="仿宋" w:hAnsi="仿宋" w:eastAsia="仿宋" w:cs="仿宋"/>
          <w:b w:val="0"/>
          <w:color w:val="auto"/>
          <w:sz w:val="24"/>
          <w:szCs w:val="24"/>
        </w:rPr>
        <w:t>七、承诺</w:t>
      </w:r>
      <w:bookmarkEnd w:id="37"/>
      <w:bookmarkEnd w:id="38"/>
      <w:bookmarkEnd w:id="39"/>
    </w:p>
    <w:p w14:paraId="0D63533B">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1.发包人承诺按照法律规定履行项目审批手续、筹集工程建设资金并按照合同约定的期限和方式支付合同价款。</w:t>
      </w:r>
    </w:p>
    <w:p w14:paraId="6B6E5A2C">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2.承包人承诺按照法律规定及合同约定组织完成工程施工，确保工程质量和安全，不进行转包及违法分包，并在缺陷责任期及保修期内承担相应的工程维修责任。</w:t>
      </w:r>
    </w:p>
    <w:p w14:paraId="5A042EAC">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3.发包人和承包人通过招投标形式签订合同的，双方理解并承诺不再就同一工程另行签订与合同实质性内容相背离的协议。</w:t>
      </w:r>
    </w:p>
    <w:p w14:paraId="741DAAB5">
      <w:pPr>
        <w:pageBreakBefore w:val="0"/>
        <w:kinsoku/>
        <w:overflowPunct/>
        <w:topLinePunct w:val="0"/>
        <w:bidi w:val="0"/>
        <w:spacing w:line="440" w:lineRule="exact"/>
        <w:outlineLvl w:val="2"/>
        <w:rPr>
          <w:rFonts w:hint="eastAsia" w:ascii="仿宋" w:hAnsi="仿宋" w:eastAsia="仿宋" w:cs="仿宋"/>
          <w:bCs/>
          <w:color w:val="auto"/>
          <w:sz w:val="24"/>
          <w:szCs w:val="24"/>
        </w:rPr>
      </w:pPr>
      <w:bookmarkStart w:id="40" w:name="_Toc351203488"/>
      <w:r>
        <w:rPr>
          <w:rFonts w:hint="eastAsia" w:ascii="仿宋" w:hAnsi="仿宋" w:eastAsia="仿宋" w:cs="仿宋"/>
          <w:b/>
          <w:color w:val="auto"/>
          <w:sz w:val="24"/>
          <w:szCs w:val="24"/>
        </w:rPr>
        <w:t xml:space="preserve">   </w:t>
      </w:r>
      <w:bookmarkStart w:id="41" w:name="_Toc9248"/>
      <w:bookmarkStart w:id="42" w:name="_Toc10704"/>
      <w:r>
        <w:rPr>
          <w:rFonts w:hint="eastAsia" w:ascii="仿宋" w:hAnsi="仿宋" w:eastAsia="仿宋" w:cs="仿宋"/>
          <w:b/>
          <w:color w:val="auto"/>
          <w:sz w:val="24"/>
          <w:szCs w:val="24"/>
        </w:rPr>
        <w:t>八、词语含义</w:t>
      </w:r>
      <w:bookmarkEnd w:id="40"/>
      <w:bookmarkEnd w:id="41"/>
      <w:bookmarkEnd w:id="42"/>
    </w:p>
    <w:p w14:paraId="07B7C25D">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本协议书中词语含义与第二部分通用合同条款中赋予的含义相同。</w:t>
      </w:r>
    </w:p>
    <w:p w14:paraId="3E57894C">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r>
        <w:rPr>
          <w:rFonts w:hint="eastAsia" w:ascii="仿宋" w:hAnsi="仿宋" w:eastAsia="仿宋" w:cs="仿宋"/>
          <w:b w:val="0"/>
          <w:color w:val="auto"/>
          <w:sz w:val="24"/>
          <w:szCs w:val="24"/>
        </w:rPr>
        <w:t xml:space="preserve"> </w:t>
      </w:r>
      <w:bookmarkStart w:id="43" w:name="_Toc1520"/>
      <w:bookmarkStart w:id="44" w:name="_Toc27766"/>
      <w:bookmarkStart w:id="45" w:name="_Toc351203489"/>
      <w:r>
        <w:rPr>
          <w:rFonts w:hint="eastAsia" w:ascii="仿宋" w:hAnsi="仿宋" w:eastAsia="仿宋" w:cs="仿宋"/>
          <w:b w:val="0"/>
          <w:color w:val="auto"/>
          <w:sz w:val="24"/>
          <w:szCs w:val="24"/>
        </w:rPr>
        <w:t>九、签订时间</w:t>
      </w:r>
      <w:bookmarkEnd w:id="43"/>
      <w:bookmarkEnd w:id="44"/>
      <w:bookmarkEnd w:id="45"/>
    </w:p>
    <w:p w14:paraId="6C19AC9F">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本合同于</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日签订。</w:t>
      </w:r>
    </w:p>
    <w:p w14:paraId="1AD540C0">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bookmarkStart w:id="46" w:name="_Toc2103"/>
      <w:bookmarkStart w:id="47" w:name="_Toc499"/>
      <w:bookmarkStart w:id="48" w:name="_Toc351203490"/>
      <w:r>
        <w:rPr>
          <w:rFonts w:hint="eastAsia" w:ascii="仿宋" w:hAnsi="仿宋" w:eastAsia="仿宋" w:cs="仿宋"/>
          <w:b w:val="0"/>
          <w:color w:val="auto"/>
          <w:sz w:val="24"/>
          <w:szCs w:val="24"/>
        </w:rPr>
        <w:t>十、签订地点</w:t>
      </w:r>
      <w:bookmarkEnd w:id="46"/>
      <w:bookmarkEnd w:id="47"/>
      <w:bookmarkEnd w:id="48"/>
    </w:p>
    <w:p w14:paraId="40F1BBE8">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本合同在</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签订。</w:t>
      </w:r>
    </w:p>
    <w:p w14:paraId="3D3C7376">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bookmarkStart w:id="49" w:name="_Toc351203491"/>
      <w:bookmarkStart w:id="50" w:name="_Toc31585"/>
      <w:bookmarkStart w:id="51" w:name="_Toc27822"/>
      <w:r>
        <w:rPr>
          <w:rFonts w:hint="eastAsia" w:ascii="仿宋" w:hAnsi="仿宋" w:eastAsia="仿宋" w:cs="仿宋"/>
          <w:b w:val="0"/>
          <w:color w:val="auto"/>
          <w:sz w:val="24"/>
          <w:szCs w:val="24"/>
        </w:rPr>
        <w:t>十一、补充协议</w:t>
      </w:r>
      <w:bookmarkEnd w:id="49"/>
      <w:bookmarkEnd w:id="50"/>
      <w:bookmarkEnd w:id="51"/>
    </w:p>
    <w:p w14:paraId="3866038C">
      <w:pPr>
        <w:pageBreakBefore w:val="0"/>
        <w:kinsoku/>
        <w:overflowPunct/>
        <w:topLinePunct w:val="0"/>
        <w:bidi w:val="0"/>
        <w:spacing w:line="440" w:lineRule="exact"/>
        <w:ind w:firstLine="480" w:firstLineChars="200"/>
        <w:rPr>
          <w:rFonts w:hint="eastAsia" w:ascii="仿宋" w:hAnsi="仿宋" w:eastAsia="仿宋" w:cs="仿宋"/>
          <w:b/>
          <w:bCs/>
          <w:color w:val="auto"/>
          <w:sz w:val="24"/>
          <w:szCs w:val="24"/>
        </w:rPr>
      </w:pPr>
      <w:r>
        <w:rPr>
          <w:rFonts w:hint="eastAsia" w:ascii="仿宋" w:hAnsi="仿宋" w:eastAsia="仿宋" w:cs="仿宋"/>
          <w:bCs/>
          <w:color w:val="auto"/>
          <w:sz w:val="24"/>
          <w:szCs w:val="24"/>
        </w:rPr>
        <w:t>合同未尽事宜，合同当事人另行签订补充协议，补充协议是合同的组成部分。</w:t>
      </w:r>
    </w:p>
    <w:p w14:paraId="50987C7B">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bookmarkStart w:id="52" w:name="_Toc351203492"/>
      <w:bookmarkStart w:id="53" w:name="_Toc10972"/>
      <w:bookmarkStart w:id="54" w:name="_Toc5646"/>
      <w:r>
        <w:rPr>
          <w:rFonts w:hint="eastAsia" w:ascii="仿宋" w:hAnsi="仿宋" w:eastAsia="仿宋" w:cs="仿宋"/>
          <w:b w:val="0"/>
          <w:color w:val="auto"/>
          <w:sz w:val="24"/>
          <w:szCs w:val="24"/>
        </w:rPr>
        <w:t>十二、合同生效</w:t>
      </w:r>
      <w:bookmarkEnd w:id="52"/>
      <w:bookmarkEnd w:id="53"/>
      <w:bookmarkEnd w:id="54"/>
    </w:p>
    <w:p w14:paraId="0F541182">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本合同自</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生效。</w:t>
      </w:r>
    </w:p>
    <w:p w14:paraId="4D3ABE6D">
      <w:pPr>
        <w:pStyle w:val="5"/>
        <w:pageBreakBefore w:val="0"/>
        <w:kinsoku/>
        <w:overflowPunct/>
        <w:topLinePunct w:val="0"/>
        <w:bidi w:val="0"/>
        <w:spacing w:before="120" w:after="120" w:line="440" w:lineRule="exact"/>
        <w:outlineLvl w:val="2"/>
        <w:rPr>
          <w:rFonts w:hint="eastAsia" w:ascii="仿宋" w:hAnsi="仿宋" w:eastAsia="仿宋" w:cs="仿宋"/>
          <w:bCs w:val="0"/>
          <w:color w:val="auto"/>
          <w:sz w:val="24"/>
          <w:szCs w:val="24"/>
        </w:rPr>
      </w:pPr>
      <w:r>
        <w:rPr>
          <w:rFonts w:hint="eastAsia" w:ascii="仿宋" w:hAnsi="仿宋" w:eastAsia="仿宋" w:cs="仿宋"/>
          <w:bCs w:val="0"/>
          <w:color w:val="auto"/>
          <w:sz w:val="24"/>
          <w:szCs w:val="24"/>
        </w:rPr>
        <w:t xml:space="preserve">   </w:t>
      </w:r>
      <w:bookmarkStart w:id="55" w:name="_Toc2961"/>
      <w:bookmarkStart w:id="56" w:name="_Toc11467"/>
      <w:bookmarkStart w:id="57" w:name="_Toc351203493"/>
      <w:r>
        <w:rPr>
          <w:rFonts w:hint="eastAsia" w:ascii="仿宋" w:hAnsi="仿宋" w:eastAsia="仿宋" w:cs="仿宋"/>
          <w:b w:val="0"/>
          <w:color w:val="auto"/>
          <w:sz w:val="24"/>
          <w:szCs w:val="24"/>
        </w:rPr>
        <w:t>十三、合同份数</w:t>
      </w:r>
      <w:bookmarkEnd w:id="55"/>
      <w:bookmarkEnd w:id="56"/>
      <w:bookmarkEnd w:id="57"/>
    </w:p>
    <w:p w14:paraId="0B0DE305">
      <w:pPr>
        <w:pageBreakBefore w:val="0"/>
        <w:kinsoku/>
        <w:overflowPunct/>
        <w:topLinePunct w:val="0"/>
        <w:bidi w:val="0"/>
        <w:spacing w:line="44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本合同一式</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份，均具有同等法律效力，发包人执</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份，承包人执</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份。</w:t>
      </w:r>
    </w:p>
    <w:p w14:paraId="7CCF8AAF">
      <w:pPr>
        <w:pageBreakBefore w:val="0"/>
        <w:kinsoku/>
        <w:overflowPunct/>
        <w:topLinePunct w:val="0"/>
        <w:bidi w:val="0"/>
        <w:spacing w:line="440" w:lineRule="exact"/>
        <w:rPr>
          <w:rFonts w:hint="eastAsia" w:ascii="仿宋" w:hAnsi="仿宋" w:eastAsia="仿宋" w:cs="仿宋"/>
          <w:color w:val="auto"/>
          <w:sz w:val="24"/>
          <w:szCs w:val="24"/>
        </w:rPr>
      </w:pPr>
    </w:p>
    <w:p w14:paraId="71FFE5CE">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发包人：  (公章)             承包人：  (公章)</w:t>
      </w:r>
    </w:p>
    <w:p w14:paraId="34FB0578">
      <w:pPr>
        <w:pageBreakBefore w:val="0"/>
        <w:kinsoku/>
        <w:overflowPunct/>
        <w:topLinePunct w:val="0"/>
        <w:bidi w:val="0"/>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15659BA9">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法定代表人或其委托代理人：  法定代表人或其委托代理人：</w:t>
      </w:r>
    </w:p>
    <w:p w14:paraId="13ECBFB2">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（签字）                    （签字）</w:t>
      </w:r>
    </w:p>
    <w:p w14:paraId="6385A8EE">
      <w:pPr>
        <w:pageBreakBefore w:val="0"/>
        <w:kinsoku/>
        <w:overflowPunct/>
        <w:topLinePunct w:val="0"/>
        <w:bidi w:val="0"/>
        <w:spacing w:line="440" w:lineRule="exact"/>
        <w:rPr>
          <w:rFonts w:hint="eastAsia" w:ascii="仿宋" w:hAnsi="仿宋" w:eastAsia="仿宋" w:cs="仿宋"/>
          <w:color w:val="auto"/>
          <w:sz w:val="24"/>
          <w:szCs w:val="24"/>
          <w:u w:val="single"/>
        </w:rPr>
      </w:pPr>
    </w:p>
    <w:p w14:paraId="69F7FFAE">
      <w:pPr>
        <w:pageBreakBefore w:val="0"/>
        <w:tabs>
          <w:tab w:val="left" w:pos="4410"/>
        </w:tabs>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组织机构代码：</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组织机构代码：</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w:t>
      </w:r>
    </w:p>
    <w:p w14:paraId="65542F50">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地  址：</w:t>
      </w:r>
      <w:r>
        <w:rPr>
          <w:rFonts w:hint="eastAsia" w:ascii="仿宋" w:hAnsi="仿宋" w:eastAsia="仿宋" w:cs="仿宋"/>
          <w:color w:val="auto"/>
          <w:sz w:val="24"/>
          <w:szCs w:val="24"/>
          <w:u w:val="single"/>
        </w:rPr>
        <w:t xml:space="preserve">        </w:t>
      </w:r>
    </w:p>
    <w:p w14:paraId="38727DD4">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邮政编码：</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 xml:space="preserve">  邮政编码：</w:t>
      </w:r>
      <w:r>
        <w:rPr>
          <w:rFonts w:hint="eastAsia" w:ascii="仿宋" w:hAnsi="仿宋" w:eastAsia="仿宋" w:cs="仿宋"/>
          <w:color w:val="auto"/>
          <w:sz w:val="24"/>
          <w:szCs w:val="24"/>
          <w:u w:val="single"/>
        </w:rPr>
        <w:t xml:space="preserve">   </w:t>
      </w:r>
    </w:p>
    <w:p w14:paraId="6EF5441C">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法定代表人：</w:t>
      </w:r>
      <w:r>
        <w:rPr>
          <w:rFonts w:hint="eastAsia" w:ascii="仿宋" w:hAnsi="仿宋" w:eastAsia="仿宋" w:cs="仿宋"/>
          <w:color w:val="auto"/>
          <w:sz w:val="24"/>
          <w:szCs w:val="24"/>
          <w:u w:val="single"/>
        </w:rPr>
        <w:t xml:space="preserve">             </w:t>
      </w:r>
    </w:p>
    <w:p w14:paraId="7B65CF99">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委托代理人：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委托代理人：</w:t>
      </w:r>
      <w:r>
        <w:rPr>
          <w:rFonts w:hint="eastAsia" w:ascii="仿宋" w:hAnsi="仿宋" w:eastAsia="仿宋" w:cs="仿宋"/>
          <w:color w:val="auto"/>
          <w:sz w:val="24"/>
          <w:szCs w:val="24"/>
          <w:u w:val="single"/>
        </w:rPr>
        <w:t xml:space="preserve">             </w:t>
      </w:r>
    </w:p>
    <w:p w14:paraId="3B91BF18">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电  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电  话：</w:t>
      </w:r>
      <w:r>
        <w:rPr>
          <w:rFonts w:hint="eastAsia" w:ascii="仿宋" w:hAnsi="仿宋" w:eastAsia="仿宋" w:cs="仿宋"/>
          <w:color w:val="auto"/>
          <w:sz w:val="24"/>
          <w:szCs w:val="24"/>
          <w:u w:val="single"/>
        </w:rPr>
        <w:t xml:space="preserve">     </w:t>
      </w:r>
    </w:p>
    <w:p w14:paraId="466B8FE3">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传  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传  真：</w:t>
      </w:r>
      <w:r>
        <w:rPr>
          <w:rFonts w:hint="eastAsia" w:ascii="仿宋" w:hAnsi="仿宋" w:eastAsia="仿宋" w:cs="仿宋"/>
          <w:color w:val="auto"/>
          <w:sz w:val="24"/>
          <w:szCs w:val="24"/>
          <w:u w:val="single"/>
        </w:rPr>
        <w:t xml:space="preserve">     </w:t>
      </w:r>
    </w:p>
    <w:p w14:paraId="4BEC41E4">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电子信箱：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电子信箱：</w:t>
      </w:r>
      <w:r>
        <w:rPr>
          <w:rFonts w:hint="eastAsia" w:ascii="仿宋" w:hAnsi="仿宋" w:eastAsia="仿宋" w:cs="仿宋"/>
          <w:color w:val="auto"/>
          <w:sz w:val="24"/>
          <w:szCs w:val="24"/>
          <w:u w:val="single"/>
        </w:rPr>
        <w:t xml:space="preserve">   </w:t>
      </w:r>
    </w:p>
    <w:p w14:paraId="30005CFA">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开户银行：</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开户银行：</w:t>
      </w:r>
      <w:r>
        <w:rPr>
          <w:rFonts w:hint="eastAsia" w:ascii="仿宋" w:hAnsi="仿宋" w:eastAsia="仿宋" w:cs="仿宋"/>
          <w:color w:val="auto"/>
          <w:sz w:val="24"/>
          <w:szCs w:val="24"/>
          <w:u w:val="single"/>
        </w:rPr>
        <w:t xml:space="preserve">   </w:t>
      </w:r>
    </w:p>
    <w:p w14:paraId="069C55C2">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账  号：</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账  号：</w:t>
      </w:r>
      <w:r>
        <w:rPr>
          <w:rFonts w:hint="eastAsia" w:ascii="仿宋" w:hAnsi="仿宋" w:eastAsia="仿宋" w:cs="仿宋"/>
          <w:color w:val="auto"/>
          <w:sz w:val="24"/>
          <w:szCs w:val="24"/>
          <w:u w:val="single"/>
        </w:rPr>
        <w:t xml:space="preserve">     </w:t>
      </w:r>
    </w:p>
    <w:p w14:paraId="3BCE8332">
      <w:pPr>
        <w:pStyle w:val="4"/>
        <w:pageBreakBefore w:val="0"/>
        <w:kinsoku/>
        <w:overflowPunct/>
        <w:topLinePunct w:val="0"/>
        <w:bidi w:val="0"/>
        <w:spacing w:line="440" w:lineRule="exact"/>
        <w:jc w:val="center"/>
        <w:outlineLvl w:val="1"/>
        <w:rPr>
          <w:rFonts w:hint="eastAsia" w:ascii="仿宋" w:hAnsi="仿宋" w:eastAsia="仿宋" w:cs="仿宋"/>
          <w:color w:val="auto"/>
          <w:sz w:val="24"/>
          <w:szCs w:val="24"/>
        </w:rPr>
      </w:pPr>
      <w:r>
        <w:rPr>
          <w:rFonts w:hint="eastAsia" w:ascii="仿宋" w:hAnsi="仿宋" w:eastAsia="仿宋" w:cs="仿宋"/>
          <w:color w:val="auto"/>
          <w:sz w:val="24"/>
          <w:szCs w:val="24"/>
        </w:rPr>
        <w:br w:type="page"/>
      </w:r>
      <w:bookmarkStart w:id="58" w:name="_Toc18466"/>
      <w:bookmarkStart w:id="59" w:name="_Toc2765"/>
      <w:bookmarkStart w:id="60" w:name="_Toc351203494"/>
      <w:bookmarkStart w:id="61" w:name="_Toc13394"/>
      <w:r>
        <w:rPr>
          <w:rFonts w:hint="eastAsia" w:ascii="仿宋" w:hAnsi="仿宋" w:eastAsia="仿宋" w:cs="仿宋"/>
          <w:color w:val="auto"/>
          <w:sz w:val="24"/>
          <w:szCs w:val="24"/>
        </w:rPr>
        <w:t>第二部分 通用合同条款</w:t>
      </w:r>
      <w:bookmarkEnd w:id="58"/>
      <w:bookmarkEnd w:id="59"/>
      <w:bookmarkEnd w:id="60"/>
      <w:bookmarkEnd w:id="61"/>
      <w:bookmarkStart w:id="62" w:name="_Toc337558727"/>
    </w:p>
    <w:p w14:paraId="10B84269">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63" w:name="_Toc17312"/>
      <w:bookmarkStart w:id="64" w:name="_Toc18058"/>
      <w:bookmarkStart w:id="65" w:name="_Toc351203495"/>
      <w:r>
        <w:rPr>
          <w:rFonts w:hint="eastAsia" w:ascii="仿宋" w:hAnsi="仿宋" w:eastAsia="仿宋" w:cs="仿宋"/>
          <w:b w:val="0"/>
          <w:color w:val="auto"/>
          <w:sz w:val="24"/>
          <w:szCs w:val="24"/>
        </w:rPr>
        <w:t>1.</w:t>
      </w:r>
      <w:bookmarkStart w:id="66" w:name="_Toc303538972"/>
      <w:bookmarkEnd w:id="66"/>
      <w:bookmarkStart w:id="67" w:name="_Toc303538975"/>
      <w:bookmarkEnd w:id="67"/>
      <w:bookmarkStart w:id="68" w:name="_Toc303538974"/>
      <w:bookmarkEnd w:id="68"/>
      <w:bookmarkStart w:id="69" w:name="_Toc303538976"/>
      <w:bookmarkEnd w:id="69"/>
      <w:bookmarkStart w:id="70" w:name="_Toc303538973"/>
      <w:bookmarkEnd w:id="70"/>
      <w:bookmarkStart w:id="71" w:name="_Toc296503027"/>
      <w:bookmarkStart w:id="72" w:name="_Toc296346528"/>
      <w:r>
        <w:rPr>
          <w:rFonts w:hint="eastAsia" w:ascii="仿宋" w:hAnsi="仿宋" w:eastAsia="仿宋" w:cs="仿宋"/>
          <w:b w:val="0"/>
          <w:color w:val="auto"/>
          <w:sz w:val="24"/>
          <w:szCs w:val="24"/>
        </w:rPr>
        <w:t xml:space="preserve"> 一般约定</w:t>
      </w:r>
      <w:bookmarkEnd w:id="62"/>
      <w:bookmarkEnd w:id="63"/>
      <w:bookmarkEnd w:id="64"/>
      <w:bookmarkEnd w:id="65"/>
      <w:bookmarkEnd w:id="71"/>
      <w:bookmarkEnd w:id="72"/>
    </w:p>
    <w:p w14:paraId="6D025DE3">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73" w:name="_Toc337558728"/>
      <w:bookmarkStart w:id="74" w:name="_Toc296503028"/>
      <w:bookmarkStart w:id="75" w:name="_Toc296346529"/>
      <w:bookmarkStart w:id="76" w:name="_Toc20087"/>
      <w:bookmarkStart w:id="77" w:name="_Toc18615"/>
      <w:bookmarkStart w:id="78" w:name="_Toc351203496"/>
      <w:r>
        <w:rPr>
          <w:rFonts w:hint="eastAsia" w:ascii="仿宋" w:hAnsi="仿宋" w:eastAsia="仿宋" w:cs="仿宋"/>
          <w:b w:val="0"/>
          <w:color w:val="auto"/>
          <w:sz w:val="24"/>
          <w:szCs w:val="24"/>
        </w:rPr>
        <w:t>1.1词语定义</w:t>
      </w:r>
      <w:bookmarkEnd w:id="73"/>
      <w:bookmarkEnd w:id="74"/>
      <w:bookmarkEnd w:id="75"/>
      <w:r>
        <w:rPr>
          <w:rFonts w:hint="eastAsia" w:ascii="仿宋" w:hAnsi="仿宋" w:eastAsia="仿宋" w:cs="仿宋"/>
          <w:b w:val="0"/>
          <w:color w:val="auto"/>
          <w:sz w:val="24"/>
          <w:szCs w:val="24"/>
        </w:rPr>
        <w:t>与解释</w:t>
      </w:r>
      <w:bookmarkEnd w:id="76"/>
      <w:bookmarkEnd w:id="77"/>
      <w:bookmarkEnd w:id="78"/>
    </w:p>
    <w:p w14:paraId="5DEA890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合同协议书、通用合同条款、专用合同条款中的下列词语具有本款所赋予的含义：</w:t>
      </w:r>
    </w:p>
    <w:p w14:paraId="46AD825B">
      <w:pPr>
        <w:pageBreakBefore w:val="0"/>
        <w:kinsoku/>
        <w:overflowPunct/>
        <w:topLinePunct w:val="0"/>
        <w:autoSpaceDE w:val="0"/>
        <w:autoSpaceDN w:val="0"/>
        <w:bidi w:val="0"/>
        <w:adjustRightInd w:val="0"/>
        <w:spacing w:line="44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1.1.1 合同</w:t>
      </w:r>
    </w:p>
    <w:p w14:paraId="714FFD9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1.1.1.1 合同：是指根据法律规定和合同当事人约定具有约束力的文件，构成合同的文件包括合同协议书、中标通知书（如果有）、投标函及其附录（如果有）、专用合同条款</w:t>
      </w:r>
      <w:r>
        <w:rPr>
          <w:rFonts w:hint="eastAsia" w:ascii="仿宋" w:hAnsi="仿宋" w:eastAsia="仿宋" w:cs="仿宋"/>
          <w:color w:val="auto"/>
          <w:sz w:val="24"/>
          <w:szCs w:val="24"/>
        </w:rPr>
        <w:t>及其附件</w:t>
      </w:r>
      <w:r>
        <w:rPr>
          <w:rFonts w:hint="eastAsia" w:ascii="仿宋" w:hAnsi="仿宋" w:eastAsia="仿宋" w:cs="仿宋"/>
          <w:color w:val="auto"/>
          <w:kern w:val="0"/>
          <w:sz w:val="24"/>
          <w:szCs w:val="24"/>
        </w:rPr>
        <w:t>、通用合同条款、技术标准和要求、图纸、已标价工程量清单或预算书以及其他合同文件。</w:t>
      </w:r>
    </w:p>
    <w:p w14:paraId="3C623D6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1.1.1.2 合同协议书：是指构成合同的由发包人和承包人共同签署的称为“合同协议书”的书面文件。</w:t>
      </w:r>
    </w:p>
    <w:p w14:paraId="63DB9C9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1.1.1.3 中标通知书：是指构成合同的由发包人通知承包人中标的书面文件。</w:t>
      </w:r>
    </w:p>
    <w:p w14:paraId="37BDBF7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1.1.1.4 投标函：是指构成合同的由承包人填写并签署的用于投标的称为“投标函”的文件。</w:t>
      </w:r>
    </w:p>
    <w:p w14:paraId="369FAE6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1.1.1.5 投标函附录：是指构成合同的附在投标函后的称为“投标函附录”的文件。</w:t>
      </w:r>
    </w:p>
    <w:p w14:paraId="47BF0A6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1.1.1.6 技术标准和要求：是指构成合同的施工应当遵守的或指导施工的国家、行业或地方的技术标准和要求，以及合同约定的技术标准和要求。</w:t>
      </w:r>
    </w:p>
    <w:p w14:paraId="33E4875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1.1.1.7 图纸：是指构成合同的图纸，包括由发包人按照合同约定提供或经发包人批准的设计文件、施工图、鸟瞰图及模型等，以及在合同履行过程中形成的图纸文件。图纸应当按照法律规定审查合格。</w:t>
      </w:r>
    </w:p>
    <w:p w14:paraId="229E56B6">
      <w:pPr>
        <w:pageBreakBefore w:val="0"/>
        <w:kinsoku/>
        <w:overflowPunct/>
        <w:topLinePunct w:val="0"/>
        <w:autoSpaceDE w:val="0"/>
        <w:autoSpaceDN w:val="0"/>
        <w:bidi w:val="0"/>
        <w:adjustRightInd w:val="0"/>
        <w:spacing w:line="440" w:lineRule="exact"/>
        <w:ind w:firstLine="468" w:firstLineChars="195"/>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1.1.1.8 已标价工程量清单：是指构成合同的由承包人按照规定的格式和要求填写并标明价格的工程量清单，包括说明和表格。</w:t>
      </w:r>
    </w:p>
    <w:p w14:paraId="65C86811">
      <w:pPr>
        <w:pageBreakBefore w:val="0"/>
        <w:kinsoku/>
        <w:overflowPunct/>
        <w:topLinePunct w:val="0"/>
        <w:autoSpaceDE w:val="0"/>
        <w:autoSpaceDN w:val="0"/>
        <w:bidi w:val="0"/>
        <w:adjustRightInd w:val="0"/>
        <w:spacing w:line="440" w:lineRule="exact"/>
        <w:ind w:firstLine="468" w:firstLineChars="195"/>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1.1.1.9 预算书：是指构成合同的由承包人按照发包人规定的格式和要求编制的工程预算文件。</w:t>
      </w:r>
    </w:p>
    <w:p w14:paraId="3CBCCD0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1.1.1.10 其他合同文件：是指经合同当事人约定的与工程施工有关的具有合同约束力的文件或书面协议。合同当事人可以在专用合同条款中进行约定。</w:t>
      </w:r>
    </w:p>
    <w:p w14:paraId="67EB7BC9">
      <w:pPr>
        <w:pageBreakBefore w:val="0"/>
        <w:kinsoku/>
        <w:overflowPunct/>
        <w:topLinePunct w:val="0"/>
        <w:autoSpaceDE w:val="0"/>
        <w:autoSpaceDN w:val="0"/>
        <w:bidi w:val="0"/>
        <w:adjustRightInd w:val="0"/>
        <w:spacing w:line="44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1.1.2 合同当事人及其他相关方</w:t>
      </w:r>
    </w:p>
    <w:p w14:paraId="290B421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1.1.2.1 合同当事人：是指发包人和（或）承包人。</w:t>
      </w:r>
    </w:p>
    <w:p w14:paraId="648B0F7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1.1.2.2 发包人：是指与承包人签订合同协议书的当事人及取得该当事人资格的合法继承人。</w:t>
      </w:r>
    </w:p>
    <w:p w14:paraId="6F34FC7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1.1.2.3 承包人：是指与发包人签订合同协议书的，具有相应工程施工承包资质的当事人及取得该当事人资格的合法继承人。</w:t>
      </w:r>
    </w:p>
    <w:p w14:paraId="4EF437F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1.1.2.4 监理人：是指在专用合同条款中指明的，受发包人委托按照法律规定进行工程监督管理的法人或其他组织。</w:t>
      </w:r>
    </w:p>
    <w:p w14:paraId="65C0641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1.1.2.5 设计人：是指在专用合同条款中指明的，受发包人委托负责工程设计并具备相应工程设计资质的法人或其他组织。</w:t>
      </w:r>
    </w:p>
    <w:p w14:paraId="7EA1DC3F">
      <w:pPr>
        <w:pageBreakBefore w:val="0"/>
        <w:kinsoku/>
        <w:overflowPunct/>
        <w:topLinePunct w:val="0"/>
        <w:bidi w:val="0"/>
        <w:spacing w:line="440" w:lineRule="exact"/>
        <w:ind w:firstLine="468" w:firstLineChars="195"/>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1.1.2.6 分包人：</w:t>
      </w:r>
      <w:bookmarkStart w:id="79" w:name="#go5"/>
      <w:bookmarkEnd w:id="79"/>
      <w:r>
        <w:rPr>
          <w:rFonts w:hint="eastAsia" w:ascii="仿宋" w:hAnsi="仿宋" w:eastAsia="仿宋" w:cs="仿宋"/>
          <w:color w:val="auto"/>
          <w:kern w:val="0"/>
          <w:sz w:val="24"/>
          <w:szCs w:val="24"/>
        </w:rPr>
        <w:t>是指按照法律规定和合同约定，分包部分工程或工作，并与承包人签订分包合同的具有相应资质的法人。</w:t>
      </w:r>
    </w:p>
    <w:p w14:paraId="1A28C88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1.1.2.7 发包人代表：是指由发包人任命并派驻施工现场在发包人授权范围内行使发包人权利的人。</w:t>
      </w:r>
    </w:p>
    <w:p w14:paraId="43ACA72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1.1.2.8 项目经理：是指由承包人任命并派驻施工现场，在承包人授权范围内负责合同履行，且按照法律规定具有相应资格的项目负责人。</w:t>
      </w:r>
    </w:p>
    <w:p w14:paraId="573346C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1.1.2.9 总监理工程师：是指由监理人任命并派驻施工现场进行工程监理的总负责人。</w:t>
      </w:r>
    </w:p>
    <w:p w14:paraId="7CF25D9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 工程和设备</w:t>
      </w:r>
    </w:p>
    <w:p w14:paraId="5C92900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1.1.3.1 工程：是指与合同协议书中工程承包范围对应的永久工程和（或）临时工程。</w:t>
      </w:r>
    </w:p>
    <w:p w14:paraId="22FEF3F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1.1.3.2 永久工程：是指按合同约定建造并移交给发包人的工程，包括工程设备。</w:t>
      </w:r>
    </w:p>
    <w:p w14:paraId="28156C2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1.1.3.3 临时工程：是指为完成合同约定的永久工程所修建的各类临时性工程，不包括施工设备。</w:t>
      </w:r>
    </w:p>
    <w:p w14:paraId="18B9F06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1.1.3.4 单位工程：是指在合同协议书中指明的，具备独立施工条件并能形成独立使用功能的永久工程。</w:t>
      </w:r>
    </w:p>
    <w:p w14:paraId="19694EF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1.1.3.5 工程设备：是指构成永久工程的机电设备、金属结构设备、仪器及其他类似的设备和装置。</w:t>
      </w:r>
    </w:p>
    <w:p w14:paraId="12B5D2B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1.1.3.6 施工设备：是指为完成合同约定的各项工作所需的设备、器具和其他物品，但不包括工程设备、临时工程和材料。</w:t>
      </w:r>
    </w:p>
    <w:p w14:paraId="749754B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1.1.3.7 施工现场：是指用于工程施工的场所，以及在专用合同条款中指明作为施工场所组成部分的其他场所，包括永久占地和临时占地。</w:t>
      </w:r>
    </w:p>
    <w:p w14:paraId="107105E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1.1.3.8临时设施：是指为完成合同约定的各项工作所服务的临时性生产和生活设施。</w:t>
      </w:r>
    </w:p>
    <w:p w14:paraId="055624D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1.1.3.9 永久占地：是指专用合同条款中指明为实施工程需永久占用的土地。</w:t>
      </w:r>
    </w:p>
    <w:p w14:paraId="33F83F2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1.1.3.10 临时占地：是指专用合同条款中指明为实施工程需要临时占用的土地。</w:t>
      </w:r>
    </w:p>
    <w:p w14:paraId="0F7D4BB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1.1.4 日期和期限</w:t>
      </w:r>
    </w:p>
    <w:p w14:paraId="5F4D305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1.1.4.1 开工日期：包括计划开工日期和实际开工日期。计划开工日期是指合同协议书约定的开工日期；实际开工日期是指监理人按照第7.3.2项〔开工通知〕约定发出的符合法律规定的开工通知中载明的开工日期。</w:t>
      </w:r>
    </w:p>
    <w:p w14:paraId="06FF571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1.1.4.2 竣工日期：包括计划竣工日期和实际竣工日期。计划竣工日期是指合同协议书约定的竣工日期；实际竣工日期按照第13.2.3项〔竣工日期〕的约定确定。 </w:t>
      </w:r>
    </w:p>
    <w:p w14:paraId="04EA9708">
      <w:pPr>
        <w:pageBreakBefore w:val="0"/>
        <w:kinsoku/>
        <w:overflowPunct/>
        <w:topLinePunct w:val="0"/>
        <w:bidi w:val="0"/>
        <w:spacing w:line="440" w:lineRule="exact"/>
        <w:ind w:firstLine="487" w:firstLineChars="203"/>
        <w:rPr>
          <w:rFonts w:hint="eastAsia" w:ascii="仿宋" w:hAnsi="仿宋" w:eastAsia="仿宋" w:cs="仿宋"/>
          <w:color w:val="auto"/>
          <w:sz w:val="24"/>
          <w:szCs w:val="24"/>
        </w:rPr>
      </w:pPr>
      <w:r>
        <w:rPr>
          <w:rFonts w:hint="eastAsia" w:ascii="仿宋" w:hAnsi="仿宋" w:eastAsia="仿宋" w:cs="仿宋"/>
          <w:color w:val="auto"/>
          <w:kern w:val="0"/>
          <w:sz w:val="24"/>
          <w:szCs w:val="24"/>
        </w:rPr>
        <w:t>1.1.4.3 工期：是指在合同协议书约定的承包人完成工程所需的期限，包括按照合同约定所作的期限变更。</w:t>
      </w:r>
    </w:p>
    <w:p w14:paraId="239721B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1.1.4.4 缺陷责任期：是指承包人按照合同约定承担缺陷修复义务，且发包人预留质量保证金</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已缴纳履约保证金的除外</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的期限，自工程实际竣工日期起计算。</w:t>
      </w:r>
    </w:p>
    <w:p w14:paraId="0DBE997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1.1.4.5 保修期：是指承包人按照合同约定对工程承担保修责任的期限，从工程竣工验收合格之日起计算。</w:t>
      </w:r>
    </w:p>
    <w:p w14:paraId="3516625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1.1.4.6 基准日期：招标发包的工程以投标截止日前28天的日期为基准日期，直接发包的工程以合同签订日前28天的日期为基准日期。</w:t>
      </w:r>
    </w:p>
    <w:p w14:paraId="6E1B1C8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1.1.4.7 天：除特别指明外，均指日历天。合同中按天计算时间的，开始当天不计入，从次日开始计算，期限最后一天的截止时间为当天24:00时。</w:t>
      </w:r>
    </w:p>
    <w:p w14:paraId="7D9C37B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 合同价格和费用</w:t>
      </w:r>
    </w:p>
    <w:p w14:paraId="6A9DB674">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1.1.5.1 签约合同价：是指</w:t>
      </w:r>
      <w:r>
        <w:rPr>
          <w:rFonts w:hint="eastAsia" w:ascii="仿宋" w:hAnsi="仿宋" w:eastAsia="仿宋" w:cs="仿宋"/>
          <w:color w:val="auto"/>
          <w:sz w:val="24"/>
          <w:szCs w:val="24"/>
        </w:rPr>
        <w:t>发包人和承包人在合同协议书中确定的总金额，包括安全文明施工费、暂估价及暂列金额等。</w:t>
      </w:r>
    </w:p>
    <w:p w14:paraId="680B569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1.1.5.2 合同价格：是指发包人用于支付承包人按照合同约定完成承包范围内全部工作的金额，包括合同履行过程中按合同约定发生的价格变化。</w:t>
      </w:r>
    </w:p>
    <w:p w14:paraId="2CBA348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1.1.5.3 费用：是指为履行合同所发生的或将要发生的所有必需的开支，包括管理费和应分摊的其他费用，但不包括利润。</w:t>
      </w:r>
    </w:p>
    <w:p w14:paraId="170A80B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1.1.5.4 暂估价：是指发包人在工程量清单或预算书中提供的用于支付必然发生但暂时不能确定价格的材料、工程设备的单价、专业工程以及服务工作的金额。</w:t>
      </w:r>
    </w:p>
    <w:p w14:paraId="007AEA8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0E0723C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1.1.5.6 计日工：是指合同履行过程中，承包人完成发包人提出的零星工作或需要采用计日工计价的变更工作时，按合同中约定的单价计价的一种方式。</w:t>
      </w:r>
    </w:p>
    <w:p w14:paraId="145CA152">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1.1.5.7 质量保证金</w:t>
      </w:r>
      <w:bookmarkStart w:id="80" w:name="#go2"/>
      <w:bookmarkEnd w:id="80"/>
      <w:r>
        <w:rPr>
          <w:rFonts w:hint="eastAsia" w:ascii="仿宋" w:hAnsi="仿宋" w:eastAsia="仿宋" w:cs="仿宋"/>
          <w:color w:val="auto"/>
          <w:kern w:val="0"/>
          <w:sz w:val="24"/>
          <w:szCs w:val="24"/>
        </w:rPr>
        <w:t>：是指按照第15.3款〔质量保证金〕约定承包人用于保证其在缺陷责任期内履行缺陷修补义务的担保</w:t>
      </w:r>
      <w:r>
        <w:rPr>
          <w:rFonts w:hint="eastAsia" w:ascii="仿宋" w:hAnsi="仿宋" w:eastAsia="仿宋" w:cs="仿宋"/>
          <w:color w:val="auto"/>
          <w:sz w:val="24"/>
          <w:szCs w:val="24"/>
        </w:rPr>
        <w:t>。</w:t>
      </w:r>
    </w:p>
    <w:p w14:paraId="22CBB0D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1.1.5.8 总价项目：是指在现行国家、行业以及地方的计量规则中无工程量计算规则，在已标价工程量清单或预算书中以总价或以费率形式计算的项目。</w:t>
      </w:r>
    </w:p>
    <w:p w14:paraId="303CCE3B">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1.1.6 其他</w:t>
      </w:r>
    </w:p>
    <w:p w14:paraId="1B065D1D">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1.1.6.1 书面形式：是指合同文件、信函、电报、传真等可以有形地表现所载内容的形式。</w:t>
      </w:r>
    </w:p>
    <w:p w14:paraId="7D33ACFB">
      <w:pPr>
        <w:pStyle w:val="6"/>
        <w:pageBreakBefore w:val="0"/>
        <w:numPr>
          <w:ilvl w:val="0"/>
          <w:numId w:val="0"/>
        </w:numPr>
        <w:kinsoku/>
        <w:overflowPunct/>
        <w:topLinePunct w:val="0"/>
        <w:bidi w:val="0"/>
        <w:spacing w:before="120" w:after="120" w:line="440" w:lineRule="exact"/>
        <w:ind w:firstLine="480" w:firstLineChars="200"/>
        <w:outlineLvl w:val="3"/>
        <w:rPr>
          <w:rFonts w:hint="eastAsia" w:ascii="仿宋" w:hAnsi="仿宋" w:eastAsia="仿宋" w:cs="仿宋"/>
          <w:b w:val="0"/>
          <w:color w:val="auto"/>
          <w:sz w:val="24"/>
          <w:szCs w:val="24"/>
        </w:rPr>
      </w:pPr>
      <w:bookmarkStart w:id="81" w:name="_Toc4087"/>
      <w:bookmarkStart w:id="82" w:name="_Toc296503029"/>
      <w:bookmarkStart w:id="83" w:name="_Toc29026"/>
      <w:bookmarkStart w:id="84" w:name="_Toc337558729"/>
      <w:bookmarkStart w:id="85" w:name="_Toc351203497"/>
      <w:bookmarkStart w:id="86" w:name="_Toc296346530"/>
      <w:r>
        <w:rPr>
          <w:rFonts w:hint="eastAsia" w:ascii="仿宋" w:hAnsi="仿宋" w:eastAsia="仿宋" w:cs="仿宋"/>
          <w:b w:val="0"/>
          <w:color w:val="auto"/>
          <w:sz w:val="24"/>
          <w:szCs w:val="24"/>
        </w:rPr>
        <w:t>1.2语言文字</w:t>
      </w:r>
      <w:bookmarkEnd w:id="81"/>
      <w:bookmarkEnd w:id="82"/>
      <w:bookmarkEnd w:id="83"/>
      <w:bookmarkEnd w:id="84"/>
      <w:bookmarkEnd w:id="85"/>
      <w:bookmarkEnd w:id="86"/>
    </w:p>
    <w:p w14:paraId="2FC9510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合同以中国的汉语简体文字编写、解释和说明。合同当事人在专用合同条款中约定使用两种以上语言时，汉语为优先解释和说明合同的语言。</w:t>
      </w:r>
    </w:p>
    <w:p w14:paraId="1D29398C">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87" w:name="_Toc24463"/>
      <w:bookmarkStart w:id="88" w:name="_Toc351203498"/>
      <w:bookmarkStart w:id="89" w:name="_Toc296346531"/>
      <w:bookmarkStart w:id="90" w:name="_Toc7355"/>
      <w:bookmarkStart w:id="91" w:name="_Toc337558730"/>
      <w:bookmarkStart w:id="92" w:name="_Toc296503030"/>
      <w:r>
        <w:rPr>
          <w:rFonts w:hint="eastAsia" w:ascii="仿宋" w:hAnsi="仿宋" w:eastAsia="仿宋" w:cs="仿宋"/>
          <w:b w:val="0"/>
          <w:color w:val="auto"/>
          <w:sz w:val="24"/>
          <w:szCs w:val="24"/>
        </w:rPr>
        <w:t>1.3法律</w:t>
      </w:r>
      <w:bookmarkEnd w:id="87"/>
      <w:bookmarkEnd w:id="88"/>
      <w:bookmarkEnd w:id="89"/>
      <w:bookmarkEnd w:id="90"/>
      <w:bookmarkEnd w:id="91"/>
      <w:bookmarkEnd w:id="92"/>
    </w:p>
    <w:p w14:paraId="26BD8A2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合同所称法律是指中华人民共和国法律、行政法规、部门规章，以及工程所在地的地方性法规、自治条例、单行条例和地方政府规章等。</w:t>
      </w:r>
    </w:p>
    <w:p w14:paraId="51CE155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合同当事人可以在专用合同条款中约定合同适用的其他规范性文件。</w:t>
      </w:r>
    </w:p>
    <w:p w14:paraId="1C91460D">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93" w:name="_Toc351203499"/>
      <w:bookmarkStart w:id="94" w:name="_Toc783"/>
      <w:bookmarkStart w:id="95" w:name="_Toc5289"/>
      <w:r>
        <w:rPr>
          <w:rFonts w:hint="eastAsia" w:ascii="仿宋" w:hAnsi="仿宋" w:eastAsia="仿宋" w:cs="仿宋"/>
          <w:b w:val="0"/>
          <w:color w:val="auto"/>
          <w:sz w:val="24"/>
          <w:szCs w:val="24"/>
        </w:rPr>
        <w:t>1.4 标准和规范</w:t>
      </w:r>
      <w:bookmarkEnd w:id="93"/>
      <w:bookmarkEnd w:id="94"/>
      <w:bookmarkEnd w:id="95"/>
    </w:p>
    <w:p w14:paraId="58B2A19A">
      <w:pPr>
        <w:pageBreakBefore w:val="0"/>
        <w:kinsoku/>
        <w:overflowPunct/>
        <w:topLinePunct w:val="0"/>
        <w:autoSpaceDE w:val="0"/>
        <w:autoSpaceDN w:val="0"/>
        <w:bidi w:val="0"/>
        <w:adjustRightInd w:val="0"/>
        <w:spacing w:line="440" w:lineRule="exact"/>
        <w:ind w:firstLine="64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1.4.1 适用于工程的国家标准、行业标准、工程所在地的地方性标准，以及相应的规范、规程等，合同当事人有特别要求的，应在专用合同条款中约定。</w:t>
      </w:r>
    </w:p>
    <w:p w14:paraId="35804BFB">
      <w:pPr>
        <w:pageBreakBefore w:val="0"/>
        <w:kinsoku/>
        <w:overflowPunct/>
        <w:topLinePunct w:val="0"/>
        <w:autoSpaceDE w:val="0"/>
        <w:autoSpaceDN w:val="0"/>
        <w:bidi w:val="0"/>
        <w:adjustRightInd w:val="0"/>
        <w:spacing w:line="440" w:lineRule="exact"/>
        <w:ind w:firstLine="64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1.4.2 发包人要求使用国外标准、规范的，发包人负责提供原文版本和中文译本，并在专用合同条款中约定提供标准规范的名称、份数和时间。</w:t>
      </w:r>
    </w:p>
    <w:p w14:paraId="2CC34A5D">
      <w:pPr>
        <w:pageBreakBefore w:val="0"/>
        <w:kinsoku/>
        <w:overflowPunct/>
        <w:topLinePunct w:val="0"/>
        <w:autoSpaceDE w:val="0"/>
        <w:autoSpaceDN w:val="0"/>
        <w:bidi w:val="0"/>
        <w:adjustRightInd w:val="0"/>
        <w:spacing w:line="440" w:lineRule="exact"/>
        <w:ind w:firstLine="64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7A0BFD87">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96" w:name="_Toc351203500"/>
      <w:bookmarkStart w:id="97" w:name="_Toc19882"/>
      <w:bookmarkStart w:id="98" w:name="_Toc10537"/>
      <w:r>
        <w:rPr>
          <w:rFonts w:hint="eastAsia" w:ascii="仿宋" w:hAnsi="仿宋" w:eastAsia="仿宋" w:cs="仿宋"/>
          <w:b w:val="0"/>
          <w:color w:val="auto"/>
          <w:sz w:val="24"/>
          <w:szCs w:val="24"/>
        </w:rPr>
        <w:t>1</w:t>
      </w:r>
      <w:bookmarkStart w:id="99" w:name="_Toc337558731"/>
      <w:bookmarkStart w:id="100" w:name="_Toc296346532"/>
      <w:bookmarkStart w:id="101" w:name="_Toc296503031"/>
      <w:r>
        <w:rPr>
          <w:rFonts w:hint="eastAsia" w:ascii="仿宋" w:hAnsi="仿宋" w:eastAsia="仿宋" w:cs="仿宋"/>
          <w:b w:val="0"/>
          <w:color w:val="auto"/>
          <w:sz w:val="24"/>
          <w:szCs w:val="24"/>
        </w:rPr>
        <w:t>.5 合同文件的优先顺序</w:t>
      </w:r>
      <w:bookmarkEnd w:id="96"/>
      <w:bookmarkEnd w:id="97"/>
      <w:bookmarkEnd w:id="98"/>
    </w:p>
    <w:bookmarkEnd w:id="99"/>
    <w:bookmarkEnd w:id="100"/>
    <w:bookmarkEnd w:id="101"/>
    <w:p w14:paraId="3D96D7F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组成合同的各项文件应互相解释，互为说明。除专用合同条款另有约定外，解释合同文件的优先顺序如下：</w:t>
      </w:r>
    </w:p>
    <w:p w14:paraId="2558CBB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（1）合同协议书；</w:t>
      </w:r>
    </w:p>
    <w:p w14:paraId="656AA76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（2）中标通知书（如果有）；</w:t>
      </w:r>
    </w:p>
    <w:p w14:paraId="074A362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（3）投标函及其附录（如果有）；</w:t>
      </w:r>
    </w:p>
    <w:p w14:paraId="4EE0560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（4）专用合同条款</w:t>
      </w:r>
      <w:r>
        <w:rPr>
          <w:rFonts w:hint="eastAsia" w:ascii="仿宋" w:hAnsi="仿宋" w:eastAsia="仿宋" w:cs="仿宋"/>
          <w:color w:val="auto"/>
          <w:sz w:val="24"/>
          <w:szCs w:val="24"/>
        </w:rPr>
        <w:t>及其附件</w:t>
      </w:r>
      <w:r>
        <w:rPr>
          <w:rFonts w:hint="eastAsia" w:ascii="仿宋" w:hAnsi="仿宋" w:eastAsia="仿宋" w:cs="仿宋"/>
          <w:color w:val="auto"/>
          <w:kern w:val="0"/>
          <w:sz w:val="24"/>
          <w:szCs w:val="24"/>
        </w:rPr>
        <w:t>；</w:t>
      </w:r>
    </w:p>
    <w:p w14:paraId="6AE5C69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（5）通用合同条款；</w:t>
      </w:r>
    </w:p>
    <w:p w14:paraId="31304A3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（6）技术标准和要求；</w:t>
      </w:r>
    </w:p>
    <w:p w14:paraId="0CCE2AF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（7）图纸；</w:t>
      </w:r>
    </w:p>
    <w:p w14:paraId="013F5CD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（8）已标价工程量清单或预算书；</w:t>
      </w:r>
    </w:p>
    <w:p w14:paraId="0805024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（9）其他合同文件。</w:t>
      </w:r>
    </w:p>
    <w:p w14:paraId="1AAFA6AF">
      <w:pPr>
        <w:pageBreakBefore w:val="0"/>
        <w:kinsoku/>
        <w:overflowPunct/>
        <w:topLinePunct w:val="0"/>
        <w:bidi w:val="0"/>
        <w:spacing w:line="440" w:lineRule="exact"/>
        <w:ind w:firstLine="511" w:firstLineChars="213"/>
        <w:rPr>
          <w:rFonts w:hint="eastAsia" w:ascii="仿宋" w:hAnsi="仿宋" w:eastAsia="仿宋" w:cs="仿宋"/>
          <w:color w:val="auto"/>
          <w:sz w:val="24"/>
          <w:szCs w:val="24"/>
        </w:rPr>
      </w:pPr>
      <w:r>
        <w:rPr>
          <w:rFonts w:hint="eastAsia" w:ascii="仿宋" w:hAnsi="仿宋" w:eastAsia="仿宋" w:cs="仿宋"/>
          <w:color w:val="auto"/>
          <w:sz w:val="24"/>
          <w:szCs w:val="24"/>
        </w:rPr>
        <w:t>上述各项合同文件包括合同当事人就该项合同文件所作出的补充和修改，属于同一类内容的文件，应以最新签署的为准。</w:t>
      </w:r>
    </w:p>
    <w:p w14:paraId="61FEDCBE">
      <w:pPr>
        <w:pageBreakBefore w:val="0"/>
        <w:kinsoku/>
        <w:overflowPunct/>
        <w:topLinePunct w:val="0"/>
        <w:bidi w:val="0"/>
        <w:spacing w:line="440" w:lineRule="exact"/>
        <w:ind w:firstLine="511" w:firstLineChars="213"/>
        <w:rPr>
          <w:rFonts w:hint="eastAsia" w:ascii="仿宋" w:hAnsi="仿宋" w:eastAsia="仿宋" w:cs="仿宋"/>
          <w:color w:val="auto"/>
          <w:sz w:val="24"/>
          <w:szCs w:val="24"/>
        </w:rPr>
      </w:pPr>
      <w:r>
        <w:rPr>
          <w:rFonts w:hint="eastAsia" w:ascii="仿宋" w:hAnsi="仿宋" w:eastAsia="仿宋" w:cs="仿宋"/>
          <w:color w:val="auto"/>
          <w:sz w:val="24"/>
          <w:szCs w:val="24"/>
        </w:rPr>
        <w:t>在合同订立及履行过程中形成的与合同有关的文件均构成合同文件组成部分，并根据其性质确定优先解释顺序。</w:t>
      </w:r>
    </w:p>
    <w:p w14:paraId="0600BDA0">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02" w:name="_Toc351203501"/>
      <w:bookmarkStart w:id="103" w:name="_Toc12785"/>
      <w:bookmarkStart w:id="104" w:name="_Toc4357"/>
      <w:r>
        <w:rPr>
          <w:rFonts w:hint="eastAsia" w:ascii="仿宋" w:hAnsi="仿宋" w:eastAsia="仿宋" w:cs="仿宋"/>
          <w:b w:val="0"/>
          <w:color w:val="auto"/>
          <w:sz w:val="24"/>
          <w:szCs w:val="24"/>
        </w:rPr>
        <w:t>1</w:t>
      </w:r>
      <w:bookmarkStart w:id="105" w:name="_Toc337558732"/>
      <w:bookmarkStart w:id="106" w:name="_Toc296346533"/>
      <w:bookmarkStart w:id="107" w:name="_Toc296503032"/>
      <w:r>
        <w:rPr>
          <w:rFonts w:hint="eastAsia" w:ascii="仿宋" w:hAnsi="仿宋" w:eastAsia="仿宋" w:cs="仿宋"/>
          <w:b w:val="0"/>
          <w:color w:val="auto"/>
          <w:sz w:val="24"/>
          <w:szCs w:val="24"/>
        </w:rPr>
        <w:t>.6图纸和承包人文件</w:t>
      </w:r>
      <w:bookmarkEnd w:id="102"/>
      <w:bookmarkEnd w:id="103"/>
      <w:bookmarkEnd w:id="104"/>
    </w:p>
    <w:bookmarkEnd w:id="105"/>
    <w:bookmarkEnd w:id="106"/>
    <w:bookmarkEnd w:id="107"/>
    <w:p w14:paraId="4E0B8F5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1.6.1 图纸的提供和交底</w:t>
      </w:r>
    </w:p>
    <w:p w14:paraId="63B9C75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14:paraId="3E0D976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因发包人未按合同约定提供图纸导致承包人费用增加和（或）工期延误的，按照第7.5.1项〔因发包人原因导致工期延误〕约定办理。</w:t>
      </w:r>
    </w:p>
    <w:p w14:paraId="315CC74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 图纸的错误</w:t>
      </w:r>
    </w:p>
    <w:p w14:paraId="7628198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7C90EE2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1.6.3 图纸的修改和补充</w:t>
      </w:r>
    </w:p>
    <w:p w14:paraId="10F07BA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图纸需要修改和补充的，应经图纸原设计人及审批部门同意，并由监理人在工程或工程相应部位施工前将修改后的图纸或补充图纸提交给承包人，承包人应按修改或补充后的图纸施工。</w:t>
      </w:r>
    </w:p>
    <w:p w14:paraId="664FEBC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1.6.4 承包人文件</w:t>
      </w:r>
    </w:p>
    <w:p w14:paraId="1856443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承包人应按照专用合同条款的约定提供应当由其编制的与工程施工有关的文件，并按照专用合同条款约定的期限、数量和形式提交监理人，并由监理人报送发包人。</w:t>
      </w:r>
    </w:p>
    <w:p w14:paraId="6F5428A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787C7D9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1.6.5 图纸和承包人文件的保管</w:t>
      </w:r>
    </w:p>
    <w:p w14:paraId="04FE311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除专用合同条款另有约定外，承包人应在施工现场另外保存一套完整的图纸和承包人文件，供发包人、监理人及有关人员进行工程检查时使用。</w:t>
      </w:r>
    </w:p>
    <w:p w14:paraId="0CD01D8A">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08" w:name="_Toc18844"/>
      <w:bookmarkStart w:id="109" w:name="_Toc351203502"/>
      <w:bookmarkStart w:id="110" w:name="_Toc24492"/>
      <w:r>
        <w:rPr>
          <w:rFonts w:hint="eastAsia" w:ascii="仿宋" w:hAnsi="仿宋" w:eastAsia="仿宋" w:cs="仿宋"/>
          <w:b w:val="0"/>
          <w:color w:val="auto"/>
          <w:sz w:val="24"/>
          <w:szCs w:val="24"/>
        </w:rPr>
        <w:t>1</w:t>
      </w:r>
      <w:bookmarkStart w:id="111" w:name="_Toc296503033"/>
      <w:bookmarkStart w:id="112" w:name="_Toc296346534"/>
      <w:bookmarkStart w:id="113" w:name="_Toc337558733"/>
      <w:r>
        <w:rPr>
          <w:rFonts w:hint="eastAsia" w:ascii="仿宋" w:hAnsi="仿宋" w:eastAsia="仿宋" w:cs="仿宋"/>
          <w:b w:val="0"/>
          <w:color w:val="auto"/>
          <w:sz w:val="24"/>
          <w:szCs w:val="24"/>
        </w:rPr>
        <w:t>.7联络</w:t>
      </w:r>
      <w:bookmarkEnd w:id="108"/>
      <w:bookmarkEnd w:id="109"/>
      <w:bookmarkEnd w:id="110"/>
    </w:p>
    <w:bookmarkEnd w:id="111"/>
    <w:bookmarkEnd w:id="112"/>
    <w:bookmarkEnd w:id="113"/>
    <w:p w14:paraId="35FECA8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1.7.1 与合同有关的通知、批准、证明、证书、指示、指令、要求、请求、同意、意见、确定和决定等，均应采用书面形式，并应在合同约定的期限内送达接收人和送达地点。</w:t>
      </w:r>
    </w:p>
    <w:p w14:paraId="70D0184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1.7.2 发包人和承包人应在专用合同条款中约定各自的送达接收人和送达地点。任何一方合同当事人指定的接收人或送达地点发生变动的，应提前3天以书面形式通知对方。</w:t>
      </w:r>
    </w:p>
    <w:p w14:paraId="6C43BC9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1.7.3 发包人和承包人应当及时签收另一方送达至送达地点和指定接收人的来往信函。拒不签收的，由此增加的费用和（或）延误的工期由拒绝接收一方承担。</w:t>
      </w:r>
    </w:p>
    <w:p w14:paraId="13C651B8">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14" w:name="_Toc351203503"/>
      <w:bookmarkStart w:id="115" w:name="_Toc4942"/>
      <w:bookmarkStart w:id="116" w:name="_Toc28022"/>
      <w:r>
        <w:rPr>
          <w:rFonts w:hint="eastAsia" w:ascii="仿宋" w:hAnsi="仿宋" w:eastAsia="仿宋" w:cs="仿宋"/>
          <w:b w:val="0"/>
          <w:color w:val="auto"/>
          <w:sz w:val="24"/>
          <w:szCs w:val="24"/>
        </w:rPr>
        <w:t>1</w:t>
      </w:r>
      <w:bookmarkStart w:id="117" w:name="_Toc296503035"/>
      <w:bookmarkStart w:id="118" w:name="_Toc296346536"/>
      <w:bookmarkStart w:id="119" w:name="_Toc337558734"/>
      <w:r>
        <w:rPr>
          <w:rFonts w:hint="eastAsia" w:ascii="仿宋" w:hAnsi="仿宋" w:eastAsia="仿宋" w:cs="仿宋"/>
          <w:b w:val="0"/>
          <w:color w:val="auto"/>
          <w:sz w:val="24"/>
          <w:szCs w:val="24"/>
        </w:rPr>
        <w:t>.8严禁贿赂</w:t>
      </w:r>
      <w:bookmarkEnd w:id="114"/>
      <w:bookmarkEnd w:id="115"/>
      <w:bookmarkEnd w:id="116"/>
    </w:p>
    <w:bookmarkEnd w:id="117"/>
    <w:bookmarkEnd w:id="118"/>
    <w:bookmarkEnd w:id="119"/>
    <w:p w14:paraId="2052BDC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合同当事人不得以贿赂或变相贿赂的方式，谋取非法利益或损害对方权益。因一方合同当事人的贿赂造成对方损失的，应赔偿损失，并承担相应的法律责任。</w:t>
      </w:r>
    </w:p>
    <w:p w14:paraId="2DAAB63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承包人不得与监理人或发包人聘请的第三方串通损害发包人利益。未经发包人书面同意，承包人不得为监理人提供合同约定以外的通讯设备、交通工具及其他任何形式的利益，不得向监理人支付报酬。</w:t>
      </w:r>
    </w:p>
    <w:p w14:paraId="0F3E136F">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20" w:name="_Toc10626"/>
      <w:bookmarkStart w:id="121" w:name="_Toc351203504"/>
      <w:bookmarkStart w:id="122" w:name="_Toc29080"/>
      <w:r>
        <w:rPr>
          <w:rFonts w:hint="eastAsia" w:ascii="仿宋" w:hAnsi="仿宋" w:eastAsia="仿宋" w:cs="仿宋"/>
          <w:b w:val="0"/>
          <w:color w:val="auto"/>
          <w:sz w:val="24"/>
          <w:szCs w:val="24"/>
        </w:rPr>
        <w:t>1</w:t>
      </w:r>
      <w:bookmarkStart w:id="123" w:name="_Toc296503036"/>
      <w:bookmarkStart w:id="124" w:name="_Toc296346537"/>
      <w:bookmarkStart w:id="125" w:name="_Toc337558735"/>
      <w:r>
        <w:rPr>
          <w:rFonts w:hint="eastAsia" w:ascii="仿宋" w:hAnsi="仿宋" w:eastAsia="仿宋" w:cs="仿宋"/>
          <w:b w:val="0"/>
          <w:color w:val="auto"/>
          <w:sz w:val="24"/>
          <w:szCs w:val="24"/>
        </w:rPr>
        <w:t>.9化石、文物</w:t>
      </w:r>
      <w:bookmarkEnd w:id="120"/>
      <w:bookmarkEnd w:id="121"/>
      <w:bookmarkEnd w:id="122"/>
    </w:p>
    <w:bookmarkEnd w:id="123"/>
    <w:bookmarkEnd w:id="124"/>
    <w:bookmarkEnd w:id="125"/>
    <w:p w14:paraId="30D0864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00146C0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发包人、监理人和承包人应按有关政府行政管理部门要求采取妥善的保护措施，由此增加的费用和（或）延误的工期由发包人承担。</w:t>
      </w:r>
    </w:p>
    <w:p w14:paraId="702733A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承包人发现文物后不及时报告或隐瞒不报，致使文物丢失或损坏的，应赔偿损失，并承担相应的法律责任。</w:t>
      </w:r>
    </w:p>
    <w:p w14:paraId="37DF56AC">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26" w:name="_Toc25597"/>
      <w:bookmarkStart w:id="127" w:name="_Toc17755"/>
      <w:bookmarkStart w:id="128" w:name="_Toc351203505"/>
      <w:r>
        <w:rPr>
          <w:rFonts w:hint="eastAsia" w:ascii="仿宋" w:hAnsi="仿宋" w:eastAsia="仿宋" w:cs="仿宋"/>
          <w:b w:val="0"/>
          <w:color w:val="auto"/>
          <w:sz w:val="24"/>
          <w:szCs w:val="24"/>
        </w:rPr>
        <w:t>1</w:t>
      </w:r>
      <w:bookmarkStart w:id="129" w:name="_Toc337558736"/>
      <w:r>
        <w:rPr>
          <w:rFonts w:hint="eastAsia" w:ascii="仿宋" w:hAnsi="仿宋" w:eastAsia="仿宋" w:cs="仿宋"/>
          <w:b w:val="0"/>
          <w:color w:val="auto"/>
          <w:sz w:val="24"/>
          <w:szCs w:val="24"/>
        </w:rPr>
        <w:t>.10交通运输</w:t>
      </w:r>
      <w:bookmarkEnd w:id="126"/>
      <w:bookmarkEnd w:id="127"/>
      <w:bookmarkEnd w:id="128"/>
    </w:p>
    <w:bookmarkEnd w:id="129"/>
    <w:p w14:paraId="1FE5F6D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1.10.1 出入现场的权利</w:t>
      </w:r>
    </w:p>
    <w:p w14:paraId="671A7AA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381CC11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承包人应在订立合同前查勘施工现场，并根据工程规模及技术参数合理预见工程施工所需的进出施工现场的方式、手段、路径等。因承包人未合理预见所增加的费用和（或）延误的工期由承包人承担。</w:t>
      </w:r>
    </w:p>
    <w:p w14:paraId="413ED4D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1.10.2 场外交通</w:t>
      </w:r>
    </w:p>
    <w:p w14:paraId="7988101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490ADEF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1.10.3场内交通</w:t>
      </w:r>
    </w:p>
    <w:p w14:paraId="6446A31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4B77ACE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6F90E9C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场外交通和场内交通的边界由合同当事人在专用合同条款中约定。</w:t>
      </w:r>
    </w:p>
    <w:p w14:paraId="5A9900E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1.10.4 超大件和超重件的运输</w:t>
      </w:r>
    </w:p>
    <w:p w14:paraId="65576CB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3ADF2BC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1.10.5 道路和桥梁的损坏责任</w:t>
      </w:r>
    </w:p>
    <w:p w14:paraId="198BF7A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因承包人运输造成施工场地内外公共道路和桥梁损坏的，由承包人承担修复损坏的全部费用和可能引起的赔偿。</w:t>
      </w:r>
    </w:p>
    <w:p w14:paraId="1046A1F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1.10.6 水路和航空运输</w:t>
      </w:r>
    </w:p>
    <w:p w14:paraId="5C4BA53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本款前述各项的内容适用于水路运输和航空运输，其中“道路”一词的涵义包括河道、航线、船闸、机场、码头、堤防以及水路或航空运输中其他相似结构物；“车辆”一词的涵义包括船舶和飞机等。</w:t>
      </w:r>
    </w:p>
    <w:p w14:paraId="5D88CFDD">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30" w:name="_Toc12169"/>
      <w:bookmarkStart w:id="131" w:name="_Toc351203506"/>
      <w:bookmarkStart w:id="132" w:name="_Toc30844"/>
      <w:r>
        <w:rPr>
          <w:rFonts w:hint="eastAsia" w:ascii="仿宋" w:hAnsi="仿宋" w:eastAsia="仿宋" w:cs="仿宋"/>
          <w:b w:val="0"/>
          <w:color w:val="auto"/>
          <w:sz w:val="24"/>
          <w:szCs w:val="24"/>
        </w:rPr>
        <w:t>1</w:t>
      </w:r>
      <w:bookmarkStart w:id="133" w:name="_Toc337558737"/>
      <w:bookmarkStart w:id="134" w:name="_Toc296503037"/>
      <w:bookmarkStart w:id="135" w:name="_Toc296346538"/>
      <w:r>
        <w:rPr>
          <w:rFonts w:hint="eastAsia" w:ascii="仿宋" w:hAnsi="仿宋" w:eastAsia="仿宋" w:cs="仿宋"/>
          <w:b w:val="0"/>
          <w:color w:val="auto"/>
          <w:sz w:val="24"/>
          <w:szCs w:val="24"/>
        </w:rPr>
        <w:t>.11知识产权</w:t>
      </w:r>
      <w:bookmarkEnd w:id="130"/>
      <w:bookmarkEnd w:id="131"/>
      <w:bookmarkEnd w:id="132"/>
      <w:r>
        <w:rPr>
          <w:rFonts w:hint="eastAsia" w:ascii="仿宋" w:hAnsi="仿宋" w:eastAsia="仿宋" w:cs="仿宋"/>
          <w:b w:val="0"/>
          <w:color w:val="auto"/>
          <w:sz w:val="24"/>
          <w:szCs w:val="24"/>
        </w:rPr>
        <w:t xml:space="preserve"> </w:t>
      </w:r>
      <w:bookmarkEnd w:id="133"/>
    </w:p>
    <w:bookmarkEnd w:id="134"/>
    <w:bookmarkEnd w:id="135"/>
    <w:p w14:paraId="13714F0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3E03BDA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1DC6EE0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7D9BC4D6">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kern w:val="0"/>
          <w:sz w:val="24"/>
          <w:szCs w:val="24"/>
        </w:rPr>
        <w:t xml:space="preserve">    </w:t>
      </w:r>
      <w:r>
        <w:rPr>
          <w:rFonts w:hint="eastAsia" w:ascii="仿宋" w:hAnsi="仿宋" w:eastAsia="仿宋" w:cs="仿宋"/>
          <w:color w:val="auto"/>
          <w:sz w:val="24"/>
          <w:szCs w:val="24"/>
        </w:rPr>
        <w:t>1.11.4 除专用合同条款另有约定外，承包人在合同签订前和签订时已确定采用的专利、专有技术、技术秘密的使用费已包含在签约合同价中。</w:t>
      </w:r>
    </w:p>
    <w:p w14:paraId="7F587509">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36" w:name="_Toc32156"/>
      <w:bookmarkStart w:id="137" w:name="_Toc28364"/>
      <w:bookmarkStart w:id="138" w:name="_Toc351203507"/>
      <w:r>
        <w:rPr>
          <w:rFonts w:hint="eastAsia" w:ascii="仿宋" w:hAnsi="仿宋" w:eastAsia="仿宋" w:cs="仿宋"/>
          <w:b w:val="0"/>
          <w:color w:val="auto"/>
          <w:sz w:val="24"/>
          <w:szCs w:val="24"/>
        </w:rPr>
        <w:t>1</w:t>
      </w:r>
      <w:bookmarkStart w:id="139" w:name="_Toc337558738"/>
      <w:r>
        <w:rPr>
          <w:rFonts w:hint="eastAsia" w:ascii="仿宋" w:hAnsi="仿宋" w:eastAsia="仿宋" w:cs="仿宋"/>
          <w:b w:val="0"/>
          <w:color w:val="auto"/>
          <w:sz w:val="24"/>
          <w:szCs w:val="24"/>
        </w:rPr>
        <w:t>.12保密</w:t>
      </w:r>
      <w:bookmarkEnd w:id="136"/>
      <w:bookmarkEnd w:id="137"/>
      <w:bookmarkEnd w:id="138"/>
    </w:p>
    <w:bookmarkEnd w:id="139"/>
    <w:p w14:paraId="72D6E1D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除法律规定或合同另有约定外，未经发包人同意，承包人不得将发包人提供的图纸、文件以及声明需要保密的资料信息等商业秘密泄露给第三方。</w:t>
      </w:r>
    </w:p>
    <w:p w14:paraId="1F1DDB0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除法律规定或合同另有约定外，未经承包人同意，发包人不得将承包人提供的技术秘密及声明需要保密的资料信息等商业秘密泄露给第三方。</w:t>
      </w:r>
    </w:p>
    <w:p w14:paraId="76A67DDA">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40" w:name="_Toc351203508"/>
      <w:bookmarkStart w:id="141" w:name="_Toc15125"/>
      <w:bookmarkStart w:id="142" w:name="_Toc27912"/>
      <w:r>
        <w:rPr>
          <w:rFonts w:hint="eastAsia" w:ascii="仿宋" w:hAnsi="仿宋" w:eastAsia="仿宋" w:cs="仿宋"/>
          <w:b w:val="0"/>
          <w:color w:val="auto"/>
          <w:sz w:val="24"/>
          <w:szCs w:val="24"/>
        </w:rPr>
        <w:t>1.13工程量清单错误的修正</w:t>
      </w:r>
      <w:bookmarkEnd w:id="140"/>
      <w:bookmarkEnd w:id="141"/>
      <w:bookmarkEnd w:id="142"/>
    </w:p>
    <w:p w14:paraId="2E56ABC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除专用合同条款另有约定外，发包人提供的工程量清单，应被认为是准确的和完整的。出现下列情形之一时，发包人应予以修正，并相应调整合同价格：</w:t>
      </w:r>
    </w:p>
    <w:p w14:paraId="0E9390A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（1）工程量清单存在缺项、漏项的；</w:t>
      </w:r>
    </w:p>
    <w:p w14:paraId="3CBBBA2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（2）工程量清单偏差超出专用合同条款约定的工程量偏差范围的；</w:t>
      </w:r>
    </w:p>
    <w:p w14:paraId="57A9922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（3）未按照国家现行计量规范强制性规定计量的。</w:t>
      </w:r>
    </w:p>
    <w:p w14:paraId="09182D3B">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143" w:name="_Toc24057"/>
      <w:bookmarkStart w:id="144" w:name="_Toc351203509"/>
      <w:bookmarkStart w:id="145" w:name="_Toc7698"/>
      <w:r>
        <w:rPr>
          <w:rFonts w:hint="eastAsia" w:ascii="仿宋" w:hAnsi="仿宋" w:eastAsia="仿宋" w:cs="仿宋"/>
          <w:b w:val="0"/>
          <w:color w:val="auto"/>
          <w:sz w:val="24"/>
          <w:szCs w:val="24"/>
        </w:rPr>
        <w:t>2</w:t>
      </w:r>
      <w:bookmarkStart w:id="146" w:name="_Toc296346539"/>
      <w:bookmarkStart w:id="147" w:name="_Toc337558739"/>
      <w:bookmarkStart w:id="148" w:name="_Toc296503038"/>
      <w:bookmarkStart w:id="149" w:name="OLE_LINK2"/>
      <w:bookmarkStart w:id="150" w:name="OLE_LINK1"/>
      <w:r>
        <w:rPr>
          <w:rFonts w:hint="eastAsia" w:ascii="仿宋" w:hAnsi="仿宋" w:eastAsia="仿宋" w:cs="仿宋"/>
          <w:b w:val="0"/>
          <w:color w:val="auto"/>
          <w:sz w:val="24"/>
          <w:szCs w:val="24"/>
        </w:rPr>
        <w:t>. 发包人</w:t>
      </w:r>
      <w:bookmarkEnd w:id="143"/>
      <w:bookmarkEnd w:id="144"/>
      <w:bookmarkEnd w:id="145"/>
    </w:p>
    <w:bookmarkEnd w:id="146"/>
    <w:bookmarkEnd w:id="147"/>
    <w:bookmarkEnd w:id="148"/>
    <w:p w14:paraId="3F06BB6D">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51" w:name="_Toc351203510"/>
      <w:bookmarkStart w:id="152" w:name="_Toc10538"/>
      <w:bookmarkStart w:id="153" w:name="_Toc23825"/>
      <w:r>
        <w:rPr>
          <w:rFonts w:hint="eastAsia" w:ascii="仿宋" w:hAnsi="仿宋" w:eastAsia="仿宋" w:cs="仿宋"/>
          <w:b w:val="0"/>
          <w:color w:val="auto"/>
          <w:sz w:val="24"/>
          <w:szCs w:val="24"/>
        </w:rPr>
        <w:t>2</w:t>
      </w:r>
      <w:bookmarkStart w:id="154" w:name="_Toc296346540"/>
      <w:bookmarkStart w:id="155" w:name="_Toc337558740"/>
      <w:bookmarkStart w:id="156" w:name="_Toc296503039"/>
      <w:r>
        <w:rPr>
          <w:rFonts w:hint="eastAsia" w:ascii="仿宋" w:hAnsi="仿宋" w:eastAsia="仿宋" w:cs="仿宋"/>
          <w:b w:val="0"/>
          <w:color w:val="auto"/>
          <w:sz w:val="24"/>
          <w:szCs w:val="24"/>
        </w:rPr>
        <w:t>.1 许可或批准</w:t>
      </w:r>
      <w:bookmarkEnd w:id="151"/>
      <w:bookmarkEnd w:id="152"/>
      <w:bookmarkEnd w:id="153"/>
    </w:p>
    <w:p w14:paraId="1F6ABE5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61C5410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因发包人原因未能及时办理完毕前述许可、批准或备案，由发包人承担由此增加的费用和（或）延误的工期，并支付承包人合理的利润。</w:t>
      </w:r>
    </w:p>
    <w:p w14:paraId="16DDDA3B">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57" w:name="_Toc351203511"/>
      <w:bookmarkStart w:id="158" w:name="_Toc2745"/>
      <w:bookmarkStart w:id="159" w:name="_Toc31139"/>
      <w:r>
        <w:rPr>
          <w:rFonts w:hint="eastAsia" w:ascii="仿宋" w:hAnsi="仿宋" w:eastAsia="仿宋" w:cs="仿宋"/>
          <w:b w:val="0"/>
          <w:color w:val="auto"/>
          <w:sz w:val="24"/>
          <w:szCs w:val="24"/>
        </w:rPr>
        <w:t>2.2 发包人代表</w:t>
      </w:r>
      <w:bookmarkEnd w:id="157"/>
      <w:bookmarkEnd w:id="158"/>
      <w:bookmarkEnd w:id="159"/>
    </w:p>
    <w:p w14:paraId="0C0344B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3EFA0E24">
      <w:pPr>
        <w:pageBreakBefore w:val="0"/>
        <w:kinsoku/>
        <w:overflowPunct/>
        <w:topLinePunct w:val="0"/>
        <w:bidi w:val="0"/>
        <w:spacing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发包人代表不能按照合同约定履行其职责及义务，并导致合同无法继续正常履行的，承包人可以要求发包人撤换发包人代表。</w:t>
      </w:r>
    </w:p>
    <w:p w14:paraId="1DF790C7">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kern w:val="0"/>
          <w:sz w:val="24"/>
          <w:szCs w:val="24"/>
        </w:rPr>
        <w:t>不属于法定必须监理的工程，监理人的职权可以由发包人代表或发包人指定的其他人员行使。</w:t>
      </w:r>
    </w:p>
    <w:p w14:paraId="51DF09E4">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60" w:name="_Toc351203512"/>
      <w:bookmarkStart w:id="161" w:name="_Toc8942"/>
      <w:bookmarkStart w:id="162" w:name="_Toc1310"/>
      <w:r>
        <w:rPr>
          <w:rFonts w:hint="eastAsia" w:ascii="仿宋" w:hAnsi="仿宋" w:eastAsia="仿宋" w:cs="仿宋"/>
          <w:b w:val="0"/>
          <w:color w:val="auto"/>
          <w:sz w:val="24"/>
          <w:szCs w:val="24"/>
        </w:rPr>
        <w:t>2.3 发包人人员</w:t>
      </w:r>
      <w:bookmarkEnd w:id="160"/>
      <w:bookmarkEnd w:id="161"/>
      <w:bookmarkEnd w:id="162"/>
    </w:p>
    <w:p w14:paraId="799314B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发包人应要求在施工现场的发包人人员遵守法律及有关安全、质量、环境保护、文明施工等规定，并保障承包人免于承受因发包人人员未遵守上述要求给承包人造成的损失和责任。</w:t>
      </w:r>
    </w:p>
    <w:p w14:paraId="0A53E93F">
      <w:pPr>
        <w:pageBreakBefore w:val="0"/>
        <w:kinsoku/>
        <w:overflowPunct/>
        <w:topLinePunct w:val="0"/>
        <w:bidi w:val="0"/>
        <w:spacing w:line="440" w:lineRule="exact"/>
        <w:ind w:firstLine="64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发包人人员包括发包人代表及其他由发包人派驻施工现场的人员。</w:t>
      </w:r>
      <w:bookmarkEnd w:id="154"/>
      <w:bookmarkEnd w:id="155"/>
      <w:bookmarkEnd w:id="156"/>
    </w:p>
    <w:p w14:paraId="397AA655">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63" w:name="_Toc16232"/>
      <w:bookmarkStart w:id="164" w:name="_Toc351203513"/>
      <w:bookmarkStart w:id="165" w:name="_Toc18166"/>
      <w:r>
        <w:rPr>
          <w:rFonts w:hint="eastAsia" w:ascii="仿宋" w:hAnsi="仿宋" w:eastAsia="仿宋" w:cs="仿宋"/>
          <w:b w:val="0"/>
          <w:color w:val="auto"/>
          <w:sz w:val="24"/>
          <w:szCs w:val="24"/>
        </w:rPr>
        <w:t>2</w:t>
      </w:r>
      <w:bookmarkStart w:id="166" w:name="_Toc337558741"/>
      <w:bookmarkStart w:id="167" w:name="_Toc296346541"/>
      <w:bookmarkStart w:id="168" w:name="_Toc296503040"/>
      <w:r>
        <w:rPr>
          <w:rFonts w:hint="eastAsia" w:ascii="仿宋" w:hAnsi="仿宋" w:eastAsia="仿宋" w:cs="仿宋"/>
          <w:b w:val="0"/>
          <w:color w:val="auto"/>
          <w:sz w:val="24"/>
          <w:szCs w:val="24"/>
        </w:rPr>
        <w:t>.4 施工现场、施工条件和基础资料的提供</w:t>
      </w:r>
      <w:bookmarkEnd w:id="163"/>
      <w:bookmarkEnd w:id="164"/>
      <w:bookmarkEnd w:id="165"/>
      <w:r>
        <w:rPr>
          <w:rFonts w:hint="eastAsia" w:ascii="仿宋" w:hAnsi="仿宋" w:eastAsia="仿宋" w:cs="仿宋"/>
          <w:b w:val="0"/>
          <w:color w:val="auto"/>
          <w:sz w:val="24"/>
          <w:szCs w:val="24"/>
        </w:rPr>
        <w:t xml:space="preserve"> </w:t>
      </w:r>
      <w:bookmarkEnd w:id="166"/>
      <w:bookmarkEnd w:id="167"/>
      <w:bookmarkEnd w:id="168"/>
      <w:r>
        <w:rPr>
          <w:rFonts w:hint="eastAsia" w:ascii="仿宋" w:hAnsi="仿宋" w:eastAsia="仿宋" w:cs="仿宋"/>
          <w:b w:val="0"/>
          <w:color w:val="auto"/>
          <w:sz w:val="24"/>
          <w:szCs w:val="24"/>
        </w:rPr>
        <w:t xml:space="preserve"> </w:t>
      </w:r>
    </w:p>
    <w:p w14:paraId="3763DBE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2.4.1 提供施工现场</w:t>
      </w:r>
    </w:p>
    <w:p w14:paraId="1F905AC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w:t>
      </w:r>
      <w:bookmarkEnd w:id="149"/>
      <w:bookmarkEnd w:id="150"/>
      <w:r>
        <w:rPr>
          <w:rFonts w:hint="eastAsia" w:ascii="仿宋" w:hAnsi="仿宋" w:eastAsia="仿宋" w:cs="仿宋"/>
          <w:color w:val="auto"/>
          <w:kern w:val="0"/>
          <w:sz w:val="24"/>
          <w:szCs w:val="24"/>
        </w:rPr>
        <w:t>专用合同条款另有约定外，发包人应最迟于开工日期7天前向承包人移交施工现场。</w:t>
      </w:r>
    </w:p>
    <w:p w14:paraId="0AB4BF6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2.4.2 提供施工条件</w:t>
      </w:r>
    </w:p>
    <w:p w14:paraId="449B234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除专用合同条款另有约定外，发包人应负责提供施工所需要的条件，包括：</w:t>
      </w:r>
    </w:p>
    <w:p w14:paraId="337B26D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（1）将施工用水、电力、通讯线路等施工所必需的条件接至施工现场内；</w:t>
      </w:r>
    </w:p>
    <w:p w14:paraId="41B8CFB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（2）保证向承包人提供正常施工所需要的进入施工现场的交通条件；</w:t>
      </w:r>
    </w:p>
    <w:p w14:paraId="0200F31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（3）协调处理施工现场周围地下管线和邻近建筑物、构筑物、古树名木的保护工作，并承担相关费用；</w:t>
      </w:r>
    </w:p>
    <w:p w14:paraId="678F6BF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（4）按照专用合同条款约定应提供的其他设施和条件。</w:t>
      </w:r>
    </w:p>
    <w:p w14:paraId="6A030B4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2.4.3 提供基础资料</w:t>
      </w:r>
    </w:p>
    <w:p w14:paraId="037762F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26AB6D0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按照法律规定确需在开工后方能提供的基础资料，发包人应尽其努力及时地在相应工程施工前的合理期限内提供，合理期限应以不影响承包人的正常施工为限。</w:t>
      </w:r>
    </w:p>
    <w:p w14:paraId="336FAB2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2.4.4 逾期提供的责任</w:t>
      </w:r>
    </w:p>
    <w:p w14:paraId="5E8098F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因发包人原因未能按合同约定及时向承包人提供施工现场、施工条件、基础资料的，由发包人承担由此增加的费用和（或）延误的工期。</w:t>
      </w:r>
    </w:p>
    <w:p w14:paraId="3FCA911F">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69" w:name="_Toc351203514"/>
      <w:bookmarkStart w:id="170" w:name="_Toc25685"/>
      <w:bookmarkStart w:id="171" w:name="_Toc16394"/>
      <w:r>
        <w:rPr>
          <w:rFonts w:hint="eastAsia" w:ascii="仿宋" w:hAnsi="仿宋" w:eastAsia="仿宋" w:cs="仿宋"/>
          <w:b w:val="0"/>
          <w:color w:val="auto"/>
          <w:sz w:val="24"/>
          <w:szCs w:val="24"/>
        </w:rPr>
        <w:t>2</w:t>
      </w:r>
      <w:bookmarkStart w:id="172" w:name="_Toc337558745"/>
      <w:bookmarkStart w:id="173" w:name="_Toc296503042"/>
      <w:bookmarkStart w:id="174" w:name="_Toc296346543"/>
      <w:r>
        <w:rPr>
          <w:rFonts w:hint="eastAsia" w:ascii="仿宋" w:hAnsi="仿宋" w:eastAsia="仿宋" w:cs="仿宋"/>
          <w:b w:val="0"/>
          <w:color w:val="auto"/>
          <w:sz w:val="24"/>
          <w:szCs w:val="24"/>
        </w:rPr>
        <w:t>.5 资</w:t>
      </w:r>
      <w:bookmarkEnd w:id="172"/>
      <w:bookmarkEnd w:id="173"/>
      <w:bookmarkEnd w:id="174"/>
      <w:r>
        <w:rPr>
          <w:rFonts w:hint="eastAsia" w:ascii="仿宋" w:hAnsi="仿宋" w:eastAsia="仿宋" w:cs="仿宋"/>
          <w:b w:val="0"/>
          <w:color w:val="auto"/>
          <w:sz w:val="24"/>
          <w:szCs w:val="24"/>
        </w:rPr>
        <w:t>金来源证明及支付担保</w:t>
      </w:r>
      <w:bookmarkEnd w:id="169"/>
      <w:bookmarkEnd w:id="170"/>
      <w:bookmarkEnd w:id="171"/>
    </w:p>
    <w:p w14:paraId="330921F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除专用合同条款另有约定外，发包人应在收到承包人要求提供资金来源证明的书面通知后28天内，向承包人提供能够按照合同约定支付合同价款的相应资金来源证明。</w:t>
      </w:r>
    </w:p>
    <w:p w14:paraId="1251EF5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除专用合同条款另有约定外，发包人要求承包人提供履约担保的，发包人应当向承包人提供支付担保。支付担保可以采用银行保函或担保公司担保等形式，具体由合同当事人在专用合同条款中约定。</w:t>
      </w:r>
    </w:p>
    <w:p w14:paraId="3D9C9929">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75" w:name="_Toc351203515"/>
      <w:bookmarkStart w:id="176" w:name="_Toc29765"/>
      <w:bookmarkStart w:id="177" w:name="_Toc27601"/>
      <w:r>
        <w:rPr>
          <w:rFonts w:hint="eastAsia" w:ascii="仿宋" w:hAnsi="仿宋" w:eastAsia="仿宋" w:cs="仿宋"/>
          <w:b w:val="0"/>
          <w:color w:val="auto"/>
          <w:sz w:val="24"/>
          <w:szCs w:val="24"/>
        </w:rPr>
        <w:t>2.6 支付合同价款</w:t>
      </w:r>
      <w:bookmarkEnd w:id="175"/>
      <w:bookmarkEnd w:id="176"/>
      <w:bookmarkEnd w:id="177"/>
    </w:p>
    <w:p w14:paraId="6F826E7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发包人应按合同约定向承包人及时支付合同价款。</w:t>
      </w:r>
    </w:p>
    <w:p w14:paraId="33AD885C">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78" w:name="_Toc16126"/>
      <w:bookmarkStart w:id="179" w:name="_Toc351203516"/>
      <w:bookmarkStart w:id="180" w:name="_Toc27369"/>
      <w:r>
        <w:rPr>
          <w:rFonts w:hint="eastAsia" w:ascii="仿宋" w:hAnsi="仿宋" w:eastAsia="仿宋" w:cs="仿宋"/>
          <w:b w:val="0"/>
          <w:color w:val="auto"/>
          <w:sz w:val="24"/>
          <w:szCs w:val="24"/>
        </w:rPr>
        <w:t>2.7 组织竣工验收</w:t>
      </w:r>
      <w:bookmarkEnd w:id="178"/>
      <w:bookmarkEnd w:id="179"/>
      <w:bookmarkEnd w:id="180"/>
    </w:p>
    <w:p w14:paraId="14D0353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发包人应按合同约定及时组织竣工验收。</w:t>
      </w:r>
    </w:p>
    <w:p w14:paraId="1FE876F1">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81" w:name="_Toc5928"/>
      <w:bookmarkStart w:id="182" w:name="_Toc351203517"/>
      <w:bookmarkStart w:id="183" w:name="_Toc1037"/>
      <w:r>
        <w:rPr>
          <w:rFonts w:hint="eastAsia" w:ascii="仿宋" w:hAnsi="仿宋" w:eastAsia="仿宋" w:cs="仿宋"/>
          <w:b w:val="0"/>
          <w:color w:val="auto"/>
          <w:sz w:val="24"/>
          <w:szCs w:val="24"/>
        </w:rPr>
        <w:t>2.8 现场统一管理协议</w:t>
      </w:r>
      <w:bookmarkEnd w:id="181"/>
      <w:bookmarkEnd w:id="182"/>
      <w:bookmarkEnd w:id="183"/>
    </w:p>
    <w:p w14:paraId="4C89272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发包人应与承包人、由发包人直接发包的专业工程的承包人签订施工现场统一管理协议，明确各方的权利义务。施工现场统一管理协议作为专用合同条款的附件。</w:t>
      </w:r>
    </w:p>
    <w:p w14:paraId="16C7267A">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184" w:name="_Toc23626"/>
      <w:bookmarkStart w:id="185" w:name="_Toc11740"/>
      <w:bookmarkStart w:id="186" w:name="_Toc351203518"/>
      <w:r>
        <w:rPr>
          <w:rFonts w:hint="eastAsia" w:ascii="仿宋" w:hAnsi="仿宋" w:eastAsia="仿宋" w:cs="仿宋"/>
          <w:b w:val="0"/>
          <w:color w:val="auto"/>
          <w:sz w:val="24"/>
          <w:szCs w:val="24"/>
        </w:rPr>
        <w:t>3</w:t>
      </w:r>
      <w:bookmarkStart w:id="187" w:name="_Toc296346546"/>
      <w:bookmarkStart w:id="188" w:name="_Toc337558746"/>
      <w:bookmarkStart w:id="189" w:name="_Toc296503045"/>
      <w:r>
        <w:rPr>
          <w:rFonts w:hint="eastAsia" w:ascii="仿宋" w:hAnsi="仿宋" w:eastAsia="仿宋" w:cs="仿宋"/>
          <w:b w:val="0"/>
          <w:color w:val="auto"/>
          <w:sz w:val="24"/>
          <w:szCs w:val="24"/>
        </w:rPr>
        <w:t>. 承包人</w:t>
      </w:r>
      <w:bookmarkEnd w:id="184"/>
      <w:bookmarkEnd w:id="185"/>
      <w:bookmarkEnd w:id="186"/>
    </w:p>
    <w:bookmarkEnd w:id="187"/>
    <w:bookmarkEnd w:id="188"/>
    <w:bookmarkEnd w:id="189"/>
    <w:p w14:paraId="7539992D">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90" w:name="_Toc29639"/>
      <w:bookmarkStart w:id="191" w:name="_Toc29592"/>
      <w:bookmarkStart w:id="192" w:name="_Toc351203519"/>
      <w:r>
        <w:rPr>
          <w:rFonts w:hint="eastAsia" w:ascii="仿宋" w:hAnsi="仿宋" w:eastAsia="仿宋" w:cs="仿宋"/>
          <w:b w:val="0"/>
          <w:color w:val="auto"/>
          <w:sz w:val="24"/>
          <w:szCs w:val="24"/>
        </w:rPr>
        <w:t>3</w:t>
      </w:r>
      <w:bookmarkStart w:id="193" w:name="_Toc296346547"/>
      <w:bookmarkStart w:id="194" w:name="_Toc296503046"/>
      <w:bookmarkStart w:id="195" w:name="_Toc337558747"/>
      <w:r>
        <w:rPr>
          <w:rFonts w:hint="eastAsia" w:ascii="仿宋" w:hAnsi="仿宋" w:eastAsia="仿宋" w:cs="仿宋"/>
          <w:b w:val="0"/>
          <w:color w:val="auto"/>
          <w:sz w:val="24"/>
          <w:szCs w:val="24"/>
        </w:rPr>
        <w:t>.1 承包人的一般义务</w:t>
      </w:r>
      <w:bookmarkEnd w:id="190"/>
      <w:bookmarkEnd w:id="191"/>
      <w:bookmarkEnd w:id="192"/>
    </w:p>
    <w:bookmarkEnd w:id="193"/>
    <w:bookmarkEnd w:id="194"/>
    <w:bookmarkEnd w:id="195"/>
    <w:p w14:paraId="55ABC4A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承包人在履行合同过程中应遵守法律和工程建设标准规范，并履行以下义务：</w:t>
      </w:r>
    </w:p>
    <w:p w14:paraId="68749E7D">
      <w:pPr>
        <w:pageBreakBefore w:val="0"/>
        <w:numPr>
          <w:ilvl w:val="0"/>
          <w:numId w:val="4"/>
        </w:numPr>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办理法律规定应由承包人办理的许可和批准，并将办理结果书面报送发包人留存；</w:t>
      </w:r>
    </w:p>
    <w:p w14:paraId="0B4C0B4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（2）按法律规定和合同约定完成工程，并在保修期内承担保修义务；</w:t>
      </w:r>
    </w:p>
    <w:p w14:paraId="0BDAAD9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（3）按法律规定和合同约定采取施工安全和环境保护措施，办理工伤保险，确保工程及人员、材料、设备和设施的安全；</w:t>
      </w:r>
    </w:p>
    <w:p w14:paraId="6F46E09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（4）按合同约定的工作内容和施工进度要求，编制施工组织设计和施工措施计划，并对所有施工作业和施工方法的完备性和安全可靠性负责；</w:t>
      </w:r>
    </w:p>
    <w:p w14:paraId="4020291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07EFCB7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（6）按照第6.3款〔环境保护〕约定负责施工场地及其周边环境与生态的保护工作；</w:t>
      </w:r>
    </w:p>
    <w:p w14:paraId="5618E03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（7）按第6.1款〔安全文明施工〕约定采取施工安全措施，确保工程及其人员、材料、设备和设施的安全，防止因工程施工造成的人身伤害和财产损失；</w:t>
      </w:r>
    </w:p>
    <w:p w14:paraId="3FADDFF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（8）将发包人按合同约定支付的各项价款专用于合同工程，且应及时支付其雇用人员工资，并及时向分包人支付合同价款；</w:t>
      </w:r>
    </w:p>
    <w:p w14:paraId="0E0EC25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（9）按照法律规定和合同约定编制竣工资料，完成竣工资料立卷及归档，并按专用合同条款约定的竣工资料的套数、内容、时间等要求移交发包人；</w:t>
      </w:r>
    </w:p>
    <w:p w14:paraId="2F02558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（10）应履行的其他义务。</w:t>
      </w:r>
    </w:p>
    <w:p w14:paraId="4108E503">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196" w:name="_Toc351203520"/>
      <w:bookmarkStart w:id="197" w:name="_Toc27427"/>
      <w:bookmarkStart w:id="198" w:name="_Toc3726"/>
      <w:r>
        <w:rPr>
          <w:rFonts w:hint="eastAsia" w:ascii="仿宋" w:hAnsi="仿宋" w:eastAsia="仿宋" w:cs="仿宋"/>
          <w:b w:val="0"/>
          <w:color w:val="auto"/>
          <w:sz w:val="24"/>
          <w:szCs w:val="24"/>
        </w:rPr>
        <w:t>3</w:t>
      </w:r>
      <w:bookmarkStart w:id="199" w:name="_Toc337558748"/>
      <w:bookmarkStart w:id="200" w:name="_Toc296503047"/>
      <w:bookmarkStart w:id="201" w:name="_Toc296346548"/>
      <w:r>
        <w:rPr>
          <w:rFonts w:hint="eastAsia" w:ascii="仿宋" w:hAnsi="仿宋" w:eastAsia="仿宋" w:cs="仿宋"/>
          <w:b w:val="0"/>
          <w:color w:val="auto"/>
          <w:sz w:val="24"/>
          <w:szCs w:val="24"/>
        </w:rPr>
        <w:t xml:space="preserve">.2 </w:t>
      </w:r>
      <w:bookmarkEnd w:id="196"/>
      <w:r>
        <w:rPr>
          <w:rFonts w:hint="eastAsia" w:ascii="仿宋" w:hAnsi="仿宋" w:eastAsia="仿宋" w:cs="仿宋"/>
          <w:b w:val="0"/>
          <w:color w:val="auto"/>
          <w:sz w:val="24"/>
          <w:szCs w:val="24"/>
        </w:rPr>
        <w:t>项目经理</w:t>
      </w:r>
      <w:bookmarkEnd w:id="197"/>
      <w:bookmarkEnd w:id="198"/>
    </w:p>
    <w:bookmarkEnd w:id="199"/>
    <w:bookmarkEnd w:id="200"/>
    <w:bookmarkEnd w:id="201"/>
    <w:p w14:paraId="64E5D1D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706782A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38012FD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承包人违反上述约定的，应按照专用合同条款的约定，承担违约责任。</w:t>
      </w:r>
    </w:p>
    <w:p w14:paraId="3BA3FC1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64A462A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7FCA9D5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14:paraId="0A2EEC5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3.2.5 项目经理因特殊情况授权其下属人员履行其某项工作职责的，该下属人员应具备履行相应职责的能力，并应提前7天将上述人员的姓名和授权范围书面通知监理人，并征得发包人书面同意。</w:t>
      </w:r>
    </w:p>
    <w:p w14:paraId="3B689B86">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202" w:name="_Toc12363"/>
      <w:bookmarkStart w:id="203" w:name="_Toc7193"/>
      <w:bookmarkStart w:id="204" w:name="_Toc351203521"/>
      <w:r>
        <w:rPr>
          <w:rFonts w:hint="eastAsia" w:ascii="仿宋" w:hAnsi="仿宋" w:eastAsia="仿宋" w:cs="仿宋"/>
          <w:b w:val="0"/>
          <w:color w:val="auto"/>
          <w:sz w:val="24"/>
          <w:szCs w:val="24"/>
        </w:rPr>
        <w:t>3</w:t>
      </w:r>
      <w:bookmarkStart w:id="205" w:name="_Toc296346549"/>
      <w:bookmarkStart w:id="206" w:name="_Toc296503048"/>
      <w:bookmarkStart w:id="207" w:name="_Toc337558749"/>
      <w:r>
        <w:rPr>
          <w:rFonts w:hint="eastAsia" w:ascii="仿宋" w:hAnsi="仿宋" w:eastAsia="仿宋" w:cs="仿宋"/>
          <w:b w:val="0"/>
          <w:color w:val="auto"/>
          <w:sz w:val="24"/>
          <w:szCs w:val="24"/>
        </w:rPr>
        <w:t xml:space="preserve">.3 </w:t>
      </w:r>
      <w:bookmarkEnd w:id="205"/>
      <w:bookmarkEnd w:id="206"/>
      <w:r>
        <w:rPr>
          <w:rFonts w:hint="eastAsia" w:ascii="仿宋" w:hAnsi="仿宋" w:eastAsia="仿宋" w:cs="仿宋"/>
          <w:b w:val="0"/>
          <w:color w:val="auto"/>
          <w:sz w:val="24"/>
          <w:szCs w:val="24"/>
        </w:rPr>
        <w:t>承包人人员</w:t>
      </w:r>
      <w:bookmarkEnd w:id="202"/>
      <w:bookmarkEnd w:id="203"/>
      <w:bookmarkEnd w:id="204"/>
    </w:p>
    <w:bookmarkEnd w:id="207"/>
    <w:p w14:paraId="61B4730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19DA0DA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14:paraId="57B58F9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特殊工种作业人员均应持有相应的资格证明，监理人可以随时检查。</w:t>
      </w:r>
    </w:p>
    <w:p w14:paraId="302254E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2589E60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2337BC9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3.3.5 承包人擅自更换主要施工管理人员，或前述人员未经监理人或发包人同意擅自离开施工现场的，应按照专用合同条款约定承担违约责任。</w:t>
      </w:r>
    </w:p>
    <w:p w14:paraId="7866E84C">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208" w:name="_Toc12132"/>
      <w:bookmarkStart w:id="209" w:name="_Toc28942"/>
      <w:bookmarkStart w:id="210" w:name="_Toc351203522"/>
      <w:r>
        <w:rPr>
          <w:rFonts w:hint="eastAsia" w:ascii="仿宋" w:hAnsi="仿宋" w:eastAsia="仿宋" w:cs="仿宋"/>
          <w:b w:val="0"/>
          <w:color w:val="auto"/>
          <w:sz w:val="24"/>
          <w:szCs w:val="24"/>
        </w:rPr>
        <w:t>3</w:t>
      </w:r>
      <w:bookmarkStart w:id="211" w:name="_Toc296503050"/>
      <w:bookmarkStart w:id="212" w:name="_Toc337558750"/>
      <w:bookmarkStart w:id="213" w:name="_Toc296346551"/>
      <w:r>
        <w:rPr>
          <w:rFonts w:hint="eastAsia" w:ascii="仿宋" w:hAnsi="仿宋" w:eastAsia="仿宋" w:cs="仿宋"/>
          <w:b w:val="0"/>
          <w:color w:val="auto"/>
          <w:sz w:val="24"/>
          <w:szCs w:val="24"/>
        </w:rPr>
        <w:t>.4 承包人现场查勘</w:t>
      </w:r>
      <w:bookmarkEnd w:id="208"/>
      <w:bookmarkEnd w:id="209"/>
      <w:bookmarkEnd w:id="210"/>
    </w:p>
    <w:bookmarkEnd w:id="211"/>
    <w:bookmarkEnd w:id="212"/>
    <w:bookmarkEnd w:id="213"/>
    <w:p w14:paraId="59EFADE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承包人应对基于发包人按照第2.4.3项〔提供基础资料〕提交的基础资料所做出的解释和推断负责，但因基础资料存在错误、遗漏导致承包人解释或推断失实的，由发包人承担责任。</w:t>
      </w:r>
    </w:p>
    <w:p w14:paraId="70704C9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1AAC44C3">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214" w:name="_Toc2110"/>
      <w:bookmarkStart w:id="215" w:name="_Toc31791"/>
      <w:bookmarkStart w:id="216" w:name="_Toc351203523"/>
      <w:r>
        <w:rPr>
          <w:rFonts w:hint="eastAsia" w:ascii="仿宋" w:hAnsi="仿宋" w:eastAsia="仿宋" w:cs="仿宋"/>
          <w:b w:val="0"/>
          <w:color w:val="auto"/>
          <w:sz w:val="24"/>
          <w:szCs w:val="24"/>
        </w:rPr>
        <w:t>3</w:t>
      </w:r>
      <w:bookmarkStart w:id="217" w:name="_Toc296503051"/>
      <w:bookmarkStart w:id="218" w:name="_Toc296346552"/>
      <w:bookmarkStart w:id="219" w:name="_Toc337558751"/>
      <w:r>
        <w:rPr>
          <w:rFonts w:hint="eastAsia" w:ascii="仿宋" w:hAnsi="仿宋" w:eastAsia="仿宋" w:cs="仿宋"/>
          <w:b w:val="0"/>
          <w:color w:val="auto"/>
          <w:sz w:val="24"/>
          <w:szCs w:val="24"/>
        </w:rPr>
        <w:t>.5 分包</w:t>
      </w:r>
      <w:bookmarkEnd w:id="214"/>
      <w:bookmarkEnd w:id="215"/>
      <w:bookmarkEnd w:id="216"/>
    </w:p>
    <w:bookmarkEnd w:id="217"/>
    <w:bookmarkEnd w:id="218"/>
    <w:bookmarkEnd w:id="219"/>
    <w:p w14:paraId="6E59575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3.5.1 分包的一般约定</w:t>
      </w:r>
    </w:p>
    <w:p w14:paraId="4926EF2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4658075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承包人不得以劳务分包的名义转包或违法分包工程。</w:t>
      </w:r>
    </w:p>
    <w:p w14:paraId="2B39098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3.5.2 分包的确定</w:t>
      </w:r>
    </w:p>
    <w:p w14:paraId="3806713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4129F98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3.5.3 分包管理</w:t>
      </w:r>
    </w:p>
    <w:p w14:paraId="495A36E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承包人应向监理人提交分包人的主要施工管理人员表，并对分包人的施工人员进行实名制管理，包括但不限于进出场管理、登记造册以及各种证照的办理。</w:t>
      </w:r>
    </w:p>
    <w:p w14:paraId="3F0D1CB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3.5.4 分包合同价款</w:t>
      </w:r>
    </w:p>
    <w:p w14:paraId="023169D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（1）除本项第（2）目约定的情况或专用合同条款另有约定外，分包合同价款由承包人与分包人结算，未经承包人同意，发包人不得向分包人支付分包工程价款；</w:t>
      </w:r>
    </w:p>
    <w:p w14:paraId="74EFFF4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（2）生效法律文书要求发包人向分包人支付分包合同价款的，发包人有权从应付承包人工程款中扣除该部分款项。</w:t>
      </w:r>
    </w:p>
    <w:p w14:paraId="195193B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3.5.5 分包合同权益的转让</w:t>
      </w:r>
    </w:p>
    <w:p w14:paraId="5B8D83E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220" w:name="_Toc351203524"/>
    </w:p>
    <w:p w14:paraId="2566A390">
      <w:pPr>
        <w:pStyle w:val="6"/>
        <w:pageBreakBefore w:val="0"/>
        <w:numPr>
          <w:ilvl w:val="0"/>
          <w:numId w:val="0"/>
        </w:numPr>
        <w:kinsoku/>
        <w:overflowPunct/>
        <w:topLinePunct w:val="0"/>
        <w:bidi w:val="0"/>
        <w:spacing w:before="120" w:after="120" w:line="440" w:lineRule="exact"/>
        <w:ind w:leftChars="200"/>
        <w:outlineLvl w:val="3"/>
        <w:rPr>
          <w:rFonts w:hint="eastAsia" w:ascii="仿宋" w:hAnsi="仿宋" w:eastAsia="仿宋" w:cs="仿宋"/>
          <w:b w:val="0"/>
          <w:color w:val="auto"/>
          <w:sz w:val="24"/>
          <w:szCs w:val="24"/>
        </w:rPr>
      </w:pPr>
      <w:bookmarkStart w:id="221" w:name="_Toc22451"/>
      <w:bookmarkStart w:id="222" w:name="_Toc4728"/>
      <w:r>
        <w:rPr>
          <w:rFonts w:hint="eastAsia" w:ascii="仿宋" w:hAnsi="仿宋" w:eastAsia="仿宋" w:cs="仿宋"/>
          <w:b w:val="0"/>
          <w:color w:val="auto"/>
          <w:sz w:val="24"/>
          <w:szCs w:val="24"/>
        </w:rPr>
        <w:t>3.6 工程照管与成品、半成品保护</w:t>
      </w:r>
      <w:bookmarkEnd w:id="220"/>
      <w:bookmarkEnd w:id="221"/>
      <w:bookmarkEnd w:id="222"/>
    </w:p>
    <w:p w14:paraId="487DC2C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（1）除专用合同条款另有约定外，自发包人向承包人移交施工现场之日起，承包人应负责照管工程及工程相关的材料、工程设备，直到颁发工程接收证书之日止。</w:t>
      </w:r>
    </w:p>
    <w:p w14:paraId="0035A2F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（2）在承包人负责照管期间，因承包人原因造成工程、材料、工程设备损坏的，由承包人负责修复或更换，并承担由此增加的费用和（或）延误的工期。</w:t>
      </w:r>
    </w:p>
    <w:p w14:paraId="6CECB9B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（3）对合同内分期完成的成品和半成品，在工程接收证书颁发前，由承包人承担保护责任。因承包人原因造成成品或半成品损坏的，由承包人负责修复或更换，并承担由此增加的费用和（或）延误的工期。</w:t>
      </w:r>
    </w:p>
    <w:p w14:paraId="6E720236">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23" w:name="_Toc26510"/>
      <w:bookmarkStart w:id="224" w:name="_Toc1529"/>
      <w:bookmarkStart w:id="225" w:name="_Toc351203525"/>
      <w:r>
        <w:rPr>
          <w:rFonts w:hint="eastAsia" w:ascii="仿宋" w:hAnsi="仿宋" w:eastAsia="仿宋" w:cs="仿宋"/>
          <w:b w:val="0"/>
          <w:color w:val="auto"/>
          <w:sz w:val="24"/>
          <w:szCs w:val="24"/>
        </w:rPr>
        <w:t>3</w:t>
      </w:r>
      <w:bookmarkStart w:id="226" w:name="_Toc337558752"/>
      <w:bookmarkStart w:id="227" w:name="_Toc296346553"/>
      <w:bookmarkStart w:id="228" w:name="_Toc296503052"/>
      <w:r>
        <w:rPr>
          <w:rFonts w:hint="eastAsia" w:ascii="仿宋" w:hAnsi="仿宋" w:eastAsia="仿宋" w:cs="仿宋"/>
          <w:b w:val="0"/>
          <w:color w:val="auto"/>
          <w:sz w:val="24"/>
          <w:szCs w:val="24"/>
        </w:rPr>
        <w:t>.7 履约担保</w:t>
      </w:r>
      <w:bookmarkEnd w:id="223"/>
      <w:bookmarkEnd w:id="224"/>
      <w:bookmarkEnd w:id="225"/>
    </w:p>
    <w:bookmarkEnd w:id="226"/>
    <w:bookmarkEnd w:id="227"/>
    <w:bookmarkEnd w:id="228"/>
    <w:p w14:paraId="426BAB4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发包人需要承包人提供履约担保的，由合同当事人在专用合同条款中约定履约担保的方式、金额及期限等。履约担保可以采用银行保函或担保公司担保等形式，具体由合同当事人在专用合同条款中约定。</w:t>
      </w:r>
    </w:p>
    <w:p w14:paraId="1850F66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因承包人原因导致工期延长的，继续提供履约担保所增加的费用由承包人承担；非因承包人原因导致工期延长的，继续提供履约担保所增加的费用由发包人承担。</w:t>
      </w:r>
    </w:p>
    <w:p w14:paraId="5DC51DC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29" w:name="_Toc13998"/>
      <w:bookmarkStart w:id="230" w:name="_Toc351203526"/>
      <w:bookmarkStart w:id="231" w:name="_Toc21029"/>
      <w:r>
        <w:rPr>
          <w:rFonts w:hint="eastAsia" w:ascii="仿宋" w:hAnsi="仿宋" w:eastAsia="仿宋" w:cs="仿宋"/>
          <w:b w:val="0"/>
          <w:color w:val="auto"/>
          <w:sz w:val="24"/>
          <w:szCs w:val="24"/>
        </w:rPr>
        <w:t>3.8 联合体</w:t>
      </w:r>
      <w:bookmarkEnd w:id="229"/>
      <w:bookmarkEnd w:id="230"/>
      <w:bookmarkEnd w:id="231"/>
    </w:p>
    <w:p w14:paraId="30C2AE9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3.8.1 联合体各方应共同与发包人签订合同协议书。联合体各方应为履行合同向发包人承担连带责任。</w:t>
      </w:r>
    </w:p>
    <w:p w14:paraId="7F08551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3.8.2 联合体协议经发包人确认后作为合同附件。在履行合同过程中，未经发包人同意，不得修改联合体协议。</w:t>
      </w:r>
    </w:p>
    <w:p w14:paraId="7E565CD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3.8.3 联合体牵头人负责与发包人和监理人联系，并接受指示，负责组织联合体各成员全面履行合同。</w:t>
      </w:r>
    </w:p>
    <w:p w14:paraId="48924D29">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232" w:name="_Toc23452"/>
      <w:bookmarkStart w:id="233" w:name="_Toc8668"/>
      <w:bookmarkStart w:id="234" w:name="_Toc351203527"/>
      <w:r>
        <w:rPr>
          <w:rFonts w:hint="eastAsia" w:ascii="仿宋" w:hAnsi="仿宋" w:eastAsia="仿宋" w:cs="仿宋"/>
          <w:b w:val="0"/>
          <w:color w:val="auto"/>
          <w:sz w:val="24"/>
          <w:szCs w:val="24"/>
        </w:rPr>
        <w:t>4</w:t>
      </w:r>
      <w:bookmarkStart w:id="235" w:name="_Toc296503053"/>
      <w:bookmarkStart w:id="236" w:name="_Toc296346554"/>
      <w:bookmarkStart w:id="237" w:name="_Toc337558753"/>
      <w:r>
        <w:rPr>
          <w:rFonts w:hint="eastAsia" w:ascii="仿宋" w:hAnsi="仿宋" w:eastAsia="仿宋" w:cs="仿宋"/>
          <w:b w:val="0"/>
          <w:color w:val="auto"/>
          <w:sz w:val="24"/>
          <w:szCs w:val="24"/>
        </w:rPr>
        <w:t>. 监</w:t>
      </w:r>
      <w:bookmarkEnd w:id="235"/>
      <w:bookmarkEnd w:id="236"/>
      <w:r>
        <w:rPr>
          <w:rFonts w:hint="eastAsia" w:ascii="仿宋" w:hAnsi="仿宋" w:eastAsia="仿宋" w:cs="仿宋"/>
          <w:b w:val="0"/>
          <w:color w:val="auto"/>
          <w:sz w:val="24"/>
          <w:szCs w:val="24"/>
        </w:rPr>
        <w:t>理人</w:t>
      </w:r>
      <w:bookmarkEnd w:id="232"/>
      <w:bookmarkEnd w:id="233"/>
      <w:bookmarkEnd w:id="234"/>
    </w:p>
    <w:bookmarkEnd w:id="237"/>
    <w:p w14:paraId="5FE3F105">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38" w:name="_Toc10871"/>
      <w:bookmarkStart w:id="239" w:name="_Toc351203528"/>
      <w:bookmarkStart w:id="240" w:name="_Toc32151"/>
      <w:r>
        <w:rPr>
          <w:rFonts w:hint="eastAsia" w:ascii="仿宋" w:hAnsi="仿宋" w:eastAsia="仿宋" w:cs="仿宋"/>
          <w:b w:val="0"/>
          <w:color w:val="auto"/>
          <w:sz w:val="24"/>
          <w:szCs w:val="24"/>
        </w:rPr>
        <w:t>4</w:t>
      </w:r>
      <w:bookmarkStart w:id="241" w:name="_Toc296346555"/>
      <w:bookmarkStart w:id="242" w:name="_Toc296503054"/>
      <w:bookmarkStart w:id="243" w:name="_Toc337558754"/>
      <w:r>
        <w:rPr>
          <w:rFonts w:hint="eastAsia" w:ascii="仿宋" w:hAnsi="仿宋" w:eastAsia="仿宋" w:cs="仿宋"/>
          <w:b w:val="0"/>
          <w:color w:val="auto"/>
          <w:sz w:val="24"/>
          <w:szCs w:val="24"/>
        </w:rPr>
        <w:t>.1监理人的一般规定</w:t>
      </w:r>
      <w:bookmarkEnd w:id="238"/>
      <w:bookmarkEnd w:id="239"/>
      <w:bookmarkEnd w:id="240"/>
    </w:p>
    <w:bookmarkEnd w:id="241"/>
    <w:bookmarkEnd w:id="242"/>
    <w:bookmarkEnd w:id="243"/>
    <w:p w14:paraId="0B4E566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3D5124B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除专用合同条款另有约定外，监理人在施工现场的办公场所、生活场所由承包人提供，所发生的费用由发包人承担。</w:t>
      </w:r>
    </w:p>
    <w:p w14:paraId="58D269E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44" w:name="_Toc11283"/>
      <w:bookmarkStart w:id="245" w:name="_Toc351203529"/>
      <w:bookmarkStart w:id="246" w:name="_Toc20037"/>
      <w:r>
        <w:rPr>
          <w:rFonts w:hint="eastAsia" w:ascii="仿宋" w:hAnsi="仿宋" w:eastAsia="仿宋" w:cs="仿宋"/>
          <w:b w:val="0"/>
          <w:color w:val="auto"/>
          <w:sz w:val="24"/>
          <w:szCs w:val="24"/>
        </w:rPr>
        <w:t>4</w:t>
      </w:r>
      <w:bookmarkStart w:id="247" w:name="_Toc337558755"/>
      <w:r>
        <w:rPr>
          <w:rFonts w:hint="eastAsia" w:ascii="仿宋" w:hAnsi="仿宋" w:eastAsia="仿宋" w:cs="仿宋"/>
          <w:b w:val="0"/>
          <w:color w:val="auto"/>
          <w:sz w:val="24"/>
          <w:szCs w:val="24"/>
        </w:rPr>
        <w:t>.2监理人员</w:t>
      </w:r>
      <w:bookmarkEnd w:id="244"/>
      <w:bookmarkEnd w:id="245"/>
      <w:bookmarkEnd w:id="246"/>
    </w:p>
    <w:bookmarkEnd w:id="247"/>
    <w:p w14:paraId="18FB39E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2BCFCD3F">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48" w:name="_Toc3304"/>
      <w:bookmarkStart w:id="249" w:name="_Toc351203530"/>
      <w:bookmarkStart w:id="250" w:name="_Toc15756"/>
      <w:r>
        <w:rPr>
          <w:rFonts w:hint="eastAsia" w:ascii="仿宋" w:hAnsi="仿宋" w:eastAsia="仿宋" w:cs="仿宋"/>
          <w:b w:val="0"/>
          <w:color w:val="auto"/>
          <w:sz w:val="24"/>
          <w:szCs w:val="24"/>
        </w:rPr>
        <w:t>4</w:t>
      </w:r>
      <w:bookmarkStart w:id="251" w:name="_Toc296346556"/>
      <w:bookmarkStart w:id="252" w:name="_Toc296503055"/>
      <w:bookmarkStart w:id="253" w:name="_Toc337558756"/>
      <w:r>
        <w:rPr>
          <w:rFonts w:hint="eastAsia" w:ascii="仿宋" w:hAnsi="仿宋" w:eastAsia="仿宋" w:cs="仿宋"/>
          <w:b w:val="0"/>
          <w:color w:val="auto"/>
          <w:sz w:val="24"/>
          <w:szCs w:val="24"/>
        </w:rPr>
        <w:t>.3</w:t>
      </w:r>
      <w:bookmarkEnd w:id="251"/>
      <w:bookmarkEnd w:id="252"/>
      <w:r>
        <w:rPr>
          <w:rFonts w:hint="eastAsia" w:ascii="仿宋" w:hAnsi="仿宋" w:eastAsia="仿宋" w:cs="仿宋"/>
          <w:b w:val="0"/>
          <w:color w:val="auto"/>
          <w:sz w:val="24"/>
          <w:szCs w:val="24"/>
        </w:rPr>
        <w:t>监理人的指</w:t>
      </w:r>
      <w:bookmarkEnd w:id="253"/>
      <w:r>
        <w:rPr>
          <w:rFonts w:hint="eastAsia" w:ascii="仿宋" w:hAnsi="仿宋" w:eastAsia="仿宋" w:cs="仿宋"/>
          <w:b w:val="0"/>
          <w:color w:val="auto"/>
          <w:sz w:val="24"/>
          <w:szCs w:val="24"/>
        </w:rPr>
        <w:t>示</w:t>
      </w:r>
      <w:bookmarkEnd w:id="248"/>
      <w:bookmarkEnd w:id="249"/>
      <w:bookmarkEnd w:id="250"/>
    </w:p>
    <w:p w14:paraId="6D4740C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7668EF9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6958577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承包人对监理人发出的指示有疑问的，应向监理人提出书面异议，监理人应在48小时内对该指示予以确认、更改或撤销，监理人逾期未回复的，承包人有权拒绝执行上述指示。</w:t>
      </w:r>
    </w:p>
    <w:p w14:paraId="243FB02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监理人对承包人的任何工作、工程或其采用的材料和工程设备未在约定的或合理期限内提出意见的，视为批准，但不免除或减轻承包人对该工作、工程、材料、工程设备等应承担的责任和义务。</w:t>
      </w:r>
    </w:p>
    <w:p w14:paraId="0233BF62">
      <w:pPr>
        <w:pStyle w:val="6"/>
        <w:pageBreakBefore w:val="0"/>
        <w:numPr>
          <w:ilvl w:val="0"/>
          <w:numId w:val="0"/>
        </w:numPr>
        <w:kinsoku/>
        <w:overflowPunct/>
        <w:topLinePunct w:val="0"/>
        <w:bidi w:val="0"/>
        <w:spacing w:before="120" w:after="120" w:line="440" w:lineRule="exact"/>
        <w:rPr>
          <w:rFonts w:hint="eastAsia" w:ascii="仿宋" w:hAnsi="仿宋" w:eastAsia="仿宋" w:cs="仿宋"/>
          <w:b w:val="0"/>
          <w:color w:val="auto"/>
          <w:sz w:val="24"/>
          <w:szCs w:val="24"/>
        </w:rPr>
      </w:pPr>
      <w:bookmarkStart w:id="254" w:name="_Toc20896"/>
      <w:bookmarkStart w:id="255" w:name="_Toc351203531"/>
      <w:bookmarkStart w:id="256" w:name="_Toc31794"/>
      <w:r>
        <w:rPr>
          <w:rFonts w:hint="eastAsia" w:ascii="仿宋" w:hAnsi="仿宋" w:eastAsia="仿宋" w:cs="仿宋"/>
          <w:b w:val="0"/>
          <w:color w:val="auto"/>
          <w:sz w:val="24"/>
          <w:szCs w:val="24"/>
        </w:rPr>
        <w:t>4</w:t>
      </w:r>
      <w:bookmarkStart w:id="257" w:name="_Toc296503057"/>
      <w:bookmarkStart w:id="258" w:name="_Toc296346558"/>
      <w:bookmarkStart w:id="259" w:name="_Toc337558757"/>
      <w:r>
        <w:rPr>
          <w:rFonts w:hint="eastAsia" w:ascii="仿宋" w:hAnsi="仿宋" w:eastAsia="仿宋" w:cs="仿宋"/>
          <w:b w:val="0"/>
          <w:color w:val="auto"/>
          <w:sz w:val="24"/>
          <w:szCs w:val="24"/>
        </w:rPr>
        <w:t>.4 商定或确定</w:t>
      </w:r>
      <w:bookmarkEnd w:id="254"/>
      <w:bookmarkEnd w:id="255"/>
      <w:bookmarkEnd w:id="256"/>
    </w:p>
    <w:bookmarkEnd w:id="257"/>
    <w:bookmarkEnd w:id="258"/>
    <w:bookmarkEnd w:id="259"/>
    <w:p w14:paraId="54F4FC5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合同当事人进行商定或确定时，总监理工程师应当会同合同当事人尽量通过协商达成一致，不能达成一致的，由总监理工程师按照合同约定审慎做出公正的确定。</w:t>
      </w:r>
    </w:p>
    <w:p w14:paraId="57DBD03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14:paraId="340D6405">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260" w:name="_Toc17729"/>
      <w:bookmarkStart w:id="261" w:name="_Toc351203532"/>
      <w:bookmarkStart w:id="262" w:name="_Toc18812"/>
      <w:r>
        <w:rPr>
          <w:rFonts w:hint="eastAsia" w:ascii="仿宋" w:hAnsi="仿宋" w:eastAsia="仿宋" w:cs="仿宋"/>
          <w:b w:val="0"/>
          <w:color w:val="auto"/>
          <w:sz w:val="24"/>
          <w:szCs w:val="24"/>
        </w:rPr>
        <w:t>5</w:t>
      </w:r>
      <w:bookmarkStart w:id="263" w:name="_Toc337558758"/>
      <w:r>
        <w:rPr>
          <w:rFonts w:hint="eastAsia" w:ascii="仿宋" w:hAnsi="仿宋" w:eastAsia="仿宋" w:cs="仿宋"/>
          <w:b w:val="0"/>
          <w:color w:val="auto"/>
          <w:sz w:val="24"/>
          <w:szCs w:val="24"/>
        </w:rPr>
        <w:t>. 工程质量</w:t>
      </w:r>
      <w:bookmarkEnd w:id="260"/>
      <w:bookmarkEnd w:id="261"/>
      <w:bookmarkEnd w:id="262"/>
    </w:p>
    <w:bookmarkEnd w:id="263"/>
    <w:p w14:paraId="4B5B640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64" w:name="_Toc351203533"/>
      <w:bookmarkStart w:id="265" w:name="_Toc32431"/>
      <w:bookmarkStart w:id="266" w:name="_Toc31195"/>
      <w:r>
        <w:rPr>
          <w:rFonts w:hint="eastAsia" w:ascii="仿宋" w:hAnsi="仿宋" w:eastAsia="仿宋" w:cs="仿宋"/>
          <w:b w:val="0"/>
          <w:color w:val="auto"/>
          <w:sz w:val="24"/>
          <w:szCs w:val="24"/>
        </w:rPr>
        <w:t>5</w:t>
      </w:r>
      <w:bookmarkStart w:id="267" w:name="_Toc337558759"/>
      <w:r>
        <w:rPr>
          <w:rFonts w:hint="eastAsia" w:ascii="仿宋" w:hAnsi="仿宋" w:eastAsia="仿宋" w:cs="仿宋"/>
          <w:b w:val="0"/>
          <w:color w:val="auto"/>
          <w:sz w:val="24"/>
          <w:szCs w:val="24"/>
        </w:rPr>
        <w:t>.1质量要求</w:t>
      </w:r>
      <w:bookmarkEnd w:id="264"/>
      <w:bookmarkEnd w:id="265"/>
      <w:bookmarkEnd w:id="266"/>
    </w:p>
    <w:bookmarkEnd w:id="267"/>
    <w:p w14:paraId="60BA340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5.1.1 工程质量标准必须符合现行国家有关工程施工质量验收规范和标准的要求。有关工程质量的特殊标准或要求由合同当事人在专用合同条款中约定。</w:t>
      </w:r>
    </w:p>
    <w:p w14:paraId="0163338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5.1.2 因发包人原因造成工程质量未达到合同约定标准的，由发包人承担由此增加的费用和（或）延误的工期，并支付承包人合理的利润。</w:t>
      </w:r>
    </w:p>
    <w:p w14:paraId="17137B3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5.1.3 因承包人原因造成工程质量未达到合同约定标准的，发包人有权要求承包人返工直至工程质量达到合同约定的标准为止，并由承包人承担由此增加的费用和（或）延误的工期。</w:t>
      </w:r>
    </w:p>
    <w:p w14:paraId="502D3EE8">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68" w:name="_Toc351203534"/>
      <w:bookmarkStart w:id="269" w:name="_Toc17468"/>
      <w:bookmarkStart w:id="270" w:name="_Toc18532"/>
      <w:r>
        <w:rPr>
          <w:rFonts w:hint="eastAsia" w:ascii="仿宋" w:hAnsi="仿宋" w:eastAsia="仿宋" w:cs="仿宋"/>
          <w:b w:val="0"/>
          <w:color w:val="auto"/>
          <w:sz w:val="24"/>
          <w:szCs w:val="24"/>
        </w:rPr>
        <w:t>5</w:t>
      </w:r>
      <w:bookmarkStart w:id="271" w:name="_Toc337558760"/>
      <w:r>
        <w:rPr>
          <w:rFonts w:hint="eastAsia" w:ascii="仿宋" w:hAnsi="仿宋" w:eastAsia="仿宋" w:cs="仿宋"/>
          <w:b w:val="0"/>
          <w:color w:val="auto"/>
          <w:sz w:val="24"/>
          <w:szCs w:val="24"/>
        </w:rPr>
        <w:t>.2质量保证措施</w:t>
      </w:r>
      <w:bookmarkEnd w:id="268"/>
      <w:bookmarkEnd w:id="269"/>
      <w:bookmarkEnd w:id="270"/>
    </w:p>
    <w:bookmarkEnd w:id="271"/>
    <w:p w14:paraId="2C7F614B">
      <w:pPr>
        <w:pageBreakBefore w:val="0"/>
        <w:kinsoku/>
        <w:overflowPunct/>
        <w:topLinePunct w:val="0"/>
        <w:autoSpaceDE w:val="0"/>
        <w:autoSpaceDN w:val="0"/>
        <w:bidi w:val="0"/>
        <w:adjustRightInd w:val="0"/>
        <w:spacing w:line="440" w:lineRule="exact"/>
        <w:ind w:firstLine="480" w:firstLineChars="200"/>
        <w:jc w:val="left"/>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5.2.1 发包人的质量管理</w:t>
      </w:r>
    </w:p>
    <w:p w14:paraId="6A01AC4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发包人应按照法律规定及合同约定完成与工程质量有关的各项工作。</w:t>
      </w:r>
    </w:p>
    <w:p w14:paraId="1F28F43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5.2.2 承包人的质量管理</w:t>
      </w:r>
    </w:p>
    <w:p w14:paraId="730B749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7ABA4BE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承包人应对施工人员进行质量教育和技术培训，定期考核施工人员的劳动技能，严格执行施工规范和操作规程。</w:t>
      </w:r>
    </w:p>
    <w:p w14:paraId="536300A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0BBDAAFC">
      <w:pPr>
        <w:pageBreakBefore w:val="0"/>
        <w:kinsoku/>
        <w:overflowPunct/>
        <w:topLinePunct w:val="0"/>
        <w:autoSpaceDE w:val="0"/>
        <w:autoSpaceDN w:val="0"/>
        <w:bidi w:val="0"/>
        <w:adjustRightInd w:val="0"/>
        <w:spacing w:line="440" w:lineRule="exact"/>
        <w:ind w:firstLine="480" w:firstLineChars="200"/>
        <w:jc w:val="left"/>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5.2.3 监理人的质量检查和检验</w:t>
      </w:r>
    </w:p>
    <w:p w14:paraId="72EBD35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5C7FDAA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6A9BF62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72" w:name="_Toc351203535"/>
      <w:bookmarkStart w:id="273" w:name="_Toc12406"/>
      <w:bookmarkStart w:id="274" w:name="_Toc9744"/>
      <w:r>
        <w:rPr>
          <w:rFonts w:hint="eastAsia" w:ascii="仿宋" w:hAnsi="仿宋" w:eastAsia="仿宋" w:cs="仿宋"/>
          <w:b w:val="0"/>
          <w:color w:val="auto"/>
          <w:sz w:val="24"/>
          <w:szCs w:val="24"/>
        </w:rPr>
        <w:t>5</w:t>
      </w:r>
      <w:bookmarkStart w:id="275" w:name="_Toc337558761"/>
      <w:r>
        <w:rPr>
          <w:rFonts w:hint="eastAsia" w:ascii="仿宋" w:hAnsi="仿宋" w:eastAsia="仿宋" w:cs="仿宋"/>
          <w:b w:val="0"/>
          <w:color w:val="auto"/>
          <w:sz w:val="24"/>
          <w:szCs w:val="24"/>
        </w:rPr>
        <w:t>.3 隐蔽工程检查</w:t>
      </w:r>
      <w:bookmarkEnd w:id="272"/>
      <w:bookmarkEnd w:id="273"/>
      <w:bookmarkEnd w:id="274"/>
    </w:p>
    <w:bookmarkEnd w:id="275"/>
    <w:p w14:paraId="6879DC7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5.3.1承包人自检</w:t>
      </w:r>
    </w:p>
    <w:p w14:paraId="6445A42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承包人应当对工程隐蔽部位进行自检，并经自检确认是否具备覆盖条件。</w:t>
      </w:r>
    </w:p>
    <w:p w14:paraId="2A0683A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5.3.2检查程序</w:t>
      </w:r>
    </w:p>
    <w:p w14:paraId="6052E17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14:paraId="4123461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0238748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14:paraId="46C0C6C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5.3.3 重新检查</w:t>
      </w:r>
    </w:p>
    <w:p w14:paraId="6F82DBC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2E83C23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5.3.4 承包人私自覆盖</w:t>
      </w:r>
    </w:p>
    <w:p w14:paraId="3962F65D">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承包人未通知监理人到场检查，私自将工程隐蔽部位覆盖的，监理人有权指示承包人钻孔探测或揭开检查，无论工程隐蔽部位质量是否合格，由此增加的费用和（或）延误的工期均由承包人承担。</w:t>
      </w:r>
    </w:p>
    <w:p w14:paraId="6C9138F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76" w:name="_Toc351203536"/>
      <w:bookmarkStart w:id="277" w:name="_Toc866"/>
      <w:bookmarkStart w:id="278" w:name="_Toc6963"/>
      <w:r>
        <w:rPr>
          <w:rFonts w:hint="eastAsia" w:ascii="仿宋" w:hAnsi="仿宋" w:eastAsia="仿宋" w:cs="仿宋"/>
          <w:b w:val="0"/>
          <w:color w:val="auto"/>
          <w:sz w:val="24"/>
          <w:szCs w:val="24"/>
        </w:rPr>
        <w:t>5</w:t>
      </w:r>
      <w:bookmarkStart w:id="279" w:name="_Toc337558762"/>
      <w:r>
        <w:rPr>
          <w:rFonts w:hint="eastAsia" w:ascii="仿宋" w:hAnsi="仿宋" w:eastAsia="仿宋" w:cs="仿宋"/>
          <w:b w:val="0"/>
          <w:color w:val="auto"/>
          <w:sz w:val="24"/>
          <w:szCs w:val="24"/>
        </w:rPr>
        <w:t>.4不合格工程的处理</w:t>
      </w:r>
      <w:bookmarkEnd w:id="276"/>
      <w:bookmarkEnd w:id="277"/>
      <w:bookmarkEnd w:id="278"/>
    </w:p>
    <w:bookmarkEnd w:id="279"/>
    <w:p w14:paraId="6FA332B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14:paraId="2D55D2F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5.4.2 因发包人原因造成工程不合格的，由此增加的费用和（或）延误的工期由发包人承担，并支付承包人合理的利润。</w:t>
      </w:r>
    </w:p>
    <w:p w14:paraId="21E9D0BF">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80" w:name="_Toc28859"/>
      <w:bookmarkStart w:id="281" w:name="_Toc351203537"/>
      <w:bookmarkStart w:id="282" w:name="_Toc20973"/>
      <w:r>
        <w:rPr>
          <w:rFonts w:hint="eastAsia" w:ascii="仿宋" w:hAnsi="仿宋" w:eastAsia="仿宋" w:cs="仿宋"/>
          <w:b w:val="0"/>
          <w:color w:val="auto"/>
          <w:sz w:val="24"/>
          <w:szCs w:val="24"/>
        </w:rPr>
        <w:t>5.5 质量争议检测</w:t>
      </w:r>
      <w:bookmarkEnd w:id="280"/>
      <w:bookmarkEnd w:id="281"/>
      <w:bookmarkEnd w:id="282"/>
    </w:p>
    <w:p w14:paraId="541F2FB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合同当事人对工程质量有争议的，由双方协商确定的工程质量检测机构鉴定，由此产生的费用及因此造成的损失，由责任方承担。</w:t>
      </w:r>
    </w:p>
    <w:p w14:paraId="1C64B171">
      <w:pPr>
        <w:pageBreakBefore w:val="0"/>
        <w:kinsoku/>
        <w:overflowPunct/>
        <w:topLinePunct w:val="0"/>
        <w:autoSpaceDE w:val="0"/>
        <w:autoSpaceDN w:val="0"/>
        <w:bidi w:val="0"/>
        <w:adjustRightInd w:val="0"/>
        <w:spacing w:line="44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合同当事人均有责任的，由双方根据其责任分别承担。合同当事人无法达成一致的，按照第4.4款〔商定或确定〕执行。</w:t>
      </w:r>
    </w:p>
    <w:p w14:paraId="093E8D0A">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283" w:name="_Toc9716"/>
      <w:bookmarkStart w:id="284" w:name="_Toc27913"/>
      <w:bookmarkStart w:id="285" w:name="_Toc351203538"/>
      <w:r>
        <w:rPr>
          <w:rFonts w:hint="eastAsia" w:ascii="仿宋" w:hAnsi="仿宋" w:eastAsia="仿宋" w:cs="仿宋"/>
          <w:b w:val="0"/>
          <w:color w:val="auto"/>
          <w:sz w:val="24"/>
          <w:szCs w:val="24"/>
        </w:rPr>
        <w:t>6</w:t>
      </w:r>
      <w:bookmarkStart w:id="286" w:name="_Toc337558763"/>
      <w:r>
        <w:rPr>
          <w:rFonts w:hint="eastAsia" w:ascii="仿宋" w:hAnsi="仿宋" w:eastAsia="仿宋" w:cs="仿宋"/>
          <w:b w:val="0"/>
          <w:color w:val="auto"/>
          <w:sz w:val="24"/>
          <w:szCs w:val="24"/>
        </w:rPr>
        <w:t>. 安全文明施工与环境保护</w:t>
      </w:r>
      <w:bookmarkEnd w:id="283"/>
      <w:bookmarkEnd w:id="284"/>
      <w:bookmarkEnd w:id="285"/>
    </w:p>
    <w:bookmarkEnd w:id="286"/>
    <w:p w14:paraId="2FEB15F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87" w:name="_Toc3808"/>
      <w:bookmarkStart w:id="288" w:name="_Toc20827"/>
      <w:bookmarkStart w:id="289" w:name="_Toc351203539"/>
      <w:r>
        <w:rPr>
          <w:rFonts w:hint="eastAsia" w:ascii="仿宋" w:hAnsi="仿宋" w:eastAsia="仿宋" w:cs="仿宋"/>
          <w:b w:val="0"/>
          <w:color w:val="auto"/>
          <w:sz w:val="24"/>
          <w:szCs w:val="24"/>
        </w:rPr>
        <w:t>6</w:t>
      </w:r>
      <w:bookmarkStart w:id="290" w:name="_Toc337558764"/>
      <w:r>
        <w:rPr>
          <w:rFonts w:hint="eastAsia" w:ascii="仿宋" w:hAnsi="仿宋" w:eastAsia="仿宋" w:cs="仿宋"/>
          <w:b w:val="0"/>
          <w:color w:val="auto"/>
          <w:sz w:val="24"/>
          <w:szCs w:val="24"/>
        </w:rPr>
        <w:t>.1安全文明施工</w:t>
      </w:r>
      <w:bookmarkEnd w:id="287"/>
      <w:bookmarkEnd w:id="288"/>
      <w:bookmarkEnd w:id="289"/>
    </w:p>
    <w:bookmarkEnd w:id="290"/>
    <w:p w14:paraId="2835C20D">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6.1.1安全生产要求</w:t>
      </w:r>
    </w:p>
    <w:p w14:paraId="0996E177">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5B4AC75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在施工过程中，如遇到突发的地质变动、事先未知的地下施工障碍等影响施工安全的紧急情况，承包人应及时报告监理人和发包人，发包人应当及时下令停工并报</w:t>
      </w:r>
      <w:r>
        <w:rPr>
          <w:rFonts w:hint="eastAsia" w:ascii="仿宋" w:hAnsi="仿宋" w:eastAsia="仿宋" w:cs="仿宋"/>
          <w:color w:val="auto"/>
          <w:kern w:val="0"/>
          <w:sz w:val="24"/>
          <w:szCs w:val="24"/>
        </w:rPr>
        <w:t>政府有关行政管理部门</w:t>
      </w:r>
      <w:r>
        <w:rPr>
          <w:rFonts w:hint="eastAsia" w:ascii="仿宋" w:hAnsi="仿宋" w:eastAsia="仿宋" w:cs="仿宋"/>
          <w:color w:val="auto"/>
          <w:sz w:val="24"/>
          <w:szCs w:val="24"/>
        </w:rPr>
        <w:t>采取应急措施。</w:t>
      </w:r>
    </w:p>
    <w:p w14:paraId="70B12561">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因安全生产需要暂停施工的，按照第7.8款〔暂停施工〕的约定执行。</w:t>
      </w:r>
    </w:p>
    <w:p w14:paraId="41F28D66">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6.1.2 安全生产保证措施</w:t>
      </w:r>
    </w:p>
    <w:p w14:paraId="2249A52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承包人应当按照有关</w:t>
      </w:r>
      <w:r>
        <w:rPr>
          <w:rFonts w:hint="eastAsia" w:ascii="仿宋" w:hAnsi="仿宋" w:eastAsia="仿宋" w:cs="仿宋"/>
          <w:color w:val="auto"/>
          <w:kern w:val="0"/>
          <w:sz w:val="24"/>
          <w:szCs w:val="24"/>
        </w:rPr>
        <w:t>规定编制安全技术措施或者专项施工方案，</w:t>
      </w:r>
      <w:r>
        <w:rPr>
          <w:rFonts w:hint="eastAsia" w:ascii="仿宋" w:hAnsi="仿宋" w:eastAsia="仿宋" w:cs="仿宋"/>
          <w:color w:val="auto"/>
          <w:sz w:val="24"/>
          <w:szCs w:val="24"/>
        </w:rPr>
        <w:t>建立安全生产责任制度、治安保卫制度及安全生产教育培训制度，并</w:t>
      </w:r>
      <w:r>
        <w:rPr>
          <w:rFonts w:hint="eastAsia" w:ascii="仿宋" w:hAnsi="仿宋" w:eastAsia="仿宋" w:cs="仿宋"/>
          <w:color w:val="auto"/>
          <w:kern w:val="0"/>
          <w:sz w:val="24"/>
          <w:szCs w:val="24"/>
        </w:rPr>
        <w:t>按安全生产法律规定及合同约定履行安全职责，如实</w:t>
      </w:r>
      <w:r>
        <w:rPr>
          <w:rFonts w:hint="eastAsia" w:ascii="仿宋" w:hAnsi="仿宋" w:eastAsia="仿宋" w:cs="仿宋"/>
          <w:color w:val="auto"/>
          <w:sz w:val="24"/>
          <w:szCs w:val="24"/>
        </w:rPr>
        <w:t>编制工程安全生产的有关记录，</w:t>
      </w:r>
      <w:r>
        <w:rPr>
          <w:rFonts w:hint="eastAsia" w:ascii="仿宋" w:hAnsi="仿宋" w:eastAsia="仿宋" w:cs="仿宋"/>
          <w:color w:val="auto"/>
          <w:kern w:val="0"/>
          <w:sz w:val="24"/>
          <w:szCs w:val="24"/>
        </w:rPr>
        <w:t>接受发包人、监理人及政府安全监督部门的检查与监督。</w:t>
      </w:r>
    </w:p>
    <w:p w14:paraId="3D7FA7E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6.1.3特别安全生产事项</w:t>
      </w:r>
    </w:p>
    <w:p w14:paraId="3B9EEB6C">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1FBEB71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承包人在动力设备、输电线路、地下管道、密封防震车间、易燃易爆地段以及临街交通要道附近施工时，施工开始前应向发包人和监理人提出安全防护措施，经发包人认可后实施。 </w:t>
      </w:r>
    </w:p>
    <w:p w14:paraId="6CC9AE4C">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实施爆破作业，在放射、毒害性环境中施工（含储存、运输、使用）及使用毒害性、腐蚀性物品施工时，承包人应在施工前7天以书面通知发包人和监理人，并报送相应的安全防护措施，经发包人认可后实施。</w:t>
      </w:r>
    </w:p>
    <w:p w14:paraId="24E44855">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需单独编制危险性较大分部分项专项工程施工方案的，及要求进行专家论证的超过一定规模的危险性较大的分部分项工程，承包人应及时编制和组织论证。</w:t>
      </w:r>
    </w:p>
    <w:p w14:paraId="5FE8053D">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6.1.4 治安保卫</w:t>
      </w:r>
    </w:p>
    <w:p w14:paraId="66CF30C7">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除专用合同条款另有约定外，发包人应与当地公安部门协商，在现场建立治安管理机构或联防组织，统一管理施工场地的治安保卫事项，履行合同工程的治安保卫职责。</w:t>
      </w:r>
    </w:p>
    <w:p w14:paraId="3FF6ACAE">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发包人和承包人除应协助现场治安管理机构或联防组织维护施工场地的社会治安外，还应做好包括生活区在内的各自管辖区的治安保卫工作。</w:t>
      </w:r>
    </w:p>
    <w:p w14:paraId="1B615085">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31E2110B">
      <w:pPr>
        <w:pageBreakBefore w:val="0"/>
        <w:kinsoku/>
        <w:overflowPunct/>
        <w:topLinePunct w:val="0"/>
        <w:bidi w:val="0"/>
        <w:spacing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6.1.5 文明施工</w:t>
      </w:r>
    </w:p>
    <w:p w14:paraId="01A7A90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5153FF0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259B91E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6.1.6 安全文明施工费</w:t>
      </w:r>
    </w:p>
    <w:p w14:paraId="263F142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安全文明施工费由发包人承担，发包人不得以任何形式扣减该部分费用。因基准日期后合同所适用的法律或政府有关规定发生变化，增加的安全文明施工费由发包人承担。</w:t>
      </w:r>
    </w:p>
    <w:p w14:paraId="789148D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1FD2AE4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14:paraId="00E7292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3377518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6.1.7 紧急情况处理</w:t>
      </w:r>
    </w:p>
    <w:p w14:paraId="5AA00B1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1BEA8B1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6.1.8 事故处理</w:t>
      </w:r>
    </w:p>
    <w:p w14:paraId="2C15BAE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279CA53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6.1.9 安全生产责任</w:t>
      </w:r>
    </w:p>
    <w:p w14:paraId="6EB3E91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6.1.9.1 发包人的安全责任</w:t>
      </w:r>
    </w:p>
    <w:p w14:paraId="168A703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发包人应负责赔偿以下各种情况造成的损失：</w:t>
      </w:r>
    </w:p>
    <w:p w14:paraId="57BD1BB0">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（1）工程或工程的任何部分对土地的占用所造成的第三者财产损失；</w:t>
      </w:r>
    </w:p>
    <w:p w14:paraId="7D5299A4">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（2）由于发包人原因在施工场地及其毗邻地带造成的第三者人身伤亡和财产损失；</w:t>
      </w:r>
    </w:p>
    <w:p w14:paraId="703D829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（3）由于发包人原因对承包人、监理人造成的人员人身伤亡和财产损失；</w:t>
      </w:r>
    </w:p>
    <w:p w14:paraId="7A8AD17C">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（4）由于发包人原因造成的发包人自身人员的人身伤害以及财产损失。</w:t>
      </w:r>
    </w:p>
    <w:p w14:paraId="1DC2F01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6.1.9.2 承包人的安全责任</w:t>
      </w:r>
    </w:p>
    <w:p w14:paraId="472658D5">
      <w:pPr>
        <w:pageBreakBefore w:val="0"/>
        <w:kinsoku/>
        <w:overflowPunct/>
        <w:topLinePunct w:val="0"/>
        <w:bidi w:val="0"/>
        <w:spacing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由于承包人原因在施工场地内及其毗邻地带造成的发包人、监理人以及第三者人员伤亡和财产损失，由承包人负责赔偿。</w:t>
      </w:r>
    </w:p>
    <w:p w14:paraId="79B6B17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91" w:name="_Toc25956"/>
      <w:bookmarkStart w:id="292" w:name="_Toc351203540"/>
      <w:bookmarkStart w:id="293" w:name="_Toc31942"/>
      <w:r>
        <w:rPr>
          <w:rFonts w:hint="eastAsia" w:ascii="仿宋" w:hAnsi="仿宋" w:eastAsia="仿宋" w:cs="仿宋"/>
          <w:b w:val="0"/>
          <w:color w:val="auto"/>
          <w:sz w:val="24"/>
          <w:szCs w:val="24"/>
        </w:rPr>
        <w:t>6</w:t>
      </w:r>
      <w:bookmarkStart w:id="294" w:name="_Toc337558765"/>
      <w:r>
        <w:rPr>
          <w:rFonts w:hint="eastAsia" w:ascii="仿宋" w:hAnsi="仿宋" w:eastAsia="仿宋" w:cs="仿宋"/>
          <w:b w:val="0"/>
          <w:color w:val="auto"/>
          <w:sz w:val="24"/>
          <w:szCs w:val="24"/>
        </w:rPr>
        <w:t>.2 职业健康</w:t>
      </w:r>
      <w:bookmarkEnd w:id="291"/>
      <w:bookmarkEnd w:id="292"/>
      <w:bookmarkEnd w:id="293"/>
    </w:p>
    <w:bookmarkEnd w:id="294"/>
    <w:p w14:paraId="5151D04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6.2.1 劳动保护</w:t>
      </w:r>
    </w:p>
    <w:p w14:paraId="306FAA9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4F091EE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35EAB4D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承包人应按法律规定安排工作时间，保证其雇佣人员享有休息和休假的权利。因工程施工的特殊需要占用休假日或延长工作时间的，应不超过法律规定的限度，并按法律规定给予补休或付酬。</w:t>
      </w:r>
    </w:p>
    <w:p w14:paraId="4739298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6.2.2 生活条件</w:t>
      </w:r>
    </w:p>
    <w:p w14:paraId="55FB8FD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31D467E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295" w:name="_Toc12743"/>
      <w:bookmarkStart w:id="296" w:name="_Toc351203541"/>
      <w:bookmarkStart w:id="297" w:name="_Toc7102"/>
      <w:r>
        <w:rPr>
          <w:rFonts w:hint="eastAsia" w:ascii="仿宋" w:hAnsi="仿宋" w:eastAsia="仿宋" w:cs="仿宋"/>
          <w:b w:val="0"/>
          <w:color w:val="auto"/>
          <w:sz w:val="24"/>
          <w:szCs w:val="24"/>
        </w:rPr>
        <w:t>6</w:t>
      </w:r>
      <w:bookmarkStart w:id="298" w:name="_Toc337558766"/>
      <w:r>
        <w:rPr>
          <w:rFonts w:hint="eastAsia" w:ascii="仿宋" w:hAnsi="仿宋" w:eastAsia="仿宋" w:cs="仿宋"/>
          <w:b w:val="0"/>
          <w:color w:val="auto"/>
          <w:sz w:val="24"/>
          <w:szCs w:val="24"/>
        </w:rPr>
        <w:t>.3 环境保护</w:t>
      </w:r>
      <w:bookmarkEnd w:id="295"/>
      <w:bookmarkEnd w:id="296"/>
      <w:bookmarkEnd w:id="297"/>
    </w:p>
    <w:bookmarkEnd w:id="298"/>
    <w:p w14:paraId="697EC7B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29BE66D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承包人应当承担因其原因引起的环境污染侵权损害赔偿责任，因上述环境污染引起纠纷而导致暂停施工的，由此增加的费用和（或）延误的工期由承包人承担。</w:t>
      </w:r>
    </w:p>
    <w:p w14:paraId="29A62A8B">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299" w:name="_Toc27609"/>
      <w:bookmarkStart w:id="300" w:name="_Toc28106"/>
      <w:bookmarkStart w:id="301" w:name="_Toc351203542"/>
      <w:r>
        <w:rPr>
          <w:rFonts w:hint="eastAsia" w:ascii="仿宋" w:hAnsi="仿宋" w:eastAsia="仿宋" w:cs="仿宋"/>
          <w:b w:val="0"/>
          <w:color w:val="auto"/>
          <w:sz w:val="24"/>
          <w:szCs w:val="24"/>
        </w:rPr>
        <w:t>7</w:t>
      </w:r>
      <w:bookmarkStart w:id="302" w:name="_Toc337558767"/>
      <w:r>
        <w:rPr>
          <w:rFonts w:hint="eastAsia" w:ascii="仿宋" w:hAnsi="仿宋" w:eastAsia="仿宋" w:cs="仿宋"/>
          <w:b w:val="0"/>
          <w:color w:val="auto"/>
          <w:sz w:val="24"/>
          <w:szCs w:val="24"/>
        </w:rPr>
        <w:t>. 工期和进度</w:t>
      </w:r>
      <w:bookmarkEnd w:id="299"/>
      <w:bookmarkEnd w:id="300"/>
      <w:bookmarkEnd w:id="301"/>
    </w:p>
    <w:bookmarkEnd w:id="302"/>
    <w:p w14:paraId="0615BC0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03" w:name="_Toc4078"/>
      <w:bookmarkStart w:id="304" w:name="_Toc351203543"/>
      <w:bookmarkStart w:id="305" w:name="_Toc29395"/>
      <w:r>
        <w:rPr>
          <w:rFonts w:hint="eastAsia" w:ascii="仿宋" w:hAnsi="仿宋" w:eastAsia="仿宋" w:cs="仿宋"/>
          <w:b w:val="0"/>
          <w:color w:val="auto"/>
          <w:sz w:val="24"/>
          <w:szCs w:val="24"/>
        </w:rPr>
        <w:t>7</w:t>
      </w:r>
      <w:bookmarkStart w:id="306" w:name="_Toc337558768"/>
      <w:bookmarkStart w:id="307" w:name="_Toc296346567"/>
      <w:bookmarkStart w:id="308" w:name="_Toc296503066"/>
      <w:r>
        <w:rPr>
          <w:rFonts w:hint="eastAsia" w:ascii="仿宋" w:hAnsi="仿宋" w:eastAsia="仿宋" w:cs="仿宋"/>
          <w:b w:val="0"/>
          <w:color w:val="auto"/>
          <w:sz w:val="24"/>
          <w:szCs w:val="24"/>
        </w:rPr>
        <w:t>.1施工组织设计</w:t>
      </w:r>
      <w:bookmarkEnd w:id="303"/>
      <w:bookmarkEnd w:id="304"/>
      <w:bookmarkEnd w:id="305"/>
    </w:p>
    <w:bookmarkEnd w:id="306"/>
    <w:p w14:paraId="1DFCCC2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 xml:space="preserve">7.1.1 </w:t>
      </w:r>
      <w:r>
        <w:rPr>
          <w:rFonts w:hint="eastAsia" w:ascii="仿宋" w:hAnsi="仿宋" w:eastAsia="仿宋" w:cs="仿宋"/>
          <w:color w:val="auto"/>
          <w:kern w:val="0"/>
          <w:sz w:val="24"/>
          <w:szCs w:val="24"/>
        </w:rPr>
        <w:t>施工组织设计的内容</w:t>
      </w:r>
    </w:p>
    <w:p w14:paraId="387C94E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施工组织设计应包含以下内容：</w:t>
      </w:r>
    </w:p>
    <w:p w14:paraId="6D2F038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（1）施工方案； </w:t>
      </w:r>
    </w:p>
    <w:p w14:paraId="205FFBE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（2）施工现场平面布置图；</w:t>
      </w:r>
    </w:p>
    <w:p w14:paraId="7772FD9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（3）施工进度计划和保证措施； </w:t>
      </w:r>
    </w:p>
    <w:p w14:paraId="159C154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（4）劳动力及材料供应计划；</w:t>
      </w:r>
    </w:p>
    <w:p w14:paraId="40F47AB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（5）施工机械设备的选用；</w:t>
      </w:r>
    </w:p>
    <w:p w14:paraId="4090DDE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（6）质量保证体系及措施；</w:t>
      </w:r>
    </w:p>
    <w:p w14:paraId="283C405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（7）安全生产、文明施工措施；</w:t>
      </w:r>
    </w:p>
    <w:p w14:paraId="6C66F52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（8）环境保护、成本控制措施；</w:t>
      </w:r>
    </w:p>
    <w:p w14:paraId="4A655D1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（9）合同当事人约定的其他内容。</w:t>
      </w:r>
    </w:p>
    <w:p w14:paraId="032D2B2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 xml:space="preserve">7.1.2 </w:t>
      </w:r>
      <w:r>
        <w:rPr>
          <w:rFonts w:hint="eastAsia" w:ascii="仿宋" w:hAnsi="仿宋" w:eastAsia="仿宋" w:cs="仿宋"/>
          <w:color w:val="auto"/>
          <w:kern w:val="0"/>
          <w:sz w:val="24"/>
          <w:szCs w:val="24"/>
        </w:rPr>
        <w:t>施工组织设计的提交和修改</w:t>
      </w:r>
    </w:p>
    <w:p w14:paraId="3D1CC92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0BBA72A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施工进度计划的编制和修改按照第7.2款〔施工进度计划〕执行。</w:t>
      </w:r>
    </w:p>
    <w:p w14:paraId="28E6874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09" w:name="_Toc15620"/>
      <w:bookmarkStart w:id="310" w:name="_Toc5528"/>
      <w:bookmarkStart w:id="311" w:name="_Toc351203544"/>
      <w:r>
        <w:rPr>
          <w:rFonts w:hint="eastAsia" w:ascii="仿宋" w:hAnsi="仿宋" w:eastAsia="仿宋" w:cs="仿宋"/>
          <w:b w:val="0"/>
          <w:color w:val="auto"/>
          <w:sz w:val="24"/>
          <w:szCs w:val="24"/>
        </w:rPr>
        <w:t>7</w:t>
      </w:r>
      <w:bookmarkStart w:id="312" w:name="_Toc337558769"/>
      <w:r>
        <w:rPr>
          <w:rFonts w:hint="eastAsia" w:ascii="仿宋" w:hAnsi="仿宋" w:eastAsia="仿宋" w:cs="仿宋"/>
          <w:b w:val="0"/>
          <w:color w:val="auto"/>
          <w:sz w:val="24"/>
          <w:szCs w:val="24"/>
        </w:rPr>
        <w:t>.2 施工进度计划</w:t>
      </w:r>
      <w:bookmarkEnd w:id="309"/>
      <w:bookmarkEnd w:id="310"/>
      <w:bookmarkEnd w:id="311"/>
    </w:p>
    <w:bookmarkEnd w:id="312"/>
    <w:p w14:paraId="29A2B37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7.2.1 施工进度计划的编制</w:t>
      </w:r>
    </w:p>
    <w:p w14:paraId="71911D8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61CBB60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7.2.2 施工进度计划的修订</w:t>
      </w:r>
    </w:p>
    <w:p w14:paraId="7379061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6410423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13" w:name="_Toc24966"/>
      <w:bookmarkStart w:id="314" w:name="_Toc1281"/>
      <w:bookmarkStart w:id="315" w:name="_Toc351203545"/>
      <w:r>
        <w:rPr>
          <w:rFonts w:hint="eastAsia" w:ascii="仿宋" w:hAnsi="仿宋" w:eastAsia="仿宋" w:cs="仿宋"/>
          <w:b w:val="0"/>
          <w:color w:val="auto"/>
          <w:sz w:val="24"/>
          <w:szCs w:val="24"/>
        </w:rPr>
        <w:t>7</w:t>
      </w:r>
      <w:bookmarkStart w:id="316" w:name="_Toc337558770"/>
      <w:r>
        <w:rPr>
          <w:rFonts w:hint="eastAsia" w:ascii="仿宋" w:hAnsi="仿宋" w:eastAsia="仿宋" w:cs="仿宋"/>
          <w:b w:val="0"/>
          <w:color w:val="auto"/>
          <w:sz w:val="24"/>
          <w:szCs w:val="24"/>
        </w:rPr>
        <w:t>.3 开工</w:t>
      </w:r>
      <w:bookmarkEnd w:id="313"/>
      <w:bookmarkEnd w:id="314"/>
      <w:bookmarkEnd w:id="315"/>
    </w:p>
    <w:p w14:paraId="4B040791">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kern w:val="0"/>
          <w:sz w:val="24"/>
          <w:szCs w:val="24"/>
        </w:rPr>
        <w:t>7.3.1 开工准备</w:t>
      </w:r>
    </w:p>
    <w:p w14:paraId="4531A9E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6D25E21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除专用合同条款另有约定外，合同当事人应按约定完成开工准备工作。</w:t>
      </w:r>
    </w:p>
    <w:p w14:paraId="732AB29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7.3.2 开工通知</w:t>
      </w:r>
    </w:p>
    <w:bookmarkEnd w:id="316"/>
    <w:p w14:paraId="6B63E9F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14E11D2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5890095A">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17" w:name="_Toc11661"/>
      <w:bookmarkStart w:id="318" w:name="_Toc17256"/>
      <w:bookmarkStart w:id="319" w:name="_Toc351203546"/>
      <w:r>
        <w:rPr>
          <w:rFonts w:hint="eastAsia" w:ascii="仿宋" w:hAnsi="仿宋" w:eastAsia="仿宋" w:cs="仿宋"/>
          <w:b w:val="0"/>
          <w:color w:val="auto"/>
          <w:sz w:val="24"/>
          <w:szCs w:val="24"/>
        </w:rPr>
        <w:t>7.4测量放线</w:t>
      </w:r>
      <w:bookmarkEnd w:id="317"/>
      <w:bookmarkEnd w:id="318"/>
      <w:bookmarkEnd w:id="319"/>
    </w:p>
    <w:p w14:paraId="2CB39E7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14:paraId="191947B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20BA4C9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11F15F0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施工过程中对施工现场内水准点等测量标志物的保护工作由承包人负责。</w:t>
      </w:r>
      <w:bookmarkStart w:id="320" w:name="_Toc351203547"/>
    </w:p>
    <w:p w14:paraId="0B4456E0">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21" w:name="_Toc30578"/>
      <w:bookmarkStart w:id="322" w:name="_Toc5586"/>
      <w:r>
        <w:rPr>
          <w:rFonts w:hint="eastAsia" w:ascii="仿宋" w:hAnsi="仿宋" w:eastAsia="仿宋" w:cs="仿宋"/>
          <w:b w:val="0"/>
          <w:color w:val="auto"/>
          <w:sz w:val="24"/>
          <w:szCs w:val="24"/>
        </w:rPr>
        <w:t>7</w:t>
      </w:r>
      <w:bookmarkEnd w:id="307"/>
      <w:bookmarkEnd w:id="308"/>
      <w:bookmarkStart w:id="323" w:name="_Toc296503073"/>
      <w:bookmarkStart w:id="324" w:name="_Toc337558772"/>
      <w:bookmarkStart w:id="325" w:name="_Toc296346574"/>
      <w:r>
        <w:rPr>
          <w:rFonts w:hint="eastAsia" w:ascii="仿宋" w:hAnsi="仿宋" w:eastAsia="仿宋" w:cs="仿宋"/>
          <w:b w:val="0"/>
          <w:color w:val="auto"/>
          <w:sz w:val="24"/>
          <w:szCs w:val="24"/>
        </w:rPr>
        <w:t>.5 工期延误</w:t>
      </w:r>
      <w:bookmarkEnd w:id="320"/>
      <w:bookmarkEnd w:id="321"/>
      <w:bookmarkEnd w:id="322"/>
    </w:p>
    <w:bookmarkEnd w:id="323"/>
    <w:bookmarkEnd w:id="324"/>
    <w:bookmarkEnd w:id="325"/>
    <w:p w14:paraId="51D220A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7.5.1 因发包人原因导致工期延误</w:t>
      </w:r>
    </w:p>
    <w:p w14:paraId="6A8830B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在合同履行过程中，因下列情况导致工期延误和（或）费用增加的，由发包人承担由此延误的工期和（或）增加的费用，且发包人应支付承包人合理的利润： </w:t>
      </w:r>
    </w:p>
    <w:p w14:paraId="786AC81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（1）发包人未能按合同约定提供图纸或所提供图纸不符合合同约定的；</w:t>
      </w:r>
    </w:p>
    <w:p w14:paraId="01352A3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（2）发包人未能按合同约定提供施工现场、施工条件、基础资料、许可、批准等开工条件的；</w:t>
      </w:r>
    </w:p>
    <w:p w14:paraId="4A20A4E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（3）发包人提供的测量基准点、基准线和水准点及其书面资料存在错误或疏漏的；</w:t>
      </w:r>
    </w:p>
    <w:p w14:paraId="4472CA6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（4）发包人未能在计划开工日期之日起7天内同意下达开工通知的；</w:t>
      </w:r>
    </w:p>
    <w:p w14:paraId="2D996C6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（5）发包人未能按合同约定日期支付工程预付款、进度款或竣工结算款的；</w:t>
      </w:r>
    </w:p>
    <w:p w14:paraId="085AC2B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（6）监理人未按合同约定发出指示、批准等文件的；</w:t>
      </w:r>
    </w:p>
    <w:p w14:paraId="1A897C9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（7）专用合同条款中约定的其他情形。</w:t>
      </w:r>
    </w:p>
    <w:p w14:paraId="792DB47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14:paraId="0EBAB36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7.5.2 因承包人原因导致工期延误</w:t>
      </w:r>
    </w:p>
    <w:p w14:paraId="2EECB41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bookmarkStart w:id="326" w:name="_Toc296503076"/>
      <w:bookmarkStart w:id="327" w:name="_Toc296346577"/>
      <w:r>
        <w:rPr>
          <w:rFonts w:hint="eastAsia" w:ascii="仿宋" w:hAnsi="仿宋" w:eastAsia="仿宋" w:cs="仿宋"/>
          <w:color w:val="auto"/>
          <w:kern w:val="0"/>
          <w:sz w:val="24"/>
          <w:szCs w:val="24"/>
        </w:rPr>
        <w:t>因</w:t>
      </w:r>
      <w:bookmarkEnd w:id="326"/>
      <w:bookmarkEnd w:id="327"/>
      <w:r>
        <w:rPr>
          <w:rFonts w:hint="eastAsia" w:ascii="仿宋" w:hAnsi="仿宋" w:eastAsia="仿宋" w:cs="仿宋"/>
          <w:color w:val="auto"/>
          <w:kern w:val="0"/>
          <w:sz w:val="24"/>
          <w:szCs w:val="24"/>
        </w:rPr>
        <w:t>承包人原因造成工期延误的，可以在专用合同条款中约定逾期竣工违约金的计算方法和逾期竣工违约金的上限。承包人支付逾期竣工违约金后，不免除承包人继续完成工程及修补缺陷的义务。</w:t>
      </w:r>
    </w:p>
    <w:p w14:paraId="21C8B20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28" w:name="_Toc351203548"/>
      <w:bookmarkStart w:id="329" w:name="_Toc3638"/>
      <w:bookmarkStart w:id="330" w:name="_Toc19702"/>
      <w:r>
        <w:rPr>
          <w:rFonts w:hint="eastAsia" w:ascii="仿宋" w:hAnsi="仿宋" w:eastAsia="仿宋" w:cs="仿宋"/>
          <w:b w:val="0"/>
          <w:color w:val="auto"/>
          <w:sz w:val="24"/>
          <w:szCs w:val="24"/>
        </w:rPr>
        <w:t>7</w:t>
      </w:r>
      <w:bookmarkStart w:id="331" w:name="_Toc337558773"/>
      <w:bookmarkStart w:id="332" w:name="_Toc296503074"/>
      <w:bookmarkStart w:id="333" w:name="_Toc296346575"/>
      <w:bookmarkStart w:id="334" w:name="_Toc296503077"/>
      <w:bookmarkStart w:id="335" w:name="_Toc296346578"/>
      <w:r>
        <w:rPr>
          <w:rFonts w:hint="eastAsia" w:ascii="仿宋" w:hAnsi="仿宋" w:eastAsia="仿宋" w:cs="仿宋"/>
          <w:b w:val="0"/>
          <w:color w:val="auto"/>
          <w:sz w:val="24"/>
          <w:szCs w:val="24"/>
        </w:rPr>
        <w:t>.6 不利物质条件</w:t>
      </w:r>
      <w:bookmarkEnd w:id="328"/>
      <w:bookmarkEnd w:id="329"/>
      <w:bookmarkEnd w:id="330"/>
    </w:p>
    <w:bookmarkEnd w:id="331"/>
    <w:bookmarkEnd w:id="332"/>
    <w:bookmarkEnd w:id="333"/>
    <w:p w14:paraId="0C88652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716B4E0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14:paraId="385BA82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36" w:name="_Toc351203549"/>
      <w:bookmarkStart w:id="337" w:name="_Toc22177"/>
      <w:bookmarkStart w:id="338" w:name="_Toc12657"/>
      <w:r>
        <w:rPr>
          <w:rFonts w:hint="eastAsia" w:ascii="仿宋" w:hAnsi="仿宋" w:eastAsia="仿宋" w:cs="仿宋"/>
          <w:b w:val="0"/>
          <w:color w:val="auto"/>
          <w:sz w:val="24"/>
          <w:szCs w:val="24"/>
        </w:rPr>
        <w:t>7</w:t>
      </w:r>
      <w:bookmarkStart w:id="339" w:name="_Toc337558774"/>
      <w:bookmarkStart w:id="340" w:name="_Toc296346576"/>
      <w:bookmarkStart w:id="341" w:name="_Toc296503075"/>
      <w:r>
        <w:rPr>
          <w:rFonts w:hint="eastAsia" w:ascii="仿宋" w:hAnsi="仿宋" w:eastAsia="仿宋" w:cs="仿宋"/>
          <w:b w:val="0"/>
          <w:color w:val="auto"/>
          <w:sz w:val="24"/>
          <w:szCs w:val="24"/>
        </w:rPr>
        <w:t>.7 异常恶劣的气候条件</w:t>
      </w:r>
      <w:bookmarkEnd w:id="336"/>
      <w:bookmarkEnd w:id="337"/>
      <w:bookmarkEnd w:id="338"/>
    </w:p>
    <w:bookmarkEnd w:id="339"/>
    <w:bookmarkEnd w:id="340"/>
    <w:bookmarkEnd w:id="341"/>
    <w:p w14:paraId="6DC7878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7167C89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342" w:name="_Toc351203550"/>
    </w:p>
    <w:p w14:paraId="33C96FEC">
      <w:pPr>
        <w:pageBreakBefore w:val="0"/>
        <w:kinsoku/>
        <w:overflowPunct/>
        <w:topLinePunct w:val="0"/>
        <w:autoSpaceDE w:val="0"/>
        <w:autoSpaceDN w:val="0"/>
        <w:bidi w:val="0"/>
        <w:adjustRightInd w:val="0"/>
        <w:spacing w:line="440" w:lineRule="exact"/>
        <w:ind w:firstLine="480" w:firstLineChars="200"/>
        <w:jc w:val="left"/>
        <w:outlineLvl w:val="3"/>
        <w:rPr>
          <w:rFonts w:hint="eastAsia" w:ascii="仿宋" w:hAnsi="仿宋" w:eastAsia="仿宋" w:cs="仿宋"/>
          <w:bCs/>
          <w:color w:val="auto"/>
          <w:sz w:val="24"/>
          <w:szCs w:val="24"/>
        </w:rPr>
      </w:pPr>
      <w:bookmarkStart w:id="343" w:name="_Toc28554"/>
      <w:bookmarkStart w:id="344" w:name="_Toc20629"/>
      <w:r>
        <w:rPr>
          <w:rFonts w:hint="eastAsia" w:ascii="仿宋" w:hAnsi="仿宋" w:eastAsia="仿宋" w:cs="仿宋"/>
          <w:bCs/>
          <w:color w:val="auto"/>
          <w:sz w:val="24"/>
          <w:szCs w:val="24"/>
        </w:rPr>
        <w:t>7</w:t>
      </w:r>
      <w:bookmarkStart w:id="345" w:name="_Toc337558775"/>
      <w:r>
        <w:rPr>
          <w:rFonts w:hint="eastAsia" w:ascii="仿宋" w:hAnsi="仿宋" w:eastAsia="仿宋" w:cs="仿宋"/>
          <w:bCs/>
          <w:color w:val="auto"/>
          <w:sz w:val="24"/>
          <w:szCs w:val="24"/>
        </w:rPr>
        <w:t>.8 暂停施工</w:t>
      </w:r>
      <w:bookmarkEnd w:id="342"/>
      <w:bookmarkEnd w:id="343"/>
      <w:bookmarkEnd w:id="344"/>
    </w:p>
    <w:bookmarkEnd w:id="334"/>
    <w:bookmarkEnd w:id="335"/>
    <w:bookmarkEnd w:id="345"/>
    <w:p w14:paraId="30CBCAE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7.8.1发包人原因引起的暂停施工</w:t>
      </w:r>
    </w:p>
    <w:p w14:paraId="49DEFC9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因发包人原因引起暂停施工的，监理人经发包人同意后，应及时下达暂停施工指示。情况紧急且监理人未及时下达暂停施工指示的，按照第7.8.4项〔紧急情况下的暂停施工〕执行。</w:t>
      </w:r>
    </w:p>
    <w:p w14:paraId="5799547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因发包人原因引起的暂停施工，发包人应承担由此增加的费用和（或）延误的工期，并支付承包人合理的利润。</w:t>
      </w:r>
    </w:p>
    <w:p w14:paraId="4466FEE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7.8.2 承包人原因引起的暂停施工</w:t>
      </w:r>
    </w:p>
    <w:p w14:paraId="6DFEBC1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14:paraId="3E2EC35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7.8.3 指示暂停施工</w:t>
      </w:r>
    </w:p>
    <w:p w14:paraId="7CD207C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监理人认为有必要时，并经发包人批准后，可向承包人作出暂停施工的指示，承包人应按监理人指示暂停施工。</w:t>
      </w:r>
    </w:p>
    <w:p w14:paraId="4ED2DE8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7.8.4 紧急情况下的暂停施工</w:t>
      </w:r>
    </w:p>
    <w:p w14:paraId="209B036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14:paraId="36177F5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7.8.5 暂停施工后的复工</w:t>
      </w:r>
    </w:p>
    <w:p w14:paraId="3A7A24F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54CEC7C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承包人无故拖延和拒绝复工的，承包人承担由此增加的费用和（或）延误的工期；因发包人原因无法按时复工的，按照第7.5.1项〔因发包人原因导致工期延误〕约定办理。</w:t>
      </w:r>
    </w:p>
    <w:p w14:paraId="1A16557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7.8.6 暂停施工持续56天以上</w:t>
      </w:r>
    </w:p>
    <w:p w14:paraId="5F06E6D3">
      <w:pPr>
        <w:pageBreakBefore w:val="0"/>
        <w:kinsoku/>
        <w:overflowPunct/>
        <w:topLinePunct w:val="0"/>
        <w:bidi w:val="0"/>
        <w:spacing w:line="440" w:lineRule="exact"/>
        <w:ind w:firstLine="468" w:firstLineChars="195"/>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14:paraId="72D20370">
      <w:pPr>
        <w:pageBreakBefore w:val="0"/>
        <w:kinsoku/>
        <w:overflowPunct/>
        <w:topLinePunct w:val="0"/>
        <w:bidi w:val="0"/>
        <w:spacing w:line="440" w:lineRule="exact"/>
        <w:ind w:firstLine="468" w:firstLineChars="195"/>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14:paraId="7EF1FD9C">
      <w:pPr>
        <w:pageBreakBefore w:val="0"/>
        <w:kinsoku/>
        <w:overflowPunct/>
        <w:topLinePunct w:val="0"/>
        <w:bidi w:val="0"/>
        <w:spacing w:line="440" w:lineRule="exact"/>
        <w:ind w:left="16" w:firstLine="468" w:firstLineChars="195"/>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7.8.7 暂停施工期间的工程照管</w:t>
      </w:r>
    </w:p>
    <w:p w14:paraId="79E4F1C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暂停施工期间，承包人应负责妥善照管工程并提供安全保障，由此增加的费用由责任方承担。</w:t>
      </w:r>
    </w:p>
    <w:p w14:paraId="4FBC3DD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7.8.8 暂停施工的措施</w:t>
      </w:r>
    </w:p>
    <w:p w14:paraId="38DC6FC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暂停施工期间，发包人和承包人均应采取必要的措施确保工程质量及安全，防止因暂停施工扩大损失。</w:t>
      </w:r>
    </w:p>
    <w:p w14:paraId="67D57E8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46" w:name="_Toc351203551"/>
      <w:bookmarkStart w:id="347" w:name="_Toc31103"/>
      <w:bookmarkStart w:id="348" w:name="_Toc23132"/>
      <w:r>
        <w:rPr>
          <w:rFonts w:hint="eastAsia" w:ascii="仿宋" w:hAnsi="仿宋" w:eastAsia="仿宋" w:cs="仿宋"/>
          <w:b w:val="0"/>
          <w:color w:val="auto"/>
          <w:sz w:val="24"/>
          <w:szCs w:val="24"/>
        </w:rPr>
        <w:t>7.9提前竣工</w:t>
      </w:r>
      <w:bookmarkEnd w:id="346"/>
      <w:bookmarkEnd w:id="347"/>
      <w:bookmarkEnd w:id="348"/>
    </w:p>
    <w:p w14:paraId="4982EED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14:paraId="1FB7891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7.9.2 发包人要求承包人提前竣工，或承包人提出提前竣工的建议能够给发包人带来效益的，合同当事人可以在专用合同条款中约定提前竣工的奖励。</w:t>
      </w:r>
    </w:p>
    <w:p w14:paraId="4D8815AD">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349" w:name="_Toc351203552"/>
      <w:bookmarkStart w:id="350" w:name="_Toc16994"/>
      <w:bookmarkStart w:id="351" w:name="_Toc14913"/>
      <w:r>
        <w:rPr>
          <w:rFonts w:hint="eastAsia" w:ascii="仿宋" w:hAnsi="仿宋" w:eastAsia="仿宋" w:cs="仿宋"/>
          <w:b w:val="0"/>
          <w:color w:val="auto"/>
          <w:sz w:val="24"/>
          <w:szCs w:val="24"/>
        </w:rPr>
        <w:t>8</w:t>
      </w:r>
      <w:bookmarkStart w:id="352" w:name="_Toc296503058"/>
      <w:bookmarkStart w:id="353" w:name="_Toc296346559"/>
      <w:bookmarkStart w:id="354" w:name="_Toc337558776"/>
      <w:r>
        <w:rPr>
          <w:rFonts w:hint="eastAsia" w:ascii="仿宋" w:hAnsi="仿宋" w:eastAsia="仿宋" w:cs="仿宋"/>
          <w:b w:val="0"/>
          <w:color w:val="auto"/>
          <w:sz w:val="24"/>
          <w:szCs w:val="24"/>
        </w:rPr>
        <w:t>. 材料与设备</w:t>
      </w:r>
      <w:bookmarkEnd w:id="349"/>
      <w:bookmarkEnd w:id="350"/>
      <w:bookmarkEnd w:id="351"/>
    </w:p>
    <w:bookmarkEnd w:id="352"/>
    <w:bookmarkEnd w:id="353"/>
    <w:bookmarkEnd w:id="354"/>
    <w:p w14:paraId="2F7E7D9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55" w:name="_Toc1543"/>
      <w:bookmarkStart w:id="356" w:name="_Toc351203553"/>
      <w:bookmarkStart w:id="357" w:name="_Toc2417"/>
      <w:r>
        <w:rPr>
          <w:rFonts w:hint="eastAsia" w:ascii="仿宋" w:hAnsi="仿宋" w:eastAsia="仿宋" w:cs="仿宋"/>
          <w:b w:val="0"/>
          <w:color w:val="auto"/>
          <w:sz w:val="24"/>
          <w:szCs w:val="24"/>
        </w:rPr>
        <w:t>8</w:t>
      </w:r>
      <w:bookmarkStart w:id="358" w:name="_Toc296346560"/>
      <w:bookmarkStart w:id="359" w:name="_Toc296503059"/>
      <w:bookmarkStart w:id="360" w:name="_Toc337558777"/>
      <w:bookmarkStart w:id="361" w:name="_Toc468936960"/>
      <w:r>
        <w:rPr>
          <w:rFonts w:hint="eastAsia" w:ascii="仿宋" w:hAnsi="仿宋" w:eastAsia="仿宋" w:cs="仿宋"/>
          <w:b w:val="0"/>
          <w:color w:val="auto"/>
          <w:sz w:val="24"/>
          <w:szCs w:val="24"/>
        </w:rPr>
        <w:t>.1发包人供应材料与工程设备</w:t>
      </w:r>
      <w:bookmarkEnd w:id="355"/>
      <w:bookmarkEnd w:id="356"/>
      <w:bookmarkEnd w:id="357"/>
    </w:p>
    <w:bookmarkEnd w:id="358"/>
    <w:bookmarkEnd w:id="359"/>
    <w:bookmarkEnd w:id="360"/>
    <w:p w14:paraId="2E216A2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发包人自行供应材料、工程设备的，应在签订合同时在专用合同条款的附件《发包人供应材料设备一览表》中明确材料、工程设备的品种、规格、型号、数量、单价、质量等级和送达地点。</w:t>
      </w:r>
    </w:p>
    <w:p w14:paraId="5651D5D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14:paraId="38AB7A6F">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color w:val="auto"/>
          <w:sz w:val="24"/>
          <w:szCs w:val="24"/>
        </w:rPr>
      </w:pPr>
      <w:bookmarkStart w:id="362" w:name="_Toc15044"/>
      <w:bookmarkStart w:id="363" w:name="_Toc18766"/>
      <w:bookmarkStart w:id="364" w:name="_Toc351203554"/>
      <w:r>
        <w:rPr>
          <w:rFonts w:hint="eastAsia" w:ascii="仿宋" w:hAnsi="仿宋" w:eastAsia="仿宋" w:cs="仿宋"/>
          <w:b w:val="0"/>
          <w:color w:val="auto"/>
          <w:sz w:val="24"/>
          <w:szCs w:val="24"/>
        </w:rPr>
        <w:t>8</w:t>
      </w:r>
      <w:bookmarkStart w:id="365" w:name="_Toc296346561"/>
      <w:bookmarkStart w:id="366" w:name="_Toc337558778"/>
      <w:bookmarkStart w:id="367" w:name="_Toc296503060"/>
      <w:r>
        <w:rPr>
          <w:rFonts w:hint="eastAsia" w:ascii="仿宋" w:hAnsi="仿宋" w:eastAsia="仿宋" w:cs="仿宋"/>
          <w:b w:val="0"/>
          <w:color w:val="auto"/>
          <w:sz w:val="24"/>
          <w:szCs w:val="24"/>
        </w:rPr>
        <w:t>.2承包人采购材料与工程设备</w:t>
      </w:r>
      <w:bookmarkEnd w:id="362"/>
      <w:bookmarkEnd w:id="363"/>
      <w:bookmarkEnd w:id="364"/>
    </w:p>
    <w:bookmarkEnd w:id="365"/>
    <w:bookmarkEnd w:id="366"/>
    <w:bookmarkEnd w:id="367"/>
    <w:p w14:paraId="4D496A3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1A5476B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68" w:name="_Toc21319"/>
      <w:bookmarkStart w:id="369" w:name="_Toc19918"/>
      <w:bookmarkStart w:id="370" w:name="_Toc351203555"/>
      <w:r>
        <w:rPr>
          <w:rFonts w:hint="eastAsia" w:ascii="仿宋" w:hAnsi="仿宋" w:eastAsia="仿宋" w:cs="仿宋"/>
          <w:b w:val="0"/>
          <w:color w:val="auto"/>
          <w:sz w:val="24"/>
          <w:szCs w:val="24"/>
        </w:rPr>
        <w:t>8</w:t>
      </w:r>
      <w:bookmarkStart w:id="371" w:name="_Toc296346562"/>
      <w:bookmarkStart w:id="372" w:name="_Toc296503061"/>
      <w:bookmarkStart w:id="373" w:name="_Toc337558779"/>
      <w:r>
        <w:rPr>
          <w:rFonts w:hint="eastAsia" w:ascii="仿宋" w:hAnsi="仿宋" w:eastAsia="仿宋" w:cs="仿宋"/>
          <w:b w:val="0"/>
          <w:color w:val="auto"/>
          <w:sz w:val="24"/>
          <w:szCs w:val="24"/>
        </w:rPr>
        <w:t>.3材料与工程设备的接收与拒收</w:t>
      </w:r>
      <w:bookmarkEnd w:id="368"/>
      <w:bookmarkEnd w:id="369"/>
      <w:bookmarkEnd w:id="370"/>
    </w:p>
    <w:bookmarkEnd w:id="371"/>
    <w:bookmarkEnd w:id="372"/>
    <w:bookmarkEnd w:id="373"/>
    <w:p w14:paraId="6DE9A6E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2A0C4FC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发包人提供的材料和工程设备的规格、数量或质量不符合合同约定的，或因发包人原因导致交货日期延误或交货地点变更等情况的，按照第16.1款〔发包人违约〕约定办理。</w:t>
      </w:r>
    </w:p>
    <w:p w14:paraId="5BBED19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8.3.2 承包人采购的材料和工程设备，应保证产品质量合格，承包人应在材料和工程设备到货前24小时通知监理人检验。承</w:t>
      </w:r>
      <w:bookmarkStart w:id="374" w:name="_Toc250655469"/>
      <w:r>
        <w:rPr>
          <w:rFonts w:hint="eastAsia" w:ascii="仿宋" w:hAnsi="仿宋" w:eastAsia="仿宋" w:cs="仿宋"/>
          <w:color w:val="auto"/>
          <w:kern w:val="0"/>
          <w:sz w:val="24"/>
          <w:szCs w:val="24"/>
        </w:rPr>
        <w:t>包人进行永久设备、材料的制造和生产的，应符合相关质量标准，并向监理人提交材料的样本以及有关资料，并应在使用该材料或工程设备之前获得监理人同意。</w:t>
      </w:r>
    </w:p>
    <w:bookmarkEnd w:id="374"/>
    <w:p w14:paraId="32FFCA8E">
      <w:pPr>
        <w:pageBreakBefore w:val="0"/>
        <w:kinsoku/>
        <w:overflowPunct/>
        <w:topLinePunct w:val="0"/>
        <w:autoSpaceDE w:val="0"/>
        <w:autoSpaceDN w:val="0"/>
        <w:bidi w:val="0"/>
        <w:adjustRightInd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3A3D8418">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75" w:name="_Toc32411"/>
      <w:bookmarkStart w:id="376" w:name="_Toc351203556"/>
      <w:bookmarkStart w:id="377" w:name="_Toc21661"/>
      <w:r>
        <w:rPr>
          <w:rFonts w:hint="eastAsia" w:ascii="仿宋" w:hAnsi="仿宋" w:eastAsia="仿宋" w:cs="仿宋"/>
          <w:b w:val="0"/>
          <w:color w:val="auto"/>
          <w:sz w:val="24"/>
          <w:szCs w:val="24"/>
        </w:rPr>
        <w:t>8</w:t>
      </w:r>
      <w:bookmarkStart w:id="378" w:name="_Toc296346563"/>
      <w:bookmarkStart w:id="379" w:name="_Toc296503062"/>
      <w:bookmarkStart w:id="380" w:name="_Toc337558780"/>
      <w:r>
        <w:rPr>
          <w:rFonts w:hint="eastAsia" w:ascii="仿宋" w:hAnsi="仿宋" w:eastAsia="仿宋" w:cs="仿宋"/>
          <w:b w:val="0"/>
          <w:color w:val="auto"/>
          <w:sz w:val="24"/>
          <w:szCs w:val="24"/>
        </w:rPr>
        <w:t>.4材料与工程设备的保管与使用</w:t>
      </w:r>
      <w:bookmarkEnd w:id="375"/>
      <w:bookmarkEnd w:id="376"/>
      <w:bookmarkEnd w:id="377"/>
    </w:p>
    <w:bookmarkEnd w:id="378"/>
    <w:bookmarkEnd w:id="379"/>
    <w:bookmarkEnd w:id="380"/>
    <w:p w14:paraId="5008312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8.4.1 发包人供应</w:t>
      </w:r>
      <w:r>
        <w:rPr>
          <w:rFonts w:hint="eastAsia" w:ascii="仿宋" w:hAnsi="仿宋" w:eastAsia="仿宋" w:cs="仿宋"/>
          <w:color w:val="auto"/>
          <w:sz w:val="24"/>
          <w:szCs w:val="24"/>
        </w:rPr>
        <w:t>材料与</w:t>
      </w:r>
      <w:r>
        <w:rPr>
          <w:rFonts w:hint="eastAsia" w:ascii="仿宋" w:hAnsi="仿宋" w:eastAsia="仿宋" w:cs="仿宋"/>
          <w:color w:val="auto"/>
          <w:kern w:val="0"/>
          <w:sz w:val="24"/>
          <w:szCs w:val="24"/>
        </w:rPr>
        <w:t>工程</w:t>
      </w:r>
      <w:r>
        <w:rPr>
          <w:rFonts w:hint="eastAsia" w:ascii="仿宋" w:hAnsi="仿宋" w:eastAsia="仿宋" w:cs="仿宋"/>
          <w:color w:val="auto"/>
          <w:sz w:val="24"/>
          <w:szCs w:val="24"/>
        </w:rPr>
        <w:t>设备的保管与使用</w:t>
      </w:r>
    </w:p>
    <w:p w14:paraId="06AE2A1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42D1A20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发包人供应的材料和工程设备使用前，由承包人负责检验，检验费用由发包人承担，不合格的不得使用。</w:t>
      </w:r>
    </w:p>
    <w:p w14:paraId="5E91E31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8.4.2 承包人采购</w:t>
      </w:r>
      <w:r>
        <w:rPr>
          <w:rFonts w:hint="eastAsia" w:ascii="仿宋" w:hAnsi="仿宋" w:eastAsia="仿宋" w:cs="仿宋"/>
          <w:color w:val="auto"/>
          <w:sz w:val="24"/>
          <w:szCs w:val="24"/>
        </w:rPr>
        <w:t>材料与</w:t>
      </w:r>
      <w:r>
        <w:rPr>
          <w:rFonts w:hint="eastAsia" w:ascii="仿宋" w:hAnsi="仿宋" w:eastAsia="仿宋" w:cs="仿宋"/>
          <w:color w:val="auto"/>
          <w:kern w:val="0"/>
          <w:sz w:val="24"/>
          <w:szCs w:val="24"/>
        </w:rPr>
        <w:t>工程</w:t>
      </w:r>
      <w:r>
        <w:rPr>
          <w:rFonts w:hint="eastAsia" w:ascii="仿宋" w:hAnsi="仿宋" w:eastAsia="仿宋" w:cs="仿宋"/>
          <w:color w:val="auto"/>
          <w:sz w:val="24"/>
          <w:szCs w:val="24"/>
        </w:rPr>
        <w:t>设备的保管与使用</w:t>
      </w:r>
    </w:p>
    <w:p w14:paraId="5AB9156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5E491E1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发包人或监理人发现承包人使用不符合设计或有关标准要求的材料和工程设备时，有权要求承包人进行修复、拆除或重新采购，由此增加的费用和（或）延误的工期，由承包人承担。</w:t>
      </w:r>
    </w:p>
    <w:p w14:paraId="25EFEB86">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81" w:name="_Toc351203557"/>
      <w:bookmarkStart w:id="382" w:name="_Toc17754"/>
      <w:bookmarkStart w:id="383" w:name="_Toc28439"/>
      <w:r>
        <w:rPr>
          <w:rFonts w:hint="eastAsia" w:ascii="仿宋" w:hAnsi="仿宋" w:eastAsia="仿宋" w:cs="仿宋"/>
          <w:b w:val="0"/>
          <w:color w:val="auto"/>
          <w:sz w:val="24"/>
          <w:szCs w:val="24"/>
        </w:rPr>
        <w:t>8.5禁止使用不合格的材料和工程设备</w:t>
      </w:r>
      <w:bookmarkEnd w:id="381"/>
      <w:bookmarkEnd w:id="382"/>
      <w:bookmarkEnd w:id="383"/>
    </w:p>
    <w:p w14:paraId="1175EE8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8.5.1 监理人有权拒绝承包人提供的不合格材料或工程设备，并要求承包人立即进行更换。监理人应在更换后再次进行检查和检验，由此增加的费用和（或）延误的工期由承包人承担。</w:t>
      </w:r>
    </w:p>
    <w:p w14:paraId="581B0FA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8.5.2 监理人发现承包人使用了不合格的材料和工程设备，承包人应按照监理人的指示立即改正，并禁止在工程中继续使用不合格的材料和工程设备。</w:t>
      </w:r>
    </w:p>
    <w:p w14:paraId="007EDE7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8.5.3 发包人提供的材料或工程设备不符合合同要求的，承包人有权拒绝，并可要求发包人更换，由此增加的费用和（或）延误的工期由发包人承担，并支付承包人合理的利润。</w:t>
      </w:r>
    </w:p>
    <w:p w14:paraId="5863170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84" w:name="_Toc7087"/>
      <w:bookmarkStart w:id="385" w:name="_Toc351203558"/>
      <w:bookmarkStart w:id="386" w:name="_Toc21716"/>
      <w:r>
        <w:rPr>
          <w:rFonts w:hint="eastAsia" w:ascii="仿宋" w:hAnsi="仿宋" w:eastAsia="仿宋" w:cs="仿宋"/>
          <w:b w:val="0"/>
          <w:color w:val="auto"/>
          <w:sz w:val="24"/>
          <w:szCs w:val="24"/>
        </w:rPr>
        <w:t>8.6 样品</w:t>
      </w:r>
      <w:bookmarkEnd w:id="384"/>
      <w:bookmarkEnd w:id="385"/>
      <w:bookmarkEnd w:id="386"/>
    </w:p>
    <w:p w14:paraId="12E072B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8.6.1</w:t>
      </w:r>
      <w:r>
        <w:rPr>
          <w:rFonts w:hint="eastAsia" w:ascii="仿宋" w:hAnsi="仿宋" w:eastAsia="仿宋" w:cs="仿宋"/>
          <w:color w:val="auto"/>
          <w:kern w:val="0"/>
          <w:sz w:val="24"/>
          <w:szCs w:val="24"/>
        </w:rPr>
        <w:tab/>
      </w:r>
      <w:r>
        <w:rPr>
          <w:rFonts w:hint="eastAsia" w:ascii="仿宋" w:hAnsi="仿宋" w:eastAsia="仿宋" w:cs="仿宋"/>
          <w:color w:val="auto"/>
          <w:kern w:val="0"/>
          <w:sz w:val="24"/>
          <w:szCs w:val="24"/>
        </w:rPr>
        <w:t>样品的报送与封存</w:t>
      </w:r>
    </w:p>
    <w:p w14:paraId="31864AF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需要承包人报送样品的材料或工程设备，样品的种类、名称、规格、数量等要求均应在专用合同条款中约定。样品的报送程序如下：</w:t>
      </w:r>
    </w:p>
    <w:p w14:paraId="2C28D7F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24EF275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0051592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（3）经发包人和监理人审批确认的样品应按约定的方法封样，封存的样品作为检验工程相关部分的标准之一。承包人在施工过程中不得使用与样品不符的材料或工程设备。</w:t>
      </w:r>
    </w:p>
    <w:p w14:paraId="47165CB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5E14FC5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8.6.2 样品的保管</w:t>
      </w:r>
    </w:p>
    <w:p w14:paraId="4A53F68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经批准的样品应由监理人负责封存于现场，承包人应在现场为保存样品提供适当和固定的场所并保持适当和良好的存储环境条件。</w:t>
      </w:r>
    </w:p>
    <w:p w14:paraId="594B46D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87" w:name="_Toc23409"/>
      <w:bookmarkStart w:id="388" w:name="_Toc351203559"/>
      <w:bookmarkStart w:id="389" w:name="_Toc28100"/>
      <w:r>
        <w:rPr>
          <w:rFonts w:hint="eastAsia" w:ascii="仿宋" w:hAnsi="仿宋" w:eastAsia="仿宋" w:cs="仿宋"/>
          <w:b w:val="0"/>
          <w:color w:val="auto"/>
          <w:sz w:val="24"/>
          <w:szCs w:val="24"/>
        </w:rPr>
        <w:t>8.7材料与工程设备的替代</w:t>
      </w:r>
      <w:bookmarkEnd w:id="387"/>
      <w:bookmarkEnd w:id="388"/>
      <w:bookmarkEnd w:id="389"/>
    </w:p>
    <w:p w14:paraId="5C7E6B7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8.7.1 出现下列情况需要使用替代材料和工程设备的，承包人应按照第8.7.2项约定的程序执行：</w:t>
      </w:r>
    </w:p>
    <w:p w14:paraId="14031A3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（1）基准日期后生效的法律规定禁止使用的；</w:t>
      </w:r>
    </w:p>
    <w:p w14:paraId="4F006F5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（2）发包人要求使用替代品的；</w:t>
      </w:r>
    </w:p>
    <w:p w14:paraId="0DF9459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（3）因其他原因必须使用替代品的。</w:t>
      </w:r>
    </w:p>
    <w:p w14:paraId="673C968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8.7.2 承包人应在使用替代材料和工程设备28天前书面通知监理人，并附下列文件：</w:t>
      </w:r>
    </w:p>
    <w:p w14:paraId="403FF0C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（1）被替代的材料和工程设备的名称、数量、规格、型号、品牌、性能、价格及其他相关资料；</w:t>
      </w:r>
    </w:p>
    <w:p w14:paraId="7062C53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（2）替代品的名称、数量、规格、型号、品牌、性能、价格及其他相关资料；</w:t>
      </w:r>
    </w:p>
    <w:p w14:paraId="38063F9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（3）替代品与被替代产品之间的差异以及使用替代品可能对工程产生的影响；</w:t>
      </w:r>
    </w:p>
    <w:p w14:paraId="00C98AD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（4）替代品与被替代产品的价格差异；</w:t>
      </w:r>
    </w:p>
    <w:p w14:paraId="6552C69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（5）使用替代品的理由和原因说明；</w:t>
      </w:r>
    </w:p>
    <w:p w14:paraId="3827411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（6）监理人要求的其他文件。</w:t>
      </w:r>
    </w:p>
    <w:p w14:paraId="4C114E2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监理人应在收到通知后14天内向承包人发出经发包人签认的书面指示；监理人逾期发出书面指示的，视为发包人和监理人同意使用替代品。</w:t>
      </w:r>
    </w:p>
    <w:p w14:paraId="7150F5B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14:paraId="56D950D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90" w:name="_Toc351203560"/>
      <w:bookmarkStart w:id="391" w:name="_Toc19577"/>
      <w:bookmarkStart w:id="392" w:name="_Toc18313"/>
      <w:r>
        <w:rPr>
          <w:rFonts w:hint="eastAsia" w:ascii="仿宋" w:hAnsi="仿宋" w:eastAsia="仿宋" w:cs="仿宋"/>
          <w:b w:val="0"/>
          <w:color w:val="auto"/>
          <w:sz w:val="24"/>
          <w:szCs w:val="24"/>
        </w:rPr>
        <w:t>8.8施工设备和临时设施</w:t>
      </w:r>
      <w:bookmarkEnd w:id="390"/>
      <w:bookmarkEnd w:id="391"/>
      <w:bookmarkEnd w:id="392"/>
    </w:p>
    <w:p w14:paraId="62DE26C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8.8.1 承包人提供的施工设备和临时设施</w:t>
      </w:r>
    </w:p>
    <w:p w14:paraId="39F2A57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承包人应按合同进度计划的要求，及时配置施工设备和修建临时设施。进入施工场地的承包人设备需经监理人核查后才能投入使用。承包人更换合同约定的承包人设备的，应报监理人批准。</w:t>
      </w:r>
    </w:p>
    <w:p w14:paraId="4398D82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除专用合同条款另有约定外，承包人应自行承担修建临时设施的费用，需要临时占地的，应由发包人办理申请手续并承担相应费用。</w:t>
      </w:r>
    </w:p>
    <w:p w14:paraId="7C12DFE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8.8.2发包人提供的施工设备和临时设施</w:t>
      </w:r>
    </w:p>
    <w:p w14:paraId="76209D9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发包人提供的施工设备或临时设施在专用合同条款中约定。</w:t>
      </w:r>
    </w:p>
    <w:p w14:paraId="24157E2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8.8.3要求承包人增加或更换施工设备</w:t>
      </w:r>
    </w:p>
    <w:p w14:paraId="786087D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承包人使用的施工设备不能满足合同进度计划和（或）质量要求时，监理人有权要求承包人增加或更换施工设备，承包人应及时增加或更换，由此增加的费用和（或）延误的工期由承包人承担。</w:t>
      </w:r>
    </w:p>
    <w:p w14:paraId="63C5A0E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393" w:name="_Toc351203561"/>
      <w:bookmarkStart w:id="394" w:name="_Toc7279"/>
      <w:bookmarkStart w:id="395" w:name="_Toc9640"/>
      <w:r>
        <w:rPr>
          <w:rFonts w:hint="eastAsia" w:ascii="仿宋" w:hAnsi="仿宋" w:eastAsia="仿宋" w:cs="仿宋"/>
          <w:b w:val="0"/>
          <w:color w:val="auto"/>
          <w:sz w:val="24"/>
          <w:szCs w:val="24"/>
        </w:rPr>
        <w:t>8</w:t>
      </w:r>
      <w:bookmarkStart w:id="396" w:name="_Toc296346564"/>
      <w:bookmarkStart w:id="397" w:name="_Toc337558781"/>
      <w:bookmarkStart w:id="398" w:name="_Toc296503063"/>
      <w:r>
        <w:rPr>
          <w:rFonts w:hint="eastAsia" w:ascii="仿宋" w:hAnsi="仿宋" w:eastAsia="仿宋" w:cs="仿宋"/>
          <w:b w:val="0"/>
          <w:color w:val="auto"/>
          <w:sz w:val="24"/>
          <w:szCs w:val="24"/>
        </w:rPr>
        <w:t>.9材料与设备专用</w:t>
      </w:r>
      <w:bookmarkEnd w:id="393"/>
      <w:r>
        <w:rPr>
          <w:rFonts w:hint="eastAsia" w:ascii="仿宋" w:hAnsi="仿宋" w:eastAsia="仿宋" w:cs="仿宋"/>
          <w:b w:val="0"/>
          <w:color w:val="auto"/>
          <w:sz w:val="24"/>
          <w:szCs w:val="24"/>
        </w:rPr>
        <w:t>要求</w:t>
      </w:r>
      <w:bookmarkEnd w:id="394"/>
      <w:bookmarkEnd w:id="395"/>
    </w:p>
    <w:bookmarkEnd w:id="396"/>
    <w:bookmarkEnd w:id="397"/>
    <w:bookmarkEnd w:id="398"/>
    <w:p w14:paraId="3F978B7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承包人运入施工现场的材料、工程设备、施工设备以及在施工场地建设的临时设施，包括备品备件、安装工具与资料，必须专用于工程。未经发包人批准，承包人不得运出施工现场或挪作他用；</w:t>
      </w:r>
      <w:bookmarkEnd w:id="361"/>
      <w:r>
        <w:rPr>
          <w:rFonts w:hint="eastAsia" w:ascii="仿宋" w:hAnsi="仿宋" w:eastAsia="仿宋" w:cs="仿宋"/>
          <w:color w:val="auto"/>
          <w:kern w:val="0"/>
          <w:sz w:val="24"/>
          <w:szCs w:val="24"/>
        </w:rPr>
        <w:t>经发包人批准，承包人可以根据施工进度计划撤走闲置的施工设备和其他物品。</w:t>
      </w:r>
    </w:p>
    <w:p w14:paraId="5F19CF7F">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399" w:name="_Toc18252"/>
      <w:bookmarkStart w:id="400" w:name="_Toc351203562"/>
      <w:bookmarkStart w:id="401" w:name="_Toc7606"/>
      <w:r>
        <w:rPr>
          <w:rFonts w:hint="eastAsia" w:ascii="仿宋" w:hAnsi="仿宋" w:eastAsia="仿宋" w:cs="仿宋"/>
          <w:b w:val="0"/>
          <w:color w:val="auto"/>
          <w:sz w:val="24"/>
          <w:szCs w:val="24"/>
        </w:rPr>
        <w:t>9</w:t>
      </w:r>
      <w:bookmarkStart w:id="402" w:name="_Toc337558782"/>
      <w:bookmarkStart w:id="403" w:name="_Toc296503083"/>
      <w:bookmarkStart w:id="404" w:name="_Toc296346584"/>
      <w:r>
        <w:rPr>
          <w:rFonts w:hint="eastAsia" w:ascii="仿宋" w:hAnsi="仿宋" w:eastAsia="仿宋" w:cs="仿宋"/>
          <w:b w:val="0"/>
          <w:color w:val="auto"/>
          <w:sz w:val="24"/>
          <w:szCs w:val="24"/>
        </w:rPr>
        <w:t>. 试验与检验</w:t>
      </w:r>
      <w:bookmarkEnd w:id="399"/>
      <w:bookmarkEnd w:id="400"/>
      <w:bookmarkEnd w:id="401"/>
    </w:p>
    <w:bookmarkEnd w:id="402"/>
    <w:p w14:paraId="407E20DB">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05" w:name="_Toc20844"/>
      <w:bookmarkStart w:id="406" w:name="_Toc6526"/>
      <w:bookmarkStart w:id="407" w:name="_Toc351203563"/>
      <w:r>
        <w:rPr>
          <w:rFonts w:hint="eastAsia" w:ascii="仿宋" w:hAnsi="仿宋" w:eastAsia="仿宋" w:cs="仿宋"/>
          <w:b w:val="0"/>
          <w:color w:val="auto"/>
          <w:sz w:val="24"/>
          <w:szCs w:val="24"/>
        </w:rPr>
        <w:t>9</w:t>
      </w:r>
      <w:bookmarkStart w:id="408" w:name="_Toc337558783"/>
      <w:r>
        <w:rPr>
          <w:rFonts w:hint="eastAsia" w:ascii="仿宋" w:hAnsi="仿宋" w:eastAsia="仿宋" w:cs="仿宋"/>
          <w:b w:val="0"/>
          <w:color w:val="auto"/>
          <w:sz w:val="24"/>
          <w:szCs w:val="24"/>
        </w:rPr>
        <w:t>.1试验设备与试验人员</w:t>
      </w:r>
      <w:bookmarkEnd w:id="405"/>
      <w:bookmarkEnd w:id="406"/>
      <w:bookmarkEnd w:id="407"/>
    </w:p>
    <w:bookmarkEnd w:id="408"/>
    <w:p w14:paraId="5555BEF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6A0EA52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9.1.2 承包人应按专用合同条款的约定提供试验设备、取样装置、试验场所和试验条件，并向监理人提交相应进场计划表。</w:t>
      </w:r>
    </w:p>
    <w:p w14:paraId="1125914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承包人配置的试验设备要符合相应试验规程的要求并经过具有资质的检测单位检测，且在正式使用该试验设备前，需要经过监理人与承包人共同校定。</w:t>
      </w:r>
    </w:p>
    <w:p w14:paraId="41BA103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9.1.3 承包人应向监理人提交试验人员的名单及其岗位、资格等证明资料，试验人员必须能够熟练进行相应的检测试验，承包人对试验人员的试验程序和试验结果的正确性负责。</w:t>
      </w:r>
    </w:p>
    <w:p w14:paraId="01FB49A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09" w:name="_Toc351203564"/>
      <w:bookmarkStart w:id="410" w:name="_Toc11924"/>
      <w:bookmarkStart w:id="411" w:name="_Toc31806"/>
      <w:r>
        <w:rPr>
          <w:rFonts w:hint="eastAsia" w:ascii="仿宋" w:hAnsi="仿宋" w:eastAsia="仿宋" w:cs="仿宋"/>
          <w:b w:val="0"/>
          <w:color w:val="auto"/>
          <w:sz w:val="24"/>
          <w:szCs w:val="24"/>
        </w:rPr>
        <w:t>9</w:t>
      </w:r>
      <w:bookmarkStart w:id="412" w:name="_Toc337558784"/>
      <w:r>
        <w:rPr>
          <w:rFonts w:hint="eastAsia" w:ascii="仿宋" w:hAnsi="仿宋" w:eastAsia="仿宋" w:cs="仿宋"/>
          <w:b w:val="0"/>
          <w:color w:val="auto"/>
          <w:sz w:val="24"/>
          <w:szCs w:val="24"/>
        </w:rPr>
        <w:t>.2取样</w:t>
      </w:r>
      <w:bookmarkEnd w:id="409"/>
      <w:bookmarkEnd w:id="410"/>
      <w:bookmarkEnd w:id="411"/>
    </w:p>
    <w:bookmarkEnd w:id="412"/>
    <w:p w14:paraId="1196544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试验属于自检性质的，承包人可以单独取样。试验属于监理人抽检性质的，可由监理人取样，也可由承包人的试验人员在监理人的监督下取样。</w:t>
      </w:r>
    </w:p>
    <w:p w14:paraId="6E00B45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13" w:name="_Toc2674"/>
      <w:bookmarkStart w:id="414" w:name="_Toc4844"/>
      <w:bookmarkStart w:id="415" w:name="_Toc351203565"/>
      <w:r>
        <w:rPr>
          <w:rFonts w:hint="eastAsia" w:ascii="仿宋" w:hAnsi="仿宋" w:eastAsia="仿宋" w:cs="仿宋"/>
          <w:b w:val="0"/>
          <w:color w:val="auto"/>
          <w:sz w:val="24"/>
          <w:szCs w:val="24"/>
        </w:rPr>
        <w:t>9</w:t>
      </w:r>
      <w:bookmarkStart w:id="416" w:name="_Toc337558785"/>
      <w:r>
        <w:rPr>
          <w:rFonts w:hint="eastAsia" w:ascii="仿宋" w:hAnsi="仿宋" w:eastAsia="仿宋" w:cs="仿宋"/>
          <w:b w:val="0"/>
          <w:color w:val="auto"/>
          <w:sz w:val="24"/>
          <w:szCs w:val="24"/>
        </w:rPr>
        <w:t>.3材料、工程设备和工程的试验和检验</w:t>
      </w:r>
      <w:bookmarkEnd w:id="413"/>
      <w:bookmarkEnd w:id="414"/>
      <w:bookmarkEnd w:id="415"/>
    </w:p>
    <w:bookmarkEnd w:id="416"/>
    <w:p w14:paraId="30DF727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2E1D6F7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156384D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6DD003D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17" w:name="_Toc351203566"/>
      <w:bookmarkStart w:id="418" w:name="_Toc18506"/>
      <w:bookmarkStart w:id="419" w:name="_Toc28999"/>
      <w:r>
        <w:rPr>
          <w:rFonts w:hint="eastAsia" w:ascii="仿宋" w:hAnsi="仿宋" w:eastAsia="仿宋" w:cs="仿宋"/>
          <w:b w:val="0"/>
          <w:color w:val="auto"/>
          <w:sz w:val="24"/>
          <w:szCs w:val="24"/>
        </w:rPr>
        <w:t>9</w:t>
      </w:r>
      <w:bookmarkStart w:id="420" w:name="_Toc337558786"/>
      <w:r>
        <w:rPr>
          <w:rFonts w:hint="eastAsia" w:ascii="仿宋" w:hAnsi="仿宋" w:eastAsia="仿宋" w:cs="仿宋"/>
          <w:b w:val="0"/>
          <w:color w:val="auto"/>
          <w:sz w:val="24"/>
          <w:szCs w:val="24"/>
        </w:rPr>
        <w:t>.4现场工艺试验</w:t>
      </w:r>
      <w:bookmarkEnd w:id="417"/>
      <w:bookmarkEnd w:id="418"/>
      <w:bookmarkEnd w:id="419"/>
    </w:p>
    <w:bookmarkEnd w:id="420"/>
    <w:p w14:paraId="7F5F8B7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承包人应按合同约定或监理人指示进行现场工艺试验。对大型的现场工艺试验，监理人认为必要时，承包人应根据监理人提出的工艺试验要求，编制工艺试验措施计划，报送监理人审查。</w:t>
      </w:r>
    </w:p>
    <w:p w14:paraId="4DA1FEBA">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421" w:name="_Toc4468"/>
      <w:bookmarkStart w:id="422" w:name="_Toc351203567"/>
      <w:bookmarkStart w:id="423" w:name="_Toc22551"/>
      <w:r>
        <w:rPr>
          <w:rFonts w:hint="eastAsia" w:ascii="仿宋" w:hAnsi="仿宋" w:eastAsia="仿宋" w:cs="仿宋"/>
          <w:b w:val="0"/>
          <w:color w:val="auto"/>
          <w:sz w:val="24"/>
          <w:szCs w:val="24"/>
        </w:rPr>
        <w:t>1</w:t>
      </w:r>
      <w:bookmarkStart w:id="424" w:name="_Toc337558787"/>
      <w:r>
        <w:rPr>
          <w:rFonts w:hint="eastAsia" w:ascii="仿宋" w:hAnsi="仿宋" w:eastAsia="仿宋" w:cs="仿宋"/>
          <w:b w:val="0"/>
          <w:color w:val="auto"/>
          <w:sz w:val="24"/>
          <w:szCs w:val="24"/>
        </w:rPr>
        <w:t>0. 变更</w:t>
      </w:r>
      <w:bookmarkEnd w:id="403"/>
      <w:bookmarkEnd w:id="404"/>
      <w:bookmarkEnd w:id="421"/>
      <w:bookmarkEnd w:id="422"/>
      <w:bookmarkEnd w:id="423"/>
    </w:p>
    <w:bookmarkEnd w:id="424"/>
    <w:p w14:paraId="0BD92636">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25" w:name="_Toc22497"/>
      <w:bookmarkStart w:id="426" w:name="_Toc21409"/>
      <w:bookmarkStart w:id="427" w:name="_Toc351203568"/>
      <w:r>
        <w:rPr>
          <w:rFonts w:hint="eastAsia" w:ascii="仿宋" w:hAnsi="仿宋" w:eastAsia="仿宋" w:cs="仿宋"/>
          <w:b w:val="0"/>
          <w:color w:val="auto"/>
          <w:sz w:val="24"/>
          <w:szCs w:val="24"/>
        </w:rPr>
        <w:t>1</w:t>
      </w:r>
      <w:bookmarkStart w:id="428" w:name="_Toc296503084"/>
      <w:bookmarkStart w:id="429" w:name="_Toc337558788"/>
      <w:bookmarkStart w:id="430" w:name="_Toc296346585"/>
      <w:r>
        <w:rPr>
          <w:rFonts w:hint="eastAsia" w:ascii="仿宋" w:hAnsi="仿宋" w:eastAsia="仿宋" w:cs="仿宋"/>
          <w:b w:val="0"/>
          <w:color w:val="auto"/>
          <w:sz w:val="24"/>
          <w:szCs w:val="24"/>
        </w:rPr>
        <w:t>0.1变更的范围</w:t>
      </w:r>
      <w:bookmarkEnd w:id="425"/>
      <w:bookmarkEnd w:id="426"/>
      <w:bookmarkEnd w:id="427"/>
    </w:p>
    <w:bookmarkEnd w:id="428"/>
    <w:bookmarkEnd w:id="429"/>
    <w:bookmarkEnd w:id="430"/>
    <w:p w14:paraId="2EEE52B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除专用合同条款另有约定外，合同履行过程中发生以下情形的，应按照本条约定进行变更：</w:t>
      </w:r>
    </w:p>
    <w:p w14:paraId="2051836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（1）增加或减少合同中任何工作，或追加额外的工作；</w:t>
      </w:r>
    </w:p>
    <w:p w14:paraId="4523580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（2）取消合同中任何工作，但转由他人实施的工作除外；</w:t>
      </w:r>
    </w:p>
    <w:p w14:paraId="4E55DEF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（3）改变合同中任何工作的质量标准或其他特性；</w:t>
      </w:r>
    </w:p>
    <w:p w14:paraId="7AA8102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（4）改变工程的基线、标高、位置和尺寸；</w:t>
      </w:r>
    </w:p>
    <w:p w14:paraId="31D9A0D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（5）改变工程的时间安排或实施顺序。</w:t>
      </w:r>
    </w:p>
    <w:p w14:paraId="1B2A5C35">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31" w:name="_Toc17837"/>
      <w:bookmarkStart w:id="432" w:name="_Toc351203569"/>
      <w:bookmarkStart w:id="433" w:name="_Toc2912"/>
      <w:r>
        <w:rPr>
          <w:rFonts w:hint="eastAsia" w:ascii="仿宋" w:hAnsi="仿宋" w:eastAsia="仿宋" w:cs="仿宋"/>
          <w:b w:val="0"/>
          <w:color w:val="auto"/>
          <w:sz w:val="24"/>
          <w:szCs w:val="24"/>
        </w:rPr>
        <w:t>1</w:t>
      </w:r>
      <w:bookmarkStart w:id="434" w:name="_Toc337558789"/>
      <w:bookmarkStart w:id="435" w:name="_Toc296346586"/>
      <w:bookmarkStart w:id="436" w:name="_Toc296503085"/>
      <w:r>
        <w:rPr>
          <w:rFonts w:hint="eastAsia" w:ascii="仿宋" w:hAnsi="仿宋" w:eastAsia="仿宋" w:cs="仿宋"/>
          <w:b w:val="0"/>
          <w:color w:val="auto"/>
          <w:sz w:val="24"/>
          <w:szCs w:val="24"/>
        </w:rPr>
        <w:t>0.2变更权</w:t>
      </w:r>
      <w:bookmarkEnd w:id="431"/>
      <w:bookmarkEnd w:id="432"/>
      <w:bookmarkEnd w:id="433"/>
    </w:p>
    <w:bookmarkEnd w:id="434"/>
    <w:bookmarkEnd w:id="435"/>
    <w:bookmarkEnd w:id="436"/>
    <w:p w14:paraId="2AD5029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0E46C40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涉及设计变更的，应由设计人提供变更后的图纸和说明。如变更超过原设计标准或批准的建设规模时，发包人应及时办理规划、设计变更等审批手续。</w:t>
      </w:r>
    </w:p>
    <w:p w14:paraId="6D7BF43A">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37" w:name="_Toc351203570"/>
      <w:bookmarkStart w:id="438" w:name="_Toc22340"/>
      <w:bookmarkStart w:id="439" w:name="_Toc9084"/>
      <w:r>
        <w:rPr>
          <w:rFonts w:hint="eastAsia" w:ascii="仿宋" w:hAnsi="仿宋" w:eastAsia="仿宋" w:cs="仿宋"/>
          <w:b w:val="0"/>
          <w:color w:val="auto"/>
          <w:sz w:val="24"/>
          <w:szCs w:val="24"/>
        </w:rPr>
        <w:t>1</w:t>
      </w:r>
      <w:bookmarkStart w:id="440" w:name="_Toc337558790"/>
      <w:bookmarkStart w:id="441" w:name="_Toc296503086"/>
      <w:bookmarkStart w:id="442" w:name="_Toc296346587"/>
      <w:r>
        <w:rPr>
          <w:rFonts w:hint="eastAsia" w:ascii="仿宋" w:hAnsi="仿宋" w:eastAsia="仿宋" w:cs="仿宋"/>
          <w:b w:val="0"/>
          <w:color w:val="auto"/>
          <w:sz w:val="24"/>
          <w:szCs w:val="24"/>
        </w:rPr>
        <w:t>0.3变更程序</w:t>
      </w:r>
      <w:bookmarkEnd w:id="437"/>
      <w:bookmarkEnd w:id="438"/>
      <w:bookmarkEnd w:id="439"/>
    </w:p>
    <w:bookmarkEnd w:id="440"/>
    <w:bookmarkEnd w:id="441"/>
    <w:bookmarkEnd w:id="442"/>
    <w:p w14:paraId="1536869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10</w:t>
      </w:r>
      <w:r>
        <w:rPr>
          <w:rFonts w:hint="eastAsia" w:ascii="仿宋" w:hAnsi="仿宋" w:eastAsia="仿宋" w:cs="仿宋"/>
          <w:color w:val="auto"/>
          <w:kern w:val="0"/>
          <w:sz w:val="24"/>
          <w:szCs w:val="24"/>
        </w:rPr>
        <w:t>.3.1 发包人提出变更</w:t>
      </w:r>
    </w:p>
    <w:p w14:paraId="7FD2575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发包人提出变更的，应通过监理人向承包人发出变更指示，变更指示应说明计划变更的工程范围和变更的内容。</w:t>
      </w:r>
    </w:p>
    <w:p w14:paraId="5DD6759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10</w:t>
      </w:r>
      <w:r>
        <w:rPr>
          <w:rFonts w:hint="eastAsia" w:ascii="仿宋" w:hAnsi="仿宋" w:eastAsia="仿宋" w:cs="仿宋"/>
          <w:color w:val="auto"/>
          <w:kern w:val="0"/>
          <w:sz w:val="24"/>
          <w:szCs w:val="24"/>
        </w:rPr>
        <w:t>.3.2 监理人提出变更建议</w:t>
      </w:r>
    </w:p>
    <w:p w14:paraId="6A8F9DC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16FC6E3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10.3.3 变更执行</w:t>
      </w:r>
    </w:p>
    <w:p w14:paraId="19C4F5A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14:paraId="5E9F647C">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43" w:name="_Toc351203571"/>
      <w:bookmarkStart w:id="444" w:name="_Toc8653"/>
      <w:bookmarkStart w:id="445" w:name="_Toc30463"/>
      <w:r>
        <w:rPr>
          <w:rFonts w:hint="eastAsia" w:ascii="仿宋" w:hAnsi="仿宋" w:eastAsia="仿宋" w:cs="仿宋"/>
          <w:b w:val="0"/>
          <w:color w:val="auto"/>
          <w:sz w:val="24"/>
          <w:szCs w:val="24"/>
        </w:rPr>
        <w:t>1</w:t>
      </w:r>
      <w:bookmarkStart w:id="446" w:name="_Toc296346588"/>
      <w:bookmarkStart w:id="447" w:name="_Toc337558791"/>
      <w:bookmarkStart w:id="448" w:name="_Toc296503087"/>
      <w:r>
        <w:rPr>
          <w:rFonts w:hint="eastAsia" w:ascii="仿宋" w:hAnsi="仿宋" w:eastAsia="仿宋" w:cs="仿宋"/>
          <w:b w:val="0"/>
          <w:color w:val="auto"/>
          <w:sz w:val="24"/>
          <w:szCs w:val="24"/>
        </w:rPr>
        <w:t>0.4变更估价</w:t>
      </w:r>
      <w:bookmarkEnd w:id="443"/>
      <w:bookmarkEnd w:id="444"/>
      <w:bookmarkEnd w:id="445"/>
    </w:p>
    <w:bookmarkEnd w:id="446"/>
    <w:bookmarkEnd w:id="447"/>
    <w:bookmarkEnd w:id="448"/>
    <w:p w14:paraId="7D98639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10.4.1 变更估价原则</w:t>
      </w:r>
    </w:p>
    <w:p w14:paraId="4C00ACA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除专用合同条款另有约定外，变更估价按照本款约定处理：</w:t>
      </w:r>
    </w:p>
    <w:p w14:paraId="59A573B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（1）已标价工程量清单或预算书有相同项目的，按照相同项目单价认定；</w:t>
      </w:r>
    </w:p>
    <w:p w14:paraId="7FC333C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（2）已标价工程量清单或预算书中无相同项目，但有类似项目的，参照类似项目的单价认定；</w:t>
      </w:r>
    </w:p>
    <w:p w14:paraId="76C142C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14:paraId="5F77408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10.4.2 变更估价程序</w:t>
      </w:r>
    </w:p>
    <w:p w14:paraId="39C1C1E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46A2667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因变更引起的价格调整应计入最近一期的进度款中支付。</w:t>
      </w:r>
    </w:p>
    <w:p w14:paraId="29CDBC11">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49" w:name="_Toc10748"/>
      <w:bookmarkStart w:id="450" w:name="_Toc1246"/>
      <w:bookmarkStart w:id="451" w:name="_Toc351203572"/>
      <w:r>
        <w:rPr>
          <w:rFonts w:hint="eastAsia" w:ascii="仿宋" w:hAnsi="仿宋" w:eastAsia="仿宋" w:cs="仿宋"/>
          <w:b w:val="0"/>
          <w:color w:val="auto"/>
          <w:sz w:val="24"/>
          <w:szCs w:val="24"/>
        </w:rPr>
        <w:t>1</w:t>
      </w:r>
      <w:bookmarkStart w:id="452" w:name="_Toc296503094"/>
      <w:bookmarkStart w:id="453" w:name="_Toc296346595"/>
      <w:bookmarkStart w:id="454" w:name="_Toc337558792"/>
      <w:r>
        <w:rPr>
          <w:rFonts w:hint="eastAsia" w:ascii="仿宋" w:hAnsi="仿宋" w:eastAsia="仿宋" w:cs="仿宋"/>
          <w:b w:val="0"/>
          <w:color w:val="auto"/>
          <w:sz w:val="24"/>
          <w:szCs w:val="24"/>
        </w:rPr>
        <w:t>0.5承包人的合理化建议</w:t>
      </w:r>
      <w:bookmarkEnd w:id="449"/>
      <w:bookmarkEnd w:id="450"/>
      <w:bookmarkEnd w:id="451"/>
    </w:p>
    <w:bookmarkEnd w:id="452"/>
    <w:bookmarkEnd w:id="453"/>
    <w:bookmarkEnd w:id="454"/>
    <w:p w14:paraId="1A8E89C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承包人提出合理化建议的，应向监理人提交合理化建议说明，说明建议的内容和理由，以及实施该建议对合同价格和工期的影响。</w:t>
      </w:r>
    </w:p>
    <w:p w14:paraId="7DB1FD7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14:paraId="1D7EC99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合理化建议降低了合同价格或者提高了工程经济效益的，发包人可对承包人给予奖励，奖励的方法和金额在专用合同条款中约定。</w:t>
      </w:r>
    </w:p>
    <w:p w14:paraId="1545E311">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color w:val="auto"/>
          <w:sz w:val="24"/>
          <w:szCs w:val="24"/>
        </w:rPr>
      </w:pPr>
      <w:bookmarkStart w:id="455" w:name="_Toc351203573"/>
      <w:bookmarkStart w:id="456" w:name="_Toc18444"/>
      <w:bookmarkStart w:id="457" w:name="_Toc27494"/>
      <w:r>
        <w:rPr>
          <w:rFonts w:hint="eastAsia" w:ascii="仿宋" w:hAnsi="仿宋" w:eastAsia="仿宋" w:cs="仿宋"/>
          <w:b w:val="0"/>
          <w:color w:val="auto"/>
          <w:sz w:val="24"/>
          <w:szCs w:val="24"/>
        </w:rPr>
        <w:t>1</w:t>
      </w:r>
      <w:bookmarkStart w:id="458" w:name="_Toc337558793"/>
      <w:r>
        <w:rPr>
          <w:rFonts w:hint="eastAsia" w:ascii="仿宋" w:hAnsi="仿宋" w:eastAsia="仿宋" w:cs="仿宋"/>
          <w:b w:val="0"/>
          <w:color w:val="auto"/>
          <w:sz w:val="24"/>
          <w:szCs w:val="24"/>
        </w:rPr>
        <w:t>0.6变更引起的工期调整</w:t>
      </w:r>
      <w:bookmarkEnd w:id="455"/>
      <w:bookmarkEnd w:id="456"/>
      <w:bookmarkEnd w:id="457"/>
      <w:r>
        <w:rPr>
          <w:rFonts w:hint="eastAsia" w:ascii="仿宋" w:hAnsi="仿宋" w:eastAsia="仿宋" w:cs="仿宋"/>
          <w:b w:val="0"/>
          <w:color w:val="auto"/>
          <w:sz w:val="24"/>
          <w:szCs w:val="24"/>
        </w:rPr>
        <w:t xml:space="preserve"> </w:t>
      </w:r>
      <w:bookmarkEnd w:id="458"/>
      <w:r>
        <w:rPr>
          <w:rFonts w:hint="eastAsia" w:ascii="仿宋" w:hAnsi="仿宋" w:eastAsia="仿宋" w:cs="仿宋"/>
          <w:b w:val="0"/>
          <w:color w:val="auto"/>
          <w:sz w:val="24"/>
          <w:szCs w:val="24"/>
        </w:rPr>
        <w:t xml:space="preserve"> </w:t>
      </w:r>
      <w:r>
        <w:rPr>
          <w:rFonts w:hint="eastAsia" w:ascii="仿宋" w:hAnsi="仿宋" w:eastAsia="仿宋" w:cs="仿宋"/>
          <w:color w:val="auto"/>
          <w:sz w:val="24"/>
          <w:szCs w:val="24"/>
        </w:rPr>
        <w:t xml:space="preserve"> </w:t>
      </w:r>
    </w:p>
    <w:p w14:paraId="5CA9A2A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因变更引起工期变化的，合同当事人均可要求调整合同工期，由合同当事人按照第4.4款〔商定或确定〕并参考工程所在地的工期定额标准确定增减工期天数。</w:t>
      </w:r>
    </w:p>
    <w:p w14:paraId="2DF96D8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59" w:name="_Toc351203574"/>
      <w:bookmarkStart w:id="460" w:name="_Toc31708"/>
      <w:bookmarkStart w:id="461" w:name="_Toc9524"/>
      <w:r>
        <w:rPr>
          <w:rFonts w:hint="eastAsia" w:ascii="仿宋" w:hAnsi="仿宋" w:eastAsia="仿宋" w:cs="仿宋"/>
          <w:b w:val="0"/>
          <w:color w:val="auto"/>
          <w:sz w:val="24"/>
          <w:szCs w:val="24"/>
        </w:rPr>
        <w:t>10.7暂估价</w:t>
      </w:r>
      <w:bookmarkEnd w:id="459"/>
      <w:bookmarkEnd w:id="460"/>
      <w:bookmarkEnd w:id="461"/>
    </w:p>
    <w:p w14:paraId="45CA575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暂估价专业分包工程、服务、材料和工程设备的明细由合同当事人在专用合同条款中约定。</w:t>
      </w:r>
    </w:p>
    <w:p w14:paraId="62A727C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10.7.1</w:t>
      </w:r>
      <w:r>
        <w:rPr>
          <w:rFonts w:hint="eastAsia" w:ascii="仿宋" w:hAnsi="仿宋" w:eastAsia="仿宋" w:cs="仿宋"/>
          <w:color w:val="auto"/>
          <w:kern w:val="0"/>
          <w:sz w:val="24"/>
          <w:szCs w:val="24"/>
        </w:rPr>
        <w:t xml:space="preserve"> 依法必须招标的暂估价项目</w:t>
      </w:r>
    </w:p>
    <w:p w14:paraId="3AD944C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对于依法必须招标的暂估价项目，采取以下第1种方式确定。合同当事人也可以在专用合同条款中选择其他招标方式。</w:t>
      </w:r>
    </w:p>
    <w:p w14:paraId="5D25C52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第1种方式：对于依法必须招标的暂估价项目，由承包人招标，对该暂估价项目的确认和批准按照以下约定执行：</w:t>
      </w:r>
    </w:p>
    <w:p w14:paraId="2C3DEF3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319FC6D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应当根据施工进度计划，提前14天将招标文件通过监理人报送发包人审批，发包人应当在收到承包人报送的相关文件后7天内完成审批或提出修改意见；发包人有权确定招标控制价并按照法律规定参加评标；</w:t>
      </w:r>
    </w:p>
    <w:p w14:paraId="26799402">
      <w:pPr>
        <w:pageBreakBefore w:val="0"/>
        <w:kinsoku/>
        <w:overflowPunct/>
        <w:topLinePunct w:val="0"/>
        <w:bidi w:val="0"/>
        <w:spacing w:line="44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1FBAD9B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65A4D92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10.7.2</w:t>
      </w:r>
      <w:r>
        <w:rPr>
          <w:rFonts w:hint="eastAsia" w:ascii="仿宋" w:hAnsi="仿宋" w:eastAsia="仿宋" w:cs="仿宋"/>
          <w:color w:val="auto"/>
          <w:kern w:val="0"/>
          <w:sz w:val="24"/>
          <w:szCs w:val="24"/>
        </w:rPr>
        <w:t>不属于依法必须招标的暂估价项目</w:t>
      </w:r>
    </w:p>
    <w:p w14:paraId="2322552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除专用合同条款另有约定外，对于不属于依法必须招标的暂估价项目，采取以下第1种方式确定： </w:t>
      </w:r>
    </w:p>
    <w:p w14:paraId="14E380E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第1种方式：对于不属于依法必须招标的暂估价项目，按本项约定确认和批准：</w:t>
      </w:r>
    </w:p>
    <w:p w14:paraId="65D3D98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5A234A9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（2）发包人认为承包人确定的供应商、分包人无法满足工程质量或合同要求的，发包人可以要求承包人重新确定暂估价项目的供应商、分包人;</w:t>
      </w:r>
    </w:p>
    <w:p w14:paraId="7ED541E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（3）承包人应当在签订暂估价合同后7天内，将暂估价合同副本报送发包人留存。</w:t>
      </w:r>
    </w:p>
    <w:p w14:paraId="37956F7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第2种方式：承包人按照第10.7.1项〔依法必须招标的暂估价项目〕约定的第1种方式确定暂估价项目。</w:t>
      </w:r>
    </w:p>
    <w:p w14:paraId="053F013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第3种方式：</w:t>
      </w:r>
      <w:r>
        <w:rPr>
          <w:rFonts w:hint="eastAsia" w:ascii="仿宋" w:hAnsi="仿宋" w:eastAsia="仿宋" w:cs="仿宋"/>
          <w:color w:val="auto"/>
          <w:kern w:val="0"/>
          <w:sz w:val="24"/>
          <w:szCs w:val="24"/>
        </w:rPr>
        <w:t>承包人直接实施的暂估价项目</w:t>
      </w:r>
    </w:p>
    <w:p w14:paraId="7111553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承包人具备实施暂估价项目的资格和条件的，经发包人和承包人协商一致后，可由承包人自行实施暂估价项目，合同当事人可以在专用合同条款约定具体事项。</w:t>
      </w:r>
    </w:p>
    <w:p w14:paraId="52F0B4C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39EE1D45">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62" w:name="_Toc21425"/>
      <w:bookmarkStart w:id="463" w:name="_Toc5657"/>
      <w:bookmarkStart w:id="464" w:name="_Toc351203575"/>
      <w:r>
        <w:rPr>
          <w:rFonts w:hint="eastAsia" w:ascii="仿宋" w:hAnsi="仿宋" w:eastAsia="仿宋" w:cs="仿宋"/>
          <w:b w:val="0"/>
          <w:color w:val="auto"/>
          <w:sz w:val="24"/>
          <w:szCs w:val="24"/>
        </w:rPr>
        <w:t>1</w:t>
      </w:r>
      <w:bookmarkStart w:id="465" w:name="_Toc337558794"/>
      <w:bookmarkStart w:id="466" w:name="_Toc322522561"/>
      <w:bookmarkStart w:id="467" w:name="_Toc296503090"/>
      <w:bookmarkStart w:id="468" w:name="_Toc296346591"/>
      <w:r>
        <w:rPr>
          <w:rFonts w:hint="eastAsia" w:ascii="仿宋" w:hAnsi="仿宋" w:eastAsia="仿宋" w:cs="仿宋"/>
          <w:b w:val="0"/>
          <w:color w:val="auto"/>
          <w:sz w:val="24"/>
          <w:szCs w:val="24"/>
        </w:rPr>
        <w:t>0.8暂列金额</w:t>
      </w:r>
      <w:bookmarkEnd w:id="462"/>
      <w:bookmarkEnd w:id="463"/>
      <w:bookmarkEnd w:id="464"/>
    </w:p>
    <w:bookmarkEnd w:id="465"/>
    <w:p w14:paraId="26BD0CA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暂列金额应按照发包人的要求使用，发包人的要求应通过监理人发出。合同当事人可以在专用合同条款中协商确定有关事项。</w:t>
      </w:r>
    </w:p>
    <w:bookmarkEnd w:id="466"/>
    <w:bookmarkEnd w:id="467"/>
    <w:bookmarkEnd w:id="468"/>
    <w:p w14:paraId="0E610CA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69" w:name="_Toc19350"/>
      <w:bookmarkStart w:id="470" w:name="_Toc351203576"/>
      <w:bookmarkStart w:id="471" w:name="_Toc24367"/>
      <w:r>
        <w:rPr>
          <w:rFonts w:hint="eastAsia" w:ascii="仿宋" w:hAnsi="仿宋" w:eastAsia="仿宋" w:cs="仿宋"/>
          <w:b w:val="0"/>
          <w:color w:val="auto"/>
          <w:sz w:val="24"/>
          <w:szCs w:val="24"/>
        </w:rPr>
        <w:t>1</w:t>
      </w:r>
      <w:bookmarkStart w:id="472" w:name="_Toc337558796"/>
      <w:bookmarkStart w:id="473" w:name="_Toc296346592"/>
      <w:bookmarkStart w:id="474" w:name="_Toc296503091"/>
      <w:r>
        <w:rPr>
          <w:rFonts w:hint="eastAsia" w:ascii="仿宋" w:hAnsi="仿宋" w:eastAsia="仿宋" w:cs="仿宋"/>
          <w:b w:val="0"/>
          <w:color w:val="auto"/>
          <w:sz w:val="24"/>
          <w:szCs w:val="24"/>
        </w:rPr>
        <w:t>0.9计日工</w:t>
      </w:r>
      <w:bookmarkEnd w:id="469"/>
      <w:bookmarkEnd w:id="470"/>
      <w:bookmarkEnd w:id="471"/>
      <w:r>
        <w:rPr>
          <w:rFonts w:hint="eastAsia" w:ascii="仿宋" w:hAnsi="仿宋" w:eastAsia="仿宋" w:cs="仿宋"/>
          <w:b w:val="0"/>
          <w:color w:val="auto"/>
          <w:sz w:val="24"/>
          <w:szCs w:val="24"/>
        </w:rPr>
        <w:t xml:space="preserve"> </w:t>
      </w:r>
      <w:bookmarkEnd w:id="472"/>
      <w:bookmarkEnd w:id="473"/>
      <w:bookmarkEnd w:id="474"/>
    </w:p>
    <w:p w14:paraId="12061DD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14:paraId="00EB71B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采用计日工计价的任何一项工作，承包人应在该项工作实施过程中，每天提交以下报表和有关凭证报送监理人审查：</w:t>
      </w:r>
    </w:p>
    <w:p w14:paraId="371C6CF3">
      <w:pPr>
        <w:pageBreakBefore w:val="0"/>
        <w:kinsoku/>
        <w:overflowPunct/>
        <w:topLinePunct w:val="0"/>
        <w:bidi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（1）工作名称、内容和数量；</w:t>
      </w:r>
    </w:p>
    <w:p w14:paraId="22CB7D81">
      <w:pPr>
        <w:pageBreakBefore w:val="0"/>
        <w:kinsoku/>
        <w:overflowPunct/>
        <w:topLinePunct w:val="0"/>
        <w:bidi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（2）投入该工作的所有人员的姓名、专业、工种、级别和耗用工时；</w:t>
      </w:r>
    </w:p>
    <w:p w14:paraId="58D1128B">
      <w:pPr>
        <w:pageBreakBefore w:val="0"/>
        <w:kinsoku/>
        <w:overflowPunct/>
        <w:topLinePunct w:val="0"/>
        <w:bidi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（3）投入该工作的材料类别和数量；</w:t>
      </w:r>
    </w:p>
    <w:p w14:paraId="2632579B">
      <w:pPr>
        <w:pageBreakBefore w:val="0"/>
        <w:kinsoku/>
        <w:overflowPunct/>
        <w:topLinePunct w:val="0"/>
        <w:bidi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（4）投入该工作的施工设备型号、台数和耗用台时；</w:t>
      </w:r>
    </w:p>
    <w:p w14:paraId="79FCA882">
      <w:pPr>
        <w:pageBreakBefore w:val="0"/>
        <w:kinsoku/>
        <w:overflowPunct/>
        <w:topLinePunct w:val="0"/>
        <w:bidi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（5）其他有关资料和凭证。</w:t>
      </w:r>
    </w:p>
    <w:p w14:paraId="79B4EB95">
      <w:pPr>
        <w:pageBreakBefore w:val="0"/>
        <w:kinsoku/>
        <w:overflowPunct/>
        <w:topLinePunct w:val="0"/>
        <w:bidi w:val="0"/>
        <w:spacing w:line="440" w:lineRule="exact"/>
        <w:ind w:firstLine="360" w:firstLineChars="15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计日工由承包人汇总后，列入最近一期进度付款申请单，由监理人审查并经发包人批准后列入进度付款。</w:t>
      </w:r>
    </w:p>
    <w:p w14:paraId="0A550ED5">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475" w:name="_Toc3210"/>
      <w:bookmarkStart w:id="476" w:name="_Toc6703"/>
      <w:bookmarkStart w:id="477" w:name="_Toc351203577"/>
      <w:r>
        <w:rPr>
          <w:rFonts w:hint="eastAsia" w:ascii="仿宋" w:hAnsi="仿宋" w:eastAsia="仿宋" w:cs="仿宋"/>
          <w:b w:val="0"/>
          <w:color w:val="auto"/>
          <w:sz w:val="24"/>
          <w:szCs w:val="24"/>
        </w:rPr>
        <w:t>11. 价格调整</w:t>
      </w:r>
      <w:bookmarkEnd w:id="475"/>
      <w:bookmarkEnd w:id="476"/>
      <w:bookmarkEnd w:id="477"/>
    </w:p>
    <w:p w14:paraId="7AB4977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78" w:name="_Toc5841"/>
      <w:bookmarkStart w:id="479" w:name="_Toc11833"/>
      <w:bookmarkStart w:id="480" w:name="_Toc351203578"/>
      <w:bookmarkStart w:id="481" w:name="_Toc296346593"/>
      <w:bookmarkStart w:id="482" w:name="_Toc337558797"/>
      <w:bookmarkStart w:id="483" w:name="_Toc296503092"/>
      <w:r>
        <w:rPr>
          <w:rFonts w:hint="eastAsia" w:ascii="仿宋" w:hAnsi="仿宋" w:eastAsia="仿宋" w:cs="仿宋"/>
          <w:b w:val="0"/>
          <w:color w:val="auto"/>
          <w:sz w:val="24"/>
          <w:szCs w:val="24"/>
        </w:rPr>
        <w:t>11.1市场价格波动引起的调整</w:t>
      </w:r>
      <w:bookmarkEnd w:id="478"/>
      <w:bookmarkEnd w:id="479"/>
      <w:bookmarkEnd w:id="480"/>
    </w:p>
    <w:bookmarkEnd w:id="481"/>
    <w:bookmarkEnd w:id="482"/>
    <w:bookmarkEnd w:id="483"/>
    <w:p w14:paraId="484E437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除专用合同条款另有约定外，市场价格波动超过合同当事人约定的范围，合同价格应当调整。合同当事人可以在专用合同条款中约定选择以下一种方式对合同价格进行调整：</w:t>
      </w:r>
    </w:p>
    <w:p w14:paraId="3A4D017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第1种方式：采用价格指数进行价格调整。</w:t>
      </w:r>
    </w:p>
    <w:p w14:paraId="3ADAD484">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（1）价格调整公式</w:t>
      </w:r>
    </w:p>
    <w:p w14:paraId="2907FD80">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因人工、材料和设备等价格波动影响合同价格时，根据专用合同条款中约定的数据，按以下公式计算差额并调整合同价格：</w:t>
      </w:r>
    </w:p>
    <w:p w14:paraId="7494DBD7">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position w:val="-30"/>
          <w:sz w:val="24"/>
          <w:szCs w:val="24"/>
        </w:rPr>
        <w:object>
          <v:shape id="_x0000_i1025" o:spt="75" type="#_x0000_t75" style="height:43.9pt;width:359.85pt;" o:ole="t" filled="f" stroked="f" coordsize="21600,21600">
            <v:path/>
            <v:fill on="f" focussize="0,0"/>
            <v:stroke on="f"/>
            <v:imagedata r:id="rId25" o:title=""/>
            <o:lock v:ext="edit" grouping="f" rotation="f" text="f" aspectratio="t"/>
            <w10:wrap type="none"/>
            <w10:anchorlock/>
          </v:shape>
          <o:OLEObject Type="Embed" ProgID="Equation.KSEE3" ShapeID="_x0000_i1025" DrawAspect="Content" ObjectID="_1468075725" r:id="rId24">
            <o:LockedField>false</o:LockedField>
          </o:OLEObject>
        </w:object>
      </w:r>
    </w:p>
    <w:p w14:paraId="6E003977">
      <w:pPr>
        <w:pageBreakBefore w:val="0"/>
        <w:tabs>
          <w:tab w:val="left" w:pos="0"/>
          <w:tab w:val="left" w:pos="360"/>
          <w:tab w:val="left" w:pos="540"/>
        </w:tabs>
        <w:kinsoku/>
        <w:overflowPunct/>
        <w:topLinePunct w:val="0"/>
        <w:bidi w:val="0"/>
        <w:spacing w:line="440" w:lineRule="exact"/>
        <w:ind w:firstLine="640"/>
        <w:rPr>
          <w:rFonts w:hint="eastAsia" w:ascii="仿宋" w:hAnsi="仿宋" w:eastAsia="仿宋" w:cs="仿宋"/>
          <w:color w:val="auto"/>
          <w:sz w:val="24"/>
          <w:szCs w:val="24"/>
        </w:rPr>
      </w:pPr>
      <w:r>
        <w:rPr>
          <w:rFonts w:hint="eastAsia" w:ascii="仿宋" w:hAnsi="仿宋" w:eastAsia="仿宋" w:cs="仿宋"/>
          <w:color w:val="auto"/>
          <w:sz w:val="24"/>
          <w:szCs w:val="24"/>
        </w:rPr>
        <w:t>公式中：ΔP——需调整的价格差额；</w:t>
      </w:r>
    </w:p>
    <w:p w14:paraId="5D49939F">
      <w:pPr>
        <w:pageBreakBefore w:val="0"/>
        <w:tabs>
          <w:tab w:val="left" w:pos="0"/>
          <w:tab w:val="left" w:pos="360"/>
          <w:tab w:val="left" w:pos="540"/>
        </w:tabs>
        <w:kinsoku/>
        <w:overflowPunct/>
        <w:topLinePunct w:val="0"/>
        <w:bidi w:val="0"/>
        <w:spacing w:line="440" w:lineRule="exact"/>
        <w:ind w:firstLine="1440" w:firstLineChars="600"/>
        <w:rPr>
          <w:rFonts w:hint="eastAsia" w:ascii="仿宋" w:hAnsi="仿宋" w:eastAsia="仿宋" w:cs="仿宋"/>
          <w:color w:val="auto"/>
          <w:sz w:val="24"/>
          <w:szCs w:val="24"/>
        </w:rPr>
      </w:pPr>
      <w:r>
        <w:rPr>
          <w:rFonts w:hint="eastAsia" w:ascii="仿宋" w:hAnsi="仿宋" w:eastAsia="仿宋" w:cs="仿宋"/>
          <w:color w:val="auto"/>
          <w:position w:val="-6"/>
          <w:sz w:val="24"/>
          <w:szCs w:val="24"/>
        </w:rPr>
        <w:object>
          <v:shape id="_x0000_i1026" o:spt="75" type="#_x0000_t75" style="height:17.95pt;width:17.95pt;" o:ole="t" filled="f" stroked="f" coordsize="21600,21600">
            <v:path/>
            <v:fill on="f" focussize="0,0"/>
            <v:stroke on="f"/>
            <v:imagedata r:id="rId27" o:title=""/>
            <o:lock v:ext="edit" grouping="f" rotation="f" text="f" aspectratio="t"/>
            <w10:wrap type="none"/>
            <w10:anchorlock/>
          </v:shape>
          <o:OLEObject Type="Embed" ProgID="Equation.KSEE3" ShapeID="_x0000_i1026" DrawAspect="Content" ObjectID="_1468075726" r:id="rId26">
            <o:LockedField>false</o:LockedField>
          </o:OLEObject>
        </w:object>
      </w:r>
      <w:r>
        <w:rPr>
          <w:rFonts w:hint="eastAsia" w:ascii="仿宋" w:hAnsi="仿宋" w:eastAsia="仿宋" w:cs="仿宋"/>
          <w:color w:val="auto"/>
          <w:sz w:val="24"/>
          <w:szCs w:val="24"/>
        </w:rPr>
        <w:t>——约定的付款证书中承包人应得到的已完成工程量的金额。此项金额应不包括价格调整、不计质量保证金的扣留和支付、预付款的支付和扣回。约定的变更及其他金额已按现行价格计价的，也不计在内；</w:t>
      </w:r>
    </w:p>
    <w:p w14:paraId="41F03207">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A——定值权重（即不调部分的权重）；</w:t>
      </w:r>
    </w:p>
    <w:p w14:paraId="5B3FD101">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position w:val="-10"/>
          <w:sz w:val="24"/>
          <w:szCs w:val="24"/>
        </w:rPr>
        <w:object>
          <v:shape id="_x0000_i1027" o:spt="75" type="#_x0000_t75" style="height:21.05pt;width:101pt;" o:ole="t" filled="f" stroked="f" coordsize="21600,21600">
            <v:path/>
            <v:fill on="f" focussize="0,0"/>
            <v:stroke on="f"/>
            <v:imagedata r:id="rId29" o:title=""/>
            <o:lock v:ext="edit" grouping="f" rotation="f" text="f" aspectratio="t"/>
            <w10:wrap type="none"/>
            <w10:anchorlock/>
          </v:shape>
          <o:OLEObject Type="Embed" ProgID="Equation.KSEE3" ShapeID="_x0000_i1027" DrawAspect="Content" ObjectID="_1468075727" r:id="rId28">
            <o:LockedField>false</o:LockedField>
          </o:OLEObject>
        </w:object>
      </w:r>
      <w:r>
        <w:rPr>
          <w:rFonts w:hint="eastAsia" w:ascii="仿宋" w:hAnsi="仿宋" w:eastAsia="仿宋" w:cs="仿宋"/>
          <w:color w:val="auto"/>
          <w:sz w:val="24"/>
          <w:szCs w:val="24"/>
        </w:rPr>
        <w:t>——各可调因子的变值权重（即可调部分的权重），为各可调因子在签约合同价中所占的比例；</w:t>
      </w:r>
    </w:p>
    <w:p w14:paraId="08EC0901">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position w:val="-10"/>
          <w:sz w:val="24"/>
          <w:szCs w:val="24"/>
        </w:rPr>
        <w:object>
          <v:shape id="_x0000_i1028" o:spt="75" type="#_x0000_t75" style="height:20.6pt;width:102.05pt;" o:ole="t" filled="f" stroked="f" coordsize="21600,21600">
            <v:path/>
            <v:fill on="f" focussize="0,0"/>
            <v:stroke on="f"/>
            <v:imagedata r:id="rId31" o:title=""/>
            <o:lock v:ext="edit" grouping="f" rotation="f" text="f" aspectratio="t"/>
            <w10:wrap type="none"/>
            <w10:anchorlock/>
          </v:shape>
          <o:OLEObject Type="Embed" ProgID="Equation.KSEE3" ShapeID="_x0000_i1028" DrawAspect="Content" ObjectID="_1468075728" r:id="rId30">
            <o:LockedField>false</o:LockedField>
          </o:OLEObject>
        </w:object>
      </w:r>
      <w:r>
        <w:rPr>
          <w:rFonts w:hint="eastAsia" w:ascii="仿宋" w:hAnsi="仿宋" w:eastAsia="仿宋" w:cs="仿宋"/>
          <w:color w:val="auto"/>
          <w:sz w:val="24"/>
          <w:szCs w:val="24"/>
        </w:rPr>
        <w:t>——各可调因子的现行价格指数，指约定的付款证书相关周期最后一天的前42天的各可调因子的价格指数；</w:t>
      </w:r>
    </w:p>
    <w:p w14:paraId="60754A3A">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position w:val="-10"/>
          <w:sz w:val="24"/>
          <w:szCs w:val="24"/>
        </w:rPr>
        <w:object>
          <v:shape id="_x0000_i1029" o:spt="75" type="#_x0000_t75" style="height:20.2pt;width:108pt;" o:ole="t" filled="f" stroked="f" coordsize="21600,21600">
            <v:path/>
            <v:fill on="f" focussize="0,0"/>
            <v:stroke on="f"/>
            <v:imagedata r:id="rId33" o:title=""/>
            <o:lock v:ext="edit" grouping="f" rotation="f" text="f" aspectratio="t"/>
            <w10:wrap type="none"/>
            <w10:anchorlock/>
          </v:shape>
          <o:OLEObject Type="Embed" ProgID="Equation.KSEE3" ShapeID="_x0000_i1029" DrawAspect="Content" ObjectID="_1468075729" r:id="rId32">
            <o:LockedField>false</o:LockedField>
          </o:OLEObject>
        </w:object>
      </w:r>
      <w:r>
        <w:rPr>
          <w:rFonts w:hint="eastAsia" w:ascii="仿宋" w:hAnsi="仿宋" w:eastAsia="仿宋" w:cs="仿宋"/>
          <w:color w:val="auto"/>
          <w:sz w:val="24"/>
          <w:szCs w:val="24"/>
        </w:rPr>
        <w:t>——各可调因子的基本价格指数，指基准日期的各可调因子的价格指数。</w:t>
      </w:r>
    </w:p>
    <w:p w14:paraId="20C5B5B6">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0B441D8C">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（2）暂时确定调整差额</w:t>
      </w:r>
    </w:p>
    <w:p w14:paraId="1F471D21">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在计算调整差额时无现行价格指数的，合同当事人同意暂用前次价格指数计算。实际价格指数有调整的，合同当事人进行相应调整。</w:t>
      </w:r>
    </w:p>
    <w:p w14:paraId="04066F1A">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（3）权重的调整</w:t>
      </w:r>
    </w:p>
    <w:p w14:paraId="5B791F1D">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因变更导致合同约定的权重不合理时，按照第4.4款〔商定或确定〕执行。</w:t>
      </w:r>
    </w:p>
    <w:p w14:paraId="3D4879B8">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（4）因承包人原因工期延误后的价格调整</w:t>
      </w:r>
    </w:p>
    <w:p w14:paraId="507D43C6">
      <w:pPr>
        <w:pageBreakBefore w:val="0"/>
        <w:tabs>
          <w:tab w:val="left" w:pos="0"/>
          <w:tab w:val="left" w:pos="360"/>
          <w:tab w:val="left" w:pos="540"/>
        </w:tabs>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因承包人原因未按期竣工的，对合同约定的竣工日期后继续施工的工程，在使用价格调整公式时，应采用计划竣工日期与实际竣工日期的两个价格指数中较低的一个作为现行价格指数。</w:t>
      </w:r>
    </w:p>
    <w:p w14:paraId="10434525">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第2种方式：采用造价信息进行价格调整。</w:t>
      </w:r>
    </w:p>
    <w:p w14:paraId="006452BE">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799937BD">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29447004">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（2）材料、工程设备价格变化的价款调整按照发包人提供的基准价格，按以下风险范围规定执行:</w:t>
      </w:r>
    </w:p>
    <w:p w14:paraId="261667BA">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6AD7C090">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37F1F3D0">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③承包人在已标价工程量清单或预算书中载明材料单价等于基准价格的：除专用合同条款另有约定外，合同履行期间材料单价涨跌幅以基准价格为基础超过±5%时，其超过部分据实调整。</w:t>
      </w:r>
    </w:p>
    <w:p w14:paraId="44C50527">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4E49483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bookmarkStart w:id="484" w:name="OLE_LINK3"/>
      <w:r>
        <w:rPr>
          <w:rFonts w:hint="eastAsia" w:ascii="仿宋" w:hAnsi="仿宋" w:eastAsia="仿宋" w:cs="仿宋"/>
          <w:color w:val="auto"/>
          <w:sz w:val="24"/>
          <w:szCs w:val="24"/>
        </w:rPr>
        <w:t>前述基准价格是指由发包人在招标文件或专用合同条款中给定的材料、工程设备的价格，该价格原则上应当按照省级或行业建设主管部门或其授权的工程造价管理机构发布的信息价编制。</w:t>
      </w:r>
    </w:p>
    <w:p w14:paraId="4633F328">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（3）施工机械台班单价或施工机械使用费发生变化超过省级或行业建设主管部门或其授权的工程造价管理机构规定的范围时，按规定调整合同价格。</w:t>
      </w:r>
    </w:p>
    <w:p w14:paraId="62DCC12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第3种方式：专用合同条款约定的其他方式。</w:t>
      </w:r>
    </w:p>
    <w:p w14:paraId="16B1255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85" w:name="_Toc351203579"/>
      <w:bookmarkStart w:id="486" w:name="_Toc19083"/>
      <w:bookmarkStart w:id="487" w:name="_Toc31844"/>
      <w:bookmarkStart w:id="488" w:name="_Toc337558798"/>
      <w:bookmarkStart w:id="489" w:name="_Toc296503093"/>
      <w:bookmarkStart w:id="490" w:name="_Toc296346594"/>
      <w:r>
        <w:rPr>
          <w:rFonts w:hint="eastAsia" w:ascii="仿宋" w:hAnsi="仿宋" w:eastAsia="仿宋" w:cs="仿宋"/>
          <w:b w:val="0"/>
          <w:color w:val="auto"/>
          <w:sz w:val="24"/>
          <w:szCs w:val="24"/>
        </w:rPr>
        <w:t>11.2法律变化引起的调整</w:t>
      </w:r>
      <w:bookmarkEnd w:id="485"/>
      <w:bookmarkEnd w:id="486"/>
      <w:bookmarkEnd w:id="487"/>
    </w:p>
    <w:bookmarkEnd w:id="488"/>
    <w:bookmarkEnd w:id="489"/>
    <w:bookmarkEnd w:id="490"/>
    <w:p w14:paraId="5011007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14:paraId="00497B4F">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因法律变化引起的合同价格和工期调整，合同当事人无法达成一致的，由总监理工程师按第4.4款〔商定或确定〕的约定处理。</w:t>
      </w:r>
    </w:p>
    <w:p w14:paraId="49E66775">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kern w:val="0"/>
          <w:sz w:val="24"/>
          <w:szCs w:val="24"/>
        </w:rPr>
        <w:t>因承包人原因造成工期延误，在工期延误期间出现法律变化的，由此增加的费用和（或）延误的工期由承包人承担。</w:t>
      </w:r>
    </w:p>
    <w:p w14:paraId="45BB259B">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491" w:name="_Toc351203580"/>
      <w:bookmarkStart w:id="492" w:name="_Toc19491"/>
      <w:bookmarkStart w:id="493" w:name="_Toc9331"/>
      <w:bookmarkStart w:id="494" w:name="_Toc337558799"/>
      <w:bookmarkStart w:id="495" w:name="_Toc296346597"/>
      <w:bookmarkStart w:id="496" w:name="_Toc296503096"/>
      <w:r>
        <w:rPr>
          <w:rFonts w:hint="eastAsia" w:ascii="仿宋" w:hAnsi="仿宋" w:eastAsia="仿宋" w:cs="仿宋"/>
          <w:b w:val="0"/>
          <w:color w:val="auto"/>
          <w:sz w:val="24"/>
          <w:szCs w:val="24"/>
        </w:rPr>
        <w:t>12. 合同价格、计量与支付</w:t>
      </w:r>
      <w:bookmarkEnd w:id="491"/>
      <w:bookmarkEnd w:id="492"/>
      <w:bookmarkEnd w:id="493"/>
    </w:p>
    <w:bookmarkEnd w:id="494"/>
    <w:p w14:paraId="34FEED21">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497" w:name="_Toc351203581"/>
      <w:bookmarkStart w:id="498" w:name="_Toc8591"/>
      <w:bookmarkStart w:id="499" w:name="_Toc29292"/>
      <w:bookmarkStart w:id="500" w:name="_Toc337558800"/>
      <w:r>
        <w:rPr>
          <w:rFonts w:hint="eastAsia" w:ascii="仿宋" w:hAnsi="仿宋" w:eastAsia="仿宋" w:cs="仿宋"/>
          <w:b w:val="0"/>
          <w:color w:val="auto"/>
          <w:sz w:val="24"/>
          <w:szCs w:val="24"/>
        </w:rPr>
        <w:t>12.1 合同价</w:t>
      </w:r>
      <w:bookmarkEnd w:id="495"/>
      <w:bookmarkEnd w:id="496"/>
      <w:r>
        <w:rPr>
          <w:rFonts w:hint="eastAsia" w:ascii="仿宋" w:hAnsi="仿宋" w:eastAsia="仿宋" w:cs="仿宋"/>
          <w:b w:val="0"/>
          <w:color w:val="auto"/>
          <w:sz w:val="24"/>
          <w:szCs w:val="24"/>
        </w:rPr>
        <w:t>格形式</w:t>
      </w:r>
      <w:bookmarkEnd w:id="497"/>
      <w:bookmarkEnd w:id="498"/>
      <w:bookmarkEnd w:id="499"/>
    </w:p>
    <w:bookmarkEnd w:id="500"/>
    <w:p w14:paraId="0AA06A2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发包人和承包人应在合同协议书中选择下列一种合同价格形式： </w:t>
      </w:r>
    </w:p>
    <w:p w14:paraId="0A4ECED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val="en-US" w:eastAsia="zh-CN"/>
        </w:rPr>
        <w:t>.</w:t>
      </w:r>
      <w:r>
        <w:rPr>
          <w:rFonts w:hint="eastAsia" w:ascii="仿宋" w:hAnsi="仿宋" w:eastAsia="仿宋" w:cs="仿宋"/>
          <w:color w:val="auto"/>
          <w:kern w:val="0"/>
          <w:sz w:val="24"/>
          <w:szCs w:val="24"/>
        </w:rPr>
        <w:t>单价合同</w:t>
      </w:r>
    </w:p>
    <w:p w14:paraId="38E00AE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单价合同是指合同当事人约定以工程量清单及其综合单价进行合同价格计算、调整和确认的建设工程施工合同，</w:t>
      </w:r>
      <w:r>
        <w:rPr>
          <w:rFonts w:hint="eastAsia" w:ascii="仿宋" w:hAnsi="仿宋" w:eastAsia="仿宋" w:cs="仿宋"/>
          <w:color w:val="auto"/>
          <w:sz w:val="24"/>
          <w:szCs w:val="24"/>
        </w:rPr>
        <w:t>在约定的范围内合同单价不作调整</w:t>
      </w:r>
      <w:r>
        <w:rPr>
          <w:rFonts w:hint="eastAsia" w:ascii="仿宋" w:hAnsi="仿宋" w:eastAsia="仿宋" w:cs="仿宋"/>
          <w:color w:val="auto"/>
          <w:kern w:val="0"/>
          <w:sz w:val="24"/>
          <w:szCs w:val="24"/>
        </w:rPr>
        <w:t>。合同当事人应在专用合同条款中约定综合单价包含的风险范围和风险费用的计算方法</w:t>
      </w:r>
      <w:r>
        <w:rPr>
          <w:rFonts w:hint="eastAsia" w:ascii="仿宋" w:hAnsi="仿宋" w:eastAsia="仿宋" w:cs="仿宋"/>
          <w:color w:val="auto"/>
          <w:sz w:val="24"/>
          <w:szCs w:val="24"/>
        </w:rPr>
        <w:t>，</w:t>
      </w:r>
      <w:r>
        <w:rPr>
          <w:rFonts w:hint="eastAsia" w:ascii="仿宋" w:hAnsi="仿宋" w:eastAsia="仿宋" w:cs="仿宋"/>
          <w:color w:val="auto"/>
          <w:kern w:val="0"/>
          <w:sz w:val="24"/>
          <w:szCs w:val="24"/>
        </w:rPr>
        <w:t>并约定风险范围以外的合同价格的调整方法，其中因市场价格波动引起的调整按第11.1款〔市场价格波动引起的调整〕约定执行。</w:t>
      </w:r>
    </w:p>
    <w:p w14:paraId="423F5AF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r>
        <w:rPr>
          <w:rFonts w:hint="eastAsia" w:ascii="仿宋" w:hAnsi="仿宋" w:eastAsia="仿宋" w:cs="仿宋"/>
          <w:color w:val="auto"/>
          <w:kern w:val="0"/>
          <w:sz w:val="24"/>
          <w:szCs w:val="24"/>
          <w:lang w:val="en-US" w:eastAsia="zh-CN"/>
        </w:rPr>
        <w:t>.</w:t>
      </w:r>
      <w:r>
        <w:rPr>
          <w:rFonts w:hint="eastAsia" w:ascii="仿宋" w:hAnsi="仿宋" w:eastAsia="仿宋" w:cs="仿宋"/>
          <w:color w:val="auto"/>
          <w:kern w:val="0"/>
          <w:sz w:val="24"/>
          <w:szCs w:val="24"/>
        </w:rPr>
        <w:t>总价合同</w:t>
      </w:r>
    </w:p>
    <w:p w14:paraId="784F5C4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总价合同是指合同当事人约定以施工图、已标价工程量清单或预算书及有关条件进行合同价格计算、调整和确认的建设工程施工合同，</w:t>
      </w:r>
      <w:r>
        <w:rPr>
          <w:rFonts w:hint="eastAsia" w:ascii="仿宋" w:hAnsi="仿宋" w:eastAsia="仿宋" w:cs="仿宋"/>
          <w:color w:val="auto"/>
          <w:sz w:val="24"/>
          <w:szCs w:val="24"/>
        </w:rPr>
        <w:t>在约定的范围内合同总价不作调整</w:t>
      </w:r>
      <w:r>
        <w:rPr>
          <w:rFonts w:hint="eastAsia" w:ascii="仿宋" w:hAnsi="仿宋" w:eastAsia="仿宋" w:cs="仿宋"/>
          <w:color w:val="auto"/>
          <w:kern w:val="0"/>
          <w:sz w:val="24"/>
          <w:szCs w:val="24"/>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14:paraId="52E9A5F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r>
        <w:rPr>
          <w:rFonts w:hint="eastAsia" w:ascii="仿宋" w:hAnsi="仿宋" w:eastAsia="仿宋" w:cs="仿宋"/>
          <w:color w:val="auto"/>
          <w:kern w:val="0"/>
          <w:sz w:val="24"/>
          <w:szCs w:val="24"/>
          <w:lang w:val="en-US" w:eastAsia="zh-CN"/>
        </w:rPr>
        <w:t>.</w:t>
      </w:r>
      <w:r>
        <w:rPr>
          <w:rFonts w:hint="eastAsia" w:ascii="仿宋" w:hAnsi="仿宋" w:eastAsia="仿宋" w:cs="仿宋"/>
          <w:color w:val="auto"/>
          <w:kern w:val="0"/>
          <w:sz w:val="24"/>
          <w:szCs w:val="24"/>
        </w:rPr>
        <w:t>其它价格形式</w:t>
      </w:r>
    </w:p>
    <w:p w14:paraId="5407837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合同当事人可在专用合同条款中约定其他合同价格形式。</w:t>
      </w:r>
    </w:p>
    <w:p w14:paraId="55FD0BE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01" w:name="_Toc296503097"/>
      <w:bookmarkStart w:id="502" w:name="_Toc296346598"/>
      <w:bookmarkStart w:id="503" w:name="_Toc14898"/>
      <w:bookmarkStart w:id="504" w:name="_Toc882"/>
      <w:bookmarkStart w:id="505" w:name="_Toc351203582"/>
      <w:bookmarkStart w:id="506" w:name="_Toc337558801"/>
      <w:r>
        <w:rPr>
          <w:rFonts w:hint="eastAsia" w:ascii="仿宋" w:hAnsi="仿宋" w:eastAsia="仿宋" w:cs="仿宋"/>
          <w:b w:val="0"/>
          <w:color w:val="auto"/>
          <w:sz w:val="24"/>
          <w:szCs w:val="24"/>
        </w:rPr>
        <w:t>12.2预</w:t>
      </w:r>
      <w:bookmarkEnd w:id="501"/>
      <w:bookmarkEnd w:id="502"/>
      <w:bookmarkStart w:id="507" w:name="_Toc296346601"/>
      <w:bookmarkStart w:id="508" w:name="_Toc296503100"/>
      <w:r>
        <w:rPr>
          <w:rFonts w:hint="eastAsia" w:ascii="仿宋" w:hAnsi="仿宋" w:eastAsia="仿宋" w:cs="仿宋"/>
          <w:b w:val="0"/>
          <w:color w:val="auto"/>
          <w:sz w:val="24"/>
          <w:szCs w:val="24"/>
        </w:rPr>
        <w:t>付款</w:t>
      </w:r>
      <w:bookmarkEnd w:id="503"/>
      <w:bookmarkEnd w:id="504"/>
      <w:bookmarkEnd w:id="505"/>
    </w:p>
    <w:bookmarkEnd w:id="506"/>
    <w:bookmarkEnd w:id="507"/>
    <w:bookmarkEnd w:id="508"/>
    <w:p w14:paraId="507FAF2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12.2.</w:t>
      </w:r>
      <w:r>
        <w:rPr>
          <w:rFonts w:hint="eastAsia" w:ascii="仿宋" w:hAnsi="仿宋" w:eastAsia="仿宋" w:cs="仿宋"/>
          <w:color w:val="auto"/>
          <w:kern w:val="0"/>
          <w:sz w:val="24"/>
          <w:szCs w:val="24"/>
        </w:rPr>
        <w:t>1预付款的支付</w:t>
      </w:r>
    </w:p>
    <w:p w14:paraId="1CB4BCE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预付款的支付按照专用合同条款约定执行，但至迟应在开工通知载明的开工日期7天前支付。预付款应当用于材料、工程设备、施工设备的采购及修建临时工程、组织施工队伍进场等。</w:t>
      </w:r>
    </w:p>
    <w:p w14:paraId="3926763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除专用合同条款另有约定外，预付款在进度付款中同比例扣回。</w:t>
      </w:r>
      <w:bookmarkEnd w:id="484"/>
      <w:r>
        <w:rPr>
          <w:rFonts w:hint="eastAsia" w:ascii="仿宋" w:hAnsi="仿宋" w:eastAsia="仿宋" w:cs="仿宋"/>
          <w:color w:val="auto"/>
          <w:kern w:val="0"/>
          <w:sz w:val="24"/>
          <w:szCs w:val="24"/>
        </w:rPr>
        <w:t>在颁发工程接收证书前，提前解除合同的，尚未扣完的预付款应与合同价款一并结算。</w:t>
      </w:r>
    </w:p>
    <w:p w14:paraId="6218C9A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发包人逾期支付预付款超过7天的，承包人有权向发包人发出要求预付的催告通知，发包人收到通知后7天内仍未支付的，承包人有权暂停施工，并按第16.1.1项〔发包人违约的情形〕执行。</w:t>
      </w:r>
    </w:p>
    <w:p w14:paraId="136FA008">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12.2.2 预付款担保</w:t>
      </w:r>
    </w:p>
    <w:p w14:paraId="27B35CB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134DC11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发包人在工程款中逐期扣回预付款后，预付款担保额度应相应减少，但剩余的预付款担保金额不得低于未被扣回的预付款金额。</w:t>
      </w:r>
    </w:p>
    <w:p w14:paraId="6796A665">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09" w:name="_Toc351203583"/>
      <w:bookmarkStart w:id="510" w:name="_Toc9491"/>
      <w:bookmarkStart w:id="511" w:name="_Toc367"/>
      <w:bookmarkStart w:id="512" w:name="_Toc337558802"/>
      <w:r>
        <w:rPr>
          <w:rFonts w:hint="eastAsia" w:ascii="仿宋" w:hAnsi="仿宋" w:eastAsia="仿宋" w:cs="仿宋"/>
          <w:b w:val="0"/>
          <w:color w:val="auto"/>
          <w:sz w:val="24"/>
          <w:szCs w:val="24"/>
        </w:rPr>
        <w:t>12.3计量</w:t>
      </w:r>
      <w:bookmarkEnd w:id="509"/>
      <w:bookmarkEnd w:id="510"/>
      <w:bookmarkEnd w:id="511"/>
    </w:p>
    <w:bookmarkEnd w:id="512"/>
    <w:p w14:paraId="6290554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12.3.1 计量原则</w:t>
      </w:r>
    </w:p>
    <w:p w14:paraId="26BE572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工程量计量按照合同约定的工程量计算规则、图纸及变更指示等进行计量。工程量计算规则应以相关的国家标准、行业标准等为依据，由合同当事人在专用合同条款中约定。</w:t>
      </w:r>
    </w:p>
    <w:p w14:paraId="39D0873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12.3.2 计量周期</w:t>
      </w:r>
    </w:p>
    <w:p w14:paraId="71CA7A5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除专用合同条款另有约定外，工程量的计量按月进行。</w:t>
      </w:r>
    </w:p>
    <w:p w14:paraId="735E2CB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12.3.3 单价合同的计量</w:t>
      </w:r>
    </w:p>
    <w:p w14:paraId="61D8962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除专用合同条款另有约定外，单价合同的计量按照本项约定执行：</w:t>
      </w:r>
    </w:p>
    <w:p w14:paraId="7D5A31A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（1）承包人应于每月25日向监理人报送上月20日至当月19日已完成的工程量报告，并附具进度付款申请单、已完成工程量报表和有关资料。</w:t>
      </w:r>
    </w:p>
    <w:p w14:paraId="12E0BB5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5BA1C55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（3）监理人未在收到承包人提交的工程量报表后的7天内完成审核的，承包人报送的工程量报告中的工程量视为承包人实际完成的工程量，据此计算工程价款。</w:t>
      </w:r>
    </w:p>
    <w:p w14:paraId="2543645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12.3.4 总价合同的计量</w:t>
      </w:r>
    </w:p>
    <w:p w14:paraId="2681828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除专用合同条款另有约定外，按月计量支付的总价合同，按照本项约定执行：</w:t>
      </w:r>
    </w:p>
    <w:p w14:paraId="1183D30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（1）承包人应于每月25日向监理人报送上月20日至当月19日已完成的工程量报告，并附具进度付款申请单、已完成工程量报表和有关资料。</w:t>
      </w:r>
    </w:p>
    <w:p w14:paraId="42C6BFF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003B214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（3）监理人未在收到承包人提交的工程量报表后的7天内完成复核的，承包人提交的工程量报告中的工程量视为承包人实际完成的工程量。</w:t>
      </w:r>
    </w:p>
    <w:p w14:paraId="26B81E7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12.3.5 总价合同采用支付分解表计量支付的，可以按照第12.3.4项〔总价合同的计量〕约定进行计量，但合同价款按照支付分解表进行支付。</w:t>
      </w:r>
    </w:p>
    <w:p w14:paraId="541200B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12.3.6 其他价格形式合同的计量</w:t>
      </w:r>
    </w:p>
    <w:p w14:paraId="1A3FD72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合同当事人可在专用合同条款中约定其他价格形式合同的计量方式和程序。</w:t>
      </w:r>
    </w:p>
    <w:p w14:paraId="5753BB0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13" w:name="_Toc296503101"/>
      <w:bookmarkStart w:id="514" w:name="_Toc296346602"/>
      <w:bookmarkStart w:id="515" w:name="_Toc12679"/>
      <w:bookmarkStart w:id="516" w:name="_Toc351203584"/>
      <w:bookmarkStart w:id="517" w:name="_Toc9408"/>
      <w:bookmarkStart w:id="518" w:name="_Toc337558803"/>
      <w:r>
        <w:rPr>
          <w:rFonts w:hint="eastAsia" w:ascii="仿宋" w:hAnsi="仿宋" w:eastAsia="仿宋" w:cs="仿宋"/>
          <w:b w:val="0"/>
          <w:color w:val="auto"/>
          <w:sz w:val="24"/>
          <w:szCs w:val="24"/>
        </w:rPr>
        <w:t>12.4工程进度款支</w:t>
      </w:r>
      <w:bookmarkEnd w:id="513"/>
      <w:bookmarkEnd w:id="514"/>
      <w:r>
        <w:rPr>
          <w:rFonts w:hint="eastAsia" w:ascii="仿宋" w:hAnsi="仿宋" w:eastAsia="仿宋" w:cs="仿宋"/>
          <w:b w:val="0"/>
          <w:color w:val="auto"/>
          <w:sz w:val="24"/>
          <w:szCs w:val="24"/>
        </w:rPr>
        <w:t>付</w:t>
      </w:r>
      <w:bookmarkEnd w:id="515"/>
      <w:bookmarkEnd w:id="516"/>
      <w:bookmarkEnd w:id="517"/>
    </w:p>
    <w:bookmarkEnd w:id="518"/>
    <w:p w14:paraId="177B3DD4">
      <w:pPr>
        <w:pageBreakBefore w:val="0"/>
        <w:kinsoku/>
        <w:overflowPunct/>
        <w:topLinePunct w:val="0"/>
        <w:autoSpaceDE w:val="0"/>
        <w:autoSpaceDN w:val="0"/>
        <w:bidi w:val="0"/>
        <w:adjustRightInd w:val="0"/>
        <w:spacing w:line="440" w:lineRule="exact"/>
        <w:ind w:firstLine="480" w:firstLineChars="200"/>
        <w:jc w:val="left"/>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12.4</w:t>
      </w:r>
      <w:r>
        <w:rPr>
          <w:rFonts w:hint="eastAsia" w:ascii="仿宋" w:hAnsi="仿宋" w:eastAsia="仿宋" w:cs="仿宋"/>
          <w:color w:val="auto"/>
          <w:kern w:val="0"/>
          <w:sz w:val="24"/>
          <w:szCs w:val="24"/>
        </w:rPr>
        <w:t>.1 付款周期</w:t>
      </w:r>
    </w:p>
    <w:p w14:paraId="116ECC3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除专用合同条款另有约定外，付款周期应按照第12.3.2项〔计量周期〕的约定与计量周期保持一致。</w:t>
      </w:r>
    </w:p>
    <w:p w14:paraId="3659B84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12.4</w:t>
      </w:r>
      <w:r>
        <w:rPr>
          <w:rFonts w:hint="eastAsia" w:ascii="仿宋" w:hAnsi="仿宋" w:eastAsia="仿宋" w:cs="仿宋"/>
          <w:color w:val="auto"/>
          <w:kern w:val="0"/>
          <w:sz w:val="24"/>
          <w:szCs w:val="24"/>
        </w:rPr>
        <w:t>.2 进度付款申请单的编制</w:t>
      </w:r>
    </w:p>
    <w:p w14:paraId="0A284AF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除专用合同条款另有约定外，进度付款申请单应包括下列内容：</w:t>
      </w:r>
    </w:p>
    <w:p w14:paraId="4983CD9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（1）截至本次付款周期已完成工作对应的金额；</w:t>
      </w:r>
    </w:p>
    <w:p w14:paraId="72EFAF3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（2）根据第10条〔变更〕应增加和扣减的变更金额；</w:t>
      </w:r>
    </w:p>
    <w:p w14:paraId="0825E39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（3）根据第12.2款〔预付款〕约定应支付的预付款和扣减的返还预付款；</w:t>
      </w:r>
    </w:p>
    <w:p w14:paraId="5EC73BB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（4）根据第15.3款〔质量保证金〕约定应扣减的质量保证金；</w:t>
      </w:r>
    </w:p>
    <w:p w14:paraId="52E18EF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（5）根据第19条〔索赔〕应增加和扣减的索赔金额；</w:t>
      </w:r>
    </w:p>
    <w:p w14:paraId="5B21419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（6）对已签发的进度款支付证书中出现错误的修正，应在本次进度付款中支付或扣除的金额；</w:t>
      </w:r>
    </w:p>
    <w:p w14:paraId="0C48862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（7）根据合同约定应增加和扣减的其他金额。</w:t>
      </w:r>
    </w:p>
    <w:p w14:paraId="4366AAF0">
      <w:pPr>
        <w:pageBreakBefore w:val="0"/>
        <w:kinsoku/>
        <w:overflowPunct/>
        <w:topLinePunct w:val="0"/>
        <w:autoSpaceDE w:val="0"/>
        <w:autoSpaceDN w:val="0"/>
        <w:bidi w:val="0"/>
        <w:adjustRightInd w:val="0"/>
        <w:spacing w:line="440" w:lineRule="exact"/>
        <w:ind w:firstLine="480" w:firstLineChars="200"/>
        <w:jc w:val="left"/>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12.4.3 进度付款申请单的提交</w:t>
      </w:r>
    </w:p>
    <w:p w14:paraId="633455C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（1）单价合同进度付款申请单的提交</w:t>
      </w:r>
    </w:p>
    <w:p w14:paraId="54127DA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单价合同的进度付款申请单，按照第12.3.3项〔单价合同的计量〕约定的时间按月向监理人提交，并附上已完成工程量报表和有关资料。单价合同中的总价项目按月进行支付分解，并汇总列入当期进度付款申请单。</w:t>
      </w:r>
    </w:p>
    <w:p w14:paraId="1A750A5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（2）总价合同进度付款申请单的提交</w:t>
      </w:r>
    </w:p>
    <w:p w14:paraId="22D2063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总价合同按月计量支付的，承包人按照第12.3.4项〔总价合同的计量〕约定的时间按月向监理人提交进度付款申请单，并附上已完成工程量报表和有关资料。</w:t>
      </w:r>
    </w:p>
    <w:p w14:paraId="07DB710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总价合同按支付分解表支付的，承包人应按照第12.4.6项〔支付分解表〕及第12.4.2项〔进度付款申请单的编制〕的约定向监理人提交进度付款申请单。</w:t>
      </w:r>
    </w:p>
    <w:p w14:paraId="4BD525D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（3）其他价格形式合同的进度付款申请单的提交</w:t>
      </w:r>
    </w:p>
    <w:p w14:paraId="554D4E1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合同当事人可在专用合同条款中约定其他价格形式合同的进度付款申请单的编制和提交程序。</w:t>
      </w:r>
    </w:p>
    <w:p w14:paraId="45534B5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12.4</w:t>
      </w:r>
      <w:r>
        <w:rPr>
          <w:rFonts w:hint="eastAsia" w:ascii="仿宋" w:hAnsi="仿宋" w:eastAsia="仿宋" w:cs="仿宋"/>
          <w:color w:val="auto"/>
          <w:kern w:val="0"/>
          <w:sz w:val="24"/>
          <w:szCs w:val="24"/>
        </w:rPr>
        <w:t>.4 进度款审核和支付</w:t>
      </w:r>
    </w:p>
    <w:p w14:paraId="027E60B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14:paraId="3F42B19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14:paraId="16E50DE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（2）除专用合同条款另有约定外，发包人应在进度款支付证书或临时进度款支付证书签发后14天内完成支付，发包人逾期支付进度款的，应按照中国人民银行发布的同期同类贷款基准利率支付违约金。</w:t>
      </w:r>
    </w:p>
    <w:p w14:paraId="5658FDD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（3）发包人签发进度款支付证书或临时进度款支付证书，不表明发包人已同意、批准或接受了承包人完成的相应部分的工作。</w:t>
      </w:r>
    </w:p>
    <w:p w14:paraId="413F457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12.4.5 进度付款的修正</w:t>
      </w:r>
    </w:p>
    <w:p w14:paraId="41EA326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在对已签发的进度款支付证书进行阶段汇总和复核中发现错误、遗漏或重复的，发包人和承包人均有权提出修正申请。经发包人和承包人同意的修正，应在下期进度付款中支付或扣除。</w:t>
      </w:r>
    </w:p>
    <w:p w14:paraId="09205B0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12.4.6 支付分解表</w:t>
      </w:r>
    </w:p>
    <w:p w14:paraId="7C84410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val="en-US" w:eastAsia="zh-CN"/>
        </w:rPr>
        <w:t>.</w:t>
      </w:r>
      <w:r>
        <w:rPr>
          <w:rFonts w:hint="eastAsia" w:ascii="仿宋" w:hAnsi="仿宋" w:eastAsia="仿宋" w:cs="仿宋"/>
          <w:color w:val="auto"/>
          <w:kern w:val="0"/>
          <w:sz w:val="24"/>
          <w:szCs w:val="24"/>
        </w:rPr>
        <w:t>支付分解表的编制要求</w:t>
      </w:r>
    </w:p>
    <w:p w14:paraId="490D2EF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（1）支付分解表中所列的每期付款金额，应为第12.4.2项〔进度付款申请单的编制〕第（1）目的估算金额；</w:t>
      </w:r>
    </w:p>
    <w:p w14:paraId="664571F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（2）实际进度与施工进度计划不一致的，合同当事人可按照第4.4款〔商定或确定〕修改支付分解表；</w:t>
      </w:r>
    </w:p>
    <w:p w14:paraId="19FA1DD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（3）不采用支付分解表的，承包人应向发包人和监理人提交按季度编制的支付估算分解表，用于支付参考。</w:t>
      </w:r>
    </w:p>
    <w:p w14:paraId="5A19A4A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r>
        <w:rPr>
          <w:rFonts w:hint="eastAsia" w:ascii="仿宋" w:hAnsi="仿宋" w:eastAsia="仿宋" w:cs="仿宋"/>
          <w:color w:val="auto"/>
          <w:kern w:val="0"/>
          <w:sz w:val="24"/>
          <w:szCs w:val="24"/>
          <w:lang w:val="en-US" w:eastAsia="zh-CN"/>
        </w:rPr>
        <w:t>.</w:t>
      </w:r>
      <w:r>
        <w:rPr>
          <w:rFonts w:hint="eastAsia" w:ascii="仿宋" w:hAnsi="仿宋" w:eastAsia="仿宋" w:cs="仿宋"/>
          <w:color w:val="auto"/>
          <w:kern w:val="0"/>
          <w:sz w:val="24"/>
          <w:szCs w:val="24"/>
        </w:rPr>
        <w:t>总价合同支付分解表的编制与审批</w:t>
      </w:r>
    </w:p>
    <w:p w14:paraId="528D512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6235E2A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（2）监理人应在收到支付分解表后7天内完成审核并报送发包人。发包人应在收到经监理人审核的支付分解表后7天内完成审批，经发包人批准的支付分解表为有约束力的支付分解表。</w:t>
      </w:r>
    </w:p>
    <w:p w14:paraId="4F6F7FD9">
      <w:pPr>
        <w:pageBreakBefore w:val="0"/>
        <w:kinsoku/>
        <w:overflowPunct/>
        <w:topLinePunct w:val="0"/>
        <w:bidi w:val="0"/>
        <w:spacing w:line="44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（3）发包人逾期未完成支付分解表审批的，也未及时要求承包人进行修正和提供补充资料的，则承包人提交的支付分解表视为已经获得发包人批准。</w:t>
      </w:r>
    </w:p>
    <w:p w14:paraId="7EF97AB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r>
        <w:rPr>
          <w:rFonts w:hint="eastAsia" w:ascii="仿宋" w:hAnsi="仿宋" w:eastAsia="仿宋" w:cs="仿宋"/>
          <w:color w:val="auto"/>
          <w:kern w:val="0"/>
          <w:sz w:val="24"/>
          <w:szCs w:val="24"/>
          <w:lang w:val="en-US" w:eastAsia="zh-CN"/>
        </w:rPr>
        <w:t>.</w:t>
      </w:r>
      <w:r>
        <w:rPr>
          <w:rFonts w:hint="eastAsia" w:ascii="仿宋" w:hAnsi="仿宋" w:eastAsia="仿宋" w:cs="仿宋"/>
          <w:color w:val="auto"/>
          <w:kern w:val="0"/>
          <w:sz w:val="24"/>
          <w:szCs w:val="24"/>
        </w:rPr>
        <w:t>单价合同的总价项目支付分解表的编制与审批</w:t>
      </w:r>
    </w:p>
    <w:p w14:paraId="041EAD1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5E9E555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19" w:name="_Toc8852"/>
      <w:bookmarkStart w:id="520" w:name="_Toc351203585"/>
      <w:bookmarkStart w:id="521" w:name="_Toc4517"/>
      <w:r>
        <w:rPr>
          <w:rFonts w:hint="eastAsia" w:ascii="仿宋" w:hAnsi="仿宋" w:eastAsia="仿宋" w:cs="仿宋"/>
          <w:b w:val="0"/>
          <w:color w:val="auto"/>
          <w:sz w:val="24"/>
          <w:szCs w:val="24"/>
        </w:rPr>
        <w:t>12.5支付账户</w:t>
      </w:r>
      <w:bookmarkEnd w:id="519"/>
      <w:bookmarkEnd w:id="520"/>
      <w:bookmarkEnd w:id="521"/>
    </w:p>
    <w:p w14:paraId="6FCFDC1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发包人应将合同价款支付至合同协议书中约定的承包人账户。</w:t>
      </w:r>
    </w:p>
    <w:p w14:paraId="28ADB15C">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522" w:name="_Toc351203586"/>
      <w:bookmarkStart w:id="523" w:name="_Toc16540"/>
      <w:bookmarkStart w:id="524" w:name="_Toc3299"/>
      <w:bookmarkStart w:id="525" w:name="_Toc296503106"/>
      <w:bookmarkStart w:id="526" w:name="_Toc337558804"/>
      <w:bookmarkStart w:id="527" w:name="_Toc296346607"/>
      <w:bookmarkStart w:id="528" w:name="_Toc322522574"/>
      <w:r>
        <w:rPr>
          <w:rFonts w:hint="eastAsia" w:ascii="仿宋" w:hAnsi="仿宋" w:eastAsia="仿宋" w:cs="仿宋"/>
          <w:b w:val="0"/>
          <w:color w:val="auto"/>
          <w:sz w:val="24"/>
          <w:szCs w:val="24"/>
        </w:rPr>
        <w:t>13. 验收和工程试车</w:t>
      </w:r>
      <w:bookmarkEnd w:id="522"/>
      <w:bookmarkEnd w:id="523"/>
      <w:bookmarkEnd w:id="524"/>
    </w:p>
    <w:bookmarkEnd w:id="525"/>
    <w:bookmarkEnd w:id="526"/>
    <w:bookmarkEnd w:id="527"/>
    <w:bookmarkEnd w:id="528"/>
    <w:p w14:paraId="520115E8">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29" w:name="_Toc9268"/>
      <w:bookmarkStart w:id="530" w:name="_Toc351203587"/>
      <w:bookmarkStart w:id="531" w:name="_Toc21377"/>
      <w:bookmarkStart w:id="532" w:name="_Toc337558805"/>
      <w:bookmarkStart w:id="533" w:name="_Toc296346611"/>
      <w:bookmarkStart w:id="534" w:name="_Toc296503110"/>
      <w:r>
        <w:rPr>
          <w:rFonts w:hint="eastAsia" w:ascii="仿宋" w:hAnsi="仿宋" w:eastAsia="仿宋" w:cs="仿宋"/>
          <w:b w:val="0"/>
          <w:color w:val="auto"/>
          <w:sz w:val="24"/>
          <w:szCs w:val="24"/>
        </w:rPr>
        <w:t>13.1分部分项工程验收</w:t>
      </w:r>
      <w:bookmarkEnd w:id="529"/>
      <w:bookmarkEnd w:id="530"/>
      <w:bookmarkEnd w:id="531"/>
    </w:p>
    <w:bookmarkEnd w:id="532"/>
    <w:p w14:paraId="31AD5567">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13.1.1 分部分项工程质量应符合国家有关工程施工验收规范、标准及合同约定，承包人应按照施工组织设计的要求完成分部分项工程施工。</w:t>
      </w:r>
    </w:p>
    <w:p w14:paraId="6096830B">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13.1.2 除专用合同条款另有约定外，分部分项工程经承包人自检合格并具备验收条件的，承包人应提前48小时通知监理人进行验收。</w:t>
      </w:r>
      <w:r>
        <w:rPr>
          <w:rFonts w:hint="eastAsia" w:ascii="仿宋" w:hAnsi="仿宋" w:eastAsia="仿宋" w:cs="仿宋"/>
          <w:color w:val="auto"/>
          <w:kern w:val="0"/>
          <w:sz w:val="24"/>
          <w:szCs w:val="24"/>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仿宋" w:hAnsi="仿宋" w:eastAsia="仿宋" w:cs="仿宋"/>
          <w:color w:val="auto"/>
          <w:sz w:val="24"/>
          <w:szCs w:val="24"/>
        </w:rPr>
        <w:t>分部分项工程未经验收的，不得进入下一道工序施工。</w:t>
      </w:r>
    </w:p>
    <w:p w14:paraId="261B159F">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分部分项工程的验收资料应当作为竣工资料的组成部分。</w:t>
      </w:r>
    </w:p>
    <w:p w14:paraId="01A8E715">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35" w:name="_Toc29600"/>
      <w:bookmarkStart w:id="536" w:name="_Toc351203588"/>
      <w:bookmarkStart w:id="537" w:name="_Toc30005"/>
      <w:bookmarkStart w:id="538" w:name="_Toc337558806"/>
      <w:r>
        <w:rPr>
          <w:rFonts w:hint="eastAsia" w:ascii="仿宋" w:hAnsi="仿宋" w:eastAsia="仿宋" w:cs="仿宋"/>
          <w:b w:val="0"/>
          <w:color w:val="auto"/>
          <w:sz w:val="24"/>
          <w:szCs w:val="24"/>
        </w:rPr>
        <w:t>13.2竣工验收</w:t>
      </w:r>
      <w:bookmarkEnd w:id="535"/>
      <w:bookmarkEnd w:id="536"/>
      <w:bookmarkEnd w:id="537"/>
    </w:p>
    <w:bookmarkEnd w:id="533"/>
    <w:bookmarkEnd w:id="534"/>
    <w:bookmarkEnd w:id="538"/>
    <w:p w14:paraId="57523F1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13.2.1竣工验收条件</w:t>
      </w:r>
    </w:p>
    <w:p w14:paraId="6EF9DAC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工程具备以下条件的，承包人可以申请竣工验收：</w:t>
      </w:r>
    </w:p>
    <w:p w14:paraId="4136A41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（1）除发包人同意的甩项工作和缺陷修补工作外，合同范围内的全部工程以及有关工作，包括合同要求的试验、试运行以及检验均已完成，并符合合同要求；</w:t>
      </w:r>
    </w:p>
    <w:p w14:paraId="153B947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（2）已按合同约定编制了甩项工作和缺陷修补工作清单以及相应的施工计划；</w:t>
      </w:r>
    </w:p>
    <w:p w14:paraId="31B4508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（3）已按合同约定的内容和份数备齐竣工资料。</w:t>
      </w:r>
    </w:p>
    <w:p w14:paraId="273E541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13.2.2竣工验收程序</w:t>
      </w:r>
    </w:p>
    <w:p w14:paraId="32C73DB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除专用合同条款另有约定外，承包人申请竣工验收的，应当按照以下程序进行：</w:t>
      </w:r>
    </w:p>
    <w:p w14:paraId="4EF7FAD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16B7B5D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（2）监理人审查后认为已具备竣工验收条件的，应将竣工验收申请报告提交发包人，发包人应在收到经监理人审核的竣工验收申请报告后28天内审批完毕并组织监理人、承包人、设计人等相关单位完成竣工验收。</w:t>
      </w:r>
    </w:p>
    <w:p w14:paraId="5BBF1FC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（3）竣工验收合格的，发包人应在验收合格后14天内向承包人签发工程接收证书。发包人无正当理由逾期不颁发工程接收证书的，自验收合格后第15天起视为已颁发工程接收证书。</w:t>
      </w:r>
    </w:p>
    <w:p w14:paraId="7635C68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0133847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21ED828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除专用合同条款另有约定外，发包人不按照本项约定组织竣工验收、颁发工程接收证书的，每逾期一天，应以签约合同价为基数，按照中国人民银行发布的同期同类贷款基准利率支付违约金。</w:t>
      </w:r>
    </w:p>
    <w:p w14:paraId="7E70DA2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13.2.3竣工日期</w:t>
      </w:r>
    </w:p>
    <w:p w14:paraId="0AA093A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539" w:name="#go14"/>
      <w:bookmarkEnd w:id="539"/>
      <w:r>
        <w:rPr>
          <w:rFonts w:hint="eastAsia" w:ascii="仿宋" w:hAnsi="仿宋" w:eastAsia="仿宋" w:cs="仿宋"/>
          <w:color w:val="auto"/>
          <w:kern w:val="0"/>
          <w:sz w:val="24"/>
          <w:szCs w:val="24"/>
        </w:rPr>
        <w:t>收申请报告的日期为实际竣工日期；工程未经竣工验收，发包人擅自使用的，以转移占有工程之日为实际竣工日期。</w:t>
      </w:r>
    </w:p>
    <w:p w14:paraId="1FADF15F">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13.2.4 拒绝接收全部或部分工程</w:t>
      </w:r>
    </w:p>
    <w:p w14:paraId="77DADCF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6738B1C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13.2.5 移交、接收全部与部分工程</w:t>
      </w:r>
    </w:p>
    <w:p w14:paraId="10C3DF4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除专用合同条款另有约定外，合同当事人应当在颁发工程接收证书后7天内完成工程的移交。</w:t>
      </w:r>
    </w:p>
    <w:p w14:paraId="24C4343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发包人无正当理由不接收工程的，发包人自应当接收工程之日起，承担工程照管、成品保护、保管等与工程有关的各项费用，合同当事人可以在专用合同条款中另行约定发包人逾期接收工程的违约责任。</w:t>
      </w:r>
    </w:p>
    <w:p w14:paraId="3624447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承包人无正当理由不移交工程的，承包人应承担工程照管、成品保护、保管等与工程有关的各项费用，合同当事人可以在专用合同条款中另行约定承包人无正当理由不移交工程的违约责任。</w:t>
      </w:r>
    </w:p>
    <w:p w14:paraId="35C14B9E">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40" w:name="_Toc29621"/>
      <w:bookmarkStart w:id="541" w:name="_Toc351203589"/>
      <w:bookmarkStart w:id="542" w:name="_Toc23778"/>
      <w:bookmarkStart w:id="543" w:name="_Toc296346612"/>
      <w:bookmarkStart w:id="544" w:name="_Toc337558807"/>
      <w:bookmarkStart w:id="545" w:name="_Toc296503111"/>
      <w:r>
        <w:rPr>
          <w:rFonts w:hint="eastAsia" w:ascii="仿宋" w:hAnsi="仿宋" w:eastAsia="仿宋" w:cs="仿宋"/>
          <w:b w:val="0"/>
          <w:color w:val="auto"/>
          <w:sz w:val="24"/>
          <w:szCs w:val="24"/>
        </w:rPr>
        <w:t>13.3工程试车</w:t>
      </w:r>
      <w:bookmarkEnd w:id="540"/>
      <w:bookmarkEnd w:id="541"/>
      <w:bookmarkEnd w:id="542"/>
    </w:p>
    <w:bookmarkEnd w:id="543"/>
    <w:bookmarkEnd w:id="544"/>
    <w:bookmarkEnd w:id="545"/>
    <w:p w14:paraId="083A865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13.3.1试车程序</w:t>
      </w:r>
    </w:p>
    <w:p w14:paraId="4B6BA47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工程需要试车的，除专用合同条款另有约定外，试车内容应与承包人承包范围相一致，试车费用由承包人承担。工程试车应按如下程序进行：</w:t>
      </w:r>
    </w:p>
    <w:p w14:paraId="21D4E45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62CCB0D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7825B6E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2C7907C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13.3.2 试车中的责任</w:t>
      </w:r>
    </w:p>
    <w:p w14:paraId="65566BA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7418002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1C67939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13.3.3 投料试车</w:t>
      </w:r>
    </w:p>
    <w:p w14:paraId="4DAAD68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如需进行投料试车的，发包人应在工程竣工验收后组织投料试车。发包人要求在工程竣工验收前进行或需要承包人配合时，应征得承包人同意，并在专用合同条款中约定有关事项。</w:t>
      </w:r>
    </w:p>
    <w:p w14:paraId="1A22523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4FE749E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46" w:name="_Toc20892"/>
      <w:bookmarkStart w:id="547" w:name="_Toc30509"/>
      <w:bookmarkStart w:id="548" w:name="_Toc351203590"/>
      <w:bookmarkStart w:id="549" w:name="_Toc337558808"/>
      <w:r>
        <w:rPr>
          <w:rFonts w:hint="eastAsia" w:ascii="仿宋" w:hAnsi="仿宋" w:eastAsia="仿宋" w:cs="仿宋"/>
          <w:b w:val="0"/>
          <w:color w:val="auto"/>
          <w:sz w:val="24"/>
          <w:szCs w:val="24"/>
        </w:rPr>
        <w:t>13.4提前交付单位工程的验收</w:t>
      </w:r>
      <w:bookmarkEnd w:id="546"/>
      <w:bookmarkEnd w:id="547"/>
      <w:bookmarkEnd w:id="548"/>
    </w:p>
    <w:bookmarkEnd w:id="549"/>
    <w:p w14:paraId="356B89B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13.4.1 发包人需要在工程竣工前使用单位工程的，或承包人提出提前交付已经竣工的单位工程且经发包人同意的，可进行单位工程验收，验收的程序按照第13.2款〔竣工验收〕的约定进行。</w:t>
      </w:r>
    </w:p>
    <w:p w14:paraId="64A5639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验收合格后，由监理人向承包人出具经发包人签认的单位工程接收证书。已签发单位工程接收证书的单位工程由发包人负责照管。单位工程的验收成果和结论作为整体工程竣工验收申请报告的附件。</w:t>
      </w:r>
    </w:p>
    <w:p w14:paraId="74E96AE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13.4.2 发包人要求在工程竣工前交付单位工程，由此导致承包人费用增加和（或）工期延误的，由发包人承担由此增加的费用和（或）延误的工期，并支付承包人合理的利润。</w:t>
      </w:r>
    </w:p>
    <w:p w14:paraId="1DB19EE1">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50" w:name="_Toc351203591"/>
      <w:bookmarkStart w:id="551" w:name="_Toc25061"/>
      <w:bookmarkStart w:id="552" w:name="_Toc19783"/>
      <w:r>
        <w:rPr>
          <w:rFonts w:hint="eastAsia" w:ascii="仿宋" w:hAnsi="仿宋" w:eastAsia="仿宋" w:cs="仿宋"/>
          <w:b w:val="0"/>
          <w:color w:val="auto"/>
          <w:sz w:val="24"/>
          <w:szCs w:val="24"/>
        </w:rPr>
        <w:t>13.5 施工期运行</w:t>
      </w:r>
      <w:bookmarkEnd w:id="550"/>
      <w:bookmarkEnd w:id="551"/>
      <w:bookmarkEnd w:id="552"/>
    </w:p>
    <w:p w14:paraId="66194CE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14:paraId="4190774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13.5.2 在施工期运行中发现工程或工程设备损坏或存在缺陷的，由承包人按第15.2款〔缺陷责任期〕约定进行修复。</w:t>
      </w:r>
    </w:p>
    <w:p w14:paraId="3DF4D338">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53" w:name="_Toc296346613"/>
      <w:bookmarkStart w:id="554" w:name="_Toc296503112"/>
      <w:bookmarkStart w:id="555" w:name="_Toc351203592"/>
      <w:bookmarkStart w:id="556" w:name="_Toc9667"/>
      <w:bookmarkStart w:id="557" w:name="_Toc20790"/>
      <w:bookmarkStart w:id="558" w:name="_Toc337558809"/>
      <w:r>
        <w:rPr>
          <w:rFonts w:hint="eastAsia" w:ascii="仿宋" w:hAnsi="仿宋" w:eastAsia="仿宋" w:cs="仿宋"/>
          <w:b w:val="0"/>
          <w:color w:val="auto"/>
          <w:sz w:val="24"/>
          <w:szCs w:val="24"/>
        </w:rPr>
        <w:t>13.6 竣工退</w:t>
      </w:r>
      <w:bookmarkEnd w:id="553"/>
      <w:bookmarkEnd w:id="554"/>
      <w:r>
        <w:rPr>
          <w:rFonts w:hint="eastAsia" w:ascii="仿宋" w:hAnsi="仿宋" w:eastAsia="仿宋" w:cs="仿宋"/>
          <w:b w:val="0"/>
          <w:color w:val="auto"/>
          <w:sz w:val="24"/>
          <w:szCs w:val="24"/>
        </w:rPr>
        <w:t>场</w:t>
      </w:r>
      <w:bookmarkEnd w:id="555"/>
      <w:bookmarkEnd w:id="556"/>
      <w:bookmarkEnd w:id="557"/>
    </w:p>
    <w:bookmarkEnd w:id="558"/>
    <w:p w14:paraId="231ABB6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13.6.1 竣工退场</w:t>
      </w:r>
    </w:p>
    <w:p w14:paraId="2785E0F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颁发工程接收证书后，承包人应按以下要求对施工现场进行清理：</w:t>
      </w:r>
    </w:p>
    <w:p w14:paraId="3703E4B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（1）施工现场内残留的垃圾已全部清除出场；</w:t>
      </w:r>
    </w:p>
    <w:p w14:paraId="5198190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（2）临时工程已拆除，场地已进行清理、平整或复原；</w:t>
      </w:r>
    </w:p>
    <w:p w14:paraId="511D51C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（3）按合同约定应撤离的人员、承包人施工设备和剩余的材料，包括废弃的施工设备和材料，已按计划撤离施工现场；</w:t>
      </w:r>
    </w:p>
    <w:p w14:paraId="72F03D1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（4）施工现场周边及其附近道路、河道的施工堆积物，已全部清理；</w:t>
      </w:r>
    </w:p>
    <w:p w14:paraId="22B94AC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（5）施工现场其他场地清理工作已全部完成。</w:t>
      </w:r>
    </w:p>
    <w:p w14:paraId="75F68D0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00A9DE1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13.6.2 地表还原</w:t>
      </w:r>
    </w:p>
    <w:p w14:paraId="5277F61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承包人应按发包人要求恢复临时占地及清理场地，承包人未按发包人的要求恢复临时占地，或者场地清理未达到合同约定要求的，发包人有权委托其他人恢复或清理，所发生的费用由承包人承担。</w:t>
      </w:r>
    </w:p>
    <w:p w14:paraId="6B37BCD7">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559" w:name="_Toc25581"/>
      <w:bookmarkStart w:id="560" w:name="_Toc4899"/>
      <w:bookmarkStart w:id="561" w:name="_Toc351203593"/>
      <w:bookmarkStart w:id="562" w:name="_Toc337558810"/>
      <w:bookmarkStart w:id="563" w:name="_Toc296346614"/>
      <w:bookmarkStart w:id="564" w:name="_Toc296503113"/>
      <w:r>
        <w:rPr>
          <w:rFonts w:hint="eastAsia" w:ascii="仿宋" w:hAnsi="仿宋" w:eastAsia="仿宋" w:cs="仿宋"/>
          <w:b w:val="0"/>
          <w:color w:val="auto"/>
          <w:sz w:val="24"/>
          <w:szCs w:val="24"/>
        </w:rPr>
        <w:t>14. 竣工结算</w:t>
      </w:r>
      <w:bookmarkEnd w:id="559"/>
      <w:bookmarkEnd w:id="560"/>
      <w:bookmarkEnd w:id="561"/>
    </w:p>
    <w:bookmarkEnd w:id="562"/>
    <w:p w14:paraId="7C5FC99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65" w:name="_Toc5202"/>
      <w:bookmarkStart w:id="566" w:name="_Toc740"/>
      <w:bookmarkStart w:id="567" w:name="_Toc351203594"/>
      <w:bookmarkStart w:id="568" w:name="_Toc337558811"/>
      <w:r>
        <w:rPr>
          <w:rFonts w:hint="eastAsia" w:ascii="仿宋" w:hAnsi="仿宋" w:eastAsia="仿宋" w:cs="仿宋"/>
          <w:b w:val="0"/>
          <w:color w:val="auto"/>
          <w:sz w:val="24"/>
          <w:szCs w:val="24"/>
        </w:rPr>
        <w:t>14.1 竣工结算申请</w:t>
      </w:r>
      <w:bookmarkEnd w:id="565"/>
      <w:bookmarkEnd w:id="566"/>
      <w:bookmarkEnd w:id="567"/>
    </w:p>
    <w:bookmarkEnd w:id="568"/>
    <w:p w14:paraId="6616BB8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除专用合同条款另有约定外，</w:t>
      </w:r>
      <w:r>
        <w:rPr>
          <w:rFonts w:hint="eastAsia" w:ascii="仿宋" w:hAnsi="仿宋" w:eastAsia="仿宋" w:cs="仿宋"/>
          <w:color w:val="auto"/>
          <w:sz w:val="24"/>
          <w:szCs w:val="24"/>
        </w:rPr>
        <w:t>承包人应在工程竣工验收合格后28天内向发包人和监理人提交竣工结算申请单，并提交完整的结算资料，有关竣工结算申请单的资料清单和份数等要求由合同当事人在专用合同条款中约定。</w:t>
      </w:r>
    </w:p>
    <w:p w14:paraId="5B57E25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除专用合同条款另有约定外，竣工结算申请单应包括以下内容：</w:t>
      </w:r>
    </w:p>
    <w:p w14:paraId="4246336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（1）竣工结算合同价格；</w:t>
      </w:r>
    </w:p>
    <w:p w14:paraId="300ABB7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（2）发包人已支付承包人的款项；</w:t>
      </w:r>
    </w:p>
    <w:p w14:paraId="140D397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（3）应扣留的质量保证金。已缴纳履约保证金的或提供其他工程质量担保方式的除外； </w:t>
      </w:r>
    </w:p>
    <w:p w14:paraId="41C9502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（4）发包人应支付承包人的合同价款。</w:t>
      </w:r>
    </w:p>
    <w:p w14:paraId="0C3163F8">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69" w:name="_Toc351203595"/>
      <w:bookmarkStart w:id="570" w:name="_Toc27112"/>
      <w:bookmarkStart w:id="571" w:name="_Toc30455"/>
      <w:bookmarkStart w:id="572" w:name="_Toc337558812"/>
      <w:r>
        <w:rPr>
          <w:rFonts w:hint="eastAsia" w:ascii="仿宋" w:hAnsi="仿宋" w:eastAsia="仿宋" w:cs="仿宋"/>
          <w:b w:val="0"/>
          <w:color w:val="auto"/>
          <w:sz w:val="24"/>
          <w:szCs w:val="24"/>
        </w:rPr>
        <w:t>14.2 竣工结算审核</w:t>
      </w:r>
      <w:bookmarkEnd w:id="569"/>
      <w:bookmarkEnd w:id="570"/>
      <w:bookmarkEnd w:id="571"/>
    </w:p>
    <w:bookmarkEnd w:id="572"/>
    <w:p w14:paraId="77C3793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仿宋" w:hAnsi="仿宋" w:eastAsia="仿宋" w:cs="仿宋"/>
          <w:color w:val="auto"/>
          <w:sz w:val="24"/>
          <w:szCs w:val="24"/>
        </w:rPr>
        <w:t>发包人对竣工</w:t>
      </w:r>
      <w:r>
        <w:rPr>
          <w:rFonts w:hint="eastAsia" w:ascii="仿宋" w:hAnsi="仿宋" w:eastAsia="仿宋" w:cs="仿宋"/>
          <w:color w:val="auto"/>
          <w:kern w:val="0"/>
          <w:sz w:val="24"/>
          <w:szCs w:val="24"/>
        </w:rPr>
        <w:t>结算</w:t>
      </w:r>
      <w:r>
        <w:rPr>
          <w:rFonts w:hint="eastAsia" w:ascii="仿宋" w:hAnsi="仿宋" w:eastAsia="仿宋" w:cs="仿宋"/>
          <w:color w:val="auto"/>
          <w:sz w:val="24"/>
          <w:szCs w:val="24"/>
        </w:rPr>
        <w:t>申请单有异议的，有权要求承包人进行修正和提供补充资料，承包人应提交修正后的竣工</w:t>
      </w:r>
      <w:r>
        <w:rPr>
          <w:rFonts w:hint="eastAsia" w:ascii="仿宋" w:hAnsi="仿宋" w:eastAsia="仿宋" w:cs="仿宋"/>
          <w:color w:val="auto"/>
          <w:kern w:val="0"/>
          <w:sz w:val="24"/>
          <w:szCs w:val="24"/>
        </w:rPr>
        <w:t>结算</w:t>
      </w:r>
      <w:r>
        <w:rPr>
          <w:rFonts w:hint="eastAsia" w:ascii="仿宋" w:hAnsi="仿宋" w:eastAsia="仿宋" w:cs="仿宋"/>
          <w:color w:val="auto"/>
          <w:sz w:val="24"/>
          <w:szCs w:val="24"/>
        </w:rPr>
        <w:t>申请单。</w:t>
      </w:r>
    </w:p>
    <w:p w14:paraId="5726AC2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7496168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1DC7B18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14:paraId="093B2F7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73" w:name="_Toc32388"/>
      <w:bookmarkStart w:id="574" w:name="_Toc25832"/>
      <w:bookmarkStart w:id="575" w:name="_Toc351203596"/>
      <w:bookmarkStart w:id="576" w:name="_Toc337558813"/>
      <w:r>
        <w:rPr>
          <w:rFonts w:hint="eastAsia" w:ascii="仿宋" w:hAnsi="仿宋" w:eastAsia="仿宋" w:cs="仿宋"/>
          <w:b w:val="0"/>
          <w:color w:val="auto"/>
          <w:sz w:val="24"/>
          <w:szCs w:val="24"/>
        </w:rPr>
        <w:t>14.3 甩项竣工协议</w:t>
      </w:r>
      <w:bookmarkEnd w:id="573"/>
      <w:bookmarkEnd w:id="574"/>
      <w:bookmarkEnd w:id="575"/>
    </w:p>
    <w:bookmarkEnd w:id="576"/>
    <w:p w14:paraId="3C3AB43E">
      <w:pPr>
        <w:pageBreakBefore w:val="0"/>
        <w:kinsoku/>
        <w:overflowPunct/>
        <w:topLinePunct w:val="0"/>
        <w:autoSpaceDE w:val="0"/>
        <w:autoSpaceDN w:val="0"/>
        <w:bidi w:val="0"/>
        <w:adjustRightInd w:val="0"/>
        <w:spacing w:line="440" w:lineRule="exact"/>
        <w:ind w:firstLine="470" w:firstLineChars="196"/>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发包人要求甩项竣工的，合同当事人应签订甩项竣工协议。在甩项竣工协议中应明确，合同当事人按照第14.1款〔竣工结算申请〕及14.2款〔竣工结算审核〕的约定，对已完合格工程进行结算，并支付相应合同价款。</w:t>
      </w:r>
    </w:p>
    <w:p w14:paraId="114D9BD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77" w:name="_Toc16390"/>
      <w:bookmarkStart w:id="578" w:name="_Toc25484"/>
      <w:bookmarkStart w:id="579" w:name="_Toc351203597"/>
      <w:bookmarkStart w:id="580" w:name="_Toc337558814"/>
      <w:r>
        <w:rPr>
          <w:rFonts w:hint="eastAsia" w:ascii="仿宋" w:hAnsi="仿宋" w:eastAsia="仿宋" w:cs="仿宋"/>
          <w:b w:val="0"/>
          <w:color w:val="auto"/>
          <w:sz w:val="24"/>
          <w:szCs w:val="24"/>
        </w:rPr>
        <w:t>14.4 最终结清</w:t>
      </w:r>
      <w:bookmarkEnd w:id="577"/>
      <w:bookmarkEnd w:id="578"/>
      <w:bookmarkEnd w:id="579"/>
    </w:p>
    <w:bookmarkEnd w:id="580"/>
    <w:p w14:paraId="4265AA7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14.4.1 最终结清申请单</w:t>
      </w:r>
    </w:p>
    <w:p w14:paraId="2623D16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（1）除专用合同条款另有约定外，承包人应在缺陷责任期终止证书颁发后7天内，按专用合同条款约定的份数向发包人提交最终结清申请单，并提供相关证明材料。</w:t>
      </w:r>
    </w:p>
    <w:p w14:paraId="61A05E0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除专用合同条款另有约定外，</w:t>
      </w:r>
      <w:r>
        <w:rPr>
          <w:rFonts w:hint="eastAsia" w:ascii="仿宋" w:hAnsi="仿宋" w:eastAsia="仿宋" w:cs="仿宋"/>
          <w:color w:val="auto"/>
          <w:kern w:val="0"/>
          <w:sz w:val="24"/>
          <w:szCs w:val="24"/>
        </w:rPr>
        <w:t>最终结清申请单</w:t>
      </w:r>
      <w:r>
        <w:rPr>
          <w:rFonts w:hint="eastAsia" w:ascii="仿宋" w:hAnsi="仿宋" w:eastAsia="仿宋" w:cs="仿宋"/>
          <w:color w:val="auto"/>
          <w:sz w:val="24"/>
          <w:szCs w:val="24"/>
        </w:rPr>
        <w:t>应列明质量保证金、应扣除的质量保证金、缺陷责任期内发生的增减费用。</w:t>
      </w:r>
    </w:p>
    <w:p w14:paraId="1CDED14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（2）发包人对最终结清申请单内容有异议的，有权要求承包人进行修正和提供补充资料，承包人应向发包人提交修正后的最终结清申请单。</w:t>
      </w:r>
    </w:p>
    <w:p w14:paraId="2D7CB08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14.4.2 最终结清证书和支付</w:t>
      </w:r>
    </w:p>
    <w:p w14:paraId="4AD4666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1AE0C57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4AC5929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（3）承包人对发包人颁发的最终结清证书有异议的，按第20条〔争议解决〕的约定办理。</w:t>
      </w:r>
    </w:p>
    <w:p w14:paraId="6EC64E94">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581" w:name="_Toc351203598"/>
      <w:bookmarkStart w:id="582" w:name="_Toc8033"/>
      <w:bookmarkStart w:id="583" w:name="_Toc25360"/>
      <w:bookmarkStart w:id="584" w:name="_Toc337558815"/>
      <w:r>
        <w:rPr>
          <w:rFonts w:hint="eastAsia" w:ascii="仿宋" w:hAnsi="仿宋" w:eastAsia="仿宋" w:cs="仿宋"/>
          <w:b w:val="0"/>
          <w:color w:val="auto"/>
          <w:sz w:val="24"/>
          <w:szCs w:val="24"/>
        </w:rPr>
        <w:t>15. 缺陷责任与保修</w:t>
      </w:r>
      <w:bookmarkEnd w:id="581"/>
      <w:bookmarkEnd w:id="582"/>
      <w:bookmarkEnd w:id="583"/>
    </w:p>
    <w:bookmarkEnd w:id="563"/>
    <w:bookmarkEnd w:id="564"/>
    <w:bookmarkEnd w:id="584"/>
    <w:p w14:paraId="528D4F4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85" w:name="_Toc9705"/>
      <w:bookmarkStart w:id="586" w:name="_Toc21280"/>
      <w:bookmarkStart w:id="587" w:name="_Toc351203599"/>
      <w:bookmarkStart w:id="588" w:name="_Toc337558816"/>
      <w:bookmarkStart w:id="589" w:name="_Toc296503114"/>
      <w:bookmarkStart w:id="590" w:name="_Toc296346615"/>
      <w:r>
        <w:rPr>
          <w:rFonts w:hint="eastAsia" w:ascii="仿宋" w:hAnsi="仿宋" w:eastAsia="仿宋" w:cs="仿宋"/>
          <w:b w:val="0"/>
          <w:color w:val="auto"/>
          <w:sz w:val="24"/>
          <w:szCs w:val="24"/>
        </w:rPr>
        <w:t>15.1 工程保修的原则</w:t>
      </w:r>
      <w:bookmarkEnd w:id="585"/>
      <w:bookmarkEnd w:id="586"/>
      <w:bookmarkEnd w:id="587"/>
    </w:p>
    <w:bookmarkEnd w:id="588"/>
    <w:p w14:paraId="51C3730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在工程移交发包人后，因承包人原因产生的质量缺陷，承包人应承担质量缺陷责任和保修义务。缺陷责任期届满，承包人仍应按合同约定的工程各部位保修年限承担保修义务。</w:t>
      </w:r>
    </w:p>
    <w:p w14:paraId="6F01FC8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91" w:name="_Toc351203600"/>
      <w:bookmarkStart w:id="592" w:name="_Toc1995"/>
      <w:bookmarkStart w:id="593" w:name="_Toc7303"/>
      <w:bookmarkStart w:id="594" w:name="_Toc337558817"/>
      <w:r>
        <w:rPr>
          <w:rFonts w:hint="eastAsia" w:ascii="仿宋" w:hAnsi="仿宋" w:eastAsia="仿宋" w:cs="仿宋"/>
          <w:b w:val="0"/>
          <w:color w:val="auto"/>
          <w:sz w:val="24"/>
          <w:szCs w:val="24"/>
        </w:rPr>
        <w:t>15.2 缺陷责任期</w:t>
      </w:r>
      <w:bookmarkEnd w:id="589"/>
      <w:bookmarkEnd w:id="590"/>
      <w:bookmarkEnd w:id="591"/>
      <w:bookmarkEnd w:id="592"/>
      <w:bookmarkEnd w:id="593"/>
    </w:p>
    <w:bookmarkEnd w:id="594"/>
    <w:p w14:paraId="7147040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15.2.1 缺陷责任期从工程通过竣工验收之日起计算，合同当事人应在专用合同条款约定缺陷责任期的具体期限，但该期限最长不超过24个月。</w:t>
      </w:r>
    </w:p>
    <w:p w14:paraId="445A3DA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14:paraId="49B1D25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w:t>
      </w:r>
      <w:r>
        <w:rPr>
          <w:rFonts w:hint="eastAsia" w:ascii="仿宋" w:hAnsi="仿宋" w:eastAsia="仿宋" w:cs="仿宋"/>
          <w:bCs/>
          <w:color w:val="auto"/>
          <w:sz w:val="24"/>
          <w:szCs w:val="24"/>
        </w:rPr>
        <w:t>包人延长缺陷责任期，</w:t>
      </w:r>
      <w:r>
        <w:rPr>
          <w:rFonts w:hint="eastAsia" w:ascii="仿宋" w:hAnsi="仿宋" w:eastAsia="仿宋" w:cs="仿宋"/>
          <w:color w:val="auto"/>
          <w:kern w:val="0"/>
          <w:sz w:val="24"/>
          <w:szCs w:val="24"/>
        </w:rPr>
        <w:t>并应在原缺陷责任期届满前发出延长通知</w:t>
      </w:r>
      <w:r>
        <w:rPr>
          <w:rFonts w:hint="eastAsia" w:ascii="仿宋" w:hAnsi="仿宋" w:eastAsia="仿宋" w:cs="仿宋"/>
          <w:color w:val="auto"/>
          <w:kern w:val="0"/>
          <w:sz w:val="24"/>
          <w:szCs w:val="24"/>
          <w:lang w:eastAsia="zh-CN"/>
        </w:rPr>
        <w:t>。</w:t>
      </w:r>
      <w:r>
        <w:rPr>
          <w:rFonts w:hint="eastAsia" w:ascii="仿宋" w:hAnsi="仿宋" w:eastAsia="仿宋" w:cs="仿宋"/>
          <w:bCs/>
          <w:color w:val="auto"/>
          <w:sz w:val="24"/>
          <w:szCs w:val="24"/>
        </w:rPr>
        <w:t>但缺陷责任期</w:t>
      </w:r>
      <w:r>
        <w:rPr>
          <w:rFonts w:hint="eastAsia" w:ascii="仿宋" w:hAnsi="仿宋" w:eastAsia="仿宋" w:cs="仿宋"/>
          <w:bCs/>
          <w:color w:val="auto"/>
          <w:sz w:val="24"/>
          <w:szCs w:val="24"/>
          <w:lang w:eastAsia="zh-CN"/>
        </w:rPr>
        <w:t>（含延长部分）</w:t>
      </w:r>
      <w:r>
        <w:rPr>
          <w:rFonts w:hint="eastAsia" w:ascii="仿宋" w:hAnsi="仿宋" w:eastAsia="仿宋" w:cs="仿宋"/>
          <w:bCs/>
          <w:color w:val="auto"/>
          <w:sz w:val="24"/>
          <w:szCs w:val="24"/>
        </w:rPr>
        <w:t>最长</w:t>
      </w:r>
      <w:r>
        <w:rPr>
          <w:rFonts w:hint="eastAsia" w:ascii="仿宋" w:hAnsi="仿宋" w:eastAsia="仿宋" w:cs="仿宋"/>
          <w:color w:val="auto"/>
          <w:kern w:val="0"/>
          <w:sz w:val="24"/>
          <w:szCs w:val="24"/>
        </w:rPr>
        <w:t>不能超过24个月。</w:t>
      </w:r>
    </w:p>
    <w:p w14:paraId="606CE9B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由他人原因造成的缺陷，发包人负责组织维修，承包人不承担费用，且发包人不得从保证金中扣除费用。</w:t>
      </w:r>
    </w:p>
    <w:p w14:paraId="2763DD8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15.2.3 任何一项缺陷或损坏修复后，经检查证明其影响了工程或工程设备的使用性能，承包人应重新进行合同约定的试验和试运行，试验和试运行的全部费用应由责任方承担。</w:t>
      </w:r>
    </w:p>
    <w:p w14:paraId="7B04980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14:paraId="7D3FB18C">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595" w:name="_Toc351203601"/>
      <w:bookmarkStart w:id="596" w:name="_Toc10536"/>
      <w:bookmarkStart w:id="597" w:name="_Toc5815"/>
      <w:bookmarkStart w:id="598" w:name="_Toc337558818"/>
      <w:bookmarkStart w:id="599" w:name="_Toc296503115"/>
      <w:bookmarkStart w:id="600" w:name="_Toc296346616"/>
      <w:r>
        <w:rPr>
          <w:rFonts w:hint="eastAsia" w:ascii="仿宋" w:hAnsi="仿宋" w:eastAsia="仿宋" w:cs="仿宋"/>
          <w:b w:val="0"/>
          <w:color w:val="auto"/>
          <w:sz w:val="24"/>
          <w:szCs w:val="24"/>
        </w:rPr>
        <w:t>15.3 质量保证金</w:t>
      </w:r>
      <w:bookmarkEnd w:id="595"/>
      <w:bookmarkEnd w:id="596"/>
      <w:bookmarkEnd w:id="597"/>
    </w:p>
    <w:bookmarkEnd w:id="598"/>
    <w:p w14:paraId="1D4D676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经合同当事人协商一致扣留质量保证金的，应在专用合同条款中予以明确。</w:t>
      </w:r>
    </w:p>
    <w:p w14:paraId="471A3859">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在工程项目竣工前，承包人已经提供履约担保的，发包人不得同时预留工程质量保证金。</w:t>
      </w:r>
    </w:p>
    <w:p w14:paraId="5ED0F1D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p>
    <w:p w14:paraId="1CBAFD5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15.3.1 承包人提供质量保证金的方式</w:t>
      </w:r>
    </w:p>
    <w:p w14:paraId="1CF590E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承包人提供质量保证金有以下三种方式：</w:t>
      </w:r>
    </w:p>
    <w:p w14:paraId="22139BF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（1）质量保证金保函； </w:t>
      </w:r>
    </w:p>
    <w:p w14:paraId="0D11CB0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（2）相应比例的工程款；</w:t>
      </w:r>
    </w:p>
    <w:p w14:paraId="4D301C8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（3）双方约定的其他方式。</w:t>
      </w:r>
    </w:p>
    <w:p w14:paraId="4F81AC9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除专用合同条款另有约定外，质量保证金原则上采用上述第（1）种方式。</w:t>
      </w:r>
    </w:p>
    <w:p w14:paraId="0129932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15.3.2 质量保证金的扣留</w:t>
      </w:r>
    </w:p>
    <w:p w14:paraId="2A32367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质量保证金的扣留有以下三种方式：</w:t>
      </w:r>
    </w:p>
    <w:p w14:paraId="411FD85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（1）在支付工程进度款时逐次扣留，在此情形下，质量保证金的计算基数不包括预付款的支付、扣回以及价格调整的金额；</w:t>
      </w:r>
    </w:p>
    <w:p w14:paraId="1B1D143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（2）工</w:t>
      </w:r>
      <w:bookmarkStart w:id="601" w:name="#go6"/>
      <w:bookmarkEnd w:id="601"/>
      <w:r>
        <w:rPr>
          <w:rFonts w:hint="eastAsia" w:ascii="仿宋" w:hAnsi="仿宋" w:eastAsia="仿宋" w:cs="仿宋"/>
          <w:color w:val="auto"/>
          <w:kern w:val="0"/>
          <w:sz w:val="24"/>
          <w:szCs w:val="24"/>
        </w:rPr>
        <w:t>程竣工结算时一次性扣留质量保证金；</w:t>
      </w:r>
    </w:p>
    <w:p w14:paraId="13008C5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（3）双方约定的其他扣留方式。</w:t>
      </w:r>
    </w:p>
    <w:p w14:paraId="2AA9F8F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除专用合同条款另有约定外，质量保证金的扣留原则上采用上述第（1）种方式。</w:t>
      </w:r>
    </w:p>
    <w:p w14:paraId="6FEECFC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w:t>
      </w:r>
      <w:bookmarkStart w:id="602" w:name="#go4"/>
      <w:bookmarkEnd w:id="602"/>
      <w:r>
        <w:rPr>
          <w:rFonts w:hint="eastAsia" w:ascii="仿宋" w:hAnsi="仿宋" w:eastAsia="仿宋" w:cs="仿宋"/>
          <w:color w:val="auto"/>
          <w:kern w:val="0"/>
          <w:sz w:val="24"/>
          <w:szCs w:val="24"/>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14:paraId="511AE04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发包人在退还质量保证金的同时按照中国人民银行发布的同期同类贷款基准利率支付利息。</w:t>
      </w:r>
    </w:p>
    <w:p w14:paraId="530FCE6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15.3.3 </w:t>
      </w:r>
      <w:r>
        <w:rPr>
          <w:rFonts w:hint="eastAsia" w:ascii="仿宋" w:hAnsi="仿宋" w:eastAsia="仿宋" w:cs="仿宋"/>
          <w:color w:val="auto"/>
          <w:sz w:val="24"/>
          <w:szCs w:val="24"/>
        </w:rPr>
        <w:t>质量保证金</w:t>
      </w:r>
      <w:r>
        <w:rPr>
          <w:rFonts w:hint="eastAsia" w:ascii="仿宋" w:hAnsi="仿宋" w:eastAsia="仿宋" w:cs="仿宋"/>
          <w:color w:val="auto"/>
          <w:kern w:val="0"/>
          <w:sz w:val="24"/>
          <w:szCs w:val="24"/>
        </w:rPr>
        <w:t>的退还</w:t>
      </w:r>
    </w:p>
    <w:p w14:paraId="7796AD4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缺陷责任期内，承包人认真履行合同约定的责任，到期后，承包人可向发包人申请返还保证金。</w:t>
      </w:r>
    </w:p>
    <w:p w14:paraId="0E694DE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2FBD342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发包人和承包人对保证金预留、返还以及工程维修质量、费用有争议的，按本合同第20条约定的争议和纠纷解决程序处理。</w:t>
      </w:r>
    </w:p>
    <w:p w14:paraId="68006840">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03" w:name="_Toc23844"/>
      <w:bookmarkStart w:id="604" w:name="_Toc351203602"/>
      <w:bookmarkStart w:id="605" w:name="_Toc22523"/>
      <w:bookmarkStart w:id="606" w:name="_Toc337558819"/>
      <w:r>
        <w:rPr>
          <w:rFonts w:hint="eastAsia" w:ascii="仿宋" w:hAnsi="仿宋" w:eastAsia="仿宋" w:cs="仿宋"/>
          <w:b w:val="0"/>
          <w:color w:val="auto"/>
          <w:sz w:val="24"/>
          <w:szCs w:val="24"/>
        </w:rPr>
        <w:t>15.4 保修</w:t>
      </w:r>
      <w:bookmarkEnd w:id="603"/>
      <w:bookmarkEnd w:id="604"/>
      <w:bookmarkEnd w:id="605"/>
    </w:p>
    <w:bookmarkEnd w:id="599"/>
    <w:bookmarkEnd w:id="600"/>
    <w:bookmarkEnd w:id="606"/>
    <w:p w14:paraId="12F90C2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15.4.1保修责任</w:t>
      </w:r>
    </w:p>
    <w:p w14:paraId="5021CF8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1EE1AA47">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发包人未经竣工验收擅自使用工程的，保修期自</w:t>
      </w:r>
      <w:r>
        <w:rPr>
          <w:rFonts w:hint="eastAsia" w:ascii="仿宋" w:hAnsi="仿宋" w:eastAsia="仿宋" w:cs="仿宋"/>
          <w:color w:val="auto"/>
          <w:kern w:val="0"/>
          <w:sz w:val="24"/>
          <w:szCs w:val="24"/>
        </w:rPr>
        <w:t>转移占有之日起算</w:t>
      </w:r>
      <w:r>
        <w:rPr>
          <w:rFonts w:hint="eastAsia" w:ascii="仿宋" w:hAnsi="仿宋" w:eastAsia="仿宋" w:cs="仿宋"/>
          <w:color w:val="auto"/>
          <w:sz w:val="24"/>
          <w:szCs w:val="24"/>
        </w:rPr>
        <w:t>。</w:t>
      </w:r>
    </w:p>
    <w:p w14:paraId="7FE7715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15.4.2 修复费用</w:t>
      </w:r>
    </w:p>
    <w:p w14:paraId="22ACF7A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保修期内，修复的费用按照以下约定处理：</w:t>
      </w:r>
    </w:p>
    <w:p w14:paraId="32CF23C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（1）保修期内，因承包人原因造成工程的缺陷、损坏，承包人应负责修复，并承担修复的费用以及因工程的缺陷、损坏造成的人身伤害和财产损失；</w:t>
      </w:r>
    </w:p>
    <w:p w14:paraId="32249AB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（2）保修期内，因发包人使用不当造成工程的缺陷、损坏，可以委托承包人修复，但发包人应承担修复的费用，并支付承包人合理利润；</w:t>
      </w:r>
    </w:p>
    <w:p w14:paraId="1F979DD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（3）因其他原因造成工程的缺陷、损坏，可以委托承包人修复，发包人应承担修复的费用，并支付承包人合理的利润，因工程的缺陷、损坏造成的人身伤害和财产损失由责任方承担。</w:t>
      </w:r>
    </w:p>
    <w:p w14:paraId="4FFDBE1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15.4.3 修复通知</w:t>
      </w:r>
    </w:p>
    <w:p w14:paraId="00F9C454">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476979A5">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15.4.4 未能修复</w:t>
      </w:r>
    </w:p>
    <w:p w14:paraId="040C400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4F485FF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15.4.5 承包人出入权</w:t>
      </w:r>
    </w:p>
    <w:p w14:paraId="4BA392D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5DD49CCA">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607" w:name="_Toc26341"/>
      <w:bookmarkStart w:id="608" w:name="_Toc13934"/>
      <w:bookmarkStart w:id="609" w:name="_Toc351203603"/>
      <w:bookmarkStart w:id="610" w:name="_Toc337558820"/>
      <w:r>
        <w:rPr>
          <w:rFonts w:hint="eastAsia" w:ascii="仿宋" w:hAnsi="仿宋" w:eastAsia="仿宋" w:cs="仿宋"/>
          <w:b w:val="0"/>
          <w:color w:val="auto"/>
          <w:sz w:val="24"/>
          <w:szCs w:val="24"/>
        </w:rPr>
        <w:t>16. 违约</w:t>
      </w:r>
      <w:bookmarkEnd w:id="607"/>
      <w:bookmarkEnd w:id="608"/>
      <w:bookmarkEnd w:id="609"/>
    </w:p>
    <w:bookmarkEnd w:id="610"/>
    <w:p w14:paraId="58FF617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11" w:name="_Toc296503129"/>
      <w:bookmarkStart w:id="612" w:name="_Toc296346630"/>
      <w:bookmarkStart w:id="613" w:name="_Toc351203604"/>
      <w:bookmarkStart w:id="614" w:name="_Toc21125"/>
      <w:bookmarkStart w:id="615" w:name="_Toc23410"/>
      <w:bookmarkStart w:id="616" w:name="_Toc337558821"/>
      <w:r>
        <w:rPr>
          <w:rFonts w:hint="eastAsia" w:ascii="仿宋" w:hAnsi="仿宋" w:eastAsia="仿宋" w:cs="仿宋"/>
          <w:b w:val="0"/>
          <w:color w:val="auto"/>
          <w:sz w:val="24"/>
          <w:szCs w:val="24"/>
        </w:rPr>
        <w:t>16.1 发</w:t>
      </w:r>
      <w:bookmarkEnd w:id="611"/>
      <w:bookmarkEnd w:id="612"/>
      <w:r>
        <w:rPr>
          <w:rFonts w:hint="eastAsia" w:ascii="仿宋" w:hAnsi="仿宋" w:eastAsia="仿宋" w:cs="仿宋"/>
          <w:b w:val="0"/>
          <w:color w:val="auto"/>
          <w:sz w:val="24"/>
          <w:szCs w:val="24"/>
        </w:rPr>
        <w:t>包人违约</w:t>
      </w:r>
      <w:bookmarkEnd w:id="613"/>
      <w:bookmarkEnd w:id="614"/>
      <w:bookmarkEnd w:id="615"/>
    </w:p>
    <w:bookmarkEnd w:id="616"/>
    <w:p w14:paraId="06AE2FD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16.1.1 发包人违约的情形</w:t>
      </w:r>
    </w:p>
    <w:p w14:paraId="22FDA10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在合同履行过程中发生的下列情形，属于发包人违约：</w:t>
      </w:r>
    </w:p>
    <w:p w14:paraId="2C3FA32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（1）因发包人原因未能在计划开工日期前7天内下达开工通知的；</w:t>
      </w:r>
    </w:p>
    <w:p w14:paraId="4413694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（2）因发包人原因未能按合同约定支付合同价款的；</w:t>
      </w:r>
    </w:p>
    <w:p w14:paraId="4342951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（3）发包人违反第10.1款〔变更的范围〕第（2）项约定，自行实施被取消的工作或转由他人实施的；</w:t>
      </w:r>
    </w:p>
    <w:p w14:paraId="3AE7A4C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（4）发包人提供的材料、工程设备的规格、数量或质量不符合合同约定，或因发包人原因导致交货日期延误或交货地点变更等情况的；</w:t>
      </w:r>
    </w:p>
    <w:p w14:paraId="6C3C77F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（5）因发包人违反合同约定造成暂停施工的；</w:t>
      </w:r>
    </w:p>
    <w:p w14:paraId="06EC39B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（6）发包人无正当理由没有在约定期限内发出复工指示，导致承包人无法复工的；</w:t>
      </w:r>
    </w:p>
    <w:p w14:paraId="1A03895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（7）发包人明确表示或者以其行为表明不履行合同主要义务的；</w:t>
      </w:r>
    </w:p>
    <w:p w14:paraId="4E1B790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（8）发包人未能按照合同约定履行其他义务的。</w:t>
      </w:r>
    </w:p>
    <w:p w14:paraId="68AA9D0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7AD80F4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16.1.2 发包人违约的责任</w:t>
      </w:r>
    </w:p>
    <w:p w14:paraId="1FAE0B9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发包人应承担因其违约给承包人增加的费用和（或）延误的工期，并支付承包人合理的利润。此外，合同当事人可在专用合同条款中另行约定发包人违约责任的承担方式和计算方法。</w:t>
      </w:r>
    </w:p>
    <w:p w14:paraId="017EC43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16.1.3 因发包人违约解除合同</w:t>
      </w:r>
    </w:p>
    <w:p w14:paraId="2B7757E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14:paraId="7A71A75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kern w:val="0"/>
          <w:sz w:val="24"/>
          <w:szCs w:val="24"/>
        </w:rPr>
        <w:t>16.1.4 因发包人违约解除合同后的付款</w:t>
      </w:r>
    </w:p>
    <w:p w14:paraId="05BFAFF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承包人按照本款约定解除合同的，发包人应在解除合同后28天内支付下列款项，并解除履约担保：</w:t>
      </w:r>
    </w:p>
    <w:p w14:paraId="28F32C7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（1）合同解除前所完成工作的价款；</w:t>
      </w:r>
    </w:p>
    <w:p w14:paraId="1F9C7A4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（2）承包人为工程施工订购并已付款的材料、工程设备和其他物品的价款；</w:t>
      </w:r>
    </w:p>
    <w:p w14:paraId="5908128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（3）承包人撤离施工现场以及遣散承包人人员的款项；</w:t>
      </w:r>
    </w:p>
    <w:p w14:paraId="3361DFBB">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（4）按照合同约定在合同解除前应支付的违约金；</w:t>
      </w:r>
    </w:p>
    <w:p w14:paraId="655281D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（5）按照合同约定应当支付给承包人的其他款项；</w:t>
      </w:r>
    </w:p>
    <w:p w14:paraId="6689D5C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（6）按照合同约定应退还的质量保证金；</w:t>
      </w:r>
    </w:p>
    <w:p w14:paraId="738F8EF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（7）因解除合同给承包人造成的损失。</w:t>
      </w:r>
    </w:p>
    <w:p w14:paraId="3416504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合同当事人未能就解除合同后的结清达成一致的，按照第20条〔争议解决〕的约定处理。</w:t>
      </w:r>
    </w:p>
    <w:p w14:paraId="4605DE2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承包人应妥善做好已完工程和与工程有关的已购材料、工程设备的保护和移交工作，并将施工设备和人员撤出施工现场，发包人应为承包人撤出提供必要条件。</w:t>
      </w:r>
    </w:p>
    <w:p w14:paraId="79BD2F05">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17" w:name="_Toc3488"/>
      <w:bookmarkStart w:id="618" w:name="_Toc12111"/>
      <w:bookmarkStart w:id="619" w:name="_Toc351203605"/>
      <w:bookmarkStart w:id="620" w:name="_Toc296346632"/>
      <w:bookmarkStart w:id="621" w:name="_Toc337558822"/>
      <w:bookmarkStart w:id="622" w:name="_Toc296503131"/>
      <w:r>
        <w:rPr>
          <w:rFonts w:hint="eastAsia" w:ascii="仿宋" w:hAnsi="仿宋" w:eastAsia="仿宋" w:cs="仿宋"/>
          <w:b w:val="0"/>
          <w:color w:val="auto"/>
          <w:sz w:val="24"/>
          <w:szCs w:val="24"/>
        </w:rPr>
        <w:t>16.2 承包人违约</w:t>
      </w:r>
      <w:bookmarkEnd w:id="617"/>
      <w:bookmarkEnd w:id="618"/>
      <w:bookmarkEnd w:id="619"/>
    </w:p>
    <w:bookmarkEnd w:id="620"/>
    <w:bookmarkEnd w:id="621"/>
    <w:bookmarkEnd w:id="622"/>
    <w:p w14:paraId="290540C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16.2.1 承包人违约的情形</w:t>
      </w:r>
    </w:p>
    <w:p w14:paraId="1DB12DB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在合同履行过程中发生的下列情形，属于承包人违约：</w:t>
      </w:r>
    </w:p>
    <w:p w14:paraId="31919C5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（1）承包人违反合同约定进行转包或违法分包的；</w:t>
      </w:r>
    </w:p>
    <w:p w14:paraId="499F86F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（2）承包人违反合同约定采购和使用不合格的材料和工程设备的；</w:t>
      </w:r>
    </w:p>
    <w:p w14:paraId="347D336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（3）因承包人原因导致工程质量不符合合同要求的； </w:t>
      </w:r>
    </w:p>
    <w:p w14:paraId="0D0D89A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（4）承包人违反第8.9款〔材料与设备专用要求〕的约定，未经批准，私自将已按照合同约定进入施工现场的材料或设备撤离施工现场的；</w:t>
      </w:r>
    </w:p>
    <w:p w14:paraId="0D5B7CC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（5）承包人未能按施工进度计划及时完成合同约定的工作，造成工期延误的；</w:t>
      </w:r>
    </w:p>
    <w:p w14:paraId="148E533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（6）承包人在缺陷责任期及保修期内，未能在合理期限对工程缺陷进行修复，或拒绝按发包人要求进行修复的；</w:t>
      </w:r>
    </w:p>
    <w:p w14:paraId="2530508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（7）承包人明确表示或者以其行为表明不履行合同主要义务的；</w:t>
      </w:r>
    </w:p>
    <w:p w14:paraId="7647FDE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（8）承包人未能按照合同约定履行其他义务的。</w:t>
      </w:r>
    </w:p>
    <w:p w14:paraId="30BECF93">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承包人发生除本项第（7）目约定以外的其他违约情况时，监理人可向承包人发出整改通知，要求其在指定的期限内改正。</w:t>
      </w:r>
    </w:p>
    <w:p w14:paraId="07B9A5F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16.2.2 承包人违约的责任</w:t>
      </w:r>
    </w:p>
    <w:p w14:paraId="0F6DC1B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承包人应承担因其违约行为而增加的费用和（或）延误的工期。此外，合同当事人可在专用合同条款中另行约定承包人违约责任的承担方式和计算方法。</w:t>
      </w:r>
    </w:p>
    <w:p w14:paraId="1E9ED5C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16.2.3 因承包人违约解除合同</w:t>
      </w:r>
    </w:p>
    <w:p w14:paraId="5DE9F2B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07144F4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16.2.4因承包人违约解除合同后的处理</w:t>
      </w:r>
    </w:p>
    <w:p w14:paraId="76FC539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因承包人原因导致合同解除的，则合同当事人应在合同解除后28天内完成估价、付款和清算，并按以下约定执行：</w:t>
      </w:r>
    </w:p>
    <w:p w14:paraId="0C828C0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（1）合同解除后，按第4.4款〔商定或确定〕商定或确定承包人实际完成工作对应的合同价款，以及承包人已提供的材料、工程设备、施工设备和临时工程等的价值；</w:t>
      </w:r>
    </w:p>
    <w:p w14:paraId="0F36A836">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（2）合同解除后，承包人应支付的违约金；</w:t>
      </w:r>
    </w:p>
    <w:p w14:paraId="03267C32">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（3）合同解除后，因解除合同给发包人造成的损失；</w:t>
      </w:r>
    </w:p>
    <w:p w14:paraId="145BA83A">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（4）合同解除后，承包人应按照发包人要求和监理人的指示完成现场的清理和撤离；</w:t>
      </w:r>
    </w:p>
    <w:p w14:paraId="04D5FCD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（5）发包人和承包人应在合同解除后进行清算，出具最终结清付款证书，结清全部款项。</w:t>
      </w:r>
    </w:p>
    <w:p w14:paraId="0102624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因承包人违约解除合同的，发包人有权暂停对承包人的付款，查清各项付款和已扣款项。发包人和承包人未能就合同解除后的清算和款项支付达成一致的，按照第20条〔争议解决〕的约定处理。</w:t>
      </w:r>
    </w:p>
    <w:p w14:paraId="5C28A5F9">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16.2.5采购合同权益转让</w:t>
      </w:r>
    </w:p>
    <w:p w14:paraId="2CA2FB0C">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50148FEB">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23" w:name="_Toc11399"/>
      <w:bookmarkStart w:id="624" w:name="_Toc351203606"/>
      <w:bookmarkStart w:id="625" w:name="_Toc19185"/>
      <w:r>
        <w:rPr>
          <w:rFonts w:hint="eastAsia" w:ascii="仿宋" w:hAnsi="仿宋" w:eastAsia="仿宋" w:cs="仿宋"/>
          <w:b w:val="0"/>
          <w:color w:val="auto"/>
          <w:sz w:val="24"/>
          <w:szCs w:val="24"/>
        </w:rPr>
        <w:t>16.3 第三人造成的违约</w:t>
      </w:r>
      <w:bookmarkEnd w:id="623"/>
      <w:bookmarkEnd w:id="624"/>
      <w:bookmarkEnd w:id="625"/>
    </w:p>
    <w:p w14:paraId="053D7B1E">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在履行合同过程中，一方当事人因第三人的原因造成违约的，应当向对方当事人承担违约责任。一方当事人和第三人之间的纠纷，依照法律规定或者按照约定解决。</w:t>
      </w:r>
    </w:p>
    <w:p w14:paraId="4789EA33">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626" w:name="_Toc351203607"/>
      <w:bookmarkStart w:id="627" w:name="_Toc16556"/>
      <w:bookmarkStart w:id="628" w:name="_Toc21111"/>
      <w:bookmarkStart w:id="629" w:name="_Toc337558823"/>
      <w:bookmarkStart w:id="630" w:name="_Toc296503116"/>
      <w:bookmarkStart w:id="631" w:name="_Toc296346617"/>
      <w:r>
        <w:rPr>
          <w:rFonts w:hint="eastAsia" w:ascii="仿宋" w:hAnsi="仿宋" w:eastAsia="仿宋" w:cs="仿宋"/>
          <w:b w:val="0"/>
          <w:color w:val="auto"/>
          <w:sz w:val="24"/>
          <w:szCs w:val="24"/>
        </w:rPr>
        <w:t>17. 不可抗力</w:t>
      </w:r>
      <w:bookmarkEnd w:id="626"/>
      <w:bookmarkEnd w:id="627"/>
      <w:bookmarkEnd w:id="628"/>
      <w:r>
        <w:rPr>
          <w:rFonts w:hint="eastAsia" w:ascii="仿宋" w:hAnsi="仿宋" w:eastAsia="仿宋" w:cs="仿宋"/>
          <w:b w:val="0"/>
          <w:color w:val="auto"/>
          <w:sz w:val="24"/>
          <w:szCs w:val="24"/>
        </w:rPr>
        <w:t xml:space="preserve"> </w:t>
      </w:r>
      <w:bookmarkEnd w:id="629"/>
      <w:bookmarkEnd w:id="630"/>
      <w:bookmarkEnd w:id="631"/>
    </w:p>
    <w:p w14:paraId="2A936AB1">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32" w:name="_Toc15906"/>
      <w:bookmarkStart w:id="633" w:name="_Toc6993"/>
      <w:bookmarkStart w:id="634" w:name="_Toc351203608"/>
      <w:bookmarkStart w:id="635" w:name="_Toc337558824"/>
      <w:bookmarkStart w:id="636" w:name="_Toc296346618"/>
      <w:bookmarkStart w:id="637" w:name="_Toc296503117"/>
      <w:r>
        <w:rPr>
          <w:rFonts w:hint="eastAsia" w:ascii="仿宋" w:hAnsi="仿宋" w:eastAsia="仿宋" w:cs="仿宋"/>
          <w:b w:val="0"/>
          <w:color w:val="auto"/>
          <w:sz w:val="24"/>
          <w:szCs w:val="24"/>
        </w:rPr>
        <w:t>17.1 不可抗力的确认</w:t>
      </w:r>
      <w:bookmarkEnd w:id="632"/>
      <w:bookmarkEnd w:id="633"/>
      <w:bookmarkEnd w:id="634"/>
    </w:p>
    <w:bookmarkEnd w:id="635"/>
    <w:bookmarkEnd w:id="636"/>
    <w:bookmarkEnd w:id="637"/>
    <w:p w14:paraId="5479C81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不可抗力是指合同当事人在签订合同时不可预见，在合同履行过程中不可避免且不能克服的自然灾害和社会性突发事件，如地震、海啸、瘟疫、骚乱、戒严、暴动、战争和专用合同条款中约定的其他情形。</w:t>
      </w:r>
    </w:p>
    <w:p w14:paraId="04E1C28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14:paraId="2843A2B3">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38" w:name="_Toc5743"/>
      <w:bookmarkStart w:id="639" w:name="_Toc351203609"/>
      <w:bookmarkStart w:id="640" w:name="_Toc12987"/>
      <w:bookmarkStart w:id="641" w:name="_Toc296503118"/>
      <w:bookmarkStart w:id="642" w:name="_Toc337558825"/>
      <w:bookmarkStart w:id="643" w:name="_Toc296346619"/>
      <w:r>
        <w:rPr>
          <w:rFonts w:hint="eastAsia" w:ascii="仿宋" w:hAnsi="仿宋" w:eastAsia="仿宋" w:cs="仿宋"/>
          <w:b w:val="0"/>
          <w:color w:val="auto"/>
          <w:sz w:val="24"/>
          <w:szCs w:val="24"/>
        </w:rPr>
        <w:t>17.2 不可抗力的通知</w:t>
      </w:r>
      <w:bookmarkEnd w:id="638"/>
      <w:bookmarkEnd w:id="639"/>
      <w:bookmarkEnd w:id="640"/>
    </w:p>
    <w:bookmarkEnd w:id="641"/>
    <w:bookmarkEnd w:id="642"/>
    <w:bookmarkEnd w:id="643"/>
    <w:p w14:paraId="3FC77BD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合同一方当事人遇到不可抗力事件，使其履行合同义务受到阻碍时，应立即通知合同另一方当事人和监理人，书面说明不可抗力和受阻碍的详细情况，并提供必要的证明。</w:t>
      </w:r>
    </w:p>
    <w:p w14:paraId="549F173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不可抗力持续发生的，合同一方当事人应及时向合同另一方当事人和监理人提交中间报告，说明不可抗力和履行合同受阻的情况，并于不可抗力事件结束后28天内提交最终报告及有关资料。</w:t>
      </w:r>
    </w:p>
    <w:p w14:paraId="1CD91800">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44" w:name="_Toc32239"/>
      <w:bookmarkStart w:id="645" w:name="_Toc351203610"/>
      <w:bookmarkStart w:id="646" w:name="_Toc2117"/>
      <w:bookmarkStart w:id="647" w:name="_Toc296503119"/>
      <w:bookmarkStart w:id="648" w:name="_Toc337558826"/>
      <w:bookmarkStart w:id="649" w:name="_Toc296346620"/>
      <w:r>
        <w:rPr>
          <w:rFonts w:hint="eastAsia" w:ascii="仿宋" w:hAnsi="仿宋" w:eastAsia="仿宋" w:cs="仿宋"/>
          <w:b w:val="0"/>
          <w:color w:val="auto"/>
          <w:sz w:val="24"/>
          <w:szCs w:val="24"/>
        </w:rPr>
        <w:t>17.3 不可抗力后果的承担</w:t>
      </w:r>
      <w:bookmarkEnd w:id="644"/>
      <w:bookmarkEnd w:id="645"/>
      <w:bookmarkEnd w:id="646"/>
    </w:p>
    <w:bookmarkEnd w:id="647"/>
    <w:bookmarkEnd w:id="648"/>
    <w:bookmarkEnd w:id="649"/>
    <w:p w14:paraId="7174AC4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17.3.1 不可抗力引起的后果及造成的损失由合同当事人按照法律规定及合同约定各自承担。不可抗力发生前已完成的工程应当按照合同约定进行计量支付。</w:t>
      </w:r>
    </w:p>
    <w:p w14:paraId="4E9B80E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17.3.2 不可抗力导致的人员伤亡、财产损失、费用增加和（或）工期延误等后果，由合同当事人按以下原则承担：</w:t>
      </w:r>
    </w:p>
    <w:p w14:paraId="247756F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（1）永久工程、已运至施工现场的材料和工程设备的损坏，以及因工程损坏造成的第三人人员伤亡和财产损失由发包人承担；</w:t>
      </w:r>
    </w:p>
    <w:p w14:paraId="709E657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（2）承包人施工设备的损坏由承包人承担；</w:t>
      </w:r>
    </w:p>
    <w:p w14:paraId="71EA7CD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（3）发包人和承包人承担各自人员伤亡和财产的损失；</w:t>
      </w:r>
    </w:p>
    <w:p w14:paraId="02E8169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（4）因不可抗力影响承包人履行合同约定的义务，已经引起或将引起工期延误的，应当顺延工期，由此导致承包人停工的费用损失由发包人和承包人合理分担，停工期间必须支付的工人工资由发包人承担；</w:t>
      </w:r>
    </w:p>
    <w:p w14:paraId="7672924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（5）因不可抗力引起或将引起工期延误，发包人要求赶工的，由此增加的赶工费用由发包人承担；</w:t>
      </w:r>
    </w:p>
    <w:p w14:paraId="437E219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（6）承包人在停工期间按照发包人要求照管、清理和修复工程的费用由发包人承担。</w:t>
      </w:r>
    </w:p>
    <w:p w14:paraId="29FD05A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不可抗力发生后，合同当事人均应采取措施尽量避免和减少损失的扩大，任何一方当事人没有采取有效措施导致损失扩大的，应对扩大的损失承担责任。</w:t>
      </w:r>
    </w:p>
    <w:p w14:paraId="162C5FA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因合同一方迟延履行合同义务，在迟延履行期间遭遇不可抗力的，不免除其违约责任。</w:t>
      </w:r>
    </w:p>
    <w:p w14:paraId="436A5DDC">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50" w:name="_Toc7336"/>
      <w:bookmarkStart w:id="651" w:name="_Toc351203611"/>
      <w:bookmarkStart w:id="652" w:name="_Toc4488"/>
      <w:bookmarkStart w:id="653" w:name="_Toc337558827"/>
      <w:r>
        <w:rPr>
          <w:rFonts w:hint="eastAsia" w:ascii="仿宋" w:hAnsi="仿宋" w:eastAsia="仿宋" w:cs="仿宋"/>
          <w:b w:val="0"/>
          <w:color w:val="auto"/>
          <w:sz w:val="24"/>
          <w:szCs w:val="24"/>
        </w:rPr>
        <w:t>17.4 因不可抗力解除合同</w:t>
      </w:r>
      <w:bookmarkEnd w:id="650"/>
      <w:bookmarkEnd w:id="651"/>
      <w:bookmarkEnd w:id="652"/>
    </w:p>
    <w:bookmarkEnd w:id="653"/>
    <w:p w14:paraId="45B3D1B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因不可抗力导致合同无法履行连续超过84天或累计超过140天的，发包人和承包人均有权解除合同。合同解除后，由双方当事人按照第4.4款〔商定或确定〕商定或确定发包人应支付的款项，该款项包括：</w:t>
      </w:r>
    </w:p>
    <w:p w14:paraId="6D7C4D43">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（1）合同解除前承包人已完成工作的价款；</w:t>
      </w:r>
    </w:p>
    <w:p w14:paraId="3AEDD63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（2）承包人为工程订购的并已交付给承包人，或承包人有责任接受交付的材料、工程设备和其他物品的价款；</w:t>
      </w:r>
    </w:p>
    <w:p w14:paraId="628F56AF">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（3）发包人要求承包人退货或解除订货合同而产生的费用，或因不能退货或解除合同而产生的损失；</w:t>
      </w:r>
    </w:p>
    <w:p w14:paraId="5D1B157D">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（4）承包人撤离施工现场以及遣散承包人人员的费用；</w:t>
      </w:r>
    </w:p>
    <w:p w14:paraId="19179210">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（5）按照合同约定在合同解除前应支付给承包人的其他款项；</w:t>
      </w:r>
    </w:p>
    <w:p w14:paraId="24A4A548">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（6）扣减承包人按照合同约定应向发包人支付的款项；</w:t>
      </w:r>
    </w:p>
    <w:p w14:paraId="514904B1">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（7）双方商定或确定的其他款项。</w:t>
      </w:r>
    </w:p>
    <w:p w14:paraId="474922B7">
      <w:pPr>
        <w:pageBreakBefore w:val="0"/>
        <w:kinsoku/>
        <w:overflowPunct/>
        <w:topLinePunct w:val="0"/>
        <w:bidi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除专用合同条款另有约定外，合同解除后，发包人应在商定或确定上述款项后28天内完成上述款项的支付。</w:t>
      </w:r>
    </w:p>
    <w:p w14:paraId="676371D6">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654" w:name="_Toc10108"/>
      <w:bookmarkStart w:id="655" w:name="_Toc351203612"/>
      <w:bookmarkStart w:id="656" w:name="_Toc26255"/>
      <w:bookmarkStart w:id="657" w:name="_Toc296503120"/>
      <w:bookmarkStart w:id="658" w:name="_Toc337558828"/>
      <w:bookmarkStart w:id="659" w:name="_Toc296346621"/>
      <w:r>
        <w:rPr>
          <w:rFonts w:hint="eastAsia" w:ascii="仿宋" w:hAnsi="仿宋" w:eastAsia="仿宋" w:cs="仿宋"/>
          <w:b w:val="0"/>
          <w:color w:val="auto"/>
          <w:sz w:val="24"/>
          <w:szCs w:val="24"/>
        </w:rPr>
        <w:t>18. 保险</w:t>
      </w:r>
      <w:bookmarkEnd w:id="654"/>
      <w:bookmarkEnd w:id="655"/>
      <w:bookmarkEnd w:id="656"/>
    </w:p>
    <w:bookmarkEnd w:id="657"/>
    <w:bookmarkEnd w:id="658"/>
    <w:bookmarkEnd w:id="659"/>
    <w:p w14:paraId="453DA03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60" w:name="_Toc24051"/>
      <w:bookmarkStart w:id="661" w:name="_Toc351203613"/>
      <w:bookmarkStart w:id="662" w:name="_Toc10680"/>
      <w:bookmarkStart w:id="663" w:name="_Toc296503121"/>
      <w:bookmarkStart w:id="664" w:name="_Toc296346622"/>
      <w:bookmarkStart w:id="665" w:name="_Toc337558829"/>
      <w:r>
        <w:rPr>
          <w:rFonts w:hint="eastAsia" w:ascii="仿宋" w:hAnsi="仿宋" w:eastAsia="仿宋" w:cs="仿宋"/>
          <w:b w:val="0"/>
          <w:color w:val="auto"/>
          <w:sz w:val="24"/>
          <w:szCs w:val="24"/>
        </w:rPr>
        <w:t>18.1 工程保险</w:t>
      </w:r>
      <w:bookmarkEnd w:id="660"/>
      <w:bookmarkEnd w:id="661"/>
      <w:bookmarkEnd w:id="662"/>
    </w:p>
    <w:bookmarkEnd w:id="663"/>
    <w:bookmarkEnd w:id="664"/>
    <w:bookmarkEnd w:id="665"/>
    <w:p w14:paraId="2DC38BD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除专用合同条款另有约定外，发包人应投保建筑工程一切险或安装工程一切险；发包人委托承包人投保的，因投保产生的保险费和其他相关费用由发包人承担。</w:t>
      </w:r>
    </w:p>
    <w:p w14:paraId="617C23CB">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66" w:name="_Toc26854"/>
      <w:bookmarkStart w:id="667" w:name="_Toc1140"/>
      <w:bookmarkStart w:id="668" w:name="_Toc351203614"/>
      <w:bookmarkStart w:id="669" w:name="_Toc337558830"/>
      <w:bookmarkStart w:id="670" w:name="_Toc296346623"/>
      <w:bookmarkStart w:id="671" w:name="_Toc296503122"/>
      <w:r>
        <w:rPr>
          <w:rFonts w:hint="eastAsia" w:ascii="仿宋" w:hAnsi="仿宋" w:eastAsia="仿宋" w:cs="仿宋"/>
          <w:b w:val="0"/>
          <w:color w:val="auto"/>
          <w:sz w:val="24"/>
          <w:szCs w:val="24"/>
        </w:rPr>
        <w:t>18.2 工伤保险</w:t>
      </w:r>
      <w:bookmarkEnd w:id="666"/>
      <w:bookmarkEnd w:id="667"/>
      <w:bookmarkEnd w:id="668"/>
    </w:p>
    <w:bookmarkEnd w:id="669"/>
    <w:bookmarkEnd w:id="670"/>
    <w:bookmarkEnd w:id="671"/>
    <w:p w14:paraId="264E917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18.2.1 发包人应依照法律规定参加工伤保险，并为在施工现场的全部员工办理工伤保险，缴纳工伤保险费，并要求监理人及由发包人为履行合同聘请的第三方依法参加工伤保险。</w:t>
      </w:r>
    </w:p>
    <w:p w14:paraId="2ED1A81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18.2.2 承包人应依照法律规定参加工伤保险，并为其履行合同的全部员工办理工伤保险，缴纳工伤保险费，并要求分包人及由承包人为履行合同聘请的第三方依法参加工伤保险。</w:t>
      </w:r>
    </w:p>
    <w:p w14:paraId="21E9AFC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72" w:name="_Toc25464"/>
      <w:bookmarkStart w:id="673" w:name="_Toc1741"/>
      <w:bookmarkStart w:id="674" w:name="_Toc351203615"/>
      <w:bookmarkStart w:id="675" w:name="_Toc296503125"/>
      <w:bookmarkStart w:id="676" w:name="_Toc337558831"/>
      <w:bookmarkStart w:id="677" w:name="_Toc296346626"/>
      <w:r>
        <w:rPr>
          <w:rFonts w:hint="eastAsia" w:ascii="仿宋" w:hAnsi="仿宋" w:eastAsia="仿宋" w:cs="仿宋"/>
          <w:b w:val="0"/>
          <w:color w:val="auto"/>
          <w:sz w:val="24"/>
          <w:szCs w:val="24"/>
        </w:rPr>
        <w:t>18.3其他保险</w:t>
      </w:r>
      <w:bookmarkEnd w:id="672"/>
      <w:bookmarkEnd w:id="673"/>
      <w:bookmarkEnd w:id="674"/>
    </w:p>
    <w:bookmarkEnd w:id="675"/>
    <w:bookmarkEnd w:id="676"/>
    <w:bookmarkEnd w:id="677"/>
    <w:p w14:paraId="5EFF28D2">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发包人和承包人可以为其施工现场的全部人员办理意外伤害保险并支付保险费，包括其员工及为履行合同聘请的第三方的人员，具体事项由合同当事人在专用合同条款约定。</w:t>
      </w:r>
    </w:p>
    <w:p w14:paraId="0A805D88">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除专用合同条款另有约定外，承包人应为其施工设备等办理财产保险。</w:t>
      </w:r>
    </w:p>
    <w:p w14:paraId="1F86023A">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78" w:name="_Toc28208"/>
      <w:bookmarkStart w:id="679" w:name="_Toc2696"/>
      <w:bookmarkStart w:id="680" w:name="_Toc351203616"/>
      <w:r>
        <w:rPr>
          <w:rFonts w:hint="eastAsia" w:ascii="仿宋" w:hAnsi="仿宋" w:eastAsia="仿宋" w:cs="仿宋"/>
          <w:b w:val="0"/>
          <w:color w:val="auto"/>
          <w:sz w:val="24"/>
          <w:szCs w:val="24"/>
        </w:rPr>
        <w:t>18.4持续保险</w:t>
      </w:r>
      <w:bookmarkEnd w:id="678"/>
      <w:bookmarkEnd w:id="679"/>
      <w:bookmarkEnd w:id="680"/>
    </w:p>
    <w:p w14:paraId="505E6E63">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合同当事人应与保险人保持联系，使保险人能够随时了解工程实施中的变动，并确保按保险合同条款要求持续保险。</w:t>
      </w:r>
    </w:p>
    <w:p w14:paraId="7CBFCFC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81" w:name="_Toc351203617"/>
      <w:bookmarkStart w:id="682" w:name="_Toc19310"/>
      <w:bookmarkStart w:id="683" w:name="_Toc22453"/>
      <w:bookmarkStart w:id="684" w:name="_Toc296503126"/>
      <w:bookmarkStart w:id="685" w:name="_Toc296346627"/>
      <w:bookmarkStart w:id="686" w:name="_Toc337558832"/>
      <w:r>
        <w:rPr>
          <w:rFonts w:hint="eastAsia" w:ascii="仿宋" w:hAnsi="仿宋" w:eastAsia="仿宋" w:cs="仿宋"/>
          <w:b w:val="0"/>
          <w:color w:val="auto"/>
          <w:sz w:val="24"/>
          <w:szCs w:val="24"/>
        </w:rPr>
        <w:t>18.5 保险凭证</w:t>
      </w:r>
      <w:bookmarkEnd w:id="681"/>
      <w:bookmarkEnd w:id="682"/>
      <w:bookmarkEnd w:id="683"/>
    </w:p>
    <w:bookmarkEnd w:id="684"/>
    <w:bookmarkEnd w:id="685"/>
    <w:bookmarkEnd w:id="686"/>
    <w:p w14:paraId="76CCEFE9">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合同当事人应及时向另一方当事人提交其已投保的各项保险的凭证和保险单复印件。</w:t>
      </w:r>
    </w:p>
    <w:p w14:paraId="4B6F08A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87" w:name="_Toc351203618"/>
      <w:bookmarkStart w:id="688" w:name="_Toc26093"/>
      <w:bookmarkStart w:id="689" w:name="_Toc15623"/>
      <w:bookmarkStart w:id="690" w:name="_Toc296346628"/>
      <w:bookmarkStart w:id="691" w:name="_Toc337558833"/>
      <w:bookmarkStart w:id="692" w:name="_Toc296503127"/>
      <w:r>
        <w:rPr>
          <w:rFonts w:hint="eastAsia" w:ascii="仿宋" w:hAnsi="仿宋" w:eastAsia="仿宋" w:cs="仿宋"/>
          <w:b w:val="0"/>
          <w:color w:val="auto"/>
          <w:sz w:val="24"/>
          <w:szCs w:val="24"/>
        </w:rPr>
        <w:t>18.6 未按约定投保的补救</w:t>
      </w:r>
      <w:bookmarkEnd w:id="687"/>
      <w:bookmarkEnd w:id="688"/>
      <w:bookmarkEnd w:id="689"/>
    </w:p>
    <w:bookmarkEnd w:id="690"/>
    <w:bookmarkEnd w:id="691"/>
    <w:bookmarkEnd w:id="692"/>
    <w:p w14:paraId="5B37BA16">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18.6.1发包人未按合同约定办理保险，或未能使保险持续有效的，则承包人可代为办理，所需费用由发包人承担。发包人未按合同约定办理保险，导致未能得到足额赔偿的，由发包人负责补足。</w:t>
      </w:r>
    </w:p>
    <w:p w14:paraId="540B58A2">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18.6.2承包人未按合同约定办理保险，或未能使保险持续有效的，则发包人可代为办理，所需费用由承包人承担。承包人未按合同约定办理保险，导致未能得到足额赔偿的，由承包人负责补足。</w:t>
      </w:r>
    </w:p>
    <w:p w14:paraId="6AB4B3A4">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693" w:name="_Toc25064"/>
      <w:bookmarkStart w:id="694" w:name="_Toc25777"/>
      <w:bookmarkStart w:id="695" w:name="_Toc351203619"/>
      <w:bookmarkStart w:id="696" w:name="_Toc337558834"/>
      <w:r>
        <w:rPr>
          <w:rFonts w:hint="eastAsia" w:ascii="仿宋" w:hAnsi="仿宋" w:eastAsia="仿宋" w:cs="仿宋"/>
          <w:b w:val="0"/>
          <w:color w:val="auto"/>
          <w:sz w:val="24"/>
          <w:szCs w:val="24"/>
        </w:rPr>
        <w:t>18.7 通知义务</w:t>
      </w:r>
      <w:bookmarkEnd w:id="693"/>
      <w:bookmarkEnd w:id="694"/>
      <w:bookmarkEnd w:id="695"/>
    </w:p>
    <w:bookmarkEnd w:id="696"/>
    <w:p w14:paraId="347144A3">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除专用合同条款另有约定外，发包人变更除工伤保险之外的保险合同时，应事先征得承包人同意，并通知监理人；承包人变更除工伤保险之外的保险合同时，应事先征得发包人同意，并通知监理人。</w:t>
      </w:r>
    </w:p>
    <w:p w14:paraId="15FB657D">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保险事故发生时，投保人应按照保险合同规定的条件和期限及时向保险人报告。发包人和承包人应当在知道保险事故发生后及时通知对方。</w:t>
      </w:r>
    </w:p>
    <w:p w14:paraId="044D1063">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697" w:name="_Toc126"/>
      <w:bookmarkStart w:id="698" w:name="_Toc351203620"/>
      <w:bookmarkStart w:id="699" w:name="_Toc27708"/>
      <w:bookmarkStart w:id="700" w:name="_Toc296503140"/>
      <w:bookmarkStart w:id="701" w:name="_Toc337558835"/>
      <w:bookmarkStart w:id="702" w:name="_Toc296346641"/>
      <w:r>
        <w:rPr>
          <w:rFonts w:hint="eastAsia" w:ascii="仿宋" w:hAnsi="仿宋" w:eastAsia="仿宋" w:cs="仿宋"/>
          <w:b w:val="0"/>
          <w:color w:val="auto"/>
          <w:sz w:val="24"/>
          <w:szCs w:val="24"/>
        </w:rPr>
        <w:t>19. 索赔</w:t>
      </w:r>
      <w:bookmarkEnd w:id="697"/>
      <w:bookmarkEnd w:id="698"/>
      <w:bookmarkEnd w:id="699"/>
    </w:p>
    <w:bookmarkEnd w:id="700"/>
    <w:bookmarkEnd w:id="701"/>
    <w:bookmarkEnd w:id="702"/>
    <w:p w14:paraId="6CAC5C3F">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03" w:name="_Toc20057"/>
      <w:bookmarkStart w:id="704" w:name="_Toc2483"/>
      <w:bookmarkStart w:id="705" w:name="_Toc351203621"/>
      <w:bookmarkStart w:id="706" w:name="_Toc337558836"/>
      <w:bookmarkStart w:id="707" w:name="_Toc296346642"/>
      <w:bookmarkStart w:id="708" w:name="_Toc296503141"/>
      <w:r>
        <w:rPr>
          <w:rFonts w:hint="eastAsia" w:ascii="仿宋" w:hAnsi="仿宋" w:eastAsia="仿宋" w:cs="仿宋"/>
          <w:b w:val="0"/>
          <w:color w:val="auto"/>
          <w:sz w:val="24"/>
          <w:szCs w:val="24"/>
        </w:rPr>
        <w:t>19.1承包人的索赔</w:t>
      </w:r>
      <w:bookmarkEnd w:id="703"/>
      <w:bookmarkEnd w:id="704"/>
      <w:bookmarkEnd w:id="705"/>
    </w:p>
    <w:bookmarkEnd w:id="706"/>
    <w:bookmarkEnd w:id="707"/>
    <w:bookmarkEnd w:id="708"/>
    <w:p w14:paraId="033BAE9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根据合同约定，承包人认为有权得到追加付款和（或）延长工期的，应按以下程序向发包人提出索赔：</w:t>
      </w:r>
    </w:p>
    <w:p w14:paraId="65E35C38">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B6450C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（2）承包人应在发出索赔意向通知书后28天内，向监理人正式递交索赔报告；索赔报告应详细说明索赔理由以及要求追加的付款金额和（或）延长的工期，并附必要的记录和证明材料；</w:t>
      </w:r>
    </w:p>
    <w:p w14:paraId="1067C1E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（3）索赔事件具有持续影响的，承包人应按合理时间间隔继续递交延续索赔通知，说明持续影响的实际情况和记录，列出累计的追加付款金额和（或）工期延长天数；</w:t>
      </w:r>
    </w:p>
    <w:p w14:paraId="0EBD63E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（4）在索赔事件影响结束后28天内，承包人应向监理人递交最终索赔报告，说明最终要求索赔的追加付款金额和（或）延长的工期，并附必要的记录和证明材料。</w:t>
      </w:r>
    </w:p>
    <w:p w14:paraId="456B9AA2">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09" w:name="_Toc351203622"/>
      <w:bookmarkStart w:id="710" w:name="_Toc17911"/>
      <w:bookmarkStart w:id="711" w:name="_Toc1122"/>
      <w:bookmarkStart w:id="712" w:name="_Toc296346643"/>
      <w:bookmarkStart w:id="713" w:name="_Toc337558837"/>
      <w:bookmarkStart w:id="714" w:name="_Toc296503142"/>
      <w:r>
        <w:rPr>
          <w:rFonts w:hint="eastAsia" w:ascii="仿宋" w:hAnsi="仿宋" w:eastAsia="仿宋" w:cs="仿宋"/>
          <w:b w:val="0"/>
          <w:color w:val="auto"/>
          <w:sz w:val="24"/>
          <w:szCs w:val="24"/>
        </w:rPr>
        <w:t>19.2 对承包人索赔的处理</w:t>
      </w:r>
      <w:bookmarkEnd w:id="709"/>
      <w:bookmarkEnd w:id="710"/>
      <w:bookmarkEnd w:id="711"/>
    </w:p>
    <w:bookmarkEnd w:id="712"/>
    <w:bookmarkEnd w:id="713"/>
    <w:bookmarkEnd w:id="714"/>
    <w:p w14:paraId="3C6CA5A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对承包人索赔的处理如下：</w:t>
      </w:r>
    </w:p>
    <w:p w14:paraId="49A75F1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（1）监理人应在收到索赔报告后14天内完成审查并报送发包人。监理人对索赔报告存在异议的，有权要求承包人提交全部原始记录副本；</w:t>
      </w:r>
    </w:p>
    <w:p w14:paraId="6716DD41">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（2）发包人应在监理人收到索赔报告或有关索赔的进一步证明材料后的28天内，由监理人向承包人出具经发包人签认的索赔处理结果。发包人逾期答复的，则视为认可承包人的索赔要求；</w:t>
      </w:r>
    </w:p>
    <w:p w14:paraId="1D0583E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（3）承包人接受索赔处理结果的，索赔款项在当期进度款中进行支付；承包人不接受索赔处理结果的，按照第20条〔争议解决〕约定处理。</w:t>
      </w:r>
    </w:p>
    <w:p w14:paraId="46724A81">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15" w:name="_Toc351203623"/>
      <w:bookmarkStart w:id="716" w:name="_Toc94"/>
      <w:bookmarkStart w:id="717" w:name="_Toc28199"/>
      <w:bookmarkStart w:id="718" w:name="_Toc337558838"/>
      <w:bookmarkStart w:id="719" w:name="_Toc296503143"/>
      <w:bookmarkStart w:id="720" w:name="_Toc296346644"/>
      <w:r>
        <w:rPr>
          <w:rFonts w:hint="eastAsia" w:ascii="仿宋" w:hAnsi="仿宋" w:eastAsia="仿宋" w:cs="仿宋"/>
          <w:b w:val="0"/>
          <w:color w:val="auto"/>
          <w:sz w:val="24"/>
          <w:szCs w:val="24"/>
        </w:rPr>
        <w:t>19.3发包人的索赔</w:t>
      </w:r>
      <w:bookmarkEnd w:id="715"/>
      <w:bookmarkEnd w:id="716"/>
      <w:bookmarkEnd w:id="717"/>
    </w:p>
    <w:bookmarkEnd w:id="718"/>
    <w:bookmarkEnd w:id="719"/>
    <w:bookmarkEnd w:id="720"/>
    <w:p w14:paraId="6512C449">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根据合同约定，发包人认为有权得到赔付金额和（或）延长缺陷责任期的，监理人应向承包人发出通知并附有详细的证明。</w:t>
      </w:r>
    </w:p>
    <w:p w14:paraId="5505150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14B0C58D">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21" w:name="_Toc3369"/>
      <w:bookmarkStart w:id="722" w:name="_Toc351203624"/>
      <w:bookmarkStart w:id="723" w:name="_Toc15359"/>
      <w:bookmarkStart w:id="724" w:name="_Toc296503144"/>
      <w:bookmarkStart w:id="725" w:name="_Toc296346645"/>
      <w:bookmarkStart w:id="726" w:name="_Toc337558839"/>
      <w:r>
        <w:rPr>
          <w:rFonts w:hint="eastAsia" w:ascii="仿宋" w:hAnsi="仿宋" w:eastAsia="仿宋" w:cs="仿宋"/>
          <w:b w:val="0"/>
          <w:color w:val="auto"/>
          <w:sz w:val="24"/>
          <w:szCs w:val="24"/>
        </w:rPr>
        <w:t>19.4 对发包人索赔的处理</w:t>
      </w:r>
      <w:bookmarkEnd w:id="721"/>
      <w:bookmarkEnd w:id="722"/>
      <w:bookmarkEnd w:id="723"/>
    </w:p>
    <w:bookmarkEnd w:id="724"/>
    <w:bookmarkEnd w:id="725"/>
    <w:bookmarkEnd w:id="726"/>
    <w:p w14:paraId="068F9A2C">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对发包人索赔的处理如下：</w:t>
      </w:r>
    </w:p>
    <w:p w14:paraId="562D177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（1）承包人收到发包人提交的索赔报告后，应及时审查索赔报告的内容、查验发包人证明材料；</w:t>
      </w:r>
    </w:p>
    <w:p w14:paraId="390DA78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（2）承包人应在收到索赔报告或有关索赔的进一步证明材料后28天内，将索赔处理结果答复发包人。如果承包人未在上述期限内作出答复的，则视为对发包人索赔要求的认可；</w:t>
      </w:r>
    </w:p>
    <w:p w14:paraId="36AC530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（3）承包人接受索赔处理结果的，发包人可从应支付给承包人的合同价款中扣除赔付的金额或延长缺陷责任期；发包人不接受索赔处理结果的，按第20条〔争议解决〕约定处理。</w:t>
      </w:r>
    </w:p>
    <w:p w14:paraId="6321929F">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27" w:name="_Toc24395"/>
      <w:bookmarkStart w:id="728" w:name="_Toc23389"/>
      <w:bookmarkStart w:id="729" w:name="_Toc351203625"/>
      <w:r>
        <w:rPr>
          <w:rFonts w:hint="eastAsia" w:ascii="仿宋" w:hAnsi="仿宋" w:eastAsia="仿宋" w:cs="仿宋"/>
          <w:b w:val="0"/>
          <w:color w:val="auto"/>
          <w:sz w:val="24"/>
          <w:szCs w:val="24"/>
        </w:rPr>
        <w:t>19.5 提出索赔的期限</w:t>
      </w:r>
      <w:bookmarkEnd w:id="727"/>
      <w:bookmarkEnd w:id="728"/>
      <w:bookmarkEnd w:id="729"/>
    </w:p>
    <w:p w14:paraId="35E3E7DD">
      <w:pPr>
        <w:pageBreakBefore w:val="0"/>
        <w:kinsoku/>
        <w:overflowPunct/>
        <w:topLinePunct w:val="0"/>
        <w:bidi w:val="0"/>
        <w:spacing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（1）承包人按第14.2款〔竣工结算审核〕约定接收竣工付款证书后，应被视为已无权再提出在工程接收证书颁发前所发生的任何索赔。</w:t>
      </w:r>
    </w:p>
    <w:p w14:paraId="3928BE5A">
      <w:pPr>
        <w:pageBreakBefore w:val="0"/>
        <w:kinsoku/>
        <w:overflowPunct/>
        <w:topLinePunct w:val="0"/>
        <w:bidi w:val="0"/>
        <w:spacing w:line="440" w:lineRule="exact"/>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（2）承包人按第14.4款〔最终结清〕提交的最终结清申请单中，只限于提出工程接收证书颁发后发生的索赔。提出索赔的期限自接受最终结清证书时终止。</w:t>
      </w:r>
    </w:p>
    <w:p w14:paraId="66F71F88">
      <w:pPr>
        <w:pStyle w:val="5"/>
        <w:pageBreakBefore w:val="0"/>
        <w:kinsoku/>
        <w:overflowPunct/>
        <w:topLinePunct w:val="0"/>
        <w:bidi w:val="0"/>
        <w:spacing w:before="120" w:after="120" w:line="440" w:lineRule="exact"/>
        <w:outlineLvl w:val="2"/>
        <w:rPr>
          <w:rFonts w:hint="eastAsia" w:ascii="仿宋" w:hAnsi="仿宋" w:eastAsia="仿宋" w:cs="仿宋"/>
          <w:b w:val="0"/>
          <w:color w:val="auto"/>
          <w:sz w:val="24"/>
          <w:szCs w:val="24"/>
        </w:rPr>
      </w:pPr>
      <w:bookmarkStart w:id="730" w:name="_Toc28365"/>
      <w:bookmarkStart w:id="731" w:name="_Toc351203626"/>
      <w:bookmarkStart w:id="732" w:name="_Toc351203632"/>
      <w:r>
        <w:rPr>
          <w:rFonts w:hint="eastAsia" w:ascii="仿宋" w:hAnsi="仿宋" w:eastAsia="仿宋" w:cs="仿宋"/>
          <w:b w:val="0"/>
          <w:color w:val="auto"/>
          <w:sz w:val="24"/>
          <w:szCs w:val="24"/>
        </w:rPr>
        <w:t>20</w:t>
      </w:r>
      <w:bookmarkStart w:id="733" w:name="_Toc337558840"/>
      <w:bookmarkStart w:id="734" w:name="_Toc296346647"/>
      <w:bookmarkStart w:id="735" w:name="_Toc296503146"/>
      <w:r>
        <w:rPr>
          <w:rFonts w:hint="eastAsia" w:ascii="仿宋" w:hAnsi="仿宋" w:eastAsia="仿宋" w:cs="仿宋"/>
          <w:b w:val="0"/>
          <w:color w:val="auto"/>
          <w:sz w:val="24"/>
          <w:szCs w:val="24"/>
        </w:rPr>
        <w:t>. 争议解决</w:t>
      </w:r>
      <w:bookmarkEnd w:id="730"/>
      <w:bookmarkEnd w:id="731"/>
    </w:p>
    <w:bookmarkEnd w:id="733"/>
    <w:bookmarkEnd w:id="734"/>
    <w:bookmarkEnd w:id="735"/>
    <w:p w14:paraId="28AB0560">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36" w:name="_Toc351203627"/>
      <w:bookmarkStart w:id="737" w:name="_Toc8262"/>
      <w:bookmarkStart w:id="738" w:name="_Toc32106"/>
      <w:bookmarkStart w:id="739" w:name="_Toc296503147"/>
      <w:bookmarkStart w:id="740" w:name="_Toc337558841"/>
      <w:bookmarkStart w:id="741" w:name="_Toc296346648"/>
      <w:r>
        <w:rPr>
          <w:rFonts w:hint="eastAsia" w:ascii="仿宋" w:hAnsi="仿宋" w:eastAsia="仿宋" w:cs="仿宋"/>
          <w:b w:val="0"/>
          <w:color w:val="auto"/>
          <w:sz w:val="24"/>
          <w:szCs w:val="24"/>
        </w:rPr>
        <w:t>20.1和解</w:t>
      </w:r>
      <w:bookmarkEnd w:id="736"/>
      <w:bookmarkEnd w:id="737"/>
      <w:bookmarkEnd w:id="738"/>
    </w:p>
    <w:bookmarkEnd w:id="739"/>
    <w:bookmarkEnd w:id="740"/>
    <w:bookmarkEnd w:id="741"/>
    <w:p w14:paraId="0C72779B">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合同当事人可以就争议自行和解，自行和解达成协议的经双方签字并盖章后作为合同补充文件，双方均应遵照执行。</w:t>
      </w:r>
    </w:p>
    <w:p w14:paraId="0E4AAFD7">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42" w:name="_Toc18251"/>
      <w:bookmarkStart w:id="743" w:name="_Toc351203628"/>
      <w:bookmarkStart w:id="744" w:name="_Toc29323"/>
      <w:r>
        <w:rPr>
          <w:rFonts w:hint="eastAsia" w:ascii="仿宋" w:hAnsi="仿宋" w:eastAsia="仿宋" w:cs="仿宋"/>
          <w:b w:val="0"/>
          <w:color w:val="auto"/>
          <w:sz w:val="24"/>
          <w:szCs w:val="24"/>
        </w:rPr>
        <w:t>20</w:t>
      </w:r>
      <w:bookmarkStart w:id="745" w:name="_Toc296346649"/>
      <w:bookmarkStart w:id="746" w:name="_Toc296503148"/>
      <w:bookmarkStart w:id="747" w:name="_Toc337558842"/>
      <w:r>
        <w:rPr>
          <w:rFonts w:hint="eastAsia" w:ascii="仿宋" w:hAnsi="仿宋" w:eastAsia="仿宋" w:cs="仿宋"/>
          <w:b w:val="0"/>
          <w:color w:val="auto"/>
          <w:sz w:val="24"/>
          <w:szCs w:val="24"/>
        </w:rPr>
        <w:t>.2调解</w:t>
      </w:r>
      <w:bookmarkEnd w:id="742"/>
      <w:bookmarkEnd w:id="743"/>
      <w:bookmarkEnd w:id="744"/>
    </w:p>
    <w:bookmarkEnd w:id="745"/>
    <w:bookmarkEnd w:id="746"/>
    <w:bookmarkEnd w:id="747"/>
    <w:p w14:paraId="09E7E1E4">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合同当事人可以就争议请求建设行政主管部门、行业协会或其他第三方进行调解，调解达成协议的，经双方签字并盖章后作为合同补充文件，双方均应遵照执行。</w:t>
      </w:r>
    </w:p>
    <w:p w14:paraId="341DCE1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48" w:name="_Toc31994"/>
      <w:bookmarkStart w:id="749" w:name="_Toc351203629"/>
      <w:bookmarkStart w:id="750" w:name="_Toc19869"/>
      <w:bookmarkStart w:id="751" w:name="_Toc337558843"/>
      <w:bookmarkStart w:id="752" w:name="_Toc296503149"/>
      <w:bookmarkStart w:id="753" w:name="_Toc296346650"/>
      <w:r>
        <w:rPr>
          <w:rFonts w:hint="eastAsia" w:ascii="仿宋" w:hAnsi="仿宋" w:eastAsia="仿宋" w:cs="仿宋"/>
          <w:b w:val="0"/>
          <w:color w:val="auto"/>
          <w:sz w:val="24"/>
          <w:szCs w:val="24"/>
        </w:rPr>
        <w:t>20.3争议评审</w:t>
      </w:r>
      <w:bookmarkEnd w:id="748"/>
      <w:bookmarkEnd w:id="749"/>
      <w:bookmarkEnd w:id="750"/>
    </w:p>
    <w:bookmarkEnd w:id="751"/>
    <w:bookmarkEnd w:id="752"/>
    <w:bookmarkEnd w:id="753"/>
    <w:p w14:paraId="023AEDE7">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合同当事人在专用合同条款中约定采取争议评审方式解决争议以及评审规则，并按下列约定执行： </w:t>
      </w:r>
    </w:p>
    <w:p w14:paraId="22CB1FE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20.3.1 争议评审小组的确定</w:t>
      </w:r>
    </w:p>
    <w:p w14:paraId="1D4A21B2">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合同当事人可以共同选择一名或三名争议评审员，组成争议评审小组。除专用合同条款另有约定外，合同当事人应当自合同签订后28天内，或者争议发生后14天内，选定争议评审员。</w:t>
      </w:r>
    </w:p>
    <w:p w14:paraId="7696E89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1A90774E">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除专用合同条款另有约定外，评审员报酬由发包人和承包人各承担一半。</w:t>
      </w:r>
    </w:p>
    <w:p w14:paraId="2FC04C6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20.3.2 争议评审小组的决定</w:t>
      </w:r>
    </w:p>
    <w:p w14:paraId="388DA42A">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36C9F9B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20.3.3 争议评审小组决定的效力</w:t>
      </w:r>
    </w:p>
    <w:p w14:paraId="4114776D">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争议评审小组作出的书面决定经合同当事人签字确认后，对双方具有约束力，双方应遵照执行。</w:t>
      </w:r>
    </w:p>
    <w:p w14:paraId="509CA82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任何一方当事人不接受争议评审小组决定或不履行争议评审小组决定的，双方可选择采用其他争议解决方式。</w:t>
      </w:r>
    </w:p>
    <w:p w14:paraId="731C19AA">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54" w:name="_Toc32629"/>
      <w:bookmarkStart w:id="755" w:name="_Toc351203630"/>
      <w:bookmarkStart w:id="756" w:name="_Toc29353"/>
      <w:bookmarkStart w:id="757" w:name="_Toc296503150"/>
      <w:bookmarkStart w:id="758" w:name="_Toc337558844"/>
      <w:bookmarkStart w:id="759" w:name="_Toc296346651"/>
      <w:r>
        <w:rPr>
          <w:rFonts w:hint="eastAsia" w:ascii="仿宋" w:hAnsi="仿宋" w:eastAsia="仿宋" w:cs="仿宋"/>
          <w:b w:val="0"/>
          <w:color w:val="auto"/>
          <w:sz w:val="24"/>
          <w:szCs w:val="24"/>
        </w:rPr>
        <w:t>20.4仲裁或诉讼</w:t>
      </w:r>
      <w:bookmarkEnd w:id="754"/>
      <w:bookmarkEnd w:id="755"/>
      <w:bookmarkEnd w:id="756"/>
    </w:p>
    <w:bookmarkEnd w:id="757"/>
    <w:bookmarkEnd w:id="758"/>
    <w:bookmarkEnd w:id="759"/>
    <w:p w14:paraId="6BC0D69F">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因合同及合同有关事项产生的争议，合同当事人可以在专用合同条款中约定以下一种方式解决争议：</w:t>
      </w:r>
    </w:p>
    <w:p w14:paraId="56D19785">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（1）向约定的仲裁委员会申请仲裁；</w:t>
      </w:r>
    </w:p>
    <w:p w14:paraId="0BD25226">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（2）向有管辖权的人民法院起诉。</w:t>
      </w:r>
    </w:p>
    <w:p w14:paraId="2E1D8509">
      <w:pPr>
        <w:pStyle w:val="6"/>
        <w:pageBreakBefore w:val="0"/>
        <w:numPr>
          <w:ilvl w:val="0"/>
          <w:numId w:val="0"/>
        </w:numPr>
        <w:kinsoku/>
        <w:overflowPunct/>
        <w:topLinePunct w:val="0"/>
        <w:bidi w:val="0"/>
        <w:spacing w:before="120" w:after="120" w:line="440" w:lineRule="exact"/>
        <w:outlineLvl w:val="3"/>
        <w:rPr>
          <w:rFonts w:hint="eastAsia" w:ascii="仿宋" w:hAnsi="仿宋" w:eastAsia="仿宋" w:cs="仿宋"/>
          <w:b w:val="0"/>
          <w:color w:val="auto"/>
          <w:sz w:val="24"/>
          <w:szCs w:val="24"/>
        </w:rPr>
      </w:pPr>
      <w:bookmarkStart w:id="760" w:name="_Toc7003"/>
      <w:bookmarkStart w:id="761" w:name="_Toc351203631"/>
      <w:bookmarkStart w:id="762" w:name="_Toc14007"/>
      <w:bookmarkStart w:id="763" w:name="_Toc337558845"/>
      <w:bookmarkStart w:id="764" w:name="_Toc296346653"/>
      <w:bookmarkStart w:id="765" w:name="_Toc296503152"/>
      <w:r>
        <w:rPr>
          <w:rFonts w:hint="eastAsia" w:ascii="仿宋" w:hAnsi="仿宋" w:eastAsia="仿宋" w:cs="仿宋"/>
          <w:b w:val="0"/>
          <w:color w:val="auto"/>
          <w:sz w:val="24"/>
          <w:szCs w:val="24"/>
        </w:rPr>
        <w:t>20.5争议解决条款效力</w:t>
      </w:r>
      <w:bookmarkEnd w:id="760"/>
      <w:bookmarkEnd w:id="761"/>
      <w:bookmarkEnd w:id="762"/>
    </w:p>
    <w:bookmarkEnd w:id="763"/>
    <w:bookmarkEnd w:id="764"/>
    <w:bookmarkEnd w:id="765"/>
    <w:p w14:paraId="44F93080">
      <w:pPr>
        <w:pageBreakBefore w:val="0"/>
        <w:kinsoku/>
        <w:overflowPunct/>
        <w:topLinePunct w:val="0"/>
        <w:autoSpaceDE w:val="0"/>
        <w:autoSpaceDN w:val="0"/>
        <w:bidi w:val="0"/>
        <w:adjustRightInd w:val="0"/>
        <w:spacing w:line="440" w:lineRule="exact"/>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合同有关争议解决的条款独立存在，合同的变更、解除、终止、无效或者被撤销均不影响其效力。 </w:t>
      </w:r>
    </w:p>
    <w:p w14:paraId="3E7AF084">
      <w:pPr>
        <w:pStyle w:val="4"/>
        <w:pageBreakBefore w:val="0"/>
        <w:numPr>
          <w:ilvl w:val="0"/>
          <w:numId w:val="5"/>
        </w:numPr>
        <w:kinsoku/>
        <w:overflowPunct/>
        <w:topLinePunct w:val="0"/>
        <w:bidi w:val="0"/>
        <w:spacing w:line="440" w:lineRule="exact"/>
        <w:jc w:val="center"/>
        <w:outlineLvl w:val="1"/>
        <w:rPr>
          <w:rFonts w:hint="eastAsia" w:ascii="仿宋" w:hAnsi="仿宋" w:eastAsia="仿宋" w:cs="仿宋"/>
          <w:color w:val="auto"/>
          <w:sz w:val="24"/>
          <w:szCs w:val="24"/>
        </w:rPr>
      </w:pPr>
      <w:r>
        <w:rPr>
          <w:rFonts w:hint="eastAsia" w:ascii="仿宋" w:hAnsi="仿宋" w:eastAsia="仿宋" w:cs="仿宋"/>
          <w:color w:val="auto"/>
          <w:sz w:val="24"/>
          <w:szCs w:val="24"/>
        </w:rPr>
        <w:br w:type="page"/>
      </w:r>
      <w:bookmarkStart w:id="766" w:name="_Toc6405"/>
      <w:bookmarkStart w:id="767" w:name="_Toc27123"/>
      <w:bookmarkStart w:id="768" w:name="_Toc29675"/>
      <w:r>
        <w:rPr>
          <w:rFonts w:hint="eastAsia" w:ascii="仿宋" w:hAnsi="仿宋" w:eastAsia="仿宋" w:cs="仿宋"/>
          <w:color w:val="auto"/>
          <w:sz w:val="24"/>
          <w:szCs w:val="24"/>
        </w:rPr>
        <w:t>专用合同条款</w:t>
      </w:r>
      <w:bookmarkEnd w:id="732"/>
      <w:bookmarkEnd w:id="766"/>
      <w:bookmarkEnd w:id="767"/>
      <w:bookmarkEnd w:id="768"/>
      <w:bookmarkStart w:id="769" w:name="_Toc351203633"/>
    </w:p>
    <w:bookmarkEnd w:id="769"/>
    <w:p w14:paraId="147B0399">
      <w:pPr>
        <w:pStyle w:val="5"/>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bookmarkStart w:id="770" w:name="_Toc296891196"/>
      <w:bookmarkStart w:id="771" w:name="_Toc292559361"/>
      <w:bookmarkStart w:id="772" w:name="_Toc296503156"/>
      <w:bookmarkStart w:id="773" w:name="_Toc297048342"/>
      <w:bookmarkStart w:id="774" w:name="_Toc296944495"/>
      <w:bookmarkStart w:id="775" w:name="_Toc296890984"/>
      <w:bookmarkStart w:id="776" w:name="_Toc296346657"/>
      <w:bookmarkStart w:id="777" w:name="_Toc297120456"/>
      <w:bookmarkStart w:id="778" w:name="_Toc296347155"/>
      <w:bookmarkStart w:id="779" w:name="_Toc292559866"/>
      <w:r>
        <w:rPr>
          <w:rFonts w:hint="eastAsia" w:ascii="仿宋" w:hAnsi="仿宋" w:eastAsia="仿宋" w:cs="仿宋"/>
          <w:color w:val="auto"/>
          <w:sz w:val="24"/>
          <w:szCs w:val="24"/>
        </w:rPr>
        <w:t>. 一般约定</w:t>
      </w:r>
    </w:p>
    <w:bookmarkEnd w:id="770"/>
    <w:bookmarkEnd w:id="771"/>
    <w:bookmarkEnd w:id="772"/>
    <w:bookmarkEnd w:id="773"/>
    <w:bookmarkEnd w:id="774"/>
    <w:bookmarkEnd w:id="775"/>
    <w:bookmarkEnd w:id="776"/>
    <w:bookmarkEnd w:id="777"/>
    <w:bookmarkEnd w:id="778"/>
    <w:bookmarkEnd w:id="779"/>
    <w:p w14:paraId="3F5373A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 词语定义</w:t>
      </w:r>
    </w:p>
    <w:p w14:paraId="350E943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1.1.1合同</w:t>
      </w:r>
    </w:p>
    <w:p w14:paraId="2C2250B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1.1.1.10其他合同文件包括：</w:t>
      </w:r>
      <w:r>
        <w:rPr>
          <w:rFonts w:hint="eastAsia" w:ascii="仿宋" w:hAnsi="仿宋" w:eastAsia="仿宋" w:cs="仿宋"/>
          <w:color w:val="auto"/>
          <w:sz w:val="24"/>
          <w:szCs w:val="24"/>
          <w:u w:val="single"/>
        </w:rPr>
        <w:t>施工组织设计、招标文件（含澄清文件、暂列金、暂估价）、洽谈记录、会议纪要、图纸会审记录、发</w:t>
      </w:r>
      <w:r>
        <w:rPr>
          <w:rFonts w:hint="eastAsia" w:ascii="仿宋" w:hAnsi="仿宋" w:eastAsia="仿宋" w:cs="仿宋"/>
          <w:color w:val="auto"/>
          <w:sz w:val="24"/>
          <w:szCs w:val="24"/>
          <w:u w:val="single"/>
          <w:lang w:val="en-US" w:eastAsia="zh-CN"/>
        </w:rPr>
        <w:t>包</w:t>
      </w:r>
      <w:r>
        <w:rPr>
          <w:rFonts w:hint="eastAsia" w:ascii="仿宋" w:hAnsi="仿宋" w:eastAsia="仿宋" w:cs="仿宋"/>
          <w:color w:val="auto"/>
          <w:sz w:val="24"/>
          <w:szCs w:val="24"/>
          <w:u w:val="single"/>
        </w:rPr>
        <w:t xml:space="preserve">人相关制度、廉政协议等。 </w:t>
      </w:r>
      <w:r>
        <w:rPr>
          <w:rFonts w:hint="eastAsia" w:ascii="仿宋" w:hAnsi="仿宋" w:eastAsia="仿宋" w:cs="仿宋"/>
          <w:color w:val="auto"/>
          <w:sz w:val="24"/>
          <w:szCs w:val="24"/>
        </w:rPr>
        <w:t>。</w:t>
      </w:r>
    </w:p>
    <w:p w14:paraId="484B2D2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1.1.2 合同当事人及其他相关方</w:t>
      </w:r>
    </w:p>
    <w:p w14:paraId="6100062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1.1.2.4监理人：</w:t>
      </w:r>
    </w:p>
    <w:p w14:paraId="79FC3E6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名    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w:t>
      </w:r>
    </w:p>
    <w:p w14:paraId="16E44A5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资质类别和等级：</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   </w:t>
      </w:r>
      <w:r>
        <w:rPr>
          <w:rFonts w:hint="eastAsia" w:ascii="仿宋" w:hAnsi="仿宋" w:eastAsia="仿宋" w:cs="仿宋"/>
          <w:color w:val="auto"/>
          <w:sz w:val="24"/>
          <w:szCs w:val="24"/>
        </w:rPr>
        <w:t>；</w:t>
      </w:r>
    </w:p>
    <w:p w14:paraId="31B0ABF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w:t>
      </w:r>
    </w:p>
    <w:p w14:paraId="1CF147F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电子信箱：</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4FCF32D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通信地址：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5E83E00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1.1.2.5 设计人：</w:t>
      </w:r>
    </w:p>
    <w:p w14:paraId="1D4C536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名    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w:t>
      </w:r>
    </w:p>
    <w:p w14:paraId="69BD2B6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资质类别和等级：</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w:t>
      </w:r>
    </w:p>
    <w:p w14:paraId="057839D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w:t>
      </w:r>
    </w:p>
    <w:p w14:paraId="0EEF92F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电子信箱：</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w:t>
      </w:r>
    </w:p>
    <w:p w14:paraId="20F6BCD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通信地址：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6A5A9CB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1.1.3 工程和设备</w:t>
      </w:r>
    </w:p>
    <w:p w14:paraId="0D682BA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1.1.3.7 作为施工现场组成部分的其他场所包括：</w:t>
      </w:r>
      <w:r>
        <w:rPr>
          <w:rFonts w:hint="eastAsia" w:ascii="仿宋" w:hAnsi="仿宋" w:eastAsia="仿宋" w:cs="仿宋"/>
          <w:color w:val="auto"/>
          <w:sz w:val="24"/>
          <w:szCs w:val="24"/>
          <w:u w:val="single"/>
        </w:rPr>
        <w:t xml:space="preserve"> 生活、办公等临时设施及设备、材料加工、堆放场地 </w:t>
      </w:r>
      <w:r>
        <w:rPr>
          <w:rFonts w:hint="eastAsia" w:ascii="仿宋" w:hAnsi="仿宋" w:eastAsia="仿宋" w:cs="仿宋"/>
          <w:color w:val="auto"/>
          <w:sz w:val="24"/>
          <w:szCs w:val="24"/>
        </w:rPr>
        <w:t>。</w:t>
      </w:r>
    </w:p>
    <w:p w14:paraId="5D73546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1.1.3.9 永久占地包括：</w:t>
      </w:r>
      <w:r>
        <w:rPr>
          <w:rFonts w:hint="eastAsia" w:ascii="仿宋" w:hAnsi="仿宋" w:eastAsia="仿宋" w:cs="仿宋"/>
          <w:color w:val="auto"/>
          <w:sz w:val="24"/>
          <w:szCs w:val="24"/>
          <w:u w:val="single"/>
        </w:rPr>
        <w:t xml:space="preserve">        见规划红线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kern w:val="0"/>
          <w:sz w:val="24"/>
          <w:szCs w:val="24"/>
        </w:rPr>
        <w:t>。</w:t>
      </w:r>
    </w:p>
    <w:p w14:paraId="59490ED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1.1.3.10 临时占地包括：</w:t>
      </w:r>
      <w:r>
        <w:rPr>
          <w:rFonts w:hint="eastAsia" w:ascii="仿宋" w:hAnsi="仿宋" w:eastAsia="仿宋" w:cs="仿宋"/>
          <w:color w:val="auto"/>
          <w:sz w:val="24"/>
          <w:szCs w:val="24"/>
          <w:u w:val="single"/>
        </w:rPr>
        <w:t xml:space="preserve"> 生活、办公等临时设施及设备、材料加工，堆放场地</w:t>
      </w:r>
      <w:r>
        <w:rPr>
          <w:rFonts w:hint="eastAsia" w:ascii="仿宋" w:hAnsi="仿宋" w:eastAsia="仿宋" w:cs="仿宋"/>
          <w:color w:val="auto"/>
          <w:kern w:val="0"/>
          <w:sz w:val="24"/>
          <w:szCs w:val="24"/>
        </w:rPr>
        <w:t>。</w:t>
      </w:r>
    </w:p>
    <w:p w14:paraId="0B5C1A3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1.3法律 </w:t>
      </w:r>
    </w:p>
    <w:p w14:paraId="6F01B8C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适用于合同的其他规范性文件：</w:t>
      </w:r>
      <w:r>
        <w:rPr>
          <w:rFonts w:hint="eastAsia" w:ascii="仿宋" w:hAnsi="仿宋" w:eastAsia="仿宋" w:cs="仿宋"/>
          <w:color w:val="auto"/>
          <w:sz w:val="24"/>
          <w:szCs w:val="24"/>
          <w:u w:val="single"/>
        </w:rPr>
        <w:t xml:space="preserve">执行通用条款       </w:t>
      </w:r>
      <w:r>
        <w:rPr>
          <w:rFonts w:hint="eastAsia" w:ascii="仿宋" w:hAnsi="仿宋" w:eastAsia="仿宋" w:cs="仿宋"/>
          <w:color w:val="auto"/>
          <w:sz w:val="24"/>
          <w:szCs w:val="24"/>
        </w:rPr>
        <w:t>。</w:t>
      </w:r>
    </w:p>
    <w:p w14:paraId="1D3C371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 标准和规范</w:t>
      </w:r>
    </w:p>
    <w:p w14:paraId="43130F3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1.4.1适用于工程的标准规范包括：</w:t>
      </w:r>
      <w:r>
        <w:rPr>
          <w:rFonts w:hint="eastAsia" w:ascii="仿宋" w:hAnsi="仿宋" w:eastAsia="仿宋" w:cs="仿宋"/>
          <w:color w:val="auto"/>
          <w:sz w:val="24"/>
          <w:szCs w:val="24"/>
          <w:u w:val="single"/>
        </w:rPr>
        <w:t>执行建筑、市政等工程国家、自治区、州、市现行施工及验收规范标准以及材料设备所涉及的现行国家，省，市或行业的工程建设标准</w:t>
      </w:r>
      <w:r>
        <w:rPr>
          <w:rFonts w:hint="eastAsia" w:ascii="仿宋" w:hAnsi="仿宋" w:eastAsia="仿宋" w:cs="仿宋"/>
          <w:color w:val="auto"/>
          <w:sz w:val="24"/>
          <w:szCs w:val="24"/>
        </w:rPr>
        <w:t>。</w:t>
      </w:r>
    </w:p>
    <w:p w14:paraId="0B7BF22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1.4.2 发包人提供国外标准、规范的名称：</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4EDC800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发包人提供国外标准、规范的份数：</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431BFB8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发包人提供国外标准、规范的名称：</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3DADABA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1.4.3发包人对工程的技术标准和功能要求的特殊要求：</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1160CA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 合同文件的优先顺序</w:t>
      </w:r>
    </w:p>
    <w:p w14:paraId="4DF72C4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合同文件组成及优先顺序为：</w:t>
      </w:r>
      <w:r>
        <w:rPr>
          <w:rFonts w:hint="eastAsia" w:ascii="仿宋" w:hAnsi="仿宋" w:eastAsia="仿宋" w:cs="仿宋"/>
          <w:color w:val="auto"/>
          <w:sz w:val="24"/>
          <w:szCs w:val="24"/>
          <w:u w:val="single"/>
        </w:rPr>
        <w:t>执行通用条款  </w:t>
      </w:r>
      <w:r>
        <w:rPr>
          <w:rFonts w:hint="eastAsia" w:ascii="仿宋" w:hAnsi="仿宋" w:eastAsia="仿宋" w:cs="仿宋"/>
          <w:color w:val="auto"/>
          <w:sz w:val="24"/>
          <w:szCs w:val="24"/>
        </w:rPr>
        <w:t>。</w:t>
      </w:r>
    </w:p>
    <w:p w14:paraId="5022A26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 图纸和承包人文件</w:t>
      </w:r>
      <w:r>
        <w:rPr>
          <w:rFonts w:hint="eastAsia" w:ascii="仿宋" w:hAnsi="仿宋" w:eastAsia="仿宋" w:cs="仿宋"/>
          <w:color w:val="auto"/>
          <w:sz w:val="24"/>
          <w:szCs w:val="24"/>
        </w:rPr>
        <w:tab/>
      </w:r>
    </w:p>
    <w:p w14:paraId="6C2994D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1.6.1 图纸的提供</w:t>
      </w:r>
    </w:p>
    <w:p w14:paraId="4BE3FA1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发包人向承包人提供图纸的期限：</w:t>
      </w:r>
      <w:r>
        <w:rPr>
          <w:rFonts w:hint="eastAsia" w:ascii="仿宋" w:hAnsi="仿宋" w:eastAsia="仿宋" w:cs="仿宋"/>
          <w:color w:val="auto"/>
          <w:sz w:val="24"/>
          <w:szCs w:val="24"/>
          <w:u w:val="single"/>
        </w:rPr>
        <w:t>合同签订后七日内提供</w:t>
      </w:r>
      <w:r>
        <w:rPr>
          <w:rFonts w:hint="eastAsia" w:ascii="仿宋" w:hAnsi="仿宋" w:eastAsia="仿宋" w:cs="仿宋"/>
          <w:color w:val="auto"/>
          <w:sz w:val="24"/>
          <w:szCs w:val="24"/>
          <w:u w:val="single"/>
          <w:lang w:val="en-US" w:eastAsia="zh-CN"/>
        </w:rPr>
        <w:t>经供电部门</w:t>
      </w:r>
      <w:r>
        <w:rPr>
          <w:rFonts w:hint="eastAsia" w:ascii="仿宋" w:hAnsi="仿宋" w:eastAsia="仿宋" w:cs="仿宋"/>
          <w:color w:val="auto"/>
          <w:sz w:val="24"/>
          <w:szCs w:val="24"/>
          <w:u w:val="single"/>
        </w:rPr>
        <w:t>审查合格的施工图</w:t>
      </w:r>
      <w:r>
        <w:rPr>
          <w:rFonts w:hint="eastAsia" w:ascii="仿宋" w:hAnsi="仿宋" w:eastAsia="仿宋" w:cs="仿宋"/>
          <w:color w:val="auto"/>
          <w:sz w:val="24"/>
          <w:szCs w:val="24"/>
        </w:rPr>
        <w:t>；</w:t>
      </w:r>
    </w:p>
    <w:p w14:paraId="5971986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发包人向承包人提供图纸的数量：</w:t>
      </w:r>
      <w:r>
        <w:rPr>
          <w:rFonts w:hint="eastAsia" w:ascii="仿宋" w:hAnsi="仿宋" w:eastAsia="仿宋" w:cs="仿宋"/>
          <w:color w:val="auto"/>
          <w:sz w:val="24"/>
          <w:szCs w:val="24"/>
          <w:u w:val="single"/>
        </w:rPr>
        <w:t>2 套   </w:t>
      </w:r>
      <w:r>
        <w:rPr>
          <w:rFonts w:hint="eastAsia" w:ascii="仿宋" w:hAnsi="仿宋" w:eastAsia="仿宋" w:cs="仿宋"/>
          <w:color w:val="auto"/>
          <w:sz w:val="24"/>
          <w:szCs w:val="24"/>
        </w:rPr>
        <w:t>；</w:t>
      </w:r>
    </w:p>
    <w:p w14:paraId="0C6C08C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发包人向承包人提供图纸的内容：</w:t>
      </w:r>
      <w:r>
        <w:rPr>
          <w:rFonts w:hint="eastAsia" w:ascii="仿宋" w:hAnsi="仿宋" w:eastAsia="仿宋" w:cs="仿宋"/>
          <w:color w:val="auto"/>
          <w:sz w:val="24"/>
          <w:szCs w:val="24"/>
          <w:u w:val="single"/>
        </w:rPr>
        <w:t>本合同发包内容中的全部图纸</w:t>
      </w:r>
      <w:r>
        <w:rPr>
          <w:rFonts w:hint="eastAsia" w:ascii="仿宋" w:hAnsi="仿宋" w:eastAsia="仿宋" w:cs="仿宋"/>
          <w:color w:val="auto"/>
          <w:sz w:val="24"/>
          <w:szCs w:val="24"/>
        </w:rPr>
        <w:t>。</w:t>
      </w:r>
    </w:p>
    <w:p w14:paraId="7DF046A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1.6.4 承包人文件</w:t>
      </w:r>
    </w:p>
    <w:p w14:paraId="1F2B3F0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需要由承包人提供的文件，包括：</w:t>
      </w:r>
      <w:r>
        <w:rPr>
          <w:rFonts w:hint="eastAsia" w:ascii="仿宋" w:hAnsi="仿宋" w:eastAsia="仿宋" w:cs="仿宋"/>
          <w:color w:val="auto"/>
          <w:sz w:val="24"/>
          <w:szCs w:val="24"/>
          <w:u w:val="single"/>
        </w:rPr>
        <w:t xml:space="preserve">开工前 3 日应提供完善的施工组织设计和安全专项方案，每月 25 日前提供下月完成工程量报表、月进度报表等 </w:t>
      </w:r>
      <w:r>
        <w:rPr>
          <w:rFonts w:hint="eastAsia" w:ascii="仿宋" w:hAnsi="仿宋" w:eastAsia="仿宋" w:cs="仿宋"/>
          <w:color w:val="auto"/>
          <w:sz w:val="24"/>
          <w:szCs w:val="24"/>
        </w:rPr>
        <w:t>；</w:t>
      </w:r>
    </w:p>
    <w:p w14:paraId="3C80B59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承包人提供的文件的期限为：</w:t>
      </w:r>
      <w:r>
        <w:rPr>
          <w:rFonts w:hint="eastAsia" w:ascii="仿宋" w:hAnsi="仿宋" w:eastAsia="仿宋" w:cs="仿宋"/>
          <w:color w:val="auto"/>
          <w:sz w:val="24"/>
          <w:szCs w:val="24"/>
          <w:u w:val="single"/>
        </w:rPr>
        <w:t>每月 25 日前  </w:t>
      </w:r>
      <w:r>
        <w:rPr>
          <w:rFonts w:hint="eastAsia" w:ascii="仿宋" w:hAnsi="仿宋" w:eastAsia="仿宋" w:cs="仿宋"/>
          <w:color w:val="auto"/>
          <w:sz w:val="24"/>
          <w:szCs w:val="24"/>
        </w:rPr>
        <w:t>；</w:t>
      </w:r>
    </w:p>
    <w:p w14:paraId="24A8D19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承包人提供的文件的数量为：</w:t>
      </w:r>
      <w:r>
        <w:rPr>
          <w:rFonts w:hint="eastAsia" w:ascii="仿宋" w:hAnsi="仿宋" w:eastAsia="仿宋" w:cs="仿宋"/>
          <w:color w:val="auto"/>
          <w:sz w:val="24"/>
          <w:szCs w:val="24"/>
          <w:u w:val="single"/>
        </w:rPr>
        <w:t>8 份      </w:t>
      </w:r>
      <w:r>
        <w:rPr>
          <w:rFonts w:hint="eastAsia" w:ascii="仿宋" w:hAnsi="仿宋" w:eastAsia="仿宋" w:cs="仿宋"/>
          <w:color w:val="auto"/>
          <w:sz w:val="24"/>
          <w:szCs w:val="24"/>
        </w:rPr>
        <w:t>；</w:t>
      </w:r>
    </w:p>
    <w:p w14:paraId="3B93C06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承包人提供的文件的形式为：</w:t>
      </w:r>
      <w:r>
        <w:rPr>
          <w:rFonts w:hint="eastAsia" w:ascii="仿宋" w:hAnsi="仿宋" w:eastAsia="仿宋" w:cs="仿宋"/>
          <w:color w:val="auto"/>
          <w:sz w:val="24"/>
          <w:szCs w:val="24"/>
          <w:u w:val="single"/>
        </w:rPr>
        <w:t>书面形式和电子文档</w:t>
      </w:r>
      <w:r>
        <w:rPr>
          <w:rFonts w:hint="eastAsia" w:ascii="仿宋" w:hAnsi="仿宋" w:eastAsia="仿宋" w:cs="仿宋"/>
          <w:color w:val="auto"/>
          <w:sz w:val="24"/>
          <w:szCs w:val="24"/>
        </w:rPr>
        <w:t>；</w:t>
      </w:r>
    </w:p>
    <w:p w14:paraId="1798033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发包人审批承包人文件的期限：</w:t>
      </w:r>
      <w:r>
        <w:rPr>
          <w:rFonts w:hint="eastAsia" w:ascii="仿宋" w:hAnsi="仿宋" w:eastAsia="仿宋" w:cs="仿宋"/>
          <w:color w:val="auto"/>
          <w:sz w:val="24"/>
          <w:szCs w:val="24"/>
          <w:u w:val="single"/>
        </w:rPr>
        <w:t>收到文件后 10 天内</w:t>
      </w:r>
      <w:r>
        <w:rPr>
          <w:rFonts w:hint="eastAsia" w:ascii="仿宋" w:hAnsi="仿宋" w:eastAsia="仿宋" w:cs="仿宋"/>
          <w:color w:val="auto"/>
          <w:sz w:val="24"/>
          <w:szCs w:val="24"/>
        </w:rPr>
        <w:t>。</w:t>
      </w:r>
    </w:p>
    <w:p w14:paraId="360EDC1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1.6.5 现场图纸准备</w:t>
      </w:r>
    </w:p>
    <w:p w14:paraId="028DB89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关于现场图纸准备的约定：</w:t>
      </w:r>
      <w:r>
        <w:rPr>
          <w:rFonts w:hint="eastAsia" w:ascii="仿宋" w:hAnsi="仿宋" w:eastAsia="仿宋" w:cs="仿宋"/>
          <w:color w:val="auto"/>
          <w:sz w:val="24"/>
          <w:szCs w:val="24"/>
          <w:u w:val="single"/>
        </w:rPr>
        <w:t>施工现场保留一套完整图纸供发包人、监理人及有关人员使用</w:t>
      </w:r>
      <w:r>
        <w:rPr>
          <w:rFonts w:hint="eastAsia" w:ascii="仿宋" w:hAnsi="仿宋" w:eastAsia="仿宋" w:cs="仿宋"/>
          <w:color w:val="auto"/>
          <w:sz w:val="24"/>
          <w:szCs w:val="24"/>
        </w:rPr>
        <w:t>。</w:t>
      </w:r>
    </w:p>
    <w:p w14:paraId="63A6CBF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1.7 联络</w:t>
      </w:r>
    </w:p>
    <w:p w14:paraId="255DC31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1.7.1发包人和承包人应当在</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天内将与合同有关的通知、批准、证明、证书、指示、指令、要求、请求、同意、意见、确定和决定等书面函件送达对方当事人。</w:t>
      </w:r>
    </w:p>
    <w:p w14:paraId="227F094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1.7.2 发包人接收文件的地点：</w:t>
      </w:r>
      <w:r>
        <w:rPr>
          <w:rFonts w:hint="eastAsia" w:ascii="仿宋" w:hAnsi="仿宋" w:eastAsia="仿宋" w:cs="仿宋"/>
          <w:color w:val="auto"/>
          <w:sz w:val="24"/>
          <w:szCs w:val="24"/>
          <w:u w:val="single"/>
        </w:rPr>
        <w:t>发包人办公场所</w:t>
      </w:r>
      <w:r>
        <w:rPr>
          <w:rFonts w:hint="eastAsia" w:ascii="仿宋" w:hAnsi="仿宋" w:eastAsia="仿宋" w:cs="仿宋"/>
          <w:color w:val="auto"/>
          <w:kern w:val="0"/>
          <w:sz w:val="24"/>
          <w:szCs w:val="24"/>
        </w:rPr>
        <w:t>；</w:t>
      </w:r>
    </w:p>
    <w:p w14:paraId="21C9A64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发包人指定的接收人为：</w:t>
      </w:r>
      <w:r>
        <w:rPr>
          <w:rFonts w:hint="eastAsia" w:ascii="仿宋" w:hAnsi="仿宋" w:eastAsia="仿宋" w:cs="仿宋"/>
          <w:color w:val="auto"/>
          <w:sz w:val="24"/>
          <w:szCs w:val="24"/>
          <w:u w:val="single"/>
        </w:rPr>
        <w:t>发包人代表        </w:t>
      </w:r>
      <w:r>
        <w:rPr>
          <w:rFonts w:hint="eastAsia" w:ascii="仿宋" w:hAnsi="仿宋" w:eastAsia="仿宋" w:cs="仿宋"/>
          <w:color w:val="auto"/>
          <w:kern w:val="0"/>
          <w:sz w:val="24"/>
          <w:szCs w:val="24"/>
        </w:rPr>
        <w:t>。</w:t>
      </w:r>
    </w:p>
    <w:p w14:paraId="5AEDBCF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承包人接收文件的地点：</w:t>
      </w:r>
      <w:r>
        <w:rPr>
          <w:rFonts w:hint="eastAsia" w:ascii="仿宋" w:hAnsi="仿宋" w:eastAsia="仿宋" w:cs="仿宋"/>
          <w:color w:val="auto"/>
          <w:sz w:val="24"/>
          <w:szCs w:val="24"/>
          <w:u w:val="single"/>
        </w:rPr>
        <w:t>项目所在地承包人项目部  </w:t>
      </w:r>
      <w:r>
        <w:rPr>
          <w:rFonts w:hint="eastAsia" w:ascii="仿宋" w:hAnsi="仿宋" w:eastAsia="仿宋" w:cs="仿宋"/>
          <w:color w:val="auto"/>
          <w:kern w:val="0"/>
          <w:sz w:val="24"/>
          <w:szCs w:val="24"/>
        </w:rPr>
        <w:t>；</w:t>
      </w:r>
    </w:p>
    <w:p w14:paraId="1CB8A7F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承包人指定的接收人为：</w:t>
      </w:r>
      <w:r>
        <w:rPr>
          <w:rFonts w:hint="eastAsia" w:ascii="仿宋" w:hAnsi="仿宋" w:eastAsia="仿宋" w:cs="仿宋"/>
          <w:color w:val="auto"/>
          <w:sz w:val="24"/>
          <w:szCs w:val="24"/>
          <w:u w:val="single"/>
        </w:rPr>
        <w:t> 项目经理          </w:t>
      </w:r>
      <w:r>
        <w:rPr>
          <w:rFonts w:hint="eastAsia" w:ascii="仿宋" w:hAnsi="仿宋" w:eastAsia="仿宋" w:cs="仿宋"/>
          <w:color w:val="auto"/>
          <w:kern w:val="0"/>
          <w:sz w:val="24"/>
          <w:szCs w:val="24"/>
        </w:rPr>
        <w:t>。</w:t>
      </w:r>
    </w:p>
    <w:p w14:paraId="17AA8F2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监理人接收文件的地点：</w:t>
      </w:r>
      <w:r>
        <w:rPr>
          <w:rFonts w:hint="eastAsia" w:ascii="仿宋" w:hAnsi="仿宋" w:eastAsia="仿宋" w:cs="仿宋"/>
          <w:color w:val="auto"/>
          <w:sz w:val="24"/>
          <w:szCs w:val="24"/>
          <w:u w:val="single"/>
        </w:rPr>
        <w:t>项目所在地监理人办公室   </w:t>
      </w:r>
      <w:r>
        <w:rPr>
          <w:rFonts w:hint="eastAsia" w:ascii="仿宋" w:hAnsi="仿宋" w:eastAsia="仿宋" w:cs="仿宋"/>
          <w:color w:val="auto"/>
          <w:kern w:val="0"/>
          <w:sz w:val="24"/>
          <w:szCs w:val="24"/>
        </w:rPr>
        <w:t>；</w:t>
      </w:r>
    </w:p>
    <w:p w14:paraId="633918D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监理人指定的接收人为：</w:t>
      </w:r>
      <w:r>
        <w:rPr>
          <w:rFonts w:hint="eastAsia" w:ascii="仿宋" w:hAnsi="仿宋" w:eastAsia="仿宋" w:cs="仿宋"/>
          <w:color w:val="auto"/>
          <w:sz w:val="24"/>
          <w:szCs w:val="24"/>
          <w:u w:val="single"/>
        </w:rPr>
        <w:t>总监理工程师     </w:t>
      </w:r>
      <w:r>
        <w:rPr>
          <w:rFonts w:hint="eastAsia" w:ascii="仿宋" w:hAnsi="仿宋" w:eastAsia="仿宋" w:cs="仿宋"/>
          <w:color w:val="auto"/>
          <w:kern w:val="0"/>
          <w:sz w:val="24"/>
          <w:szCs w:val="24"/>
        </w:rPr>
        <w:t>。</w:t>
      </w:r>
    </w:p>
    <w:p w14:paraId="0DB8EB5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1.10 交通运输</w:t>
      </w:r>
    </w:p>
    <w:p w14:paraId="338EDB5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Start w:id="780" w:name="_Toc312677986"/>
      <w:bookmarkStart w:id="781" w:name="_Toc318581155"/>
      <w:bookmarkStart w:id="782" w:name="_Toc303539100"/>
      <w:bookmarkStart w:id="783" w:name="_Toc304295521"/>
      <w:bookmarkStart w:id="784" w:name="_Toc300934943"/>
      <w:r>
        <w:rPr>
          <w:rFonts w:hint="eastAsia" w:ascii="仿宋" w:hAnsi="仿宋" w:eastAsia="仿宋" w:cs="仿宋"/>
          <w:color w:val="auto"/>
          <w:sz w:val="24"/>
          <w:szCs w:val="24"/>
        </w:rPr>
        <w:t>.10.1 出入现场的权利</w:t>
      </w:r>
    </w:p>
    <w:p w14:paraId="45796F6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关于出入现场的权利的约定：</w:t>
      </w:r>
      <w:r>
        <w:rPr>
          <w:rFonts w:hint="eastAsia" w:ascii="仿宋" w:hAnsi="仿宋" w:eastAsia="仿宋" w:cs="仿宋"/>
          <w:color w:val="auto"/>
          <w:sz w:val="24"/>
          <w:szCs w:val="24"/>
          <w:u w:val="single"/>
        </w:rPr>
        <w:t>根据施工需要，由承包方负责办理出入施工现场的相关手续、负责建设并承担相关费用</w:t>
      </w:r>
      <w:r>
        <w:rPr>
          <w:rFonts w:hint="eastAsia" w:ascii="仿宋" w:hAnsi="仿宋" w:eastAsia="仿宋" w:cs="仿宋"/>
          <w:color w:val="auto"/>
          <w:sz w:val="24"/>
          <w:szCs w:val="24"/>
        </w:rPr>
        <w:t>。</w:t>
      </w:r>
    </w:p>
    <w:bookmarkEnd w:id="780"/>
    <w:bookmarkEnd w:id="781"/>
    <w:bookmarkEnd w:id="782"/>
    <w:bookmarkEnd w:id="783"/>
    <w:bookmarkEnd w:id="784"/>
    <w:p w14:paraId="7C50BD2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Start w:id="785" w:name="_Toc303539101"/>
      <w:bookmarkStart w:id="786" w:name="_Toc300934944"/>
      <w:bookmarkStart w:id="787" w:name="_Toc318581156"/>
      <w:bookmarkStart w:id="788" w:name="_Toc312677987"/>
      <w:bookmarkStart w:id="789" w:name="_Toc304295522"/>
      <w:r>
        <w:rPr>
          <w:rFonts w:hint="eastAsia" w:ascii="仿宋" w:hAnsi="仿宋" w:eastAsia="仿宋" w:cs="仿宋"/>
          <w:color w:val="auto"/>
          <w:sz w:val="24"/>
          <w:szCs w:val="24"/>
        </w:rPr>
        <w:t>.10.3 场内交通</w:t>
      </w:r>
    </w:p>
    <w:p w14:paraId="65571C5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关于场外交通和场内交通的边界的约定：</w:t>
      </w:r>
      <w:r>
        <w:rPr>
          <w:rFonts w:hint="eastAsia" w:ascii="仿宋" w:hAnsi="仿宋" w:eastAsia="仿宋" w:cs="仿宋"/>
          <w:color w:val="auto"/>
          <w:sz w:val="24"/>
          <w:szCs w:val="24"/>
          <w:u w:val="single"/>
        </w:rPr>
        <w:t>以规划红线为边界</w:t>
      </w:r>
      <w:r>
        <w:rPr>
          <w:rFonts w:hint="eastAsia" w:ascii="仿宋" w:hAnsi="仿宋" w:eastAsia="仿宋" w:cs="仿宋"/>
          <w:color w:val="auto"/>
          <w:sz w:val="24"/>
          <w:szCs w:val="24"/>
        </w:rPr>
        <w:t>。</w:t>
      </w:r>
    </w:p>
    <w:p w14:paraId="409BE39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关于发包人向承包人免费提供满足工程施工需要的场内道路和交通设施的约定：</w:t>
      </w:r>
      <w:r>
        <w:rPr>
          <w:rFonts w:hint="eastAsia" w:ascii="仿宋" w:hAnsi="仿宋" w:eastAsia="仿宋" w:cs="仿宋"/>
          <w:color w:val="auto"/>
          <w:sz w:val="24"/>
          <w:szCs w:val="24"/>
          <w:u w:val="single"/>
        </w:rPr>
        <w:t>发包方协助，承包方办理并承担相应费用</w:t>
      </w:r>
      <w:r>
        <w:rPr>
          <w:rFonts w:hint="eastAsia" w:ascii="仿宋" w:hAnsi="仿宋" w:eastAsia="仿宋" w:cs="仿宋"/>
          <w:color w:val="auto"/>
          <w:sz w:val="24"/>
          <w:szCs w:val="24"/>
        </w:rPr>
        <w:t>。</w:t>
      </w:r>
      <w:bookmarkEnd w:id="785"/>
      <w:bookmarkEnd w:id="786"/>
      <w:bookmarkEnd w:id="787"/>
      <w:bookmarkEnd w:id="788"/>
      <w:bookmarkEnd w:id="789"/>
      <w:r>
        <w:rPr>
          <w:rFonts w:hint="eastAsia" w:ascii="仿宋" w:hAnsi="仿宋" w:eastAsia="仿宋" w:cs="仿宋"/>
          <w:color w:val="auto"/>
          <w:sz w:val="24"/>
          <w:szCs w:val="24"/>
        </w:rPr>
        <w:t xml:space="preserve">  </w:t>
      </w:r>
      <w:bookmarkStart w:id="790" w:name="_Toc318581157"/>
    </w:p>
    <w:p w14:paraId="41C4822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1.10.4超大件和超重件的运输</w:t>
      </w:r>
    </w:p>
    <w:p w14:paraId="6FB2DA0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运输超大件或超重件所需的道路和桥梁临时加固改造费用和其他有关费用由</w:t>
      </w:r>
      <w:r>
        <w:rPr>
          <w:rFonts w:hint="eastAsia" w:ascii="仿宋" w:hAnsi="仿宋" w:eastAsia="仿宋" w:cs="仿宋"/>
          <w:color w:val="auto"/>
          <w:sz w:val="24"/>
          <w:szCs w:val="24"/>
          <w:u w:val="single"/>
        </w:rPr>
        <w:t xml:space="preserve">    承包人   </w:t>
      </w:r>
      <w:r>
        <w:rPr>
          <w:rFonts w:hint="eastAsia" w:ascii="仿宋" w:hAnsi="仿宋" w:eastAsia="仿宋" w:cs="仿宋"/>
          <w:color w:val="auto"/>
          <w:sz w:val="24"/>
          <w:szCs w:val="24"/>
        </w:rPr>
        <w:t>承担。</w:t>
      </w:r>
    </w:p>
    <w:bookmarkEnd w:id="790"/>
    <w:p w14:paraId="6EC6A3F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1.11 知识产权</w:t>
      </w:r>
    </w:p>
    <w:p w14:paraId="19FD5CB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1.11.1关于发包人提供给承包人的图纸、发包人为实施工程自行编制或委托编制的技术规范以及反映发包人关于合同要求或其他类似性质的文件的著作权的归属：</w:t>
      </w:r>
      <w:r>
        <w:rPr>
          <w:rFonts w:hint="eastAsia" w:ascii="仿宋" w:hAnsi="仿宋" w:eastAsia="仿宋" w:cs="仿宋"/>
          <w:color w:val="auto"/>
          <w:sz w:val="24"/>
          <w:szCs w:val="24"/>
          <w:u w:val="single"/>
        </w:rPr>
        <w:t xml:space="preserve">按通用条款执行     </w:t>
      </w:r>
      <w:r>
        <w:rPr>
          <w:rFonts w:hint="eastAsia" w:ascii="仿宋" w:hAnsi="仿宋" w:eastAsia="仿宋" w:cs="仿宋"/>
          <w:color w:val="auto"/>
          <w:sz w:val="24"/>
          <w:szCs w:val="24"/>
        </w:rPr>
        <w:t>。</w:t>
      </w:r>
    </w:p>
    <w:p w14:paraId="4DF8674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关于发包人提供的上述文件的使用限制的要求：</w:t>
      </w:r>
      <w:r>
        <w:rPr>
          <w:rFonts w:hint="eastAsia" w:ascii="仿宋" w:hAnsi="仿宋" w:eastAsia="仿宋" w:cs="仿宋"/>
          <w:color w:val="auto"/>
          <w:sz w:val="24"/>
          <w:szCs w:val="24"/>
          <w:u w:val="single"/>
        </w:rPr>
        <w:t xml:space="preserve">按通用条款执行    </w:t>
      </w:r>
      <w:r>
        <w:rPr>
          <w:rFonts w:hint="eastAsia" w:ascii="仿宋" w:hAnsi="仿宋" w:eastAsia="仿宋" w:cs="仿宋"/>
          <w:color w:val="auto"/>
          <w:sz w:val="24"/>
          <w:szCs w:val="24"/>
        </w:rPr>
        <w:t>。</w:t>
      </w:r>
    </w:p>
    <w:p w14:paraId="7C42B97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1.11.2 关于承包人为实施工程所编制文件的著作权的归属：</w:t>
      </w:r>
      <w:r>
        <w:rPr>
          <w:rFonts w:hint="eastAsia" w:ascii="仿宋" w:hAnsi="仿宋" w:eastAsia="仿宋" w:cs="仿宋"/>
          <w:color w:val="auto"/>
          <w:sz w:val="24"/>
          <w:szCs w:val="24"/>
          <w:u w:val="single"/>
        </w:rPr>
        <w:t xml:space="preserve">    </w:t>
      </w:r>
    </w:p>
    <w:p w14:paraId="34FA974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按通用条款执行 </w:t>
      </w:r>
      <w:r>
        <w:rPr>
          <w:rFonts w:hint="eastAsia" w:ascii="仿宋" w:hAnsi="仿宋" w:eastAsia="仿宋" w:cs="仿宋"/>
          <w:color w:val="auto"/>
          <w:sz w:val="24"/>
          <w:szCs w:val="24"/>
        </w:rPr>
        <w:t>。</w:t>
      </w:r>
    </w:p>
    <w:p w14:paraId="322BE98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关于承包人提供的上述文件的使用限制的要求：</w:t>
      </w:r>
      <w:r>
        <w:rPr>
          <w:rFonts w:hint="eastAsia" w:ascii="仿宋" w:hAnsi="仿宋" w:eastAsia="仿宋" w:cs="仿宋"/>
          <w:color w:val="auto"/>
          <w:sz w:val="24"/>
          <w:szCs w:val="24"/>
          <w:u w:val="single"/>
        </w:rPr>
        <w:t xml:space="preserve">按通用条款执行 </w:t>
      </w:r>
      <w:r>
        <w:rPr>
          <w:rFonts w:hint="eastAsia" w:ascii="仿宋" w:hAnsi="仿宋" w:eastAsia="仿宋" w:cs="仿宋"/>
          <w:color w:val="auto"/>
          <w:sz w:val="24"/>
          <w:szCs w:val="24"/>
        </w:rPr>
        <w:t>。</w:t>
      </w:r>
    </w:p>
    <w:p w14:paraId="2D231A2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1.11.4 承包人在施工过程中所采用的专利、专有技术、技术秘密的使用费的承担方式：</w:t>
      </w:r>
      <w:r>
        <w:rPr>
          <w:rFonts w:hint="eastAsia" w:ascii="仿宋" w:hAnsi="仿宋" w:eastAsia="仿宋" w:cs="仿宋"/>
          <w:color w:val="auto"/>
          <w:sz w:val="24"/>
          <w:szCs w:val="24"/>
          <w:u w:val="single"/>
        </w:rPr>
        <w:t xml:space="preserve">包含在合同价中     </w:t>
      </w:r>
      <w:r>
        <w:rPr>
          <w:rFonts w:hint="eastAsia" w:ascii="仿宋" w:hAnsi="仿宋" w:eastAsia="仿宋" w:cs="仿宋"/>
          <w:color w:val="auto"/>
          <w:kern w:val="0"/>
          <w:sz w:val="24"/>
          <w:szCs w:val="24"/>
        </w:rPr>
        <w:t>。</w:t>
      </w:r>
    </w:p>
    <w:p w14:paraId="4525574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1.13工程量清单错误的修正</w:t>
      </w:r>
    </w:p>
    <w:p w14:paraId="52C6998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出现工程量清单错误时，是否调整合同价格：</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是</w:t>
      </w:r>
      <w:r>
        <w:rPr>
          <w:rFonts w:hint="eastAsia" w:ascii="仿宋" w:hAnsi="仿宋" w:eastAsia="仿宋" w:cs="仿宋"/>
          <w:color w:val="auto"/>
          <w:sz w:val="24"/>
          <w:szCs w:val="24"/>
          <w:u w:val="single"/>
        </w:rPr>
        <w:t xml:space="preserve">     </w:t>
      </w:r>
      <w:r>
        <w:rPr>
          <w:rFonts w:hint="eastAsia" w:ascii="仿宋" w:hAnsi="仿宋" w:eastAsia="仿宋" w:cs="仿宋"/>
          <w:color w:val="auto"/>
          <w:kern w:val="0"/>
          <w:sz w:val="24"/>
          <w:szCs w:val="24"/>
        </w:rPr>
        <w:t>。</w:t>
      </w:r>
    </w:p>
    <w:p w14:paraId="2834210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允许调整合同价格的工程量偏差范围：</w:t>
      </w:r>
      <w:r>
        <w:rPr>
          <w:rFonts w:hint="eastAsia" w:ascii="仿宋" w:hAnsi="仿宋" w:eastAsia="仿宋" w:cs="仿宋"/>
          <w:color w:val="auto"/>
          <w:sz w:val="24"/>
          <w:szCs w:val="24"/>
          <w:u w:val="single"/>
        </w:rPr>
        <w:t xml:space="preserve">当工程量清单项目工程量的变化幅度在±15%（含 15%）以内时，其综合单价不做调整，执行原有综合单价。当工程量清单项目工程量的变化幅度在±15%以外时，其综合单价调整方法为：工程量偏差+15%以上的部分原综合单价下浮 10%；工程量偏差-15%以下部分，减少后剩余部分执行原综合单价。当清单出现漏项项目，漏项造价超出投标总价（不含暂列金额）的 5%时，5%以内（含 5%）按当地预算定额进行结算。超出 5%部分按当地预算定额取费后下浮 10%结算。当确认变更的费用发生争议时，施工方不得以该争议作为怠工、停工等的理由，必须正常施工  </w:t>
      </w:r>
      <w:r>
        <w:rPr>
          <w:rFonts w:hint="eastAsia" w:ascii="仿宋" w:hAnsi="仿宋" w:eastAsia="仿宋" w:cs="仿宋"/>
          <w:color w:val="auto"/>
          <w:kern w:val="0"/>
          <w:sz w:val="24"/>
          <w:szCs w:val="24"/>
        </w:rPr>
        <w:t>。</w:t>
      </w:r>
    </w:p>
    <w:p w14:paraId="029FEB76">
      <w:pPr>
        <w:pStyle w:val="5"/>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color w:val="auto"/>
          <w:sz w:val="24"/>
          <w:szCs w:val="24"/>
        </w:rPr>
      </w:pPr>
      <w:bookmarkStart w:id="791" w:name="_Toc351203634"/>
      <w:r>
        <w:rPr>
          <w:rFonts w:hint="eastAsia" w:ascii="仿宋" w:hAnsi="仿宋" w:eastAsia="仿宋" w:cs="仿宋"/>
          <w:color w:val="auto"/>
          <w:sz w:val="24"/>
          <w:szCs w:val="24"/>
        </w:rPr>
        <w:t>2</w:t>
      </w:r>
      <w:bookmarkStart w:id="792" w:name="_Toc296891197"/>
      <w:bookmarkStart w:id="793" w:name="_Toc296503157"/>
      <w:bookmarkStart w:id="794" w:name="_Toc296346658"/>
      <w:bookmarkStart w:id="795" w:name="_Toc297120457"/>
      <w:bookmarkStart w:id="796" w:name="_Toc292559867"/>
      <w:bookmarkStart w:id="797" w:name="_Toc297048343"/>
      <w:bookmarkStart w:id="798" w:name="_Toc296944496"/>
      <w:bookmarkStart w:id="799" w:name="_Toc296890985"/>
      <w:bookmarkStart w:id="800" w:name="_Toc292559362"/>
      <w:bookmarkStart w:id="801" w:name="_Toc296347156"/>
      <w:r>
        <w:rPr>
          <w:rFonts w:hint="eastAsia" w:ascii="仿宋" w:hAnsi="仿宋" w:eastAsia="仿宋" w:cs="仿宋"/>
          <w:color w:val="auto"/>
          <w:sz w:val="24"/>
          <w:szCs w:val="24"/>
        </w:rPr>
        <w:t>. 发包人</w:t>
      </w:r>
      <w:bookmarkEnd w:id="791"/>
    </w:p>
    <w:bookmarkEnd w:id="792"/>
    <w:bookmarkEnd w:id="793"/>
    <w:bookmarkEnd w:id="794"/>
    <w:bookmarkEnd w:id="795"/>
    <w:bookmarkEnd w:id="796"/>
    <w:bookmarkEnd w:id="797"/>
    <w:bookmarkEnd w:id="798"/>
    <w:bookmarkEnd w:id="799"/>
    <w:bookmarkEnd w:id="800"/>
    <w:bookmarkEnd w:id="801"/>
    <w:p w14:paraId="36E3421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2.2 发包人代表</w:t>
      </w:r>
    </w:p>
    <w:p w14:paraId="52767F3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发包人代表：</w:t>
      </w:r>
    </w:p>
    <w:p w14:paraId="4249E21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姓    名：</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10ECE54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身份证号：</w:t>
      </w:r>
      <w:r>
        <w:rPr>
          <w:rFonts w:hint="eastAsia" w:ascii="仿宋" w:hAnsi="仿宋" w:eastAsia="仿宋" w:cs="仿宋"/>
          <w:color w:val="auto"/>
          <w:sz w:val="24"/>
          <w:szCs w:val="24"/>
          <w:u w:val="single"/>
        </w:rPr>
        <w:t>      </w:t>
      </w:r>
      <w:r>
        <w:rPr>
          <w:rFonts w:hint="eastAsia" w:ascii="仿宋" w:hAnsi="仿宋" w:eastAsia="仿宋" w:cs="仿宋"/>
          <w:color w:val="auto"/>
          <w:sz w:val="24"/>
          <w:szCs w:val="24"/>
        </w:rPr>
        <w:t>；</w:t>
      </w:r>
    </w:p>
    <w:p w14:paraId="111667B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职    务：</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442F66A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single"/>
        </w:rPr>
        <w:t>     </w:t>
      </w:r>
      <w:r>
        <w:rPr>
          <w:rFonts w:hint="eastAsia" w:ascii="仿宋" w:hAnsi="仿宋" w:eastAsia="仿宋" w:cs="仿宋"/>
          <w:color w:val="auto"/>
          <w:sz w:val="24"/>
          <w:szCs w:val="24"/>
        </w:rPr>
        <w:t>；</w:t>
      </w:r>
    </w:p>
    <w:p w14:paraId="41A9B28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电子信箱：</w:t>
      </w:r>
      <w:r>
        <w:rPr>
          <w:rFonts w:hint="eastAsia" w:ascii="仿宋" w:hAnsi="仿宋" w:eastAsia="仿宋" w:cs="仿宋"/>
          <w:color w:val="auto"/>
          <w:sz w:val="24"/>
          <w:szCs w:val="24"/>
          <w:u w:val="single"/>
        </w:rPr>
        <w:t>     </w:t>
      </w:r>
      <w:r>
        <w:rPr>
          <w:rFonts w:hint="eastAsia" w:ascii="仿宋" w:hAnsi="仿宋" w:eastAsia="仿宋" w:cs="仿宋"/>
          <w:color w:val="auto"/>
          <w:sz w:val="24"/>
          <w:szCs w:val="24"/>
        </w:rPr>
        <w:t>；</w:t>
      </w:r>
    </w:p>
    <w:p w14:paraId="177B03B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通信地址：</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3BA575C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b/>
          <w:color w:val="auto"/>
          <w:sz w:val="24"/>
          <w:szCs w:val="24"/>
        </w:rPr>
      </w:pPr>
      <w:r>
        <w:rPr>
          <w:rFonts w:hint="eastAsia" w:ascii="仿宋" w:hAnsi="仿宋" w:eastAsia="仿宋" w:cs="仿宋"/>
          <w:color w:val="auto"/>
          <w:sz w:val="24"/>
          <w:szCs w:val="24"/>
        </w:rPr>
        <w:t>发包人对发包人代表的授权范围如下：</w:t>
      </w:r>
      <w:r>
        <w:rPr>
          <w:rFonts w:hint="eastAsia" w:ascii="仿宋" w:hAnsi="仿宋" w:eastAsia="仿宋" w:cs="仿宋"/>
          <w:color w:val="auto"/>
          <w:sz w:val="24"/>
          <w:szCs w:val="24"/>
          <w:u w:val="single"/>
        </w:rPr>
        <w:t xml:space="preserve">协调各部门工作，施工现场全过程的质量、进度、安全、投资等进行全面协调管理   </w:t>
      </w:r>
      <w:r>
        <w:rPr>
          <w:rFonts w:hint="eastAsia" w:ascii="仿宋" w:hAnsi="仿宋" w:eastAsia="仿宋" w:cs="仿宋"/>
          <w:color w:val="auto"/>
          <w:sz w:val="24"/>
          <w:szCs w:val="24"/>
        </w:rPr>
        <w:t>。</w:t>
      </w:r>
    </w:p>
    <w:p w14:paraId="2ACFDFA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2.4 施工现场、施工条件和基础资料的提供</w:t>
      </w:r>
    </w:p>
    <w:p w14:paraId="3130B38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2.4.1 提供施工现场</w:t>
      </w:r>
    </w:p>
    <w:p w14:paraId="050EC87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关于发包人移交施工现场的期限要求：</w:t>
      </w:r>
      <w:r>
        <w:rPr>
          <w:rFonts w:hint="eastAsia" w:ascii="仿宋" w:hAnsi="仿宋" w:eastAsia="仿宋" w:cs="仿宋"/>
          <w:color w:val="auto"/>
          <w:sz w:val="24"/>
          <w:szCs w:val="24"/>
          <w:u w:val="single"/>
        </w:rPr>
        <w:t xml:space="preserve">开工前七天  </w:t>
      </w:r>
      <w:r>
        <w:rPr>
          <w:rFonts w:hint="eastAsia" w:ascii="仿宋" w:hAnsi="仿宋" w:eastAsia="仿宋" w:cs="仿宋"/>
          <w:color w:val="auto"/>
          <w:sz w:val="24"/>
          <w:szCs w:val="24"/>
        </w:rPr>
        <w:t>。</w:t>
      </w:r>
    </w:p>
    <w:p w14:paraId="00FD500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2.4.2 提供施工条件</w:t>
      </w:r>
    </w:p>
    <w:p w14:paraId="2A0DC5C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关于发包人应负责提供施工所需要的条件，包括：</w:t>
      </w:r>
      <w:r>
        <w:rPr>
          <w:rFonts w:hint="eastAsia" w:ascii="仿宋" w:hAnsi="仿宋" w:eastAsia="仿宋" w:cs="仿宋"/>
          <w:color w:val="auto"/>
          <w:sz w:val="24"/>
          <w:szCs w:val="24"/>
          <w:u w:val="single"/>
        </w:rPr>
        <w:t xml:space="preserve"> 发包人协调，承包人完成，费用包含在合同价中   </w:t>
      </w:r>
      <w:r>
        <w:rPr>
          <w:rFonts w:hint="eastAsia" w:ascii="仿宋" w:hAnsi="仿宋" w:eastAsia="仿宋" w:cs="仿宋"/>
          <w:color w:val="auto"/>
          <w:sz w:val="24"/>
          <w:szCs w:val="24"/>
        </w:rPr>
        <w:t>。</w:t>
      </w:r>
    </w:p>
    <w:p w14:paraId="0D2C110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2.5 资金来源证明及支付担保</w:t>
      </w:r>
    </w:p>
    <w:p w14:paraId="73C9C44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发包人提供资金来源证明的期限要求：</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704DAB5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发包人是否提供支付担保：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w:t>
      </w:r>
    </w:p>
    <w:p w14:paraId="1257E29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发包人提供支付担保的形式：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7AAE495">
      <w:pPr>
        <w:pStyle w:val="5"/>
        <w:pageBreakBefore w:val="0"/>
        <w:widowControl w:val="0"/>
        <w:kinsoku/>
        <w:wordWrap/>
        <w:overflowPunct/>
        <w:topLinePunct w:val="0"/>
        <w:bidi w:val="0"/>
        <w:spacing w:line="440" w:lineRule="exact"/>
        <w:ind w:firstLine="482" w:firstLineChars="200"/>
        <w:textAlignment w:val="auto"/>
        <w:rPr>
          <w:rFonts w:hint="eastAsia" w:ascii="仿宋" w:hAnsi="仿宋" w:eastAsia="仿宋" w:cs="仿宋"/>
          <w:color w:val="auto"/>
          <w:sz w:val="24"/>
          <w:szCs w:val="24"/>
        </w:rPr>
      </w:pPr>
      <w:bookmarkStart w:id="802" w:name="_Toc351203635"/>
      <w:r>
        <w:rPr>
          <w:rFonts w:hint="eastAsia" w:ascii="仿宋" w:hAnsi="仿宋" w:eastAsia="仿宋" w:cs="仿宋"/>
          <w:color w:val="auto"/>
          <w:sz w:val="24"/>
          <w:szCs w:val="24"/>
        </w:rPr>
        <w:t>3</w:t>
      </w:r>
      <w:bookmarkStart w:id="803" w:name="_Toc292559868"/>
      <w:bookmarkStart w:id="804" w:name="_Toc296891198"/>
      <w:bookmarkStart w:id="805" w:name="_Toc296503158"/>
      <w:bookmarkStart w:id="806" w:name="_Toc296347157"/>
      <w:bookmarkStart w:id="807" w:name="_Toc297048344"/>
      <w:bookmarkStart w:id="808" w:name="_Toc297120458"/>
      <w:bookmarkStart w:id="809" w:name="_Toc296890986"/>
      <w:bookmarkStart w:id="810" w:name="_Toc292559363"/>
      <w:bookmarkStart w:id="811" w:name="_Toc296944497"/>
      <w:bookmarkStart w:id="812" w:name="_Toc296346659"/>
      <w:r>
        <w:rPr>
          <w:rFonts w:hint="eastAsia" w:ascii="仿宋" w:hAnsi="仿宋" w:eastAsia="仿宋" w:cs="仿宋"/>
          <w:color w:val="auto"/>
          <w:sz w:val="24"/>
          <w:szCs w:val="24"/>
        </w:rPr>
        <w:t>. 承包人</w:t>
      </w:r>
      <w:bookmarkEnd w:id="802"/>
    </w:p>
    <w:bookmarkEnd w:id="803"/>
    <w:bookmarkEnd w:id="804"/>
    <w:bookmarkEnd w:id="805"/>
    <w:bookmarkEnd w:id="806"/>
    <w:bookmarkEnd w:id="807"/>
    <w:bookmarkEnd w:id="808"/>
    <w:bookmarkEnd w:id="809"/>
    <w:bookmarkEnd w:id="810"/>
    <w:bookmarkEnd w:id="811"/>
    <w:bookmarkEnd w:id="812"/>
    <w:p w14:paraId="601A0BD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3.1 承包人的一般义务</w:t>
      </w:r>
    </w:p>
    <w:p w14:paraId="1A666B4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（9）</w:t>
      </w:r>
      <w:r>
        <w:rPr>
          <w:rFonts w:hint="eastAsia" w:ascii="仿宋" w:hAnsi="仿宋" w:eastAsia="仿宋" w:cs="仿宋"/>
          <w:color w:val="auto"/>
          <w:sz w:val="24"/>
          <w:szCs w:val="24"/>
        </w:rPr>
        <w:t>承包人提交的竣工资料的内容：</w:t>
      </w:r>
      <w:r>
        <w:rPr>
          <w:rFonts w:hint="eastAsia" w:ascii="仿宋" w:hAnsi="仿宋" w:eastAsia="仿宋" w:cs="仿宋"/>
          <w:color w:val="auto"/>
          <w:sz w:val="24"/>
          <w:szCs w:val="24"/>
          <w:u w:val="single"/>
        </w:rPr>
        <w:t xml:space="preserve">  符合城建档案馆要求  </w:t>
      </w:r>
      <w:r>
        <w:rPr>
          <w:rFonts w:hint="eastAsia" w:ascii="仿宋" w:hAnsi="仿宋" w:eastAsia="仿宋" w:cs="仿宋"/>
          <w:color w:val="auto"/>
          <w:sz w:val="24"/>
          <w:szCs w:val="24"/>
        </w:rPr>
        <w:t>。</w:t>
      </w:r>
    </w:p>
    <w:p w14:paraId="71D286A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承包人需要提交的竣工资料套数：</w:t>
      </w:r>
      <w:r>
        <w:rPr>
          <w:rFonts w:hint="eastAsia" w:ascii="仿宋" w:hAnsi="仿宋" w:eastAsia="仿宋" w:cs="仿宋"/>
          <w:color w:val="auto"/>
          <w:sz w:val="24"/>
          <w:szCs w:val="24"/>
          <w:u w:val="single"/>
        </w:rPr>
        <w:t xml:space="preserve">     原件八套          </w:t>
      </w:r>
      <w:r>
        <w:rPr>
          <w:rFonts w:hint="eastAsia" w:ascii="仿宋" w:hAnsi="仿宋" w:eastAsia="仿宋" w:cs="仿宋"/>
          <w:color w:val="auto"/>
          <w:sz w:val="24"/>
          <w:szCs w:val="24"/>
        </w:rPr>
        <w:t>。</w:t>
      </w:r>
    </w:p>
    <w:p w14:paraId="0DE945C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承包人提交的竣工资料的费用承担：</w:t>
      </w:r>
      <w:r>
        <w:rPr>
          <w:rFonts w:hint="eastAsia" w:ascii="仿宋" w:hAnsi="仿宋" w:eastAsia="仿宋" w:cs="仿宋"/>
          <w:color w:val="auto"/>
          <w:sz w:val="24"/>
          <w:szCs w:val="24"/>
          <w:u w:val="single"/>
        </w:rPr>
        <w:t xml:space="preserve">   由承包人承担       </w:t>
      </w:r>
      <w:r>
        <w:rPr>
          <w:rFonts w:hint="eastAsia" w:ascii="仿宋" w:hAnsi="仿宋" w:eastAsia="仿宋" w:cs="仿宋"/>
          <w:color w:val="auto"/>
          <w:sz w:val="24"/>
          <w:szCs w:val="24"/>
        </w:rPr>
        <w:t>。</w:t>
      </w:r>
    </w:p>
    <w:p w14:paraId="37E3E5F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承包人提交的竣工资料移交时间：</w:t>
      </w:r>
      <w:r>
        <w:rPr>
          <w:rFonts w:hint="eastAsia" w:ascii="仿宋" w:hAnsi="仿宋" w:eastAsia="仿宋" w:cs="仿宋"/>
          <w:color w:val="auto"/>
          <w:sz w:val="24"/>
          <w:szCs w:val="24"/>
          <w:u w:val="single"/>
        </w:rPr>
        <w:t xml:space="preserve">  工程竣工验收合格后 1 个</w:t>
      </w:r>
    </w:p>
    <w:p w14:paraId="51E1523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月内 </w:t>
      </w:r>
      <w:r>
        <w:rPr>
          <w:rFonts w:hint="eastAsia" w:ascii="仿宋" w:hAnsi="仿宋" w:eastAsia="仿宋" w:cs="仿宋"/>
          <w:color w:val="auto"/>
          <w:sz w:val="24"/>
          <w:szCs w:val="24"/>
        </w:rPr>
        <w:t>。</w:t>
      </w:r>
    </w:p>
    <w:p w14:paraId="00ACBA7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承包人提交的竣工资料形式要求：</w:t>
      </w:r>
      <w:r>
        <w:rPr>
          <w:rFonts w:hint="eastAsia" w:ascii="仿宋" w:hAnsi="仿宋" w:eastAsia="仿宋" w:cs="仿宋"/>
          <w:color w:val="auto"/>
          <w:sz w:val="24"/>
          <w:szCs w:val="24"/>
          <w:u w:val="single"/>
        </w:rPr>
        <w:t xml:space="preserve">   书面和电子文档    </w:t>
      </w:r>
      <w:r>
        <w:rPr>
          <w:rFonts w:hint="eastAsia" w:ascii="仿宋" w:hAnsi="仿宋" w:eastAsia="仿宋" w:cs="仿宋"/>
          <w:color w:val="auto"/>
          <w:sz w:val="24"/>
          <w:szCs w:val="24"/>
        </w:rPr>
        <w:t>。</w:t>
      </w:r>
    </w:p>
    <w:p w14:paraId="4997786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（10）承包人应履行的其他义务：</w:t>
      </w:r>
      <w:r>
        <w:rPr>
          <w:rFonts w:hint="eastAsia" w:ascii="仿宋" w:hAnsi="仿宋" w:eastAsia="仿宋" w:cs="仿宋"/>
          <w:color w:val="auto"/>
          <w:sz w:val="24"/>
          <w:szCs w:val="24"/>
          <w:u w:val="single"/>
        </w:rPr>
        <w:t xml:space="preserve">1.配合发包人办理项目前期手续； 2.配合发包人办理施工过程所需手续； 3.配合发包人办理竣工验收手续； 4.配合发包人办理其他相关手续； 5.配合费用均含在合同价中  </w:t>
      </w:r>
      <w:r>
        <w:rPr>
          <w:rFonts w:hint="eastAsia" w:ascii="仿宋" w:hAnsi="仿宋" w:eastAsia="仿宋" w:cs="仿宋"/>
          <w:color w:val="auto"/>
          <w:sz w:val="24"/>
          <w:szCs w:val="24"/>
        </w:rPr>
        <w:t>。</w:t>
      </w:r>
    </w:p>
    <w:p w14:paraId="218C6AF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3.2 项目经理</w:t>
      </w:r>
    </w:p>
    <w:p w14:paraId="110821A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 xml:space="preserve">3.2.1 </w:t>
      </w:r>
      <w:r>
        <w:rPr>
          <w:rFonts w:hint="eastAsia" w:ascii="仿宋" w:hAnsi="仿宋" w:eastAsia="仿宋" w:cs="仿宋"/>
          <w:color w:val="auto"/>
          <w:sz w:val="24"/>
          <w:szCs w:val="24"/>
        </w:rPr>
        <w:t>项目经理：</w:t>
      </w:r>
    </w:p>
    <w:p w14:paraId="6A2662E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姓    名：</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49083C9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身份证号：</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1CF88A0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建造师执业资格等级：</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4118A14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建造师注册证书号：</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ADACF4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建造师执业印章号：</w:t>
      </w: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372419A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安全生产考核合格证书号：</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10B4BEF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single"/>
        </w:rPr>
        <w:t>         </w:t>
      </w:r>
      <w:r>
        <w:rPr>
          <w:rFonts w:hint="eastAsia" w:ascii="仿宋" w:hAnsi="仿宋" w:eastAsia="仿宋" w:cs="仿宋"/>
          <w:color w:val="auto"/>
          <w:sz w:val="24"/>
          <w:szCs w:val="24"/>
        </w:rPr>
        <w:t>；</w:t>
      </w:r>
    </w:p>
    <w:p w14:paraId="44644C1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电子信箱：</w:t>
      </w:r>
      <w:r>
        <w:rPr>
          <w:rFonts w:hint="eastAsia" w:ascii="仿宋" w:hAnsi="仿宋" w:eastAsia="仿宋" w:cs="仿宋"/>
          <w:color w:val="auto"/>
          <w:sz w:val="24"/>
          <w:szCs w:val="24"/>
          <w:u w:val="single"/>
        </w:rPr>
        <w:fldChar w:fldCharType="begin"/>
      </w:r>
      <w:r>
        <w:rPr>
          <w:rFonts w:hint="eastAsia" w:ascii="仿宋" w:hAnsi="仿宋" w:eastAsia="仿宋" w:cs="仿宋"/>
          <w:color w:val="auto"/>
          <w:sz w:val="24"/>
          <w:szCs w:val="24"/>
          <w:u w:val="single"/>
        </w:rPr>
        <w:instrText xml:space="preserve"> HYPERLINK "mailto:1035748556@qq.com" </w:instrText>
      </w:r>
      <w:r>
        <w:rPr>
          <w:rFonts w:hint="eastAsia" w:ascii="仿宋" w:hAnsi="仿宋" w:eastAsia="仿宋" w:cs="仿宋"/>
          <w:color w:val="auto"/>
          <w:sz w:val="24"/>
          <w:szCs w:val="24"/>
          <w:u w:val="single"/>
        </w:rPr>
        <w:fldChar w:fldCharType="separate"/>
      </w:r>
      <w:r>
        <w:rPr>
          <w:rStyle w:val="23"/>
          <w:rFonts w:hint="eastAsia" w:ascii="仿宋" w:hAnsi="仿宋" w:eastAsia="仿宋" w:cs="仿宋"/>
          <w:color w:val="auto"/>
          <w:sz w:val="24"/>
          <w:szCs w:val="24"/>
        </w:rPr>
        <w:t></w:t>
      </w:r>
      <w:r>
        <w:rPr>
          <w:rFonts w:hint="eastAsia" w:ascii="仿宋" w:hAnsi="仿宋" w:eastAsia="仿宋" w:cs="仿宋"/>
          <w:color w:val="auto"/>
          <w:sz w:val="24"/>
          <w:szCs w:val="24"/>
          <w:u w:val="single"/>
        </w:rPr>
        <w:fldChar w:fldCharType="end"/>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6777A8E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通信地址：</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3B878F5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承包人对项目经理的授权范围如下：</w:t>
      </w:r>
      <w:r>
        <w:rPr>
          <w:rFonts w:hint="eastAsia" w:ascii="仿宋" w:hAnsi="仿宋" w:eastAsia="仿宋" w:cs="仿宋"/>
          <w:color w:val="auto"/>
          <w:sz w:val="24"/>
          <w:szCs w:val="24"/>
          <w:u w:val="single"/>
        </w:rPr>
        <w:t xml:space="preserve">执行通用条款      </w:t>
      </w:r>
      <w:r>
        <w:rPr>
          <w:rFonts w:hint="eastAsia" w:ascii="仿宋" w:hAnsi="仿宋" w:eastAsia="仿宋" w:cs="仿宋"/>
          <w:color w:val="auto"/>
          <w:sz w:val="24"/>
          <w:szCs w:val="24"/>
        </w:rPr>
        <w:t>。</w:t>
      </w:r>
    </w:p>
    <w:p w14:paraId="184A062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关于项目经理每月在施工现场的时间要求：</w:t>
      </w:r>
      <w:r>
        <w:rPr>
          <w:rFonts w:hint="eastAsia" w:ascii="仿宋" w:hAnsi="仿宋" w:eastAsia="仿宋" w:cs="仿宋"/>
          <w:color w:val="auto"/>
          <w:sz w:val="24"/>
          <w:szCs w:val="24"/>
          <w:u w:val="single"/>
        </w:rPr>
        <w:t xml:space="preserve"> 项目经理和主要项目管理人员在施工期间现场时间每月不得小于 22 天，不足以上时限的，按照不履行招标文件及合同约定缴纳违约金 2 万元</w:t>
      </w:r>
      <w:r>
        <w:rPr>
          <w:rFonts w:hint="eastAsia" w:ascii="仿宋" w:hAnsi="仿宋" w:eastAsia="仿宋" w:cs="仿宋"/>
          <w:i w:val="0"/>
          <w:iCs w:val="0"/>
          <w:color w:val="auto"/>
          <w:sz w:val="24"/>
          <w:szCs w:val="24"/>
          <w:u w:val="single"/>
          <w:lang w:val="en-US" w:eastAsia="zh-CN"/>
        </w:rPr>
        <w:t>/天</w:t>
      </w:r>
      <w:r>
        <w:rPr>
          <w:rFonts w:hint="eastAsia" w:ascii="仿宋" w:hAnsi="仿宋" w:eastAsia="仿宋" w:cs="仿宋"/>
          <w:i/>
          <w:iCs/>
          <w:color w:val="auto"/>
          <w:sz w:val="24"/>
          <w:szCs w:val="24"/>
          <w:u w:val="single"/>
        </w:rPr>
        <w:t xml:space="preserve">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7253042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承包人未提交劳动合同，以及没有为项目经理缴纳社会保险证明的违约责任：</w:t>
      </w:r>
      <w:r>
        <w:rPr>
          <w:rFonts w:hint="eastAsia" w:ascii="仿宋" w:hAnsi="仿宋" w:eastAsia="仿宋" w:cs="仿宋"/>
          <w:color w:val="auto"/>
          <w:sz w:val="24"/>
          <w:szCs w:val="24"/>
          <w:u w:val="single"/>
        </w:rPr>
        <w:t xml:space="preserve">  向业主缴纳违约金 2 万元，责令限期提交劳动合同并补缴社会保险 </w:t>
      </w:r>
      <w:r>
        <w:rPr>
          <w:rFonts w:hint="eastAsia" w:ascii="仿宋" w:hAnsi="仿宋" w:eastAsia="仿宋" w:cs="仿宋"/>
          <w:color w:val="auto"/>
          <w:sz w:val="24"/>
          <w:szCs w:val="24"/>
        </w:rPr>
        <w:t>。</w:t>
      </w:r>
    </w:p>
    <w:p w14:paraId="7A8D9DA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kern w:val="0"/>
          <w:sz w:val="24"/>
          <w:szCs w:val="24"/>
        </w:rPr>
        <w:t>项目经理未经批准，擅自离开施工现场的违约责任：</w:t>
      </w:r>
      <w:r>
        <w:rPr>
          <w:rFonts w:hint="eastAsia" w:ascii="仿宋" w:hAnsi="仿宋" w:eastAsia="仿宋" w:cs="仿宋"/>
          <w:color w:val="auto"/>
          <w:sz w:val="24"/>
          <w:szCs w:val="24"/>
          <w:u w:val="single"/>
        </w:rPr>
        <w:t xml:space="preserve"> 项目经理未经批准擅自离场的，超过 24小时的，按照不履行合同约定缴纳违约金 2 万元</w:t>
      </w:r>
      <w:r>
        <w:rPr>
          <w:rFonts w:hint="eastAsia" w:ascii="仿宋" w:hAnsi="仿宋" w:eastAsia="仿宋" w:cs="仿宋"/>
          <w:i w:val="0"/>
          <w:iCs w:val="0"/>
          <w:color w:val="auto"/>
          <w:sz w:val="24"/>
          <w:szCs w:val="24"/>
          <w:u w:val="single"/>
          <w:lang w:val="en-US" w:eastAsia="zh-CN"/>
        </w:rPr>
        <w:t>/天</w:t>
      </w:r>
      <w:r>
        <w:rPr>
          <w:rFonts w:hint="eastAsia" w:ascii="仿宋" w:hAnsi="仿宋" w:eastAsia="仿宋" w:cs="仿宋"/>
          <w:color w:val="auto"/>
          <w:sz w:val="24"/>
          <w:szCs w:val="24"/>
          <w:u w:val="single"/>
        </w:rPr>
        <w:t>；超过 72 小时的，建设方有权更换项目经理，并按照不履行招标文件及合同约定扣除 10 万元违约金</w:t>
      </w:r>
      <w:r>
        <w:rPr>
          <w:rFonts w:hint="eastAsia" w:ascii="仿宋" w:hAnsi="仿宋" w:eastAsia="仿宋" w:cs="仿宋"/>
          <w:color w:val="auto"/>
          <w:sz w:val="24"/>
          <w:szCs w:val="24"/>
        </w:rPr>
        <w:t>。</w:t>
      </w:r>
    </w:p>
    <w:p w14:paraId="4CE1BB2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3.2.3 承包人擅自更换项目经理的违约责任：</w:t>
      </w:r>
      <w:r>
        <w:rPr>
          <w:rFonts w:hint="eastAsia" w:ascii="仿宋" w:hAnsi="仿宋" w:eastAsia="仿宋" w:cs="仿宋"/>
          <w:color w:val="auto"/>
          <w:sz w:val="24"/>
          <w:szCs w:val="24"/>
          <w:u w:val="single"/>
        </w:rPr>
        <w:t xml:space="preserve"> 项目负责人的姓名、等级在专用条款内写明，且不得随意更换项目负责人，若随意更换项目负责人需向业主缴纳 20 万元违约金，扣除全部履约保证金，按照不履行招标文件要求和合同约定原因终止合同、予以清场，承包人承担上述违约给发包人造成的一切损失 ；若因特殊原因需更换项目负责人的，由承包人提前 7 日向建设方提出书面申请，将以资质业绩以及信誉不得低于此项目负责人的人员替换，并报业主审查，经审查通过，方可更换。在 7 日内更换期间，施工方不得以更换项目经理作为怠工、停工等的理由，必须正常施工</w:t>
      </w:r>
      <w:r>
        <w:rPr>
          <w:rFonts w:hint="eastAsia" w:ascii="仿宋" w:hAnsi="仿宋" w:eastAsia="仿宋" w:cs="仿宋"/>
          <w:color w:val="auto"/>
          <w:sz w:val="24"/>
          <w:szCs w:val="24"/>
        </w:rPr>
        <w:t>。</w:t>
      </w:r>
    </w:p>
    <w:p w14:paraId="092E6FE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3.2.4 承包人无正当理由拒绝更换项目经理的违约责任：</w:t>
      </w:r>
      <w:r>
        <w:rPr>
          <w:rFonts w:hint="eastAsia" w:ascii="仿宋" w:hAnsi="仿宋" w:eastAsia="仿宋" w:cs="仿宋"/>
          <w:color w:val="auto"/>
          <w:sz w:val="24"/>
          <w:szCs w:val="24"/>
          <w:u w:val="single"/>
        </w:rPr>
        <w:t xml:space="preserve"> 需缴纳 20 万元违约金，扣除全部履约保证金，终止合同，承包人承担上述违约给发包人造成的一切损失</w:t>
      </w:r>
      <w:r>
        <w:rPr>
          <w:rFonts w:hint="eastAsia" w:ascii="仿宋" w:hAnsi="仿宋" w:eastAsia="仿宋" w:cs="仿宋"/>
          <w:color w:val="auto"/>
          <w:sz w:val="24"/>
          <w:szCs w:val="24"/>
        </w:rPr>
        <w:t>。</w:t>
      </w:r>
    </w:p>
    <w:p w14:paraId="41FEBFD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3.3 承包人人员</w:t>
      </w:r>
    </w:p>
    <w:p w14:paraId="0484272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3.3.1 承包人提交项目管理机构及施工现场管理人员安排报告的期限：</w:t>
      </w:r>
      <w:r>
        <w:rPr>
          <w:rFonts w:hint="eastAsia" w:ascii="仿宋" w:hAnsi="仿宋" w:eastAsia="仿宋" w:cs="仿宋"/>
          <w:color w:val="auto"/>
          <w:sz w:val="24"/>
          <w:szCs w:val="24"/>
          <w:u w:val="single"/>
        </w:rPr>
        <w:t xml:space="preserve"> 开工前三天；承包人的项目管理机构应当具有与承包工程规模、技术复杂程度相适应的技术、管理人员，其中：商务标中约定的项目经理</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技术负责人、施工员、质量管理员、安全管理员</w:t>
      </w:r>
      <w:r>
        <w:rPr>
          <w:rFonts w:hint="eastAsia" w:ascii="仿宋" w:hAnsi="仿宋" w:eastAsia="仿宋" w:cs="仿宋"/>
          <w:color w:val="auto"/>
          <w:sz w:val="24"/>
          <w:szCs w:val="24"/>
          <w:u w:val="single"/>
        </w:rPr>
        <w:t>必须为本单位自有人员，不允许临时挂靠人员参与中标工程建设  。</w:t>
      </w:r>
    </w:p>
    <w:p w14:paraId="3DA8D67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3.3.3 承包人无正当理由拒绝撤换主要施工管理人员的违约责任：</w:t>
      </w:r>
      <w:r>
        <w:rPr>
          <w:rFonts w:hint="eastAsia" w:ascii="仿宋" w:hAnsi="仿宋" w:eastAsia="仿宋" w:cs="仿宋"/>
          <w:color w:val="auto"/>
          <w:sz w:val="24"/>
          <w:szCs w:val="24"/>
          <w:u w:val="single"/>
        </w:rPr>
        <w:t xml:space="preserve"> 需缴纳 10 万元违约金，承包人承担上述违约给发包人造成的一切损失   </w:t>
      </w:r>
      <w:r>
        <w:rPr>
          <w:rFonts w:hint="eastAsia" w:ascii="仿宋" w:hAnsi="仿宋" w:eastAsia="仿宋" w:cs="仿宋"/>
          <w:color w:val="auto"/>
          <w:sz w:val="24"/>
          <w:szCs w:val="24"/>
        </w:rPr>
        <w:t>。</w:t>
      </w:r>
    </w:p>
    <w:p w14:paraId="302B385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i/>
          <w:iCs/>
          <w:color w:val="auto"/>
          <w:sz w:val="24"/>
          <w:szCs w:val="24"/>
          <w:u w:val="single"/>
        </w:rPr>
      </w:pPr>
      <w:r>
        <w:rPr>
          <w:rFonts w:hint="eastAsia" w:ascii="仿宋" w:hAnsi="仿宋" w:eastAsia="仿宋" w:cs="仿宋"/>
          <w:color w:val="auto"/>
          <w:sz w:val="24"/>
          <w:szCs w:val="24"/>
        </w:rPr>
        <w:t>3.3.4 承包人主要施工管理人员离开施工现场的批准要求：</w:t>
      </w:r>
      <w:r>
        <w:rPr>
          <w:rFonts w:hint="eastAsia" w:ascii="仿宋" w:hAnsi="仿宋" w:eastAsia="仿宋" w:cs="仿宋"/>
          <w:color w:val="auto"/>
          <w:sz w:val="24"/>
          <w:szCs w:val="24"/>
          <w:u w:val="single"/>
        </w:rPr>
        <w:t>施工单位项目经理和主要项目管理人员应严格按照合同约定的在场时限组织施工，不得擅自离场，确需特殊原因离场的，应提前 1日向现场监理及甲代提出书面申请，且离场时间不能超过 24 小时</w:t>
      </w:r>
      <w:r>
        <w:rPr>
          <w:rFonts w:hint="eastAsia" w:ascii="仿宋" w:hAnsi="仿宋" w:eastAsia="仿宋" w:cs="仿宋"/>
          <w:i/>
          <w:iCs/>
          <w:color w:val="auto"/>
          <w:sz w:val="24"/>
          <w:szCs w:val="24"/>
        </w:rPr>
        <w:t>。</w:t>
      </w:r>
    </w:p>
    <w:p w14:paraId="4E54ECF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3.3.5承包人擅自更换主要施工管理人员的违约责任：</w:t>
      </w:r>
      <w:r>
        <w:rPr>
          <w:rFonts w:hint="eastAsia" w:ascii="仿宋" w:hAnsi="仿宋" w:eastAsia="仿宋" w:cs="仿宋"/>
          <w:color w:val="auto"/>
          <w:sz w:val="24"/>
          <w:szCs w:val="24"/>
          <w:u w:val="single"/>
        </w:rPr>
        <w:t xml:space="preserve"> 施工单位项目经理和项目管理人员原则上不准更换，确需特殊原因更换的，需提前 7 日向建设方提出书面申请，且更换人员资历及信誉不得低于商务标约定人员；其中，更换项目经理或项目工程师的需缴纳违约金 5 万元，更换其他人员的需每人缴纳违约金 2 万元  </w:t>
      </w:r>
      <w:r>
        <w:rPr>
          <w:rFonts w:hint="eastAsia" w:ascii="仿宋" w:hAnsi="仿宋" w:eastAsia="仿宋" w:cs="仿宋"/>
          <w:color w:val="auto"/>
          <w:sz w:val="24"/>
          <w:szCs w:val="24"/>
        </w:rPr>
        <w:t>。</w:t>
      </w:r>
    </w:p>
    <w:p w14:paraId="4D4BA2C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承包人主要施工管理人员擅自离开施工现场的违约责任：</w:t>
      </w:r>
      <w:r>
        <w:rPr>
          <w:rFonts w:hint="eastAsia" w:ascii="仿宋" w:hAnsi="仿宋" w:eastAsia="仿宋" w:cs="仿宋"/>
          <w:color w:val="auto"/>
          <w:sz w:val="24"/>
          <w:szCs w:val="24"/>
          <w:u w:val="single"/>
        </w:rPr>
        <w:t xml:space="preserve"> 主要项目管理人员未经批准擅自离场的，超过 24 小时的，按照不履行合同约定缴纳违约金 2 万</w:t>
      </w:r>
      <w:r>
        <w:rPr>
          <w:rFonts w:hint="eastAsia" w:ascii="仿宋" w:hAnsi="仿宋" w:eastAsia="仿宋" w:cs="仿宋"/>
          <w:i w:val="0"/>
          <w:iCs w:val="0"/>
          <w:color w:val="auto"/>
          <w:sz w:val="24"/>
          <w:szCs w:val="24"/>
          <w:u w:val="single"/>
        </w:rPr>
        <w:t>元</w:t>
      </w:r>
      <w:r>
        <w:rPr>
          <w:rFonts w:hint="eastAsia" w:ascii="仿宋" w:hAnsi="仿宋" w:eastAsia="仿宋" w:cs="仿宋"/>
          <w:i w:val="0"/>
          <w:iCs w:val="0"/>
          <w:color w:val="auto"/>
          <w:sz w:val="24"/>
          <w:szCs w:val="24"/>
          <w:u w:val="single"/>
          <w:lang w:val="en-US" w:eastAsia="zh-CN"/>
        </w:rPr>
        <w:t>/天</w:t>
      </w:r>
      <w:r>
        <w:rPr>
          <w:rFonts w:hint="eastAsia" w:ascii="仿宋" w:hAnsi="仿宋" w:eastAsia="仿宋" w:cs="仿宋"/>
          <w:color w:val="auto"/>
          <w:sz w:val="24"/>
          <w:szCs w:val="24"/>
          <w:u w:val="single"/>
        </w:rPr>
        <w:t xml:space="preserve">；超过 72 小时的，建设方有权更换项目经理，并按照不履行招标文件及合同约定扣除 10 万元违约金  </w:t>
      </w:r>
      <w:r>
        <w:rPr>
          <w:rFonts w:hint="eastAsia" w:ascii="仿宋" w:hAnsi="仿宋" w:eastAsia="仿宋" w:cs="仿宋"/>
          <w:color w:val="auto"/>
          <w:sz w:val="24"/>
          <w:szCs w:val="24"/>
        </w:rPr>
        <w:t>。</w:t>
      </w:r>
    </w:p>
    <w:p w14:paraId="3874719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w:t>
      </w:r>
      <w:bookmarkStart w:id="813" w:name="_Toc296346660"/>
      <w:bookmarkStart w:id="814" w:name="_Toc300934945"/>
      <w:bookmarkStart w:id="815" w:name="_Toc303539102"/>
      <w:bookmarkStart w:id="816" w:name="_Toc297048345"/>
      <w:bookmarkStart w:id="817" w:name="_Toc296503159"/>
      <w:bookmarkStart w:id="818" w:name="_Toc297216151"/>
      <w:bookmarkStart w:id="819" w:name="_Toc297123492"/>
      <w:bookmarkStart w:id="820" w:name="_Toc312677988"/>
      <w:bookmarkStart w:id="821" w:name="_Toc296944498"/>
      <w:bookmarkStart w:id="822" w:name="_Toc292559364"/>
      <w:bookmarkStart w:id="823" w:name="_Toc304295523"/>
      <w:bookmarkStart w:id="824" w:name="_Toc292559869"/>
      <w:bookmarkStart w:id="825" w:name="_Toc296890987"/>
      <w:bookmarkStart w:id="826" w:name="_Toc296891199"/>
      <w:bookmarkStart w:id="827" w:name="_Toc297120459"/>
      <w:bookmarkStart w:id="828" w:name="_Toc296347158"/>
      <w:r>
        <w:rPr>
          <w:rFonts w:hint="eastAsia" w:ascii="仿宋" w:hAnsi="仿宋" w:eastAsia="仿宋" w:cs="仿宋"/>
          <w:color w:val="auto"/>
          <w:sz w:val="24"/>
          <w:szCs w:val="24"/>
        </w:rPr>
        <w:t>.5 分包</w:t>
      </w:r>
    </w:p>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p w14:paraId="73F7F19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w:t>
      </w:r>
      <w:bookmarkStart w:id="829" w:name="_Toc297216152"/>
      <w:bookmarkStart w:id="830" w:name="_Toc292559365"/>
      <w:bookmarkStart w:id="831" w:name="_Toc292559870"/>
      <w:bookmarkStart w:id="832" w:name="_Toc297123493"/>
      <w:bookmarkStart w:id="833" w:name="_Toc296890988"/>
      <w:bookmarkStart w:id="834" w:name="_Toc296503160"/>
      <w:bookmarkStart w:id="835" w:name="_Toc303539103"/>
      <w:bookmarkStart w:id="836" w:name="_Toc304295524"/>
      <w:bookmarkStart w:id="837" w:name="_Toc297120460"/>
      <w:bookmarkStart w:id="838" w:name="_Toc297048346"/>
      <w:bookmarkStart w:id="839" w:name="_Toc296891200"/>
      <w:bookmarkStart w:id="840" w:name="_Toc300934946"/>
      <w:bookmarkStart w:id="841" w:name="_Toc296347159"/>
      <w:bookmarkStart w:id="842" w:name="_Toc296346661"/>
      <w:bookmarkStart w:id="843" w:name="_Toc296944499"/>
      <w:bookmarkStart w:id="844" w:name="_Toc312677989"/>
      <w:bookmarkStart w:id="845" w:name="_Toc318581158"/>
      <w:r>
        <w:rPr>
          <w:rFonts w:hint="eastAsia" w:ascii="仿宋" w:hAnsi="仿宋" w:eastAsia="仿宋" w:cs="仿宋"/>
          <w:color w:val="auto"/>
          <w:sz w:val="24"/>
          <w:szCs w:val="24"/>
        </w:rPr>
        <w:t>.5.1 分包的一般约定</w:t>
      </w:r>
    </w:p>
    <w:p w14:paraId="797909B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禁止分包的工程包括：</w:t>
      </w:r>
      <w:r>
        <w:rPr>
          <w:rFonts w:hint="eastAsia" w:ascii="仿宋" w:hAnsi="仿宋" w:eastAsia="仿宋" w:cs="仿宋"/>
          <w:color w:val="auto"/>
          <w:sz w:val="24"/>
          <w:szCs w:val="24"/>
          <w:u w:val="single"/>
        </w:rPr>
        <w:t xml:space="preserve"> 执行通用条款          </w:t>
      </w:r>
      <w:r>
        <w:rPr>
          <w:rFonts w:hint="eastAsia" w:ascii="仿宋" w:hAnsi="仿宋" w:eastAsia="仿宋" w:cs="仿宋"/>
          <w:color w:val="auto"/>
          <w:sz w:val="24"/>
          <w:szCs w:val="24"/>
        </w:rPr>
        <w:t>。</w:t>
      </w:r>
    </w:p>
    <w:p w14:paraId="494158E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主体结构、关键性工作的范围：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Start w:id="846" w:name="_Toc303539104"/>
      <w:bookmarkStart w:id="847" w:name="_Toc296347160"/>
      <w:bookmarkStart w:id="848" w:name="_Toc297120461"/>
      <w:bookmarkStart w:id="849" w:name="_Toc296890989"/>
      <w:bookmarkStart w:id="850" w:name="_Toc297216153"/>
      <w:bookmarkStart w:id="851" w:name="_Toc297048347"/>
      <w:bookmarkStart w:id="852" w:name="_Toc304295525"/>
      <w:bookmarkStart w:id="853" w:name="_Toc300934947"/>
      <w:bookmarkStart w:id="854" w:name="_Toc296503161"/>
      <w:bookmarkStart w:id="855" w:name="_Toc296944500"/>
      <w:bookmarkStart w:id="856" w:name="_Toc296346662"/>
      <w:bookmarkStart w:id="857" w:name="_Toc297123494"/>
      <w:bookmarkStart w:id="858" w:name="_Toc296891201"/>
    </w:p>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p w14:paraId="56928F3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3</w:t>
      </w:r>
      <w:bookmarkStart w:id="859" w:name="_Toc318581159"/>
      <w:bookmarkStart w:id="860" w:name="_Toc312677990"/>
      <w:r>
        <w:rPr>
          <w:rFonts w:hint="eastAsia" w:ascii="仿宋" w:hAnsi="仿宋" w:eastAsia="仿宋" w:cs="仿宋"/>
          <w:color w:val="auto"/>
          <w:sz w:val="24"/>
          <w:szCs w:val="24"/>
        </w:rPr>
        <w:t>.5.2分包的确定</w:t>
      </w:r>
    </w:p>
    <w:p w14:paraId="588226E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允许分包的专业工程包括：</w:t>
      </w:r>
      <w:r>
        <w:rPr>
          <w:rFonts w:hint="eastAsia" w:ascii="仿宋" w:hAnsi="仿宋" w:eastAsia="仿宋" w:cs="仿宋"/>
          <w:color w:val="auto"/>
          <w:sz w:val="24"/>
          <w:szCs w:val="24"/>
          <w:u w:val="single"/>
        </w:rPr>
        <w:t xml:space="preserve">本工程不得分包   </w:t>
      </w:r>
      <w:r>
        <w:rPr>
          <w:rFonts w:hint="eastAsia" w:ascii="仿宋" w:hAnsi="仿宋" w:eastAsia="仿宋" w:cs="仿宋"/>
          <w:color w:val="auto"/>
          <w:sz w:val="24"/>
          <w:szCs w:val="24"/>
        </w:rPr>
        <w:t>。</w:t>
      </w:r>
    </w:p>
    <w:p w14:paraId="59E4F6F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其他关于分包的约定：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无（根据实际情况确定）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77A91C3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3.5.4 分包合同价款</w:t>
      </w:r>
    </w:p>
    <w:p w14:paraId="199B014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关于分包合同价款支付的约定：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859"/>
    <w:bookmarkEnd w:id="860"/>
    <w:p w14:paraId="7A01D4C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3.6 工程照管与成品、半成品保护</w:t>
      </w:r>
    </w:p>
    <w:p w14:paraId="0B28771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承包人负责照管工程及工程相关的材料、工程设备的起始时间：</w:t>
      </w:r>
      <w:r>
        <w:rPr>
          <w:rFonts w:hint="eastAsia" w:ascii="仿宋" w:hAnsi="仿宋" w:eastAsia="仿宋" w:cs="仿宋"/>
          <w:color w:val="auto"/>
          <w:kern w:val="0"/>
          <w:sz w:val="24"/>
          <w:szCs w:val="24"/>
          <w:u w:val="single"/>
        </w:rPr>
        <w:t xml:space="preserve"> 设备、人员进场至竣工验收并交付使用前由承包人负责保修，无其它特殊要求的，费用由承包人承担  </w:t>
      </w:r>
      <w:r>
        <w:rPr>
          <w:rFonts w:hint="eastAsia" w:ascii="仿宋" w:hAnsi="仿宋" w:eastAsia="仿宋" w:cs="仿宋"/>
          <w:color w:val="auto"/>
          <w:kern w:val="0"/>
          <w:sz w:val="24"/>
          <w:szCs w:val="24"/>
        </w:rPr>
        <w:t>。</w:t>
      </w:r>
    </w:p>
    <w:p w14:paraId="217A7EC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3.7 履约担保</w:t>
      </w:r>
    </w:p>
    <w:p w14:paraId="1AE7D07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承包人是否提供履约担保：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提供</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03B1363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承包人提供履约担保的形式、金额及期限的：</w:t>
      </w:r>
      <w:r>
        <w:rPr>
          <w:rFonts w:hint="eastAsia" w:ascii="仿宋" w:hAnsi="仿宋" w:eastAsia="仿宋" w:cs="仿宋"/>
          <w:color w:val="auto"/>
          <w:sz w:val="24"/>
          <w:szCs w:val="24"/>
          <w:u w:val="single"/>
        </w:rPr>
        <w:t xml:space="preserve"> 履约保函、电汇、支票形式提供合同价款的 10%作为前置履约保证金，工程完工、竣工验收合格</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 xml:space="preserve">工程移交后一次性退还 </w:t>
      </w:r>
      <w:r>
        <w:rPr>
          <w:rFonts w:hint="eastAsia" w:ascii="仿宋" w:hAnsi="仿宋" w:eastAsia="仿宋" w:cs="仿宋"/>
          <w:color w:val="auto"/>
          <w:sz w:val="24"/>
          <w:szCs w:val="24"/>
        </w:rPr>
        <w:t>。</w:t>
      </w:r>
    </w:p>
    <w:p w14:paraId="1AD9239F">
      <w:pPr>
        <w:pStyle w:val="5"/>
        <w:pageBreakBefore w:val="0"/>
        <w:kinsoku/>
        <w:overflowPunct/>
        <w:topLinePunct w:val="0"/>
        <w:bidi w:val="0"/>
        <w:spacing w:line="440" w:lineRule="exact"/>
        <w:rPr>
          <w:rFonts w:hint="eastAsia" w:ascii="仿宋" w:hAnsi="仿宋" w:eastAsia="仿宋" w:cs="仿宋"/>
          <w:color w:val="auto"/>
          <w:sz w:val="24"/>
          <w:szCs w:val="24"/>
        </w:rPr>
      </w:pPr>
      <w:bookmarkStart w:id="861" w:name="_Toc351203636"/>
      <w:r>
        <w:rPr>
          <w:rFonts w:hint="eastAsia" w:ascii="仿宋" w:hAnsi="仿宋" w:eastAsia="仿宋" w:cs="仿宋"/>
          <w:color w:val="auto"/>
          <w:sz w:val="24"/>
          <w:szCs w:val="24"/>
        </w:rPr>
        <w:t>4</w:t>
      </w:r>
      <w:bookmarkStart w:id="862" w:name="_Toc296346663"/>
      <w:bookmarkStart w:id="863" w:name="_Toc267251413"/>
      <w:bookmarkStart w:id="864" w:name="_Toc296890990"/>
      <w:bookmarkStart w:id="865" w:name="_Toc292559366"/>
      <w:bookmarkStart w:id="866" w:name="_Toc292559871"/>
      <w:bookmarkStart w:id="867" w:name="_Toc296944501"/>
      <w:bookmarkStart w:id="868" w:name="_Toc296503162"/>
      <w:bookmarkStart w:id="869" w:name="_Toc296891202"/>
      <w:bookmarkStart w:id="870" w:name="_Toc297048348"/>
      <w:bookmarkStart w:id="871" w:name="_Toc296347161"/>
      <w:bookmarkStart w:id="872" w:name="_Toc297120462"/>
      <w:r>
        <w:rPr>
          <w:rFonts w:hint="eastAsia" w:ascii="仿宋" w:hAnsi="仿宋" w:eastAsia="仿宋" w:cs="仿宋"/>
          <w:color w:val="auto"/>
          <w:sz w:val="24"/>
          <w:szCs w:val="24"/>
        </w:rPr>
        <w:t>. 监</w:t>
      </w:r>
      <w:bookmarkEnd w:id="862"/>
      <w:bookmarkEnd w:id="863"/>
      <w:bookmarkEnd w:id="864"/>
      <w:bookmarkEnd w:id="865"/>
      <w:bookmarkEnd w:id="866"/>
      <w:bookmarkEnd w:id="867"/>
      <w:bookmarkEnd w:id="868"/>
      <w:bookmarkEnd w:id="869"/>
      <w:bookmarkEnd w:id="870"/>
      <w:bookmarkEnd w:id="871"/>
      <w:bookmarkEnd w:id="872"/>
      <w:r>
        <w:rPr>
          <w:rFonts w:hint="eastAsia" w:ascii="仿宋" w:hAnsi="仿宋" w:eastAsia="仿宋" w:cs="仿宋"/>
          <w:color w:val="auto"/>
          <w:sz w:val="24"/>
          <w:szCs w:val="24"/>
        </w:rPr>
        <w:t>理人</w:t>
      </w:r>
      <w:bookmarkEnd w:id="861"/>
    </w:p>
    <w:p w14:paraId="2DBB815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4.1监理人的一般规定</w:t>
      </w:r>
    </w:p>
    <w:p w14:paraId="2BB60A1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关于监理人的监理内容：</w:t>
      </w:r>
      <w:r>
        <w:rPr>
          <w:rFonts w:hint="eastAsia" w:ascii="仿宋" w:hAnsi="仿宋" w:eastAsia="仿宋" w:cs="仿宋"/>
          <w:color w:val="auto"/>
          <w:sz w:val="24"/>
          <w:szCs w:val="24"/>
          <w:u w:val="single"/>
        </w:rPr>
        <w:t xml:space="preserve">   对工程质量、进度、投资进行全面的控制，对施工安全、合同、信息进行管理，协调业主与承包人在施工过程中工作关系 </w:t>
      </w:r>
      <w:r>
        <w:rPr>
          <w:rFonts w:hint="eastAsia" w:ascii="仿宋" w:hAnsi="仿宋" w:eastAsia="仿宋" w:cs="仿宋"/>
          <w:color w:val="auto"/>
          <w:sz w:val="24"/>
          <w:szCs w:val="24"/>
        </w:rPr>
        <w:t>。</w:t>
      </w:r>
    </w:p>
    <w:p w14:paraId="76938E2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关于监理人的监理权限：</w:t>
      </w:r>
      <w:r>
        <w:rPr>
          <w:rFonts w:hint="eastAsia" w:ascii="仿宋" w:hAnsi="仿宋" w:eastAsia="仿宋" w:cs="仿宋"/>
          <w:color w:val="auto"/>
          <w:sz w:val="24"/>
          <w:szCs w:val="24"/>
          <w:u w:val="single"/>
        </w:rPr>
        <w:t xml:space="preserve">  开工令、停工令、工程变更、经济签证须取得发包人同意  </w:t>
      </w:r>
      <w:r>
        <w:rPr>
          <w:rFonts w:hint="eastAsia" w:ascii="仿宋" w:hAnsi="仿宋" w:eastAsia="仿宋" w:cs="仿宋"/>
          <w:color w:val="auto"/>
          <w:sz w:val="24"/>
          <w:szCs w:val="24"/>
        </w:rPr>
        <w:t xml:space="preserve">。 </w:t>
      </w:r>
    </w:p>
    <w:p w14:paraId="07F2B7B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关于监理人在施工现场的办公场所、生活场所的提供和费用承担的约定：</w:t>
      </w:r>
      <w:r>
        <w:rPr>
          <w:rFonts w:hint="eastAsia" w:ascii="仿宋" w:hAnsi="仿宋" w:eastAsia="仿宋" w:cs="仿宋"/>
          <w:color w:val="auto"/>
          <w:sz w:val="24"/>
          <w:szCs w:val="24"/>
          <w:u w:val="single"/>
        </w:rPr>
        <w:t xml:space="preserve"> 由承包人提供，费用包含在合同价中  </w:t>
      </w:r>
      <w:r>
        <w:rPr>
          <w:rFonts w:hint="eastAsia" w:ascii="仿宋" w:hAnsi="仿宋" w:eastAsia="仿宋" w:cs="仿宋"/>
          <w:color w:val="auto"/>
          <w:sz w:val="24"/>
          <w:szCs w:val="24"/>
        </w:rPr>
        <w:t>。</w:t>
      </w:r>
    </w:p>
    <w:p w14:paraId="6959D1C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4.2 监理人员</w:t>
      </w:r>
    </w:p>
    <w:p w14:paraId="7C77BAC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总监理工程师：</w:t>
      </w:r>
    </w:p>
    <w:p w14:paraId="7D19EEE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姓    名：</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6D0B8B7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职    务：</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6996ABF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监理工程师执业资格证书号：</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w:t>
      </w:r>
    </w:p>
    <w:p w14:paraId="5DB5E88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706CEC4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电子信箱：</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261BB18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通信地址：</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1B304C3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关于监理人的其他约定：</w:t>
      </w:r>
      <w:r>
        <w:rPr>
          <w:rFonts w:hint="eastAsia" w:ascii="仿宋" w:hAnsi="仿宋" w:eastAsia="仿宋" w:cs="仿宋"/>
          <w:color w:val="auto"/>
          <w:sz w:val="24"/>
          <w:szCs w:val="24"/>
          <w:u w:val="single"/>
        </w:rPr>
        <w:t>   </w:t>
      </w:r>
      <w:r>
        <w:rPr>
          <w:rFonts w:hint="eastAsia" w:ascii="仿宋" w:hAnsi="仿宋" w:eastAsia="仿宋" w:cs="仿宋"/>
          <w:color w:val="auto"/>
          <w:sz w:val="24"/>
          <w:szCs w:val="24"/>
        </w:rPr>
        <w:t>。</w:t>
      </w:r>
    </w:p>
    <w:p w14:paraId="6F6D74A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4.4 商定或确定</w:t>
      </w:r>
    </w:p>
    <w:p w14:paraId="5CF56F4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bookmarkStart w:id="873" w:name="_Toc267251418"/>
      <w:r>
        <w:rPr>
          <w:rFonts w:hint="eastAsia" w:ascii="仿宋" w:hAnsi="仿宋" w:eastAsia="仿宋" w:cs="仿宋"/>
          <w:color w:val="auto"/>
          <w:sz w:val="24"/>
          <w:szCs w:val="24"/>
        </w:rPr>
        <w:t>在发包人和承包人不能通过协商达成一致意见时，发包人授权监理人对以下事项进行确定：</w:t>
      </w:r>
    </w:p>
    <w:p w14:paraId="5A50853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sz w:val="24"/>
          <w:szCs w:val="24"/>
          <w:u w:val="single"/>
        </w:rPr>
        <w:t xml:space="preserve">        执行通用条款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5FE9D29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r>
        <w:rPr>
          <w:rFonts w:hint="eastAsia" w:ascii="仿宋" w:hAnsi="仿宋" w:eastAsia="仿宋" w:cs="仿宋"/>
          <w:color w:val="auto"/>
          <w:sz w:val="24"/>
          <w:szCs w:val="24"/>
          <w:u w:val="single"/>
        </w:rPr>
        <w:t xml:space="preserve">        执行通用条款               </w:t>
      </w:r>
      <w:r>
        <w:rPr>
          <w:rFonts w:hint="eastAsia" w:ascii="仿宋" w:hAnsi="仿宋" w:eastAsia="仿宋" w:cs="仿宋"/>
          <w:color w:val="auto"/>
          <w:sz w:val="24"/>
          <w:szCs w:val="24"/>
        </w:rPr>
        <w:t>；</w:t>
      </w:r>
    </w:p>
    <w:p w14:paraId="709AB22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r>
        <w:rPr>
          <w:rFonts w:hint="eastAsia" w:ascii="仿宋" w:hAnsi="仿宋" w:eastAsia="仿宋" w:cs="仿宋"/>
          <w:color w:val="auto"/>
          <w:sz w:val="24"/>
          <w:szCs w:val="24"/>
          <w:u w:val="single"/>
        </w:rPr>
        <w:t xml:space="preserve">        执行通用条款                </w:t>
      </w:r>
      <w:r>
        <w:rPr>
          <w:rFonts w:hint="eastAsia" w:ascii="仿宋" w:hAnsi="仿宋" w:eastAsia="仿宋" w:cs="仿宋"/>
          <w:color w:val="auto"/>
          <w:sz w:val="24"/>
          <w:szCs w:val="24"/>
        </w:rPr>
        <w:t>。</w:t>
      </w:r>
    </w:p>
    <w:p w14:paraId="09754AD8">
      <w:pPr>
        <w:pStyle w:val="5"/>
        <w:pageBreakBefore w:val="0"/>
        <w:kinsoku/>
        <w:overflowPunct/>
        <w:topLinePunct w:val="0"/>
        <w:bidi w:val="0"/>
        <w:spacing w:line="440" w:lineRule="exact"/>
        <w:rPr>
          <w:rFonts w:hint="eastAsia" w:ascii="仿宋" w:hAnsi="仿宋" w:eastAsia="仿宋" w:cs="仿宋"/>
          <w:color w:val="auto"/>
          <w:sz w:val="24"/>
          <w:szCs w:val="24"/>
        </w:rPr>
      </w:pPr>
      <w:bookmarkStart w:id="874" w:name="_Toc351203637"/>
      <w:r>
        <w:rPr>
          <w:rFonts w:hint="eastAsia" w:ascii="仿宋" w:hAnsi="仿宋" w:eastAsia="仿宋" w:cs="仿宋"/>
          <w:color w:val="auto"/>
          <w:sz w:val="24"/>
          <w:szCs w:val="24"/>
        </w:rPr>
        <w:t>5</w:t>
      </w:r>
      <w:bookmarkEnd w:id="873"/>
      <w:bookmarkStart w:id="875" w:name="_Toc296346664"/>
      <w:bookmarkStart w:id="876" w:name="_Toc292559367"/>
      <w:bookmarkStart w:id="877" w:name="_Toc296944502"/>
      <w:bookmarkStart w:id="878" w:name="_Toc292559872"/>
      <w:bookmarkStart w:id="879" w:name="_Toc296890991"/>
      <w:bookmarkStart w:id="880" w:name="_Toc297120463"/>
      <w:bookmarkStart w:id="881" w:name="_Toc297048349"/>
      <w:bookmarkStart w:id="882" w:name="_Toc296503163"/>
      <w:bookmarkStart w:id="883" w:name="_Toc296891203"/>
      <w:bookmarkStart w:id="884" w:name="_Toc296347162"/>
      <w:r>
        <w:rPr>
          <w:rFonts w:hint="eastAsia" w:ascii="仿宋" w:hAnsi="仿宋" w:eastAsia="仿宋" w:cs="仿宋"/>
          <w:color w:val="auto"/>
          <w:sz w:val="24"/>
          <w:szCs w:val="24"/>
        </w:rPr>
        <w:t>. 工程质量</w:t>
      </w:r>
      <w:bookmarkEnd w:id="874"/>
    </w:p>
    <w:p w14:paraId="037DD3F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5.1 质量要求</w:t>
      </w:r>
    </w:p>
    <w:p w14:paraId="1136D22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w:t>
      </w:r>
      <w:bookmarkStart w:id="885" w:name="_Toc318581164"/>
      <w:bookmarkStart w:id="886" w:name="_Toc304295527"/>
      <w:bookmarkStart w:id="887" w:name="_Toc300934949"/>
      <w:bookmarkStart w:id="888" w:name="_Toc297123496"/>
      <w:bookmarkStart w:id="889" w:name="_Toc312677997"/>
      <w:bookmarkStart w:id="890" w:name="_Toc303539106"/>
      <w:bookmarkStart w:id="891" w:name="_Toc297216155"/>
      <w:r>
        <w:rPr>
          <w:rFonts w:hint="eastAsia" w:ascii="仿宋" w:hAnsi="仿宋" w:eastAsia="仿宋" w:cs="仿宋"/>
          <w:color w:val="auto"/>
          <w:sz w:val="24"/>
          <w:szCs w:val="24"/>
        </w:rPr>
        <w:t>.1.1 特殊质量标准和要求：</w:t>
      </w:r>
      <w:r>
        <w:rPr>
          <w:rFonts w:hint="eastAsia" w:ascii="仿宋" w:hAnsi="仿宋" w:eastAsia="仿宋" w:cs="仿宋"/>
          <w:color w:val="auto"/>
          <w:sz w:val="24"/>
          <w:szCs w:val="24"/>
          <w:u w:val="single"/>
        </w:rPr>
        <w:t xml:space="preserve">    执行通用条款     </w:t>
      </w:r>
      <w:r>
        <w:rPr>
          <w:rFonts w:hint="eastAsia" w:ascii="仿宋" w:hAnsi="仿宋" w:eastAsia="仿宋" w:cs="仿宋"/>
          <w:color w:val="auto"/>
          <w:sz w:val="24"/>
          <w:szCs w:val="24"/>
        </w:rPr>
        <w:t>。</w:t>
      </w:r>
    </w:p>
    <w:p w14:paraId="6AB8DDF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关于工程奖项的约定：</w:t>
      </w:r>
      <w:r>
        <w:rPr>
          <w:rFonts w:hint="eastAsia" w:ascii="仿宋" w:hAnsi="仿宋" w:eastAsia="仿宋" w:cs="仿宋"/>
          <w:color w:val="auto"/>
          <w:sz w:val="24"/>
          <w:szCs w:val="24"/>
          <w:u w:val="single"/>
        </w:rPr>
        <w:t xml:space="preserve">  按照招标文件和施工合同的质量、工期约定，建设单位可根据竣工验收实际，对提前竣工达到合同约定质量标准，以及工程质量达到优良等级的工程，按照相应比例向施工单位返还扣除的违约金  </w:t>
      </w:r>
      <w:r>
        <w:rPr>
          <w:rFonts w:hint="eastAsia" w:ascii="仿宋" w:hAnsi="仿宋" w:eastAsia="仿宋" w:cs="仿宋"/>
          <w:color w:val="auto"/>
          <w:sz w:val="24"/>
          <w:szCs w:val="24"/>
        </w:rPr>
        <w:t>。</w:t>
      </w:r>
    </w:p>
    <w:p w14:paraId="7C1BBDF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5.3 隐蔽工程检查</w:t>
      </w:r>
    </w:p>
    <w:p w14:paraId="6E90933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5.3.2承包人提前通知监理人隐蔽工程检查的期限的约定：</w:t>
      </w:r>
      <w:r>
        <w:rPr>
          <w:rFonts w:hint="eastAsia" w:ascii="仿宋" w:hAnsi="仿宋" w:eastAsia="仿宋" w:cs="仿宋"/>
          <w:color w:val="auto"/>
          <w:sz w:val="24"/>
          <w:szCs w:val="24"/>
          <w:u w:val="single"/>
        </w:rPr>
        <w:t xml:space="preserve"> 共同检查前48小时书面通知监理人   </w:t>
      </w:r>
      <w:r>
        <w:rPr>
          <w:rFonts w:hint="eastAsia" w:ascii="仿宋" w:hAnsi="仿宋" w:eastAsia="仿宋" w:cs="仿宋"/>
          <w:color w:val="auto"/>
          <w:sz w:val="24"/>
          <w:szCs w:val="24"/>
        </w:rPr>
        <w:t>。</w:t>
      </w:r>
    </w:p>
    <w:p w14:paraId="477A1BF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监理人不能按时进行检查时，应提前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24</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小时提交书面延期要求。</w:t>
      </w:r>
    </w:p>
    <w:p w14:paraId="17FAE12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关于延期最长不得超过：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48</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小时。</w:t>
      </w:r>
    </w:p>
    <w:p w14:paraId="11B18602">
      <w:pPr>
        <w:pStyle w:val="5"/>
        <w:pageBreakBefore w:val="0"/>
        <w:kinsoku/>
        <w:overflowPunct/>
        <w:topLinePunct w:val="0"/>
        <w:bidi w:val="0"/>
        <w:spacing w:line="440" w:lineRule="exact"/>
        <w:rPr>
          <w:rFonts w:hint="eastAsia" w:ascii="仿宋" w:hAnsi="仿宋" w:eastAsia="仿宋" w:cs="仿宋"/>
          <w:color w:val="auto"/>
          <w:sz w:val="24"/>
          <w:szCs w:val="24"/>
        </w:rPr>
      </w:pPr>
      <w:bookmarkStart w:id="892" w:name="_Toc351203638"/>
      <w:r>
        <w:rPr>
          <w:rFonts w:hint="eastAsia" w:ascii="仿宋" w:hAnsi="仿宋" w:eastAsia="仿宋" w:cs="仿宋"/>
          <w:color w:val="auto"/>
          <w:sz w:val="24"/>
          <w:szCs w:val="24"/>
        </w:rPr>
        <w:t>6. 安全文明施工与环境保护</w:t>
      </w:r>
      <w:bookmarkEnd w:id="892"/>
    </w:p>
    <w:p w14:paraId="1D7972F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6.1安全文明施工</w:t>
      </w:r>
    </w:p>
    <w:p w14:paraId="2D15881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6.1.1 项目安全生产的达标目标及相应事项的约定：</w:t>
      </w:r>
      <w:r>
        <w:rPr>
          <w:rFonts w:hint="eastAsia" w:ascii="仿宋" w:hAnsi="仿宋" w:eastAsia="仿宋" w:cs="仿宋"/>
          <w:color w:val="auto"/>
          <w:sz w:val="24"/>
          <w:szCs w:val="24"/>
          <w:u w:val="single"/>
        </w:rPr>
        <w:t xml:space="preserve"> 要求达到《建筑施工安全检查标准》（JGJ59-2011）标准；承包方应切实抓好本工程安全施工工作，确保不发生一起安全事故，并应提前做好施工人员及机械设备保险办理工作；若发生人员伤亡事故，发包方将扣除承包方全部履约保证金，同时产生的一切后果由承包方承担，发包方不承担任何责任   </w:t>
      </w:r>
      <w:r>
        <w:rPr>
          <w:rFonts w:hint="eastAsia" w:ascii="仿宋" w:hAnsi="仿宋" w:eastAsia="仿宋" w:cs="仿宋"/>
          <w:color w:val="auto"/>
          <w:sz w:val="24"/>
          <w:szCs w:val="24"/>
        </w:rPr>
        <w:t>。</w:t>
      </w:r>
    </w:p>
    <w:p w14:paraId="631B7B9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6.1.4 关于治安保卫的特别约定：</w:t>
      </w:r>
      <w:r>
        <w:rPr>
          <w:rFonts w:hint="eastAsia" w:ascii="仿宋" w:hAnsi="仿宋" w:eastAsia="仿宋" w:cs="仿宋"/>
          <w:color w:val="auto"/>
          <w:sz w:val="24"/>
          <w:szCs w:val="24"/>
          <w:u w:val="single"/>
        </w:rPr>
        <w:t xml:space="preserve">  由承包人负责协调并履行治安保卫职责    </w:t>
      </w:r>
      <w:r>
        <w:rPr>
          <w:rFonts w:hint="eastAsia" w:ascii="仿宋" w:hAnsi="仿宋" w:eastAsia="仿宋" w:cs="仿宋"/>
          <w:color w:val="auto"/>
          <w:sz w:val="24"/>
          <w:szCs w:val="24"/>
        </w:rPr>
        <w:t>。</w:t>
      </w:r>
    </w:p>
    <w:p w14:paraId="272D0EA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关于编制施工场地治安管理计划的约定：</w:t>
      </w:r>
      <w:r>
        <w:rPr>
          <w:rFonts w:hint="eastAsia" w:ascii="仿宋" w:hAnsi="仿宋" w:eastAsia="仿宋" w:cs="仿宋"/>
          <w:color w:val="auto"/>
          <w:sz w:val="24"/>
          <w:szCs w:val="24"/>
          <w:u w:val="single"/>
        </w:rPr>
        <w:t xml:space="preserve">  承包人开工前三天提供施工场地治安管理计划     </w:t>
      </w:r>
      <w:r>
        <w:rPr>
          <w:rFonts w:hint="eastAsia" w:ascii="仿宋" w:hAnsi="仿宋" w:eastAsia="仿宋" w:cs="仿宋"/>
          <w:color w:val="auto"/>
          <w:sz w:val="24"/>
          <w:szCs w:val="24"/>
        </w:rPr>
        <w:t>。</w:t>
      </w:r>
    </w:p>
    <w:p w14:paraId="12F450A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6.1.5 文明施工</w:t>
      </w:r>
    </w:p>
    <w:p w14:paraId="545C662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合同当事人对文明施工的要求：</w:t>
      </w:r>
      <w:r>
        <w:rPr>
          <w:rFonts w:hint="eastAsia" w:ascii="仿宋" w:hAnsi="仿宋" w:eastAsia="仿宋" w:cs="仿宋"/>
          <w:color w:val="auto"/>
          <w:sz w:val="24"/>
          <w:szCs w:val="24"/>
          <w:u w:val="single"/>
        </w:rPr>
        <w:t xml:space="preserve">  达到《建筑施工现场环境与卫生标准》（JGJ146-2004、J375-2004），并执行通用条款  </w:t>
      </w:r>
      <w:r>
        <w:rPr>
          <w:rFonts w:hint="eastAsia" w:ascii="仿宋" w:hAnsi="仿宋" w:eastAsia="仿宋" w:cs="仿宋"/>
          <w:color w:val="auto"/>
          <w:sz w:val="24"/>
          <w:szCs w:val="24"/>
        </w:rPr>
        <w:t>。</w:t>
      </w:r>
    </w:p>
    <w:p w14:paraId="2E2C8E5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6.1.6 关于安全文明施工费支付比例和支付期限的约定：</w:t>
      </w:r>
      <w:r>
        <w:rPr>
          <w:rFonts w:hint="eastAsia" w:ascii="仿宋" w:hAnsi="仿宋" w:eastAsia="仿宋" w:cs="仿宋"/>
          <w:color w:val="auto"/>
          <w:sz w:val="24"/>
          <w:szCs w:val="24"/>
          <w:u w:val="single"/>
        </w:rPr>
        <w:t xml:space="preserve"> 按进度款支付比例进行支付 </w:t>
      </w:r>
      <w:r>
        <w:rPr>
          <w:rFonts w:hint="eastAsia" w:ascii="仿宋" w:hAnsi="仿宋" w:eastAsia="仿宋" w:cs="仿宋"/>
          <w:color w:val="auto"/>
          <w:sz w:val="24"/>
          <w:szCs w:val="24"/>
        </w:rPr>
        <w:t>。</w:t>
      </w:r>
    </w:p>
    <w:bookmarkEnd w:id="885"/>
    <w:bookmarkEnd w:id="886"/>
    <w:bookmarkEnd w:id="887"/>
    <w:bookmarkEnd w:id="888"/>
    <w:bookmarkEnd w:id="889"/>
    <w:bookmarkEnd w:id="890"/>
    <w:bookmarkEnd w:id="891"/>
    <w:p w14:paraId="0BB10FA9">
      <w:pPr>
        <w:pStyle w:val="5"/>
        <w:pageBreakBefore w:val="0"/>
        <w:kinsoku/>
        <w:overflowPunct/>
        <w:topLinePunct w:val="0"/>
        <w:bidi w:val="0"/>
        <w:spacing w:line="440" w:lineRule="exact"/>
        <w:rPr>
          <w:rFonts w:hint="eastAsia" w:ascii="仿宋" w:hAnsi="仿宋" w:eastAsia="仿宋" w:cs="仿宋"/>
          <w:color w:val="auto"/>
          <w:sz w:val="24"/>
          <w:szCs w:val="24"/>
        </w:rPr>
      </w:pPr>
      <w:bookmarkStart w:id="893" w:name="_Toc351203639"/>
      <w:r>
        <w:rPr>
          <w:rFonts w:hint="eastAsia" w:ascii="仿宋" w:hAnsi="仿宋" w:eastAsia="仿宋" w:cs="仿宋"/>
          <w:color w:val="auto"/>
          <w:sz w:val="24"/>
          <w:szCs w:val="24"/>
        </w:rPr>
        <w:t>7. 工期和进度</w:t>
      </w:r>
      <w:bookmarkEnd w:id="893"/>
    </w:p>
    <w:p w14:paraId="610B34D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7.1 施工组织设计</w:t>
      </w:r>
    </w:p>
    <w:p w14:paraId="1FD81B6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7.1.1 合</w:t>
      </w:r>
      <w:r>
        <w:rPr>
          <w:rFonts w:hint="eastAsia" w:ascii="仿宋" w:hAnsi="仿宋" w:eastAsia="仿宋" w:cs="仿宋"/>
          <w:color w:val="auto"/>
          <w:kern w:val="0"/>
          <w:sz w:val="24"/>
          <w:szCs w:val="24"/>
        </w:rPr>
        <w:t>同当事人约定的施工组织设计应包括的其他内容：</w:t>
      </w:r>
      <w:r>
        <w:rPr>
          <w:rFonts w:hint="eastAsia" w:ascii="仿宋" w:hAnsi="仿宋" w:eastAsia="仿宋" w:cs="仿宋"/>
          <w:color w:val="auto"/>
          <w:sz w:val="24"/>
          <w:szCs w:val="24"/>
          <w:u w:val="single"/>
        </w:rPr>
        <w:t xml:space="preserve"> 中标施工单位应严格按照技术标约定的劳动力需用量计划、机械设备需用量计划组织施工人材机未按照技术标约定全部到场的，按照不履行招标文件及合同约定缴纳违约金 5 万元 </w:t>
      </w:r>
      <w:r>
        <w:rPr>
          <w:rFonts w:hint="eastAsia" w:ascii="仿宋" w:hAnsi="仿宋" w:eastAsia="仿宋" w:cs="仿宋"/>
          <w:color w:val="auto"/>
          <w:sz w:val="24"/>
          <w:szCs w:val="24"/>
        </w:rPr>
        <w:t>。</w:t>
      </w:r>
    </w:p>
    <w:p w14:paraId="4875982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 xml:space="preserve">7.1.2 </w:t>
      </w:r>
      <w:r>
        <w:rPr>
          <w:rFonts w:hint="eastAsia" w:ascii="仿宋" w:hAnsi="仿宋" w:eastAsia="仿宋" w:cs="仿宋"/>
          <w:color w:val="auto"/>
          <w:kern w:val="0"/>
          <w:sz w:val="24"/>
          <w:szCs w:val="24"/>
        </w:rPr>
        <w:t>施工组织设计的提交和修改</w:t>
      </w:r>
    </w:p>
    <w:p w14:paraId="0658E8E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承包人提交详细施工组织设计的期限的约定：</w:t>
      </w:r>
      <w:r>
        <w:rPr>
          <w:rFonts w:hint="eastAsia" w:ascii="仿宋" w:hAnsi="仿宋" w:eastAsia="仿宋" w:cs="仿宋"/>
          <w:color w:val="auto"/>
          <w:sz w:val="24"/>
          <w:szCs w:val="24"/>
          <w:u w:val="single"/>
        </w:rPr>
        <w:t xml:space="preserve">  开工前三天 </w:t>
      </w:r>
      <w:r>
        <w:rPr>
          <w:rFonts w:hint="eastAsia" w:ascii="仿宋" w:hAnsi="仿宋" w:eastAsia="仿宋" w:cs="仿宋"/>
          <w:color w:val="auto"/>
          <w:sz w:val="24"/>
          <w:szCs w:val="24"/>
        </w:rPr>
        <w:t>。</w:t>
      </w:r>
    </w:p>
    <w:p w14:paraId="5554B25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发包人和监理人在收到详细的施工组织设计后确认或提出修改意见的期限：</w:t>
      </w:r>
      <w:r>
        <w:rPr>
          <w:rFonts w:hint="eastAsia" w:ascii="仿宋" w:hAnsi="仿宋" w:eastAsia="仿宋" w:cs="仿宋"/>
          <w:color w:val="auto"/>
          <w:sz w:val="24"/>
          <w:szCs w:val="24"/>
          <w:u w:val="single"/>
        </w:rPr>
        <w:t xml:space="preserve">    收到后 7 天内           </w:t>
      </w:r>
      <w:r>
        <w:rPr>
          <w:rFonts w:hint="eastAsia" w:ascii="仿宋" w:hAnsi="仿宋" w:eastAsia="仿宋" w:cs="仿宋"/>
          <w:color w:val="auto"/>
          <w:sz w:val="24"/>
          <w:szCs w:val="24"/>
        </w:rPr>
        <w:t>。</w:t>
      </w:r>
    </w:p>
    <w:p w14:paraId="5F7B059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w:t>
      </w:r>
      <w:bookmarkStart w:id="894" w:name="_Toc312677479"/>
      <w:bookmarkStart w:id="895" w:name="_Toc297123514"/>
      <w:bookmarkStart w:id="896" w:name="_Toc300934966"/>
      <w:bookmarkStart w:id="897" w:name="_Toc312678005"/>
      <w:bookmarkStart w:id="898" w:name="_Toc304295541"/>
      <w:bookmarkStart w:id="899" w:name="_Toc297216173"/>
      <w:bookmarkStart w:id="900" w:name="_Toc303539123"/>
      <w:r>
        <w:rPr>
          <w:rFonts w:hint="eastAsia" w:ascii="仿宋" w:hAnsi="仿宋" w:eastAsia="仿宋" w:cs="仿宋"/>
          <w:color w:val="auto"/>
          <w:sz w:val="24"/>
          <w:szCs w:val="24"/>
        </w:rPr>
        <w:t>.2 施工进度计划</w:t>
      </w:r>
    </w:p>
    <w:p w14:paraId="587C833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7.2.2 施工进度计划的修订</w:t>
      </w:r>
    </w:p>
    <w:p w14:paraId="2B6680E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发包人和监理人在收到修订的施工进度计划后确认或提出修改意见的期限：</w:t>
      </w:r>
      <w:r>
        <w:rPr>
          <w:rFonts w:hint="eastAsia" w:ascii="仿宋" w:hAnsi="仿宋" w:eastAsia="仿宋" w:cs="仿宋"/>
          <w:color w:val="auto"/>
          <w:sz w:val="24"/>
          <w:szCs w:val="24"/>
          <w:u w:val="single"/>
        </w:rPr>
        <w:t xml:space="preserve">         收到后 7 天内                      </w:t>
      </w:r>
      <w:r>
        <w:rPr>
          <w:rFonts w:hint="eastAsia" w:ascii="仿宋" w:hAnsi="仿宋" w:eastAsia="仿宋" w:cs="仿宋"/>
          <w:color w:val="auto"/>
          <w:sz w:val="24"/>
          <w:szCs w:val="24"/>
        </w:rPr>
        <w:t>。</w:t>
      </w:r>
    </w:p>
    <w:p w14:paraId="55D08D0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7.3 开工</w:t>
      </w:r>
    </w:p>
    <w:p w14:paraId="3612A09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7.3.1 开工准备</w:t>
      </w:r>
    </w:p>
    <w:p w14:paraId="6E355A3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关于承包人提交</w:t>
      </w:r>
      <w:r>
        <w:rPr>
          <w:rFonts w:hint="eastAsia" w:ascii="仿宋" w:hAnsi="仿宋" w:eastAsia="仿宋" w:cs="仿宋"/>
          <w:color w:val="auto"/>
          <w:kern w:val="0"/>
          <w:sz w:val="24"/>
          <w:szCs w:val="24"/>
        </w:rPr>
        <w:t>工程开工报审表的期限：</w:t>
      </w:r>
      <w:r>
        <w:rPr>
          <w:rFonts w:hint="eastAsia" w:ascii="仿宋" w:hAnsi="仿宋" w:eastAsia="仿宋" w:cs="仿宋"/>
          <w:color w:val="auto"/>
          <w:sz w:val="24"/>
          <w:szCs w:val="24"/>
          <w:u w:val="single"/>
        </w:rPr>
        <w:t xml:space="preserve"> 合同签订后、开工之前 7 日 </w:t>
      </w:r>
      <w:r>
        <w:rPr>
          <w:rFonts w:hint="eastAsia" w:ascii="仿宋" w:hAnsi="仿宋" w:eastAsia="仿宋" w:cs="仿宋"/>
          <w:color w:val="auto"/>
          <w:sz w:val="24"/>
          <w:szCs w:val="24"/>
        </w:rPr>
        <w:t>。</w:t>
      </w:r>
    </w:p>
    <w:p w14:paraId="5596371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关于发包人应完成的其他开工准备工作及期限：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FF1E90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关于承包人应完成的其他开工准备工作及期限：</w:t>
      </w:r>
      <w:r>
        <w:rPr>
          <w:rFonts w:hint="eastAsia" w:ascii="仿宋" w:hAnsi="仿宋" w:eastAsia="仿宋" w:cs="仿宋"/>
          <w:color w:val="auto"/>
          <w:sz w:val="24"/>
          <w:szCs w:val="24"/>
          <w:u w:val="single"/>
        </w:rPr>
        <w:t xml:space="preserve"> 中标施工单位项目经理、项目管理人员、施工人员必须按照投标文件约定到场，并应严格按照技术标约定的劳动力需用量计划、机械设备需用量</w:t>
      </w:r>
    </w:p>
    <w:p w14:paraId="37B7AEF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计划组织施工    </w:t>
      </w:r>
      <w:r>
        <w:rPr>
          <w:rFonts w:hint="eastAsia" w:ascii="仿宋" w:hAnsi="仿宋" w:eastAsia="仿宋" w:cs="仿宋"/>
          <w:color w:val="auto"/>
          <w:sz w:val="24"/>
          <w:szCs w:val="24"/>
        </w:rPr>
        <w:t>。</w:t>
      </w:r>
    </w:p>
    <w:p w14:paraId="2A7C633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7.3.2开工通知</w:t>
      </w:r>
    </w:p>
    <w:p w14:paraId="698A28C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因发包人原因造成监理人未能在计划开工日期之日起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天内发出开工通知的，承包人有权提出价格调整要求，或者解除合同。</w:t>
      </w:r>
    </w:p>
    <w:bookmarkEnd w:id="894"/>
    <w:bookmarkEnd w:id="895"/>
    <w:bookmarkEnd w:id="896"/>
    <w:bookmarkEnd w:id="897"/>
    <w:bookmarkEnd w:id="898"/>
    <w:bookmarkEnd w:id="899"/>
    <w:bookmarkEnd w:id="900"/>
    <w:p w14:paraId="1F0C2F1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7.4 测量放线</w:t>
      </w:r>
    </w:p>
    <w:p w14:paraId="01C92D1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7.4.1发包人通过监理人向承包人提供测量基准点、基准线和水准点及其书面资料的期限：</w:t>
      </w:r>
      <w:r>
        <w:rPr>
          <w:rFonts w:hint="eastAsia" w:ascii="仿宋" w:hAnsi="仿宋" w:eastAsia="仿宋" w:cs="仿宋"/>
          <w:color w:val="auto"/>
          <w:sz w:val="24"/>
          <w:szCs w:val="24"/>
          <w:u w:val="single"/>
        </w:rPr>
        <w:t xml:space="preserve"> 开工三日内在施工现场进行交验，由承包方做好校验和保护；承包人应根据国家测绘基准，测绘系统和工程测量技术规范，按上述基准点（线）以及合同工程精度要求，测设施工控制网，并在专用条款约定的期限内，将施工控制网资料报送发包人和监理人审批  </w:t>
      </w:r>
      <w:r>
        <w:rPr>
          <w:rFonts w:hint="eastAsia" w:ascii="仿宋" w:hAnsi="仿宋" w:eastAsia="仿宋" w:cs="仿宋"/>
          <w:color w:val="auto"/>
          <w:sz w:val="24"/>
          <w:szCs w:val="24"/>
        </w:rPr>
        <w:t>。</w:t>
      </w:r>
    </w:p>
    <w:p w14:paraId="3218355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w:t>
      </w:r>
      <w:bookmarkStart w:id="901" w:name="_Toc297123516"/>
      <w:bookmarkStart w:id="902" w:name="_Toc304295546"/>
      <w:bookmarkStart w:id="903" w:name="_Toc303539125"/>
      <w:bookmarkStart w:id="904" w:name="_Toc312677484"/>
      <w:bookmarkStart w:id="905" w:name="_Toc297216175"/>
      <w:bookmarkStart w:id="906" w:name="_Toc312678010"/>
      <w:bookmarkStart w:id="907" w:name="_Toc300934968"/>
      <w:r>
        <w:rPr>
          <w:rFonts w:hint="eastAsia" w:ascii="仿宋" w:hAnsi="仿宋" w:eastAsia="仿宋" w:cs="仿宋"/>
          <w:color w:val="auto"/>
          <w:sz w:val="24"/>
          <w:szCs w:val="24"/>
        </w:rPr>
        <w:t>.5 工期延误</w:t>
      </w:r>
    </w:p>
    <w:bookmarkEnd w:id="901"/>
    <w:bookmarkEnd w:id="902"/>
    <w:bookmarkEnd w:id="903"/>
    <w:bookmarkEnd w:id="904"/>
    <w:bookmarkEnd w:id="905"/>
    <w:bookmarkEnd w:id="906"/>
    <w:bookmarkEnd w:id="907"/>
    <w:p w14:paraId="3B4B6EE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7.5.1 因发包人原因导致工期延误</w:t>
      </w:r>
    </w:p>
    <w:p w14:paraId="478473D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（7）因发包人原因导致工期延误的其他情形：</w:t>
      </w:r>
      <w:r>
        <w:rPr>
          <w:rFonts w:hint="eastAsia" w:ascii="仿宋" w:hAnsi="仿宋" w:eastAsia="仿宋" w:cs="仿宋"/>
          <w:color w:val="auto"/>
          <w:sz w:val="24"/>
          <w:szCs w:val="24"/>
          <w:u w:val="single"/>
        </w:rPr>
        <w:t xml:space="preserve"> 非发包方原因，工期不顺延；因政策处理问题影响施工进度，不可抗力原因影响工程进度，需在发现后七日内办理签证，逾期不予认可 </w:t>
      </w:r>
      <w:r>
        <w:rPr>
          <w:rFonts w:hint="eastAsia" w:ascii="仿宋" w:hAnsi="仿宋" w:eastAsia="仿宋" w:cs="仿宋"/>
          <w:color w:val="auto"/>
          <w:sz w:val="24"/>
          <w:szCs w:val="24"/>
        </w:rPr>
        <w:t>。</w:t>
      </w:r>
    </w:p>
    <w:p w14:paraId="0C43071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w:t>
      </w:r>
      <w:bookmarkStart w:id="908" w:name="_Toc318581169"/>
      <w:bookmarkStart w:id="909" w:name="_Toc312677486"/>
      <w:bookmarkStart w:id="910" w:name="_Toc312678012"/>
      <w:bookmarkStart w:id="911" w:name="_Toc304295548"/>
      <w:bookmarkStart w:id="912" w:name="_Toc300934970"/>
      <w:bookmarkStart w:id="913" w:name="_Toc297216177"/>
      <w:bookmarkStart w:id="914" w:name="_Toc297123518"/>
      <w:bookmarkStart w:id="915" w:name="_Toc303539127"/>
      <w:r>
        <w:rPr>
          <w:rFonts w:hint="eastAsia" w:ascii="仿宋" w:hAnsi="仿宋" w:eastAsia="仿宋" w:cs="仿宋"/>
          <w:color w:val="auto"/>
          <w:sz w:val="24"/>
          <w:szCs w:val="24"/>
        </w:rPr>
        <w:t>.5.2 因承包人原因导致工期延误</w:t>
      </w:r>
    </w:p>
    <w:bookmarkEnd w:id="908"/>
    <w:bookmarkEnd w:id="909"/>
    <w:bookmarkEnd w:id="910"/>
    <w:p w14:paraId="6FEB953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因</w:t>
      </w:r>
      <w:bookmarkStart w:id="916" w:name="_Toc312677487"/>
      <w:bookmarkStart w:id="917" w:name="_Toc312678013"/>
      <w:bookmarkStart w:id="918" w:name="_Toc318581170"/>
      <w:r>
        <w:rPr>
          <w:rFonts w:hint="eastAsia" w:ascii="仿宋" w:hAnsi="仿宋" w:eastAsia="仿宋" w:cs="仿宋"/>
          <w:color w:val="auto"/>
          <w:sz w:val="24"/>
          <w:szCs w:val="24"/>
        </w:rPr>
        <w:t>承包人原因造成工期延误，逾期竣工违约金的计算方法为：</w:t>
      </w:r>
    </w:p>
    <w:p w14:paraId="61A1E88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i w:val="0"/>
          <w:iCs w:val="0"/>
          <w:color w:val="auto"/>
          <w:sz w:val="24"/>
          <w:szCs w:val="24"/>
          <w:u w:val="single"/>
          <w:lang w:val="en-US" w:eastAsia="zh-CN"/>
        </w:rPr>
      </w:pPr>
      <w:r>
        <w:rPr>
          <w:rFonts w:hint="eastAsia" w:ascii="仿宋" w:hAnsi="仿宋" w:eastAsia="仿宋" w:cs="仿宋"/>
          <w:i w:val="0"/>
          <w:iCs w:val="0"/>
          <w:color w:val="auto"/>
          <w:sz w:val="24"/>
          <w:szCs w:val="24"/>
          <w:u w:val="single"/>
        </w:rPr>
        <w:t>按照合同工期，每延误或停工一天，应向发包人偿付违约金壹万元整，发包人有权将投标报价中计取的赶工期措施费扣除，同时，承包人还得赔偿由于延误或停工给发包人造成的其它损失；延误或停工超过30日以上的</w:t>
      </w:r>
      <w:r>
        <w:rPr>
          <w:rFonts w:hint="eastAsia" w:ascii="仿宋" w:hAnsi="仿宋" w:eastAsia="仿宋" w:cs="仿宋"/>
          <w:i w:val="0"/>
          <w:iCs w:val="0"/>
          <w:color w:val="auto"/>
          <w:sz w:val="24"/>
          <w:szCs w:val="24"/>
          <w:u w:val="single"/>
          <w:lang w:val="en-US" w:eastAsia="zh-CN"/>
        </w:rPr>
        <w:t>或有其他违约行为导致合同目的无法实现的</w:t>
      </w:r>
      <w:r>
        <w:rPr>
          <w:rFonts w:hint="eastAsia" w:ascii="仿宋" w:hAnsi="仿宋" w:eastAsia="仿宋" w:cs="仿宋"/>
          <w:i w:val="0"/>
          <w:iCs w:val="0"/>
          <w:color w:val="auto"/>
          <w:sz w:val="24"/>
          <w:szCs w:val="24"/>
          <w:u w:val="single"/>
        </w:rPr>
        <w:t>，发包人有权解除本合同，承包人应按签约合同总价款的20%向发包人偿付违约金</w:t>
      </w:r>
      <w:r>
        <w:rPr>
          <w:rFonts w:hint="eastAsia" w:ascii="仿宋" w:hAnsi="仿宋" w:eastAsia="仿宋" w:cs="仿宋"/>
          <w:i w:val="0"/>
          <w:iCs w:val="0"/>
          <w:color w:val="auto"/>
          <w:sz w:val="24"/>
          <w:szCs w:val="24"/>
          <w:u w:val="single"/>
          <w:lang w:eastAsia="zh-CN"/>
        </w:rPr>
        <w:t>，</w:t>
      </w:r>
      <w:r>
        <w:rPr>
          <w:rFonts w:hint="eastAsia" w:ascii="仿宋" w:hAnsi="仿宋" w:eastAsia="仿宋" w:cs="仿宋"/>
          <w:i w:val="0"/>
          <w:iCs w:val="0"/>
          <w:color w:val="auto"/>
          <w:sz w:val="24"/>
          <w:szCs w:val="24"/>
          <w:u w:val="single"/>
        </w:rPr>
        <w:t>如发包人不解除合同的，则承包人继续按本条约定向发包人偿付逾期违约金。</w:t>
      </w:r>
      <w:bookmarkEnd w:id="911"/>
      <w:bookmarkEnd w:id="912"/>
      <w:bookmarkEnd w:id="913"/>
      <w:bookmarkEnd w:id="914"/>
      <w:bookmarkEnd w:id="915"/>
      <w:bookmarkEnd w:id="916"/>
      <w:bookmarkEnd w:id="917"/>
      <w:r>
        <w:rPr>
          <w:rFonts w:hint="eastAsia" w:ascii="仿宋" w:hAnsi="仿宋" w:eastAsia="仿宋" w:cs="仿宋"/>
          <w:i w:val="0"/>
          <w:iCs w:val="0"/>
          <w:color w:val="auto"/>
          <w:sz w:val="24"/>
          <w:szCs w:val="24"/>
          <w:u w:val="single"/>
          <w:lang w:val="en-US" w:eastAsia="zh-CN"/>
        </w:rPr>
        <w:t>甲方行使合同解除权的期限为三年。</w:t>
      </w:r>
    </w:p>
    <w:bookmarkEnd w:id="918"/>
    <w:p w14:paraId="6B4C7FA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因承包人原因造成工期延误</w:t>
      </w:r>
      <w:r>
        <w:rPr>
          <w:rFonts w:hint="eastAsia" w:ascii="仿宋" w:hAnsi="仿宋" w:eastAsia="仿宋" w:cs="仿宋"/>
          <w:i w:val="0"/>
          <w:iCs w:val="0"/>
          <w:color w:val="auto"/>
          <w:sz w:val="24"/>
          <w:szCs w:val="24"/>
          <w:lang w:val="en-US" w:eastAsia="zh-CN"/>
        </w:rPr>
        <w:t>或擅自停工的</w:t>
      </w:r>
      <w:r>
        <w:rPr>
          <w:rFonts w:hint="eastAsia" w:ascii="仿宋" w:hAnsi="仿宋" w:eastAsia="仿宋" w:cs="仿宋"/>
          <w:i w:val="0"/>
          <w:iCs w:val="0"/>
          <w:color w:val="auto"/>
          <w:sz w:val="24"/>
          <w:szCs w:val="24"/>
        </w:rPr>
        <w:t>，逾</w:t>
      </w:r>
      <w:bookmarkStart w:id="919" w:name="_Toc312678014"/>
      <w:bookmarkStart w:id="920" w:name="_Toc318581171"/>
      <w:r>
        <w:rPr>
          <w:rFonts w:hint="eastAsia" w:ascii="仿宋" w:hAnsi="仿宋" w:eastAsia="仿宋" w:cs="仿宋"/>
          <w:i w:val="0"/>
          <w:iCs w:val="0"/>
          <w:color w:val="auto"/>
          <w:sz w:val="24"/>
          <w:szCs w:val="24"/>
        </w:rPr>
        <w:t>期违约金</w:t>
      </w:r>
      <w:r>
        <w:rPr>
          <w:rFonts w:hint="eastAsia" w:ascii="仿宋" w:hAnsi="仿宋" w:eastAsia="仿宋" w:cs="仿宋"/>
          <w:color w:val="auto"/>
          <w:sz w:val="24"/>
          <w:szCs w:val="24"/>
        </w:rPr>
        <w:t>的上限：</w:t>
      </w:r>
      <w:r>
        <w:rPr>
          <w:rFonts w:hint="eastAsia" w:ascii="仿宋" w:hAnsi="仿宋" w:eastAsia="仿宋" w:cs="仿宋"/>
          <w:color w:val="auto"/>
          <w:sz w:val="24"/>
          <w:szCs w:val="24"/>
          <w:u w:val="single"/>
        </w:rPr>
        <w:t xml:space="preserve"> 总额不超过合同价款的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0% </w:t>
      </w:r>
      <w:r>
        <w:rPr>
          <w:rFonts w:hint="eastAsia" w:ascii="仿宋" w:hAnsi="仿宋" w:eastAsia="仿宋" w:cs="仿宋"/>
          <w:color w:val="auto"/>
          <w:sz w:val="24"/>
          <w:szCs w:val="24"/>
        </w:rPr>
        <w:t>。</w:t>
      </w:r>
    </w:p>
    <w:bookmarkEnd w:id="919"/>
    <w:bookmarkEnd w:id="920"/>
    <w:p w14:paraId="45F9DA4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w:t>
      </w:r>
      <w:bookmarkStart w:id="921" w:name="_Toc300934971"/>
      <w:bookmarkStart w:id="922" w:name="_Toc297123519"/>
      <w:bookmarkStart w:id="923" w:name="_Toc304295549"/>
      <w:bookmarkStart w:id="924" w:name="_Toc303539128"/>
      <w:bookmarkStart w:id="925" w:name="_Toc297216178"/>
      <w:bookmarkStart w:id="926" w:name="_Toc312678015"/>
      <w:r>
        <w:rPr>
          <w:rFonts w:hint="eastAsia" w:ascii="仿宋" w:hAnsi="仿宋" w:eastAsia="仿宋" w:cs="仿宋"/>
          <w:color w:val="auto"/>
          <w:sz w:val="24"/>
          <w:szCs w:val="24"/>
        </w:rPr>
        <w:t>.6 不</w:t>
      </w:r>
      <w:bookmarkEnd w:id="921"/>
      <w:bookmarkEnd w:id="922"/>
      <w:bookmarkEnd w:id="923"/>
      <w:bookmarkEnd w:id="924"/>
      <w:bookmarkEnd w:id="925"/>
      <w:bookmarkEnd w:id="926"/>
      <w:r>
        <w:rPr>
          <w:rFonts w:hint="eastAsia" w:ascii="仿宋" w:hAnsi="仿宋" w:eastAsia="仿宋" w:cs="仿宋"/>
          <w:color w:val="auto"/>
          <w:sz w:val="24"/>
          <w:szCs w:val="24"/>
        </w:rPr>
        <w:t>利物质条件</w:t>
      </w:r>
    </w:p>
    <w:p w14:paraId="6DB7A52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bookmarkStart w:id="927" w:name="_Toc318581172"/>
      <w:bookmarkStart w:id="928" w:name="_Toc297123520"/>
      <w:bookmarkStart w:id="929" w:name="_Toc304295550"/>
      <w:bookmarkStart w:id="930" w:name="_Toc300934972"/>
      <w:bookmarkStart w:id="931" w:name="_Toc297216179"/>
      <w:bookmarkStart w:id="932" w:name="_Toc303539129"/>
      <w:bookmarkStart w:id="933" w:name="_Toc312678016"/>
      <w:r>
        <w:rPr>
          <w:rFonts w:hint="eastAsia" w:ascii="仿宋" w:hAnsi="仿宋" w:eastAsia="仿宋" w:cs="仿宋"/>
          <w:color w:val="auto"/>
          <w:sz w:val="24"/>
          <w:szCs w:val="24"/>
        </w:rPr>
        <w:t>不利物质条件的其他情形和有关约定：</w:t>
      </w:r>
      <w:r>
        <w:rPr>
          <w:rFonts w:hint="eastAsia" w:ascii="仿宋" w:hAnsi="仿宋" w:eastAsia="仿宋" w:cs="仿宋"/>
          <w:color w:val="auto"/>
          <w:sz w:val="24"/>
          <w:szCs w:val="24"/>
          <w:u w:val="single"/>
        </w:rPr>
        <w:t xml:space="preserve">   执行通用条款执行通用条款       </w:t>
      </w:r>
      <w:r>
        <w:rPr>
          <w:rFonts w:hint="eastAsia" w:ascii="仿宋" w:hAnsi="仿宋" w:eastAsia="仿宋" w:cs="仿宋"/>
          <w:color w:val="auto"/>
          <w:sz w:val="24"/>
          <w:szCs w:val="24"/>
        </w:rPr>
        <w:t>。</w:t>
      </w:r>
    </w:p>
    <w:bookmarkEnd w:id="927"/>
    <w:bookmarkEnd w:id="928"/>
    <w:bookmarkEnd w:id="929"/>
    <w:bookmarkEnd w:id="930"/>
    <w:bookmarkEnd w:id="931"/>
    <w:bookmarkEnd w:id="932"/>
    <w:bookmarkEnd w:id="933"/>
    <w:p w14:paraId="6599820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w:t>
      </w:r>
      <w:bookmarkStart w:id="934" w:name="_Toc300934973"/>
      <w:bookmarkStart w:id="935" w:name="_Toc297216180"/>
      <w:bookmarkStart w:id="936" w:name="_Toc297123521"/>
      <w:bookmarkStart w:id="937" w:name="_Toc303539130"/>
      <w:bookmarkStart w:id="938" w:name="_Toc312678017"/>
      <w:bookmarkStart w:id="939" w:name="_Toc304295551"/>
      <w:r>
        <w:rPr>
          <w:rFonts w:hint="eastAsia" w:ascii="仿宋" w:hAnsi="仿宋" w:eastAsia="仿宋" w:cs="仿宋"/>
          <w:color w:val="auto"/>
          <w:sz w:val="24"/>
          <w:szCs w:val="24"/>
        </w:rPr>
        <w:t>.7异常恶劣的气候条件</w:t>
      </w:r>
    </w:p>
    <w:bookmarkEnd w:id="934"/>
    <w:bookmarkEnd w:id="935"/>
    <w:bookmarkEnd w:id="936"/>
    <w:bookmarkEnd w:id="937"/>
    <w:bookmarkEnd w:id="938"/>
    <w:bookmarkEnd w:id="939"/>
    <w:p w14:paraId="692081F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发包人和承包人同意以下情形视为异常恶劣的气候条件：</w:t>
      </w:r>
    </w:p>
    <w:p w14:paraId="0599B0D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u w:val="single"/>
        </w:rPr>
        <w:t xml:space="preserve">  气象部门发布的暴雨、大风、沙尘等不适合施工的天气灾害 </w:t>
      </w:r>
      <w:r>
        <w:rPr>
          <w:rFonts w:hint="eastAsia" w:ascii="仿宋" w:hAnsi="仿宋" w:eastAsia="仿宋" w:cs="仿宋"/>
          <w:color w:val="auto"/>
          <w:sz w:val="24"/>
          <w:szCs w:val="24"/>
        </w:rPr>
        <w:t>；</w:t>
      </w:r>
    </w:p>
    <w:p w14:paraId="7A20ED7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4F08606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42AA5E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7.9 提前竣工的奖励</w:t>
      </w:r>
    </w:p>
    <w:p w14:paraId="552EB7F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7.9.2提前竣工的奖励：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347029E5">
      <w:pPr>
        <w:pStyle w:val="5"/>
        <w:pageBreakBefore w:val="0"/>
        <w:kinsoku/>
        <w:overflowPunct/>
        <w:topLinePunct w:val="0"/>
        <w:bidi w:val="0"/>
        <w:spacing w:line="440" w:lineRule="exact"/>
        <w:rPr>
          <w:rFonts w:hint="eastAsia" w:ascii="仿宋" w:hAnsi="仿宋" w:eastAsia="仿宋" w:cs="仿宋"/>
          <w:color w:val="auto"/>
          <w:sz w:val="24"/>
          <w:szCs w:val="24"/>
        </w:rPr>
      </w:pPr>
      <w:bookmarkStart w:id="940" w:name="_Toc351203640"/>
      <w:r>
        <w:rPr>
          <w:rFonts w:hint="eastAsia" w:ascii="仿宋" w:hAnsi="仿宋" w:eastAsia="仿宋" w:cs="仿宋"/>
          <w:color w:val="auto"/>
          <w:sz w:val="24"/>
          <w:szCs w:val="24"/>
        </w:rPr>
        <w:t>8. 材料与设备</w:t>
      </w:r>
      <w:bookmarkEnd w:id="940"/>
    </w:p>
    <w:bookmarkEnd w:id="875"/>
    <w:bookmarkEnd w:id="876"/>
    <w:bookmarkEnd w:id="877"/>
    <w:bookmarkEnd w:id="878"/>
    <w:bookmarkEnd w:id="879"/>
    <w:bookmarkEnd w:id="880"/>
    <w:bookmarkEnd w:id="881"/>
    <w:bookmarkEnd w:id="882"/>
    <w:bookmarkEnd w:id="883"/>
    <w:bookmarkEnd w:id="884"/>
    <w:p w14:paraId="61B92EA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8</w:t>
      </w:r>
      <w:bookmarkStart w:id="941" w:name="_Toc296944506"/>
      <w:bookmarkStart w:id="942" w:name="_Toc297216186"/>
      <w:bookmarkStart w:id="943" w:name="_Toc292559877"/>
      <w:bookmarkStart w:id="944" w:name="_Toc300934979"/>
      <w:bookmarkStart w:id="945" w:name="_Toc304295556"/>
      <w:bookmarkStart w:id="946" w:name="_Toc312678019"/>
      <w:bookmarkStart w:id="947" w:name="_Toc297123527"/>
      <w:bookmarkStart w:id="948" w:name="_Toc280868654"/>
      <w:bookmarkStart w:id="949" w:name="_Toc296890995"/>
      <w:bookmarkStart w:id="950" w:name="_Toc292559372"/>
      <w:bookmarkStart w:id="951" w:name="_Toc312677493"/>
      <w:bookmarkStart w:id="952" w:name="_Toc297120467"/>
      <w:bookmarkStart w:id="953" w:name="_Toc296346668"/>
      <w:bookmarkStart w:id="954" w:name="_Toc296891207"/>
      <w:bookmarkStart w:id="955" w:name="_Toc296503167"/>
      <w:bookmarkStart w:id="956" w:name="_Toc303539136"/>
      <w:bookmarkStart w:id="957" w:name="_Toc296347166"/>
      <w:bookmarkStart w:id="958" w:name="_Toc297048353"/>
      <w:bookmarkStart w:id="959" w:name="_Toc280868655"/>
      <w:bookmarkStart w:id="960" w:name="_Toc267251424"/>
      <w:bookmarkStart w:id="961" w:name="_Toc280868656"/>
      <w:r>
        <w:rPr>
          <w:rFonts w:hint="eastAsia" w:ascii="仿宋" w:hAnsi="仿宋" w:eastAsia="仿宋" w:cs="仿宋"/>
          <w:color w:val="auto"/>
          <w:sz w:val="24"/>
          <w:szCs w:val="24"/>
        </w:rPr>
        <w:t>.4材料与工程设备的保管与使用</w:t>
      </w:r>
    </w:p>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p w14:paraId="4715E1E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8</w:t>
      </w:r>
      <w:bookmarkStart w:id="962" w:name="_Toc292559373"/>
      <w:bookmarkStart w:id="963" w:name="_Toc292559878"/>
      <w:bookmarkStart w:id="964" w:name="_Toc300934980"/>
      <w:bookmarkStart w:id="965" w:name="_Toc304295557"/>
      <w:bookmarkStart w:id="966" w:name="_Toc312678020"/>
      <w:bookmarkStart w:id="967" w:name="_Toc297048354"/>
      <w:bookmarkStart w:id="968" w:name="_Toc297123528"/>
      <w:bookmarkStart w:id="969" w:name="_Toc296346669"/>
      <w:bookmarkStart w:id="970" w:name="_Toc296890996"/>
      <w:bookmarkStart w:id="971" w:name="_Toc296944507"/>
      <w:bookmarkStart w:id="972" w:name="_Toc296503168"/>
      <w:bookmarkStart w:id="973" w:name="_Toc318581173"/>
      <w:bookmarkStart w:id="974" w:name="_Toc297120468"/>
      <w:bookmarkStart w:id="975" w:name="_Toc297216187"/>
      <w:bookmarkStart w:id="976" w:name="_Toc312677494"/>
      <w:bookmarkStart w:id="977" w:name="_Toc296891208"/>
      <w:bookmarkStart w:id="978" w:name="_Toc296347167"/>
      <w:bookmarkStart w:id="979" w:name="_Toc303539137"/>
      <w:r>
        <w:rPr>
          <w:rFonts w:hint="eastAsia" w:ascii="仿宋" w:hAnsi="仿宋" w:eastAsia="仿宋" w:cs="仿宋"/>
          <w:color w:val="auto"/>
          <w:sz w:val="24"/>
          <w:szCs w:val="24"/>
        </w:rPr>
        <w:t>.4.1发包人供应的材料设备的保管费用的承担：</w:t>
      </w:r>
      <w:r>
        <w:rPr>
          <w:rFonts w:hint="eastAsia" w:ascii="仿宋" w:hAnsi="仿宋" w:eastAsia="仿宋" w:cs="仿宋"/>
          <w:color w:val="auto"/>
          <w:sz w:val="24"/>
          <w:szCs w:val="24"/>
          <w:u w:val="single"/>
        </w:rPr>
        <w:t xml:space="preserve">   由承包人承担，费用含在合同价中    </w:t>
      </w:r>
      <w:r>
        <w:rPr>
          <w:rFonts w:hint="eastAsia" w:ascii="仿宋" w:hAnsi="仿宋" w:eastAsia="仿宋" w:cs="仿宋"/>
          <w:color w:val="auto"/>
          <w:sz w:val="24"/>
          <w:szCs w:val="24"/>
        </w:rPr>
        <w:t>。</w:t>
      </w:r>
      <w:bookmarkEnd w:id="962"/>
      <w:bookmarkEnd w:id="963"/>
    </w:p>
    <w:p w14:paraId="2FED300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8.6 样品</w:t>
      </w:r>
    </w:p>
    <w:p w14:paraId="038CA42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8.6.1</w:t>
      </w:r>
      <w:r>
        <w:rPr>
          <w:rFonts w:hint="eastAsia" w:ascii="仿宋" w:hAnsi="仿宋" w:eastAsia="仿宋" w:cs="仿宋"/>
          <w:color w:val="auto"/>
          <w:kern w:val="0"/>
          <w:sz w:val="24"/>
          <w:szCs w:val="24"/>
        </w:rPr>
        <w:tab/>
      </w:r>
      <w:r>
        <w:rPr>
          <w:rFonts w:hint="eastAsia" w:ascii="仿宋" w:hAnsi="仿宋" w:eastAsia="仿宋" w:cs="仿宋"/>
          <w:color w:val="auto"/>
          <w:kern w:val="0"/>
          <w:sz w:val="24"/>
          <w:szCs w:val="24"/>
        </w:rPr>
        <w:t>样品的报送与封存</w:t>
      </w:r>
    </w:p>
    <w:p w14:paraId="6287D99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需要承包人报送样品的材料或工程设备，样品的种类、名称、规格、数量要求：</w:t>
      </w:r>
      <w:r>
        <w:rPr>
          <w:rFonts w:hint="eastAsia" w:ascii="仿宋" w:hAnsi="仿宋" w:eastAsia="仿宋" w:cs="仿宋"/>
          <w:color w:val="auto"/>
          <w:sz w:val="24"/>
          <w:szCs w:val="24"/>
          <w:u w:val="single"/>
        </w:rPr>
        <w:t xml:space="preserve">  按管理部门要求和发包人需求确定    </w:t>
      </w:r>
      <w:r>
        <w:rPr>
          <w:rFonts w:hint="eastAsia" w:ascii="仿宋" w:hAnsi="仿宋" w:eastAsia="仿宋" w:cs="仿宋"/>
          <w:color w:val="auto"/>
          <w:sz w:val="24"/>
          <w:szCs w:val="24"/>
        </w:rPr>
        <w:t>。</w:t>
      </w:r>
    </w:p>
    <w:p w14:paraId="42A9A31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8.8 施工设备和临时设施</w:t>
      </w:r>
    </w:p>
    <w:p w14:paraId="6507EFD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8.8.1 承包人提供的施工设备和临时设施</w:t>
      </w:r>
    </w:p>
    <w:p w14:paraId="1E724EE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关于修建临时设施费用承担的约定：</w:t>
      </w:r>
      <w:r>
        <w:rPr>
          <w:rFonts w:hint="eastAsia" w:ascii="仿宋" w:hAnsi="仿宋" w:eastAsia="仿宋" w:cs="仿宋"/>
          <w:color w:val="auto"/>
          <w:sz w:val="24"/>
          <w:szCs w:val="24"/>
          <w:u w:val="single"/>
        </w:rPr>
        <w:t xml:space="preserve">  由承包人承担，费用包含在合同价中   </w:t>
      </w:r>
      <w:r>
        <w:rPr>
          <w:rFonts w:hint="eastAsia" w:ascii="仿宋" w:hAnsi="仿宋" w:eastAsia="仿宋" w:cs="仿宋"/>
          <w:color w:val="auto"/>
          <w:sz w:val="24"/>
          <w:szCs w:val="24"/>
        </w:rPr>
        <w:t>。</w:t>
      </w:r>
    </w:p>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p w14:paraId="2FCBB423">
      <w:pPr>
        <w:pStyle w:val="5"/>
        <w:pageBreakBefore w:val="0"/>
        <w:kinsoku/>
        <w:overflowPunct/>
        <w:topLinePunct w:val="0"/>
        <w:bidi w:val="0"/>
        <w:spacing w:line="440" w:lineRule="exact"/>
        <w:rPr>
          <w:rFonts w:hint="eastAsia" w:ascii="仿宋" w:hAnsi="仿宋" w:eastAsia="仿宋" w:cs="仿宋"/>
          <w:color w:val="auto"/>
          <w:sz w:val="24"/>
          <w:szCs w:val="24"/>
        </w:rPr>
      </w:pPr>
      <w:bookmarkStart w:id="980" w:name="_Toc351203641"/>
      <w:r>
        <w:rPr>
          <w:rFonts w:hint="eastAsia" w:ascii="仿宋" w:hAnsi="仿宋" w:eastAsia="仿宋" w:cs="仿宋"/>
          <w:color w:val="auto"/>
          <w:sz w:val="24"/>
          <w:szCs w:val="24"/>
        </w:rPr>
        <w:t>9</w:t>
      </w:r>
      <w:bookmarkEnd w:id="959"/>
      <w:bookmarkEnd w:id="960"/>
      <w:bookmarkEnd w:id="961"/>
      <w:bookmarkStart w:id="981" w:name="_Toc312677495"/>
      <w:bookmarkStart w:id="982" w:name="_Toc303539139"/>
      <w:bookmarkStart w:id="983" w:name="_Toc297123533"/>
      <w:bookmarkStart w:id="984" w:name="_Toc297216192"/>
      <w:bookmarkStart w:id="985" w:name="_Toc304295559"/>
      <w:bookmarkStart w:id="986" w:name="_Toc312678021"/>
      <w:bookmarkStart w:id="987" w:name="_Toc300934982"/>
      <w:bookmarkStart w:id="988" w:name="_Toc296891213"/>
      <w:bookmarkStart w:id="989" w:name="_Toc297048359"/>
      <w:bookmarkStart w:id="990" w:name="_Toc267251428"/>
      <w:bookmarkStart w:id="991" w:name="_Toc297120473"/>
      <w:bookmarkStart w:id="992" w:name="_Toc296891001"/>
      <w:bookmarkStart w:id="993" w:name="_Toc296944512"/>
      <w:bookmarkStart w:id="994" w:name="_Toc292559378"/>
      <w:bookmarkStart w:id="995" w:name="_Toc296503173"/>
      <w:bookmarkStart w:id="996" w:name="_Toc296347172"/>
      <w:bookmarkStart w:id="997" w:name="_Toc296346674"/>
      <w:bookmarkStart w:id="998" w:name="_Toc292559883"/>
      <w:bookmarkStart w:id="999" w:name="_Toc267251427"/>
      <w:r>
        <w:rPr>
          <w:rFonts w:hint="eastAsia" w:ascii="仿宋" w:hAnsi="仿宋" w:eastAsia="仿宋" w:cs="仿宋"/>
          <w:color w:val="auto"/>
          <w:sz w:val="24"/>
          <w:szCs w:val="24"/>
        </w:rPr>
        <w:t>. 试验与检验</w:t>
      </w:r>
      <w:bookmarkEnd w:id="980"/>
    </w:p>
    <w:bookmarkEnd w:id="981"/>
    <w:bookmarkEnd w:id="982"/>
    <w:bookmarkEnd w:id="983"/>
    <w:bookmarkEnd w:id="984"/>
    <w:bookmarkEnd w:id="985"/>
    <w:bookmarkEnd w:id="986"/>
    <w:bookmarkEnd w:id="987"/>
    <w:p w14:paraId="11E3D6C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9</w:t>
      </w:r>
      <w:bookmarkStart w:id="1000" w:name="_Toc312678022"/>
      <w:bookmarkStart w:id="1001" w:name="_Toc304295560"/>
      <w:bookmarkStart w:id="1002" w:name="_Toc300934983"/>
      <w:bookmarkStart w:id="1003" w:name="_Toc312677496"/>
      <w:bookmarkStart w:id="1004" w:name="_Toc303539140"/>
      <w:bookmarkStart w:id="1005" w:name="_Toc297123534"/>
      <w:bookmarkStart w:id="1006" w:name="_Toc297216193"/>
      <w:r>
        <w:rPr>
          <w:rFonts w:hint="eastAsia" w:ascii="仿宋" w:hAnsi="仿宋" w:eastAsia="仿宋" w:cs="仿宋"/>
          <w:color w:val="auto"/>
          <w:sz w:val="24"/>
          <w:szCs w:val="24"/>
        </w:rPr>
        <w:t>.1试验设备与试验人员</w:t>
      </w:r>
    </w:p>
    <w:bookmarkEnd w:id="1000"/>
    <w:bookmarkEnd w:id="1001"/>
    <w:bookmarkEnd w:id="1002"/>
    <w:bookmarkEnd w:id="1003"/>
    <w:bookmarkEnd w:id="1004"/>
    <w:bookmarkEnd w:id="1005"/>
    <w:bookmarkEnd w:id="1006"/>
    <w:p w14:paraId="2041C9A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9</w:t>
      </w:r>
      <w:bookmarkStart w:id="1007" w:name="_Toc312678023"/>
      <w:bookmarkStart w:id="1008" w:name="_Toc297123535"/>
      <w:bookmarkStart w:id="1009" w:name="_Toc304295561"/>
      <w:bookmarkStart w:id="1010" w:name="_Toc312677497"/>
      <w:bookmarkStart w:id="1011" w:name="_Toc300934984"/>
      <w:bookmarkStart w:id="1012" w:name="_Toc297216194"/>
      <w:bookmarkStart w:id="1013" w:name="_Toc303539141"/>
      <w:bookmarkStart w:id="1014" w:name="_Toc318581174"/>
      <w:r>
        <w:rPr>
          <w:rFonts w:hint="eastAsia" w:ascii="仿宋" w:hAnsi="仿宋" w:eastAsia="仿宋" w:cs="仿宋"/>
          <w:color w:val="auto"/>
          <w:sz w:val="24"/>
          <w:szCs w:val="24"/>
        </w:rPr>
        <w:t>.1.2 试验设备</w:t>
      </w:r>
    </w:p>
    <w:p w14:paraId="552C570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施工现场需要配置的试验场所：</w:t>
      </w:r>
      <w:bookmarkEnd w:id="1007"/>
      <w:bookmarkEnd w:id="1008"/>
      <w:bookmarkEnd w:id="1009"/>
      <w:bookmarkEnd w:id="1010"/>
      <w:bookmarkEnd w:id="1011"/>
      <w:bookmarkEnd w:id="1012"/>
      <w:bookmarkEnd w:id="1013"/>
      <w:bookmarkStart w:id="1015" w:name="_Toc303539142"/>
      <w:bookmarkStart w:id="1016" w:name="_Toc312678024"/>
      <w:bookmarkStart w:id="1017" w:name="_Toc312677498"/>
      <w:bookmarkStart w:id="1018" w:name="_Toc297216195"/>
      <w:bookmarkStart w:id="1019" w:name="_Toc300934985"/>
      <w:bookmarkStart w:id="1020" w:name="_Toc297123536"/>
      <w:bookmarkStart w:id="1021" w:name="_Toc304295562"/>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 xml:space="preserve">。 </w:t>
      </w:r>
    </w:p>
    <w:p w14:paraId="11182A5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施工现场需要配备的试验设备：</w:t>
      </w:r>
      <w:r>
        <w:rPr>
          <w:rFonts w:hint="eastAsia" w:ascii="仿宋" w:hAnsi="仿宋" w:eastAsia="仿宋" w:cs="仿宋"/>
          <w:color w:val="auto"/>
          <w:sz w:val="24"/>
          <w:szCs w:val="24"/>
          <w:u w:val="single"/>
        </w:rPr>
        <w:t xml:space="preserve">  由承包人自行解决   </w:t>
      </w:r>
      <w:r>
        <w:rPr>
          <w:rFonts w:hint="eastAsia" w:ascii="仿宋" w:hAnsi="仿宋" w:eastAsia="仿宋" w:cs="仿宋"/>
          <w:color w:val="auto"/>
          <w:sz w:val="24"/>
          <w:szCs w:val="24"/>
        </w:rPr>
        <w:t>。</w:t>
      </w:r>
    </w:p>
    <w:p w14:paraId="3E23131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施工现场需要具备的其他试验条件：</w:t>
      </w:r>
      <w:r>
        <w:rPr>
          <w:rFonts w:hint="eastAsia" w:ascii="仿宋" w:hAnsi="仿宋" w:eastAsia="仿宋" w:cs="仿宋"/>
          <w:color w:val="auto"/>
          <w:sz w:val="24"/>
          <w:szCs w:val="24"/>
          <w:u w:val="single"/>
        </w:rPr>
        <w:t xml:space="preserve">  由承包人自行解决    </w:t>
      </w:r>
      <w:r>
        <w:rPr>
          <w:rFonts w:hint="eastAsia" w:ascii="仿宋" w:hAnsi="仿宋" w:eastAsia="仿宋" w:cs="仿宋"/>
          <w:color w:val="auto"/>
          <w:sz w:val="24"/>
          <w:szCs w:val="24"/>
        </w:rPr>
        <w:t>。</w:t>
      </w:r>
    </w:p>
    <w:p w14:paraId="4A599B1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9.4 现场工艺试验 </w:t>
      </w:r>
    </w:p>
    <w:p w14:paraId="13D59EB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现场工艺试验的有关约定：</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bookmarkEnd w:id="1014"/>
    <w:bookmarkEnd w:id="1015"/>
    <w:bookmarkEnd w:id="1016"/>
    <w:bookmarkEnd w:id="1017"/>
    <w:bookmarkEnd w:id="1018"/>
    <w:bookmarkEnd w:id="1019"/>
    <w:bookmarkEnd w:id="1020"/>
    <w:bookmarkEnd w:id="1021"/>
    <w:p w14:paraId="4D2D9D6B">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022" w:name="_Toc351203642"/>
      <w:r>
        <w:rPr>
          <w:rFonts w:hint="eastAsia" w:ascii="仿宋" w:hAnsi="仿宋" w:eastAsia="仿宋" w:cs="仿宋"/>
          <w:color w:val="auto"/>
          <w:sz w:val="24"/>
          <w:szCs w:val="24"/>
        </w:rPr>
        <w:t>1</w:t>
      </w:r>
      <w:bookmarkEnd w:id="988"/>
      <w:bookmarkEnd w:id="989"/>
      <w:bookmarkEnd w:id="990"/>
      <w:bookmarkEnd w:id="991"/>
      <w:bookmarkEnd w:id="992"/>
      <w:bookmarkEnd w:id="993"/>
      <w:bookmarkEnd w:id="994"/>
      <w:bookmarkEnd w:id="995"/>
      <w:bookmarkEnd w:id="996"/>
      <w:bookmarkEnd w:id="997"/>
      <w:bookmarkEnd w:id="998"/>
      <w:bookmarkEnd w:id="999"/>
      <w:bookmarkStart w:id="1023" w:name="_Toc303539146"/>
      <w:bookmarkStart w:id="1024" w:name="_Toc297216199"/>
      <w:bookmarkStart w:id="1025" w:name="_Toc292559903"/>
      <w:bookmarkStart w:id="1026" w:name="_Toc296347192"/>
      <w:bookmarkStart w:id="1027" w:name="_Toc297048379"/>
      <w:bookmarkStart w:id="1028" w:name="_Toc296891233"/>
      <w:bookmarkStart w:id="1029" w:name="_Toc297123540"/>
      <w:bookmarkStart w:id="1030" w:name="_Toc292559398"/>
      <w:bookmarkStart w:id="1031" w:name="_Toc297120493"/>
      <w:bookmarkStart w:id="1032" w:name="_Toc300934989"/>
      <w:bookmarkStart w:id="1033" w:name="_Toc296891021"/>
      <w:bookmarkStart w:id="1034" w:name="_Toc296503193"/>
      <w:bookmarkStart w:id="1035" w:name="_Toc304295566"/>
      <w:bookmarkStart w:id="1036" w:name="_Toc296346694"/>
      <w:bookmarkStart w:id="1037" w:name="_Toc296944532"/>
      <w:bookmarkStart w:id="1038" w:name="_Toc312677499"/>
      <w:bookmarkStart w:id="1039" w:name="_Toc312678025"/>
      <w:bookmarkStart w:id="1040" w:name="_Toc267251439"/>
      <w:bookmarkStart w:id="1041" w:name="_Toc267251433"/>
      <w:bookmarkStart w:id="1042" w:name="_Toc267251435"/>
      <w:bookmarkStart w:id="1043" w:name="_Toc267251441"/>
      <w:bookmarkStart w:id="1044" w:name="_Toc267251440"/>
      <w:bookmarkStart w:id="1045" w:name="_Toc267251437"/>
      <w:bookmarkStart w:id="1046" w:name="_Toc267251442"/>
      <w:r>
        <w:rPr>
          <w:rFonts w:hint="eastAsia" w:ascii="仿宋" w:hAnsi="仿宋" w:eastAsia="仿宋" w:cs="仿宋"/>
          <w:color w:val="auto"/>
          <w:sz w:val="24"/>
          <w:szCs w:val="24"/>
        </w:rPr>
        <w:t>0. 变更</w:t>
      </w:r>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p>
    <w:bookmarkEnd w:id="1038"/>
    <w:bookmarkEnd w:id="1039"/>
    <w:p w14:paraId="6F15CE2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Start w:id="1047" w:name="_Toc296346695"/>
      <w:bookmarkStart w:id="1048" w:name="_Toc296891234"/>
      <w:bookmarkStart w:id="1049" w:name="_Toc297123541"/>
      <w:bookmarkStart w:id="1050" w:name="_Toc312678026"/>
      <w:bookmarkStart w:id="1051" w:name="_Toc296891022"/>
      <w:bookmarkStart w:id="1052" w:name="_Toc297048380"/>
      <w:bookmarkStart w:id="1053" w:name="_Toc292559399"/>
      <w:bookmarkStart w:id="1054" w:name="_Toc304295567"/>
      <w:bookmarkStart w:id="1055" w:name="_Toc300934990"/>
      <w:bookmarkStart w:id="1056" w:name="_Toc296944533"/>
      <w:bookmarkStart w:id="1057" w:name="_Toc296503194"/>
      <w:bookmarkStart w:id="1058" w:name="_Toc303539147"/>
      <w:bookmarkStart w:id="1059" w:name="_Toc297216200"/>
      <w:bookmarkStart w:id="1060" w:name="_Toc292559904"/>
      <w:bookmarkStart w:id="1061" w:name="_Toc296347193"/>
      <w:bookmarkStart w:id="1062" w:name="_Toc312677500"/>
      <w:bookmarkStart w:id="1063" w:name="_Toc297120494"/>
      <w:r>
        <w:rPr>
          <w:rFonts w:hint="eastAsia" w:ascii="仿宋" w:hAnsi="仿宋" w:eastAsia="仿宋" w:cs="仿宋"/>
          <w:color w:val="auto"/>
          <w:sz w:val="24"/>
          <w:szCs w:val="24"/>
        </w:rPr>
        <w:t>0.1变更的范围</w:t>
      </w:r>
    </w:p>
    <w:p w14:paraId="6AB8016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关于变更的范围的约定：</w:t>
      </w:r>
      <w:r>
        <w:rPr>
          <w:rFonts w:hint="eastAsia" w:ascii="仿宋" w:hAnsi="仿宋" w:eastAsia="仿宋" w:cs="仿宋"/>
          <w:color w:val="auto"/>
          <w:sz w:val="24"/>
          <w:szCs w:val="24"/>
          <w:u w:val="single"/>
        </w:rPr>
        <w:t xml:space="preserve">  工程设计变更或因发包人原因增加的工程量确认需有设计、监理、发包人、承包人同时确定并加盖公章方可有效，否则无效  </w:t>
      </w:r>
      <w:r>
        <w:rPr>
          <w:rFonts w:hint="eastAsia" w:ascii="仿宋" w:hAnsi="仿宋" w:eastAsia="仿宋" w:cs="仿宋"/>
          <w:color w:val="auto"/>
          <w:sz w:val="24"/>
          <w:szCs w:val="24"/>
        </w:rPr>
        <w:t>。</w:t>
      </w:r>
    </w:p>
    <w:p w14:paraId="0A3BFF8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10.4 变更估价</w:t>
      </w:r>
    </w:p>
    <w:p w14:paraId="2E79B76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10.4.1 变更估价原则</w:t>
      </w:r>
    </w:p>
    <w:p w14:paraId="0E83D02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关于变更估价的约定: </w:t>
      </w:r>
      <w:r>
        <w:rPr>
          <w:rFonts w:hint="eastAsia" w:ascii="仿宋" w:hAnsi="仿宋" w:eastAsia="仿宋" w:cs="仿宋"/>
          <w:color w:val="auto"/>
          <w:sz w:val="24"/>
          <w:szCs w:val="24"/>
          <w:u w:val="single"/>
        </w:rPr>
        <w:t xml:space="preserve">  （1）已标价工程量清单中有适用于变更工程项目的，应采用该项目的单价；但当工程变更导致该清单项目的工程数量发生变化，且工程量偏差超过 15%时，该项目执行详见 1.13 条工程量清单错误的修正。</w:t>
      </w:r>
    </w:p>
    <w:p w14:paraId="1D59BB0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（2）已标价工程量清单中没有适用但有类似于变更工程项目的，可在合理范围内参照类似项目的单价。</w:t>
      </w:r>
    </w:p>
    <w:p w14:paraId="35C4525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 xml:space="preserve">（3）已标价工程量清单中没有适用也没有类似于变更工程项目的，应由承包人提出，监理工程师审核，其相应部分的变更造价根据变更工程资料、计量规则和现行的相关定额、本地区的估价表，工程造价管理机构发布的信息价格和承包人报价浮动率提出变更工程项目的单价，并应报发包人确认后调整。承包人报价浮动率可按下列公式计算：招标工程：承包人报价浮动 L＝（1－中标价／招标控制价）×100%。 </w:t>
      </w:r>
      <w:r>
        <w:rPr>
          <w:rFonts w:hint="eastAsia" w:ascii="仿宋" w:hAnsi="仿宋" w:eastAsia="仿宋" w:cs="仿宋"/>
          <w:color w:val="auto"/>
          <w:sz w:val="24"/>
          <w:szCs w:val="24"/>
        </w:rPr>
        <w:t>。</w:t>
      </w:r>
    </w:p>
    <w:p w14:paraId="6C18162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Start w:id="1064" w:name="_Toc296944536"/>
      <w:bookmarkStart w:id="1065" w:name="_Toc296347196"/>
      <w:bookmarkStart w:id="1066" w:name="_Toc297048383"/>
      <w:bookmarkStart w:id="1067" w:name="_Toc296891237"/>
      <w:bookmarkStart w:id="1068" w:name="_Toc303539150"/>
      <w:bookmarkStart w:id="1069" w:name="_Toc297120497"/>
      <w:bookmarkStart w:id="1070" w:name="_Toc296891025"/>
      <w:bookmarkStart w:id="1071" w:name="_Toc297123544"/>
      <w:bookmarkStart w:id="1072" w:name="_Toc292559402"/>
      <w:bookmarkStart w:id="1073" w:name="_Toc296346698"/>
      <w:bookmarkStart w:id="1074" w:name="_Toc297216203"/>
      <w:bookmarkStart w:id="1075" w:name="_Toc292559907"/>
      <w:bookmarkStart w:id="1076" w:name="_Toc296503197"/>
      <w:bookmarkStart w:id="1077" w:name="_Toc300934993"/>
      <w:bookmarkStart w:id="1078" w:name="_Toc304295570"/>
      <w:bookmarkStart w:id="1079" w:name="_Toc312677503"/>
      <w:bookmarkStart w:id="1080" w:name="_Toc312678029"/>
      <w:r>
        <w:rPr>
          <w:rFonts w:hint="eastAsia" w:ascii="仿宋" w:hAnsi="仿宋" w:eastAsia="仿宋" w:cs="仿宋"/>
          <w:color w:val="auto"/>
          <w:sz w:val="24"/>
          <w:szCs w:val="24"/>
        </w:rPr>
        <w:t>0.5承</w:t>
      </w:r>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Start w:id="1081" w:name="_Toc300934994"/>
      <w:bookmarkStart w:id="1082" w:name="_Toc297048389"/>
      <w:bookmarkStart w:id="1083" w:name="_Toc292559408"/>
      <w:bookmarkStart w:id="1084" w:name="_Toc296891243"/>
      <w:bookmarkStart w:id="1085" w:name="_Toc303539151"/>
      <w:bookmarkStart w:id="1086" w:name="_Toc296346704"/>
      <w:bookmarkStart w:id="1087" w:name="_Toc297120503"/>
      <w:bookmarkStart w:id="1088" w:name="_Toc296944542"/>
      <w:bookmarkStart w:id="1089" w:name="_Toc297123545"/>
      <w:bookmarkStart w:id="1090" w:name="_Toc296503203"/>
      <w:bookmarkStart w:id="1091" w:name="_Toc296891031"/>
      <w:bookmarkStart w:id="1092" w:name="_Toc292559913"/>
      <w:bookmarkStart w:id="1093" w:name="_Toc297216204"/>
      <w:bookmarkStart w:id="1094" w:name="_Toc296347202"/>
      <w:r>
        <w:rPr>
          <w:rFonts w:hint="eastAsia" w:ascii="仿宋" w:hAnsi="仿宋" w:eastAsia="仿宋" w:cs="仿宋"/>
          <w:color w:val="auto"/>
          <w:sz w:val="24"/>
          <w:szCs w:val="24"/>
        </w:rPr>
        <w:t>包人的合理化建议</w:t>
      </w:r>
    </w:p>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p w14:paraId="5D746B8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监理人审查承包人合理化建议的期限：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432B8E3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发包人审批承包人合理化建议的期限：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5783431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承</w:t>
      </w:r>
      <w:bookmarkStart w:id="1095" w:name="_Toc296503204"/>
      <w:bookmarkStart w:id="1096" w:name="_Toc312678030"/>
      <w:bookmarkStart w:id="1097" w:name="_Toc296346705"/>
      <w:bookmarkStart w:id="1098" w:name="_Toc297123546"/>
      <w:bookmarkStart w:id="1099" w:name="_Toc297048390"/>
      <w:bookmarkStart w:id="1100" w:name="_Toc300934995"/>
      <w:bookmarkStart w:id="1101" w:name="_Toc297216205"/>
      <w:bookmarkStart w:id="1102" w:name="_Toc296347203"/>
      <w:bookmarkStart w:id="1103" w:name="_Toc297120504"/>
      <w:bookmarkStart w:id="1104" w:name="_Toc312677504"/>
      <w:bookmarkStart w:id="1105" w:name="_Toc296944543"/>
      <w:bookmarkStart w:id="1106" w:name="_Toc296891244"/>
      <w:bookmarkStart w:id="1107" w:name="_Toc292559409"/>
      <w:bookmarkStart w:id="1108" w:name="_Toc303539152"/>
      <w:bookmarkStart w:id="1109" w:name="_Toc296891032"/>
      <w:bookmarkStart w:id="1110" w:name="_Toc304295571"/>
      <w:bookmarkStart w:id="1111" w:name="_Toc292559914"/>
      <w:bookmarkStart w:id="1112" w:name="_Toc318581175"/>
      <w:r>
        <w:rPr>
          <w:rFonts w:hint="eastAsia" w:ascii="仿宋" w:hAnsi="仿宋" w:eastAsia="仿宋" w:cs="仿宋"/>
          <w:color w:val="auto"/>
          <w:sz w:val="24"/>
          <w:szCs w:val="24"/>
        </w:rPr>
        <w:t>包人提出的合理化建议降低了合同价格或者提高了工程经济效益的奖励的方法和金额为：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p w14:paraId="5D6983C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Start w:id="1113" w:name="_Toc312677507"/>
      <w:bookmarkStart w:id="1114" w:name="_Toc304295574"/>
      <w:bookmarkStart w:id="1115" w:name="_Toc297216207"/>
      <w:bookmarkStart w:id="1116" w:name="_Toc300934997"/>
      <w:bookmarkStart w:id="1117" w:name="_Toc296346700"/>
      <w:bookmarkStart w:id="1118" w:name="_Toc312678033"/>
      <w:bookmarkStart w:id="1119" w:name="_Toc296944538"/>
      <w:bookmarkStart w:id="1120" w:name="_Toc292559909"/>
      <w:bookmarkStart w:id="1121" w:name="_Toc297123548"/>
      <w:bookmarkStart w:id="1122" w:name="_Toc296891027"/>
      <w:bookmarkStart w:id="1123" w:name="_Toc297048385"/>
      <w:bookmarkStart w:id="1124" w:name="_Toc297120499"/>
      <w:bookmarkStart w:id="1125" w:name="_Toc296347198"/>
      <w:bookmarkStart w:id="1126" w:name="_Toc296503199"/>
      <w:bookmarkStart w:id="1127" w:name="_Toc292559404"/>
      <w:bookmarkStart w:id="1128" w:name="_Toc296891239"/>
      <w:bookmarkStart w:id="1129" w:name="_Toc303539154"/>
      <w:r>
        <w:rPr>
          <w:rFonts w:hint="eastAsia" w:ascii="仿宋" w:hAnsi="仿宋" w:eastAsia="仿宋" w:cs="仿宋"/>
          <w:color w:val="auto"/>
          <w:sz w:val="24"/>
          <w:szCs w:val="24"/>
        </w:rPr>
        <w:t>0.7 暂估价</w:t>
      </w:r>
    </w:p>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p w14:paraId="619508D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暂</w:t>
      </w:r>
      <w:bookmarkStart w:id="1130" w:name="_Toc312678034"/>
      <w:bookmarkStart w:id="1131" w:name="_Toc312677508"/>
      <w:bookmarkStart w:id="1132" w:name="_Toc318581176"/>
      <w:r>
        <w:rPr>
          <w:rFonts w:hint="eastAsia" w:ascii="仿宋" w:hAnsi="仿宋" w:eastAsia="仿宋" w:cs="仿宋"/>
          <w:color w:val="auto"/>
          <w:kern w:val="0"/>
          <w:sz w:val="24"/>
          <w:szCs w:val="24"/>
        </w:rPr>
        <w:t>估价材料和工程设备的明细详见附件11：《</w:t>
      </w:r>
      <w:r>
        <w:rPr>
          <w:rFonts w:hint="eastAsia" w:ascii="仿宋" w:hAnsi="仿宋" w:eastAsia="仿宋" w:cs="仿宋"/>
          <w:color w:val="auto"/>
          <w:sz w:val="24"/>
          <w:szCs w:val="24"/>
        </w:rPr>
        <w:t>暂估价一览表》</w:t>
      </w:r>
      <w:r>
        <w:rPr>
          <w:rFonts w:hint="eastAsia" w:ascii="仿宋" w:hAnsi="仿宋" w:eastAsia="仿宋" w:cs="仿宋"/>
          <w:color w:val="auto"/>
          <w:kern w:val="0"/>
          <w:sz w:val="24"/>
          <w:szCs w:val="24"/>
        </w:rPr>
        <w:t>。</w:t>
      </w:r>
    </w:p>
    <w:bookmarkEnd w:id="1130"/>
    <w:bookmarkEnd w:id="1131"/>
    <w:bookmarkEnd w:id="1132"/>
    <w:p w14:paraId="7F0425F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Start w:id="1133" w:name="_Toc312678035"/>
      <w:bookmarkStart w:id="1134" w:name="_Toc312677509"/>
      <w:bookmarkStart w:id="1135" w:name="_Toc318581177"/>
      <w:r>
        <w:rPr>
          <w:rFonts w:hint="eastAsia" w:ascii="仿宋" w:hAnsi="仿宋" w:eastAsia="仿宋" w:cs="仿宋"/>
          <w:color w:val="auto"/>
          <w:sz w:val="24"/>
          <w:szCs w:val="24"/>
        </w:rPr>
        <w:t>0.7.1 依法必须招标的暂估价项目</w:t>
      </w:r>
    </w:p>
    <w:bookmarkEnd w:id="1133"/>
    <w:bookmarkEnd w:id="1134"/>
    <w:bookmarkEnd w:id="1135"/>
    <w:p w14:paraId="14DCBC7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对于依法必须招标的暂估价项目的确认和批准采取第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种方式确定。</w:t>
      </w:r>
    </w:p>
    <w:p w14:paraId="76AC0ED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10.7.2 不属于依法必须招标的暂估价项目</w:t>
      </w:r>
    </w:p>
    <w:p w14:paraId="291CB57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对于不属于依法必须招标的暂估价项目的确认和批准采取第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1</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种方式确定。</w:t>
      </w:r>
    </w:p>
    <w:p w14:paraId="34449ED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第3种方式：</w:t>
      </w:r>
      <w:r>
        <w:rPr>
          <w:rFonts w:hint="eastAsia" w:ascii="仿宋" w:hAnsi="仿宋" w:eastAsia="仿宋" w:cs="仿宋"/>
          <w:color w:val="auto"/>
          <w:kern w:val="0"/>
          <w:sz w:val="24"/>
          <w:szCs w:val="24"/>
        </w:rPr>
        <w:t>承包人直接实施的暂估价项目</w:t>
      </w:r>
    </w:p>
    <w:p w14:paraId="3615817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承包人直接实施的暂估价项目的约定：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0D2D307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10.8 暂列金额</w:t>
      </w:r>
    </w:p>
    <w:p w14:paraId="7249E4D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合同当事人关于暂列金额使用的约定：</w:t>
      </w:r>
      <w:r>
        <w:rPr>
          <w:rFonts w:hint="eastAsia" w:ascii="仿宋" w:hAnsi="仿宋" w:eastAsia="仿宋" w:cs="仿宋"/>
          <w:color w:val="auto"/>
          <w:sz w:val="24"/>
          <w:szCs w:val="24"/>
          <w:u w:val="single"/>
        </w:rPr>
        <w:t xml:space="preserve">  暂列金是指发包人为可能发生工程变更而暂列的金额，包括因发包人提供的工程量清单漏项、清单有误引起的工程数量增加和施工过程中设计变更引起新的清单项目或工程数量增加等需要增加的金额。暂列金是招标人自行确定设立的，承包商无权使用此笔费用。此费用按实际发生经招标人签证后确定全部使用、部分使用或不使用。暂列金不计入工程款付款的基数 </w:t>
      </w:r>
      <w:r>
        <w:rPr>
          <w:rFonts w:hint="eastAsia" w:ascii="仿宋" w:hAnsi="仿宋" w:eastAsia="仿宋" w:cs="仿宋"/>
          <w:color w:val="auto"/>
          <w:kern w:val="0"/>
          <w:sz w:val="24"/>
          <w:szCs w:val="24"/>
        </w:rPr>
        <w:t>。</w:t>
      </w:r>
    </w:p>
    <w:p w14:paraId="07A2AF95">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136" w:name="_Toc351203643"/>
      <w:r>
        <w:rPr>
          <w:rFonts w:hint="eastAsia" w:ascii="仿宋" w:hAnsi="仿宋" w:eastAsia="仿宋" w:cs="仿宋"/>
          <w:color w:val="auto"/>
          <w:sz w:val="24"/>
          <w:szCs w:val="24"/>
        </w:rPr>
        <w:t>11. 价格调整</w:t>
      </w:r>
      <w:bookmarkEnd w:id="1136"/>
    </w:p>
    <w:p w14:paraId="6EA6077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bookmarkStart w:id="1137" w:name="_Toc296346702"/>
      <w:bookmarkStart w:id="1138" w:name="_Toc312678039"/>
      <w:bookmarkStart w:id="1139" w:name="_Toc297048387"/>
      <w:bookmarkStart w:id="1140" w:name="_Toc296503201"/>
      <w:bookmarkStart w:id="1141" w:name="_Toc296891241"/>
      <w:bookmarkStart w:id="1142" w:name="_Toc303539157"/>
      <w:bookmarkStart w:id="1143" w:name="_Toc297123550"/>
      <w:bookmarkStart w:id="1144" w:name="_Toc296944540"/>
      <w:bookmarkStart w:id="1145" w:name="_Toc297216209"/>
      <w:bookmarkStart w:id="1146" w:name="_Toc292559911"/>
      <w:bookmarkStart w:id="1147" w:name="_Toc304295577"/>
      <w:bookmarkStart w:id="1148" w:name="_Toc296891029"/>
      <w:bookmarkStart w:id="1149" w:name="_Toc300935000"/>
      <w:bookmarkStart w:id="1150" w:name="_Toc292559406"/>
      <w:bookmarkStart w:id="1151" w:name="_Toc297120501"/>
      <w:bookmarkStart w:id="1152" w:name="_Toc296347200"/>
      <w:r>
        <w:rPr>
          <w:rFonts w:hint="eastAsia" w:ascii="仿宋" w:hAnsi="仿宋" w:eastAsia="仿宋" w:cs="仿宋"/>
          <w:color w:val="auto"/>
          <w:sz w:val="24"/>
          <w:szCs w:val="24"/>
        </w:rPr>
        <w:t>11.1 市场价格波动引起的调整</w:t>
      </w:r>
    </w:p>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p w14:paraId="2C6C789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市场价格波动是否调整合同价格的约定：</w:t>
      </w:r>
      <w:r>
        <w:rPr>
          <w:rFonts w:hint="eastAsia" w:ascii="仿宋" w:hAnsi="仿宋" w:eastAsia="仿宋" w:cs="仿宋"/>
          <w:color w:val="auto"/>
          <w:sz w:val="24"/>
          <w:szCs w:val="24"/>
          <w:u w:val="single"/>
        </w:rPr>
        <w:t xml:space="preserve">    调整  </w:t>
      </w:r>
      <w:r>
        <w:rPr>
          <w:rFonts w:hint="eastAsia" w:ascii="仿宋" w:hAnsi="仿宋" w:eastAsia="仿宋" w:cs="仿宋"/>
          <w:color w:val="auto"/>
          <w:sz w:val="24"/>
          <w:szCs w:val="24"/>
        </w:rPr>
        <w:t>。</w:t>
      </w:r>
    </w:p>
    <w:p w14:paraId="73354E0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因市场价格波动调整合同价格，采用以下第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种方式对合同价格进行调整：</w:t>
      </w:r>
    </w:p>
    <w:p w14:paraId="2F8C156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第1种方式：采用价格指数进行价格调整。</w:t>
      </w:r>
    </w:p>
    <w:p w14:paraId="05B6C2F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关于各可调因子、定值和变值权重，以及基本价格指数及其来源的约定：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0548B7D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第2种方式：采用造价信息进行价格调整。</w:t>
      </w:r>
    </w:p>
    <w:p w14:paraId="1A52A11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（2）关于基准价格的约定：</w:t>
      </w:r>
      <w:r>
        <w:rPr>
          <w:rFonts w:hint="eastAsia" w:ascii="仿宋" w:hAnsi="仿宋" w:eastAsia="仿宋" w:cs="仿宋"/>
          <w:color w:val="auto"/>
          <w:sz w:val="24"/>
          <w:szCs w:val="24"/>
          <w:u w:val="single"/>
        </w:rPr>
        <w:t xml:space="preserve">   以投标截止之日前 28 天为基准日，昌吉州工程造价管理机构发布的最新造价信息为基准价，政府发布的信息价中没有的材料、设备价格不调整。基准价格仅作为调整单价的依据，不作为投标制定单价  </w:t>
      </w:r>
      <w:r>
        <w:rPr>
          <w:rFonts w:hint="eastAsia" w:ascii="仿宋" w:hAnsi="仿宋" w:eastAsia="仿宋" w:cs="仿宋"/>
          <w:color w:val="auto"/>
          <w:sz w:val="24"/>
          <w:szCs w:val="24"/>
        </w:rPr>
        <w:t>。</w:t>
      </w:r>
    </w:p>
    <w:p w14:paraId="07F4E05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专用合同条款①承包人在已标价工程量清单或预算书中载明的材料单价低于基准价格的：专用合同条款合同履行期间材料单价涨幅以基准价格为基础超过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%时，或材料单价跌幅以已标价工程量清单或预算书中载明材料单价为基础超过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%时，其超过部分据实调整。</w:t>
      </w:r>
    </w:p>
    <w:p w14:paraId="138920C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②承包人在已标价工程量清单或预算书中载明的材料单价高于基准价格的：专用合同条款合同履行期间材料单价跌幅以基准价格为基础超过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%时，材料单价涨幅以已标价工程量清单或预算书中载明材料单价为基础超过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%时，其超过部分据实调整。</w:t>
      </w:r>
    </w:p>
    <w:p w14:paraId="3EACA51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③承包人在已标价工程量清单或预算书中载明的材料单价等于基准单价的：专用合同条款合同履行期间材料单价涨跌幅以基准单价为基础超过±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%时，其超过部分据实调整。</w:t>
      </w:r>
    </w:p>
    <w:p w14:paraId="668A5F4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第3种方式：其他价格调整方式：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1040"/>
    <w:bookmarkEnd w:id="1041"/>
    <w:bookmarkEnd w:id="1042"/>
    <w:bookmarkEnd w:id="1043"/>
    <w:bookmarkEnd w:id="1044"/>
    <w:bookmarkEnd w:id="1045"/>
    <w:p w14:paraId="6410BA36">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153" w:name="_Toc296503205"/>
      <w:bookmarkStart w:id="1154" w:name="_Toc296346706"/>
      <w:bookmarkStart w:id="1155" w:name="_Toc292559915"/>
      <w:bookmarkStart w:id="1156" w:name="_Toc296891245"/>
      <w:bookmarkStart w:id="1157" w:name="_Toc297120505"/>
      <w:bookmarkStart w:id="1158" w:name="_Toc296944544"/>
      <w:bookmarkStart w:id="1159" w:name="_Toc292559410"/>
      <w:bookmarkStart w:id="1160" w:name="_Toc296891033"/>
      <w:bookmarkStart w:id="1161" w:name="_Toc297048391"/>
      <w:bookmarkStart w:id="1162" w:name="_Toc296347204"/>
      <w:bookmarkStart w:id="1163" w:name="_Toc351203644"/>
      <w:bookmarkStart w:id="1164" w:name="_Toc303539159"/>
      <w:bookmarkStart w:id="1165" w:name="_Toc300935002"/>
      <w:bookmarkStart w:id="1166" w:name="_Toc304295579"/>
      <w:bookmarkStart w:id="1167" w:name="_Toc312678040"/>
      <w:bookmarkStart w:id="1168" w:name="_Toc297123552"/>
      <w:bookmarkStart w:id="1169" w:name="_Toc297216211"/>
      <w:r>
        <w:rPr>
          <w:rFonts w:hint="eastAsia" w:ascii="仿宋" w:hAnsi="仿宋" w:eastAsia="仿宋" w:cs="仿宋"/>
          <w:color w:val="auto"/>
          <w:sz w:val="24"/>
          <w:szCs w:val="24"/>
        </w:rPr>
        <w:t xml:space="preserve">12. </w:t>
      </w:r>
      <w:bookmarkEnd w:id="1153"/>
      <w:bookmarkEnd w:id="1154"/>
      <w:bookmarkEnd w:id="1155"/>
      <w:bookmarkEnd w:id="1156"/>
      <w:bookmarkEnd w:id="1157"/>
      <w:bookmarkEnd w:id="1158"/>
      <w:bookmarkEnd w:id="1159"/>
      <w:bookmarkEnd w:id="1160"/>
      <w:bookmarkEnd w:id="1161"/>
      <w:bookmarkEnd w:id="1162"/>
      <w:r>
        <w:rPr>
          <w:rFonts w:hint="eastAsia" w:ascii="仿宋" w:hAnsi="仿宋" w:eastAsia="仿宋" w:cs="仿宋"/>
          <w:color w:val="auto"/>
          <w:sz w:val="24"/>
          <w:szCs w:val="24"/>
        </w:rPr>
        <w:t>合同价格、计量与支付</w:t>
      </w:r>
      <w:bookmarkEnd w:id="1163"/>
    </w:p>
    <w:bookmarkEnd w:id="1164"/>
    <w:bookmarkEnd w:id="1165"/>
    <w:bookmarkEnd w:id="1166"/>
    <w:bookmarkEnd w:id="1167"/>
    <w:bookmarkEnd w:id="1168"/>
    <w:bookmarkEnd w:id="1169"/>
    <w:p w14:paraId="1F9410B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bookmarkStart w:id="1170" w:name="_Toc292559411"/>
      <w:bookmarkStart w:id="1171" w:name="_Toc292559916"/>
      <w:bookmarkStart w:id="1172" w:name="_Toc267251461"/>
      <w:bookmarkStart w:id="1173" w:name="_Toc297048392"/>
      <w:bookmarkStart w:id="1174" w:name="_Toc296944545"/>
      <w:bookmarkStart w:id="1175" w:name="_Toc296347205"/>
      <w:bookmarkStart w:id="1176" w:name="_Toc296891246"/>
      <w:bookmarkStart w:id="1177" w:name="_Toc296503206"/>
      <w:bookmarkStart w:id="1178" w:name="_Toc297120506"/>
      <w:bookmarkStart w:id="1179" w:name="_Toc296346707"/>
      <w:bookmarkStart w:id="1180" w:name="_Toc296891034"/>
      <w:bookmarkStart w:id="1181" w:name="_Toc297123553"/>
      <w:bookmarkStart w:id="1182" w:name="_Toc303539160"/>
      <w:bookmarkStart w:id="1183" w:name="_Toc300935003"/>
      <w:bookmarkStart w:id="1184" w:name="_Toc297216212"/>
      <w:bookmarkStart w:id="1185" w:name="_Toc312678041"/>
      <w:bookmarkStart w:id="1186" w:name="_Toc304295580"/>
      <w:r>
        <w:rPr>
          <w:rFonts w:hint="eastAsia" w:ascii="仿宋" w:hAnsi="仿宋" w:eastAsia="仿宋" w:cs="仿宋"/>
          <w:color w:val="auto"/>
          <w:sz w:val="24"/>
          <w:szCs w:val="24"/>
        </w:rPr>
        <w:t>12.1 合</w:t>
      </w:r>
      <w:bookmarkEnd w:id="1170"/>
      <w:bookmarkEnd w:id="1171"/>
      <w:bookmarkEnd w:id="1172"/>
      <w:r>
        <w:rPr>
          <w:rFonts w:hint="eastAsia" w:ascii="仿宋" w:hAnsi="仿宋" w:eastAsia="仿宋" w:cs="仿宋"/>
          <w:color w:val="auto"/>
          <w:sz w:val="24"/>
          <w:szCs w:val="24"/>
        </w:rPr>
        <w:t>同价</w:t>
      </w:r>
      <w:bookmarkEnd w:id="1173"/>
      <w:bookmarkEnd w:id="1174"/>
      <w:bookmarkEnd w:id="1175"/>
      <w:bookmarkEnd w:id="1176"/>
      <w:bookmarkEnd w:id="1177"/>
      <w:bookmarkEnd w:id="1178"/>
      <w:bookmarkEnd w:id="1179"/>
      <w:bookmarkEnd w:id="1180"/>
      <w:r>
        <w:rPr>
          <w:rFonts w:hint="eastAsia" w:ascii="仿宋" w:hAnsi="仿宋" w:eastAsia="仿宋" w:cs="仿宋"/>
          <w:color w:val="auto"/>
          <w:sz w:val="24"/>
          <w:szCs w:val="24"/>
        </w:rPr>
        <w:t>格形式</w:t>
      </w:r>
    </w:p>
    <w:bookmarkEnd w:id="1181"/>
    <w:bookmarkEnd w:id="1182"/>
    <w:bookmarkEnd w:id="1183"/>
    <w:bookmarkEnd w:id="1184"/>
    <w:bookmarkEnd w:id="1185"/>
    <w:bookmarkEnd w:id="1186"/>
    <w:p w14:paraId="0B6DFA5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1、单价合同。</w:t>
      </w:r>
    </w:p>
    <w:p w14:paraId="2A58993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综合单价包含的风险范围：</w:t>
      </w:r>
      <w:r>
        <w:rPr>
          <w:rFonts w:hint="eastAsia" w:ascii="仿宋" w:hAnsi="仿宋" w:eastAsia="仿宋" w:cs="仿宋"/>
          <w:color w:val="auto"/>
          <w:sz w:val="24"/>
          <w:szCs w:val="24"/>
          <w:u w:val="single"/>
        </w:rPr>
        <w:t xml:space="preserve">  1.对于法律、法规、规章或有关政策出台导致工程税金、规费、人工费发生变化，并由省级、行业建设行政主管部门或其授权的工程造价管理机构根据上述变化发布的政策性调整，承包人不承担此类风险，按照有关调整规定执行。对于市场价格波动采用造价信息进行合同价格调整时，价格变化在约定幅度范围以内。 </w:t>
      </w:r>
    </w:p>
    <w:p w14:paraId="47046AA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2.承包人使用机械设备、施工技术以及组织管理水平等自身原因造成施工费用增加的承包人全部承担。</w:t>
      </w:r>
    </w:p>
    <w:p w14:paraId="533B76F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3.对于承包人自身技术水平、管理、经营状况能够自主控制的风险，如承包人的管理费、利润的风险，承包人应结合市场情况、自身实际合理自主报价，该部分风险由承包人全部承担。  </w:t>
      </w:r>
      <w:r>
        <w:rPr>
          <w:rFonts w:hint="eastAsia" w:ascii="仿宋" w:hAnsi="仿宋" w:eastAsia="仿宋" w:cs="仿宋"/>
          <w:color w:val="auto"/>
          <w:sz w:val="24"/>
          <w:szCs w:val="24"/>
        </w:rPr>
        <w:t>。</w:t>
      </w:r>
    </w:p>
    <w:p w14:paraId="6BFAC7A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风险费用的计算方法：</w:t>
      </w:r>
      <w:r>
        <w:rPr>
          <w:rFonts w:hint="eastAsia" w:ascii="仿宋" w:hAnsi="仿宋" w:eastAsia="仿宋" w:cs="仿宋"/>
          <w:color w:val="auto"/>
          <w:sz w:val="24"/>
          <w:szCs w:val="24"/>
          <w:u w:val="single"/>
        </w:rPr>
        <w:t xml:space="preserve">  依据现行计价规范规定          </w:t>
      </w:r>
      <w:r>
        <w:rPr>
          <w:rFonts w:hint="eastAsia" w:ascii="仿宋" w:hAnsi="仿宋" w:eastAsia="仿宋" w:cs="仿宋"/>
          <w:color w:val="auto"/>
          <w:sz w:val="24"/>
          <w:szCs w:val="24"/>
        </w:rPr>
        <w:t>。</w:t>
      </w:r>
    </w:p>
    <w:p w14:paraId="0495E44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风险范围以外合同价格的调整方法：</w:t>
      </w:r>
      <w:r>
        <w:rPr>
          <w:rFonts w:hint="eastAsia" w:ascii="仿宋" w:hAnsi="仿宋" w:eastAsia="仿宋" w:cs="仿宋"/>
          <w:color w:val="auto"/>
          <w:sz w:val="24"/>
          <w:szCs w:val="24"/>
          <w:u w:val="single"/>
        </w:rPr>
        <w:t xml:space="preserve">   1.因清单工程量调整，引起总价措施项目发生变化，包括物价因素引起的价格调整等其他原因均不对总价措施项目费用（除环境保护费、文明施工费及安全</w:t>
      </w:r>
    </w:p>
    <w:p w14:paraId="64F2C26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防护费）进行调整。</w:t>
      </w:r>
    </w:p>
    <w:p w14:paraId="09BBBEC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2.当工程量清单项目工程量的变化幅度在±15%（含 15%）以内时，其综合单价不做调整，执行原有综合单价。当工程量清单项目工程量的变化幅度在 15%以外时，其综合单价调整方法为：工程</w:t>
      </w:r>
    </w:p>
    <w:p w14:paraId="03F5933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量偏差+15%以上的部分原综合单价下浮 10%；工程量偏差-15%以下部分，减少后剩余部分执行原综合单价；当清单出现漏项项目，漏项造价超出投标总价（不含暂列金额）的 5%时，5%以内（含 5%）</w:t>
      </w:r>
    </w:p>
    <w:p w14:paraId="316CDB1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按当地预算定额进行结算。超出 5%部分按当地预算定额取费后下浮 10%结算。当确认变更的费用发生争议时，施工方不得以该争议作为怠工、停工等的理由，必须正常施工。</w:t>
      </w:r>
    </w:p>
    <w:p w14:paraId="65C9179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3.合同价中暂列金额是发包人为可能发生的工程量变更而预留的金额，并非支付给承包人的实际费用，应按实际完成的情况进行结算，剩余部分仍归发包人所有。</w:t>
      </w:r>
    </w:p>
    <w:p w14:paraId="367BB03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4.对于法律、法规、规章或有关政策出台导致工程税金、规费发生变化，并由省级、行业建设行政主管部门或其授权的工程造价管理机构根据上述变化发布的政策性调整，承包人不应承担此类风险，应按照有关调整规定执行。  </w:t>
      </w:r>
      <w:r>
        <w:rPr>
          <w:rFonts w:hint="eastAsia" w:ascii="仿宋" w:hAnsi="仿宋" w:eastAsia="仿宋" w:cs="仿宋"/>
          <w:color w:val="auto"/>
          <w:sz w:val="24"/>
          <w:szCs w:val="24"/>
        </w:rPr>
        <w:t>。</w:t>
      </w:r>
    </w:p>
    <w:p w14:paraId="76AE516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2、总价合同。</w:t>
      </w:r>
    </w:p>
    <w:p w14:paraId="16750C2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总价包含的风险范围：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303431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风险费用的计算方法：</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80314C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风险范围以外合同价格的调整方法：</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39D2EA6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3、其他价格方式：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04DF7E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bookmarkStart w:id="1187" w:name="_Toc304295581"/>
      <w:bookmarkStart w:id="1188" w:name="_Toc297216213"/>
      <w:bookmarkStart w:id="1189" w:name="_Toc300935004"/>
      <w:bookmarkStart w:id="1190" w:name="_Toc297123554"/>
      <w:bookmarkStart w:id="1191" w:name="_Toc303539161"/>
      <w:bookmarkStart w:id="1192" w:name="_Toc312678042"/>
      <w:bookmarkStart w:id="1193" w:name="_Toc292559412"/>
      <w:bookmarkStart w:id="1194" w:name="_Toc296891035"/>
      <w:bookmarkStart w:id="1195" w:name="_Toc296891247"/>
      <w:bookmarkStart w:id="1196" w:name="_Toc296503207"/>
      <w:bookmarkStart w:id="1197" w:name="_Toc292559917"/>
      <w:bookmarkStart w:id="1198" w:name="_Toc296944546"/>
      <w:bookmarkStart w:id="1199" w:name="_Toc296346708"/>
      <w:bookmarkStart w:id="1200" w:name="_Toc297048393"/>
      <w:bookmarkStart w:id="1201" w:name="_Toc296347206"/>
      <w:bookmarkStart w:id="1202" w:name="_Toc297120507"/>
      <w:r>
        <w:rPr>
          <w:rFonts w:hint="eastAsia" w:ascii="仿宋" w:hAnsi="仿宋" w:eastAsia="仿宋" w:cs="仿宋"/>
          <w:color w:val="auto"/>
          <w:sz w:val="24"/>
          <w:szCs w:val="24"/>
        </w:rPr>
        <w:t>12.2 预付款</w:t>
      </w:r>
    </w:p>
    <w:bookmarkEnd w:id="1187"/>
    <w:bookmarkEnd w:id="1188"/>
    <w:bookmarkEnd w:id="1189"/>
    <w:bookmarkEnd w:id="1190"/>
    <w:bookmarkEnd w:id="1191"/>
    <w:bookmarkEnd w:id="1192"/>
    <w:p w14:paraId="42DECA9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12.2.1 预付款的支付</w:t>
      </w:r>
    </w:p>
    <w:p w14:paraId="3B96048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预付款支付比例或金额：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705CE4C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预付款支付期限：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C705BB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预付款扣回的方式：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739CFBE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12.2.2 预付款担保</w:t>
      </w:r>
    </w:p>
    <w:p w14:paraId="4EDF960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承包人提交预付款担保的期限：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CA3D36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预付款担保的形式为：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1193"/>
    <w:bookmarkEnd w:id="1194"/>
    <w:bookmarkEnd w:id="1195"/>
    <w:bookmarkEnd w:id="1196"/>
    <w:bookmarkEnd w:id="1197"/>
    <w:bookmarkEnd w:id="1198"/>
    <w:bookmarkEnd w:id="1199"/>
    <w:bookmarkEnd w:id="1200"/>
    <w:bookmarkEnd w:id="1201"/>
    <w:bookmarkEnd w:id="1202"/>
    <w:p w14:paraId="1366090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 计量</w:t>
      </w:r>
    </w:p>
    <w:p w14:paraId="3BA15DB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12.3.1 计量原则</w:t>
      </w:r>
    </w:p>
    <w:p w14:paraId="11EDEC7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工程量计算规则：</w:t>
      </w:r>
      <w:r>
        <w:rPr>
          <w:rFonts w:hint="eastAsia" w:ascii="仿宋" w:hAnsi="仿宋" w:eastAsia="仿宋" w:cs="仿宋"/>
          <w:color w:val="auto"/>
          <w:sz w:val="24"/>
          <w:szCs w:val="24"/>
          <w:u w:val="single"/>
        </w:rPr>
        <w:t xml:space="preserve">   《建设工程量清单计价规范》GB50500-2013   </w:t>
      </w:r>
      <w:r>
        <w:rPr>
          <w:rFonts w:hint="eastAsia" w:ascii="仿宋" w:hAnsi="仿宋" w:eastAsia="仿宋" w:cs="仿宋"/>
          <w:color w:val="auto"/>
          <w:sz w:val="24"/>
          <w:szCs w:val="24"/>
        </w:rPr>
        <w:t>。</w:t>
      </w:r>
    </w:p>
    <w:p w14:paraId="21ACE28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12.3.2 计量周期</w:t>
      </w:r>
    </w:p>
    <w:p w14:paraId="5D35529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关于计量周期的约定：</w:t>
      </w:r>
      <w:r>
        <w:rPr>
          <w:rFonts w:hint="eastAsia" w:ascii="仿宋" w:hAnsi="仿宋" w:eastAsia="仿宋" w:cs="仿宋"/>
          <w:color w:val="auto"/>
          <w:sz w:val="24"/>
          <w:szCs w:val="24"/>
          <w:u w:val="single"/>
        </w:rPr>
        <w:t xml:space="preserve">        每月 20 日           </w:t>
      </w:r>
      <w:r>
        <w:rPr>
          <w:rFonts w:hint="eastAsia" w:ascii="仿宋" w:hAnsi="仿宋" w:eastAsia="仿宋" w:cs="仿宋"/>
          <w:color w:val="auto"/>
          <w:sz w:val="24"/>
          <w:szCs w:val="24"/>
        </w:rPr>
        <w:t>。</w:t>
      </w:r>
    </w:p>
    <w:p w14:paraId="4FD0C43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12.3.3 单价合同的计量</w:t>
      </w:r>
    </w:p>
    <w:p w14:paraId="6D3D39E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关于单价合同计量的约定：</w:t>
      </w:r>
      <w:r>
        <w:rPr>
          <w:rFonts w:hint="eastAsia" w:ascii="仿宋" w:hAnsi="仿宋" w:eastAsia="仿宋" w:cs="仿宋"/>
          <w:color w:val="auto"/>
          <w:sz w:val="24"/>
          <w:szCs w:val="24"/>
          <w:u w:val="single"/>
        </w:rPr>
        <w:t xml:space="preserve">   执行通用条款 12.3.3         </w:t>
      </w:r>
      <w:r>
        <w:rPr>
          <w:rFonts w:hint="eastAsia" w:ascii="仿宋" w:hAnsi="仿宋" w:eastAsia="仿宋" w:cs="仿宋"/>
          <w:color w:val="auto"/>
          <w:sz w:val="24"/>
          <w:szCs w:val="24"/>
        </w:rPr>
        <w:t>。</w:t>
      </w:r>
    </w:p>
    <w:p w14:paraId="5ED1DF8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12.3.4 总价合同的计量</w:t>
      </w:r>
    </w:p>
    <w:p w14:paraId="7556737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关于总价合同计量的约定：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751ECD3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12.3.5总价合同采用支付分解表计量支付的，是否适用第</w:t>
      </w:r>
      <w:r>
        <w:rPr>
          <w:rFonts w:hint="eastAsia" w:ascii="仿宋" w:hAnsi="仿宋" w:eastAsia="仿宋" w:cs="仿宋"/>
          <w:color w:val="auto"/>
          <w:kern w:val="0"/>
          <w:sz w:val="24"/>
          <w:szCs w:val="24"/>
        </w:rPr>
        <w:t xml:space="preserve">12.3.4 </w:t>
      </w:r>
      <w:r>
        <w:rPr>
          <w:rFonts w:hint="eastAsia" w:ascii="仿宋" w:hAnsi="仿宋" w:eastAsia="仿宋" w:cs="仿宋"/>
          <w:color w:val="auto"/>
          <w:sz w:val="24"/>
          <w:szCs w:val="24"/>
        </w:rPr>
        <w:t>项</w:t>
      </w:r>
      <w:r>
        <w:rPr>
          <w:rFonts w:hint="eastAsia" w:ascii="仿宋" w:hAnsi="仿宋" w:eastAsia="仿宋" w:cs="仿宋"/>
          <w:color w:val="auto"/>
          <w:kern w:val="0"/>
          <w:sz w:val="24"/>
          <w:szCs w:val="24"/>
        </w:rPr>
        <w:t>〔总价合同的计量〕</w:t>
      </w:r>
      <w:r>
        <w:rPr>
          <w:rFonts w:hint="eastAsia" w:ascii="仿宋" w:hAnsi="仿宋" w:eastAsia="仿宋" w:cs="仿宋"/>
          <w:color w:val="auto"/>
          <w:sz w:val="24"/>
          <w:szCs w:val="24"/>
        </w:rPr>
        <w:t>约定进行计量：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A58B5E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12.3.6 其他价格形式合同的计量</w:t>
      </w:r>
    </w:p>
    <w:p w14:paraId="425D210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其他价格形式的计量方式和程序：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4A9117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12.4 工程进度款支付</w:t>
      </w:r>
    </w:p>
    <w:p w14:paraId="2CEF6AA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bookmarkStart w:id="1203" w:name="_Toc296944550"/>
      <w:bookmarkStart w:id="1204" w:name="_Toc297048397"/>
      <w:bookmarkStart w:id="1205" w:name="_Toc303539163"/>
      <w:bookmarkStart w:id="1206" w:name="_Toc292559416"/>
      <w:bookmarkStart w:id="1207" w:name="_Toc296503211"/>
      <w:bookmarkStart w:id="1208" w:name="_Toc300935006"/>
      <w:bookmarkStart w:id="1209" w:name="_Toc292559921"/>
      <w:bookmarkStart w:id="1210" w:name="_Toc296346712"/>
      <w:bookmarkStart w:id="1211" w:name="_Toc297216215"/>
      <w:bookmarkStart w:id="1212" w:name="_Toc296891039"/>
      <w:bookmarkStart w:id="1213" w:name="_Toc297120511"/>
      <w:bookmarkStart w:id="1214" w:name="_Toc297123556"/>
      <w:bookmarkStart w:id="1215" w:name="_Toc296891251"/>
      <w:bookmarkStart w:id="1216" w:name="_Toc296347210"/>
      <w:r>
        <w:rPr>
          <w:rFonts w:hint="eastAsia" w:ascii="仿宋" w:hAnsi="仿宋" w:eastAsia="仿宋" w:cs="仿宋"/>
          <w:color w:val="auto"/>
          <w:sz w:val="24"/>
          <w:szCs w:val="24"/>
        </w:rPr>
        <w:t>12.4.1 付款周期</w:t>
      </w:r>
    </w:p>
    <w:p w14:paraId="2B38998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关于付款周期的约定：</w:t>
      </w:r>
      <w:r>
        <w:rPr>
          <w:rFonts w:hint="eastAsia" w:ascii="仿宋" w:hAnsi="仿宋" w:eastAsia="仿宋" w:cs="仿宋"/>
          <w:color w:val="auto"/>
          <w:sz w:val="24"/>
          <w:szCs w:val="24"/>
          <w:u w:val="single"/>
        </w:rPr>
        <w:t xml:space="preserve">   按工程进度付款        </w:t>
      </w:r>
      <w:r>
        <w:rPr>
          <w:rFonts w:hint="eastAsia" w:ascii="仿宋" w:hAnsi="仿宋" w:eastAsia="仿宋" w:cs="仿宋"/>
          <w:color w:val="auto"/>
          <w:sz w:val="24"/>
          <w:szCs w:val="24"/>
        </w:rPr>
        <w:t>。</w:t>
      </w:r>
    </w:p>
    <w:p w14:paraId="14DFA2F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12.4.2 进度付款申请单的编制</w:t>
      </w:r>
    </w:p>
    <w:p w14:paraId="2F8E605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关于进度付款申请单编制的约定：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依据</w:t>
      </w:r>
      <w:r>
        <w:rPr>
          <w:rFonts w:hint="eastAsia" w:ascii="仿宋" w:hAnsi="仿宋" w:eastAsia="仿宋" w:cs="仿宋"/>
          <w:color w:val="auto"/>
          <w:sz w:val="24"/>
          <w:szCs w:val="24"/>
          <w:u w:val="single"/>
        </w:rPr>
        <w:t>监理公司、建设方、审计单位等三方审核确认的工程进度报表支付</w:t>
      </w:r>
      <w:r>
        <w:rPr>
          <w:rFonts w:hint="eastAsia" w:ascii="仿宋" w:hAnsi="仿宋" w:eastAsia="仿宋" w:cs="仿宋"/>
          <w:color w:val="auto"/>
          <w:sz w:val="24"/>
          <w:szCs w:val="24"/>
          <w:u w:val="single"/>
          <w:lang w:eastAsia="zh-CN"/>
        </w:rPr>
        <w:t>进度款</w:t>
      </w:r>
      <w:r>
        <w:rPr>
          <w:rFonts w:hint="eastAsia" w:ascii="仿宋" w:hAnsi="仿宋" w:eastAsia="仿宋" w:cs="仿宋"/>
          <w:color w:val="auto"/>
          <w:sz w:val="24"/>
          <w:szCs w:val="24"/>
          <w:u w:val="single"/>
        </w:rPr>
        <w:t>，待工程竣工验收合格后支付至合同价款的 75%，</w:t>
      </w:r>
      <w:r>
        <w:rPr>
          <w:rFonts w:hint="eastAsia" w:ascii="仿宋" w:hAnsi="仿宋" w:eastAsia="仿宋" w:cs="仿宋"/>
          <w:i w:val="0"/>
          <w:iCs w:val="0"/>
          <w:color w:val="auto"/>
          <w:sz w:val="24"/>
          <w:szCs w:val="24"/>
          <w:u w:val="single"/>
          <w:lang w:val="en-US" w:eastAsia="zh-CN"/>
        </w:rPr>
        <w:t>最终工程价款经第三方结算审核定案</w:t>
      </w:r>
      <w:r>
        <w:rPr>
          <w:rFonts w:hint="eastAsia" w:ascii="仿宋" w:hAnsi="仿宋" w:eastAsia="仿宋" w:cs="仿宋"/>
          <w:i w:val="0"/>
          <w:iCs w:val="0"/>
          <w:color w:val="auto"/>
          <w:sz w:val="24"/>
          <w:szCs w:val="24"/>
          <w:u w:val="single"/>
        </w:rPr>
        <w:t>后付至终审</w:t>
      </w:r>
      <w:r>
        <w:rPr>
          <w:rFonts w:hint="eastAsia" w:ascii="仿宋" w:hAnsi="仿宋" w:eastAsia="仿宋" w:cs="仿宋"/>
          <w:i w:val="0"/>
          <w:iCs w:val="0"/>
          <w:color w:val="auto"/>
          <w:sz w:val="24"/>
          <w:szCs w:val="24"/>
          <w:u w:val="single"/>
          <w:lang w:val="en-US" w:eastAsia="zh-CN"/>
        </w:rPr>
        <w:t>定案</w:t>
      </w:r>
      <w:r>
        <w:rPr>
          <w:rFonts w:hint="eastAsia" w:ascii="仿宋" w:hAnsi="仿宋" w:eastAsia="仿宋" w:cs="仿宋"/>
          <w:i w:val="0"/>
          <w:iCs w:val="0"/>
          <w:color w:val="auto"/>
          <w:sz w:val="24"/>
          <w:szCs w:val="24"/>
          <w:u w:val="single"/>
        </w:rPr>
        <w:t>价的 97%</w:t>
      </w:r>
      <w:r>
        <w:rPr>
          <w:rFonts w:hint="eastAsia" w:ascii="仿宋" w:hAnsi="仿宋" w:eastAsia="仿宋" w:cs="仿宋"/>
          <w:color w:val="auto"/>
          <w:sz w:val="24"/>
          <w:szCs w:val="24"/>
          <w:u w:val="single"/>
        </w:rPr>
        <w:t>，留 3%的</w:t>
      </w:r>
      <w:r>
        <w:rPr>
          <w:rFonts w:hint="eastAsia" w:ascii="仿宋" w:hAnsi="仿宋" w:eastAsia="仿宋" w:cs="仿宋"/>
          <w:i w:val="0"/>
          <w:iCs w:val="0"/>
          <w:color w:val="auto"/>
          <w:sz w:val="24"/>
          <w:szCs w:val="24"/>
          <w:u w:val="single"/>
        </w:rPr>
        <w:t>终审</w:t>
      </w:r>
      <w:r>
        <w:rPr>
          <w:rFonts w:hint="eastAsia" w:ascii="仿宋" w:hAnsi="仿宋" w:eastAsia="仿宋" w:cs="仿宋"/>
          <w:i w:val="0"/>
          <w:iCs w:val="0"/>
          <w:color w:val="auto"/>
          <w:sz w:val="24"/>
          <w:szCs w:val="24"/>
          <w:u w:val="single"/>
          <w:lang w:val="en-US" w:eastAsia="zh-CN"/>
        </w:rPr>
        <w:t>定案</w:t>
      </w:r>
      <w:r>
        <w:rPr>
          <w:rFonts w:hint="eastAsia" w:ascii="仿宋" w:hAnsi="仿宋" w:eastAsia="仿宋" w:cs="仿宋"/>
          <w:i w:val="0"/>
          <w:iCs w:val="0"/>
          <w:color w:val="auto"/>
          <w:sz w:val="24"/>
          <w:szCs w:val="24"/>
          <w:u w:val="single"/>
        </w:rPr>
        <w:t>价</w:t>
      </w:r>
      <w:r>
        <w:rPr>
          <w:rFonts w:hint="eastAsia" w:ascii="仿宋" w:hAnsi="仿宋" w:eastAsia="仿宋" w:cs="仿宋"/>
          <w:color w:val="auto"/>
          <w:sz w:val="24"/>
          <w:szCs w:val="24"/>
          <w:u w:val="single"/>
        </w:rPr>
        <w:t xml:space="preserve">作为工程质保金，质保期满经确认无遗留问题返还。工程款必须专用不得挪用  </w:t>
      </w:r>
      <w:r>
        <w:rPr>
          <w:rFonts w:hint="eastAsia" w:ascii="仿宋" w:hAnsi="仿宋" w:eastAsia="仿宋" w:cs="仿宋"/>
          <w:color w:val="auto"/>
          <w:sz w:val="24"/>
          <w:szCs w:val="24"/>
        </w:rPr>
        <w:t>。</w:t>
      </w:r>
    </w:p>
    <w:p w14:paraId="46A4D78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w:t>
      </w:r>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r>
        <w:rPr>
          <w:rFonts w:hint="eastAsia" w:ascii="仿宋" w:hAnsi="仿宋" w:eastAsia="仿宋" w:cs="仿宋"/>
          <w:color w:val="auto"/>
          <w:sz w:val="24"/>
          <w:szCs w:val="24"/>
        </w:rPr>
        <w:t>2.4.3 进度付款申请单的提交</w:t>
      </w:r>
    </w:p>
    <w:p w14:paraId="0CA8E1C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（1）单价合同进度付款申请单提交的约定：</w:t>
      </w:r>
      <w:r>
        <w:rPr>
          <w:rFonts w:hint="eastAsia" w:ascii="仿宋" w:hAnsi="仿宋" w:eastAsia="仿宋" w:cs="仿宋"/>
          <w:color w:val="auto"/>
          <w:sz w:val="24"/>
          <w:szCs w:val="24"/>
          <w:u w:val="single"/>
        </w:rPr>
        <w:t xml:space="preserve"> 每月 25 日前  </w:t>
      </w:r>
      <w:r>
        <w:rPr>
          <w:rFonts w:hint="eastAsia" w:ascii="仿宋" w:hAnsi="仿宋" w:eastAsia="仿宋" w:cs="仿宋"/>
          <w:color w:val="auto"/>
          <w:sz w:val="24"/>
          <w:szCs w:val="24"/>
        </w:rPr>
        <w:t>。</w:t>
      </w:r>
    </w:p>
    <w:p w14:paraId="2B08426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（2）总价合同进度付款申请单提交的约定：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4CF51F1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（3）其他价格形式合同进度付款申请单提交的约定：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AB3677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12.4.4 进度款审核和支付</w:t>
      </w:r>
    </w:p>
    <w:p w14:paraId="7BB39B5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（1）监理人审查并报送发包人的期限：</w:t>
      </w:r>
      <w:r>
        <w:rPr>
          <w:rFonts w:hint="eastAsia" w:ascii="仿宋" w:hAnsi="仿宋" w:eastAsia="仿宋" w:cs="仿宋"/>
          <w:color w:val="auto"/>
          <w:sz w:val="24"/>
          <w:szCs w:val="24"/>
          <w:u w:val="single"/>
        </w:rPr>
        <w:t xml:space="preserve"> 收到申请 7 天内    </w:t>
      </w:r>
      <w:r>
        <w:rPr>
          <w:rFonts w:hint="eastAsia" w:ascii="仿宋" w:hAnsi="仿宋" w:eastAsia="仿宋" w:cs="仿宋"/>
          <w:color w:val="auto"/>
          <w:sz w:val="24"/>
          <w:szCs w:val="24"/>
        </w:rPr>
        <w:t>。</w:t>
      </w:r>
    </w:p>
    <w:p w14:paraId="1E52D24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发包人完成审批并签发进度款支付证书的期限：</w:t>
      </w:r>
      <w:r>
        <w:rPr>
          <w:rFonts w:hint="eastAsia" w:ascii="仿宋" w:hAnsi="仿宋" w:eastAsia="仿宋" w:cs="仿宋"/>
          <w:color w:val="auto"/>
          <w:sz w:val="24"/>
          <w:szCs w:val="24"/>
          <w:u w:val="single"/>
        </w:rPr>
        <w:t xml:space="preserve">  收到申请 7 天内   </w:t>
      </w:r>
      <w:r>
        <w:rPr>
          <w:rFonts w:hint="eastAsia" w:ascii="仿宋" w:hAnsi="仿宋" w:eastAsia="仿宋" w:cs="仿宋"/>
          <w:color w:val="auto"/>
          <w:sz w:val="24"/>
          <w:szCs w:val="24"/>
        </w:rPr>
        <w:t>。</w:t>
      </w:r>
    </w:p>
    <w:p w14:paraId="5DCE34D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（2）发包人支付进度款的期限：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41BA48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发包人逾期支付进度款的违约金的计算方式：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B7FA7A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12.4.6 支付分解表的编制</w:t>
      </w:r>
    </w:p>
    <w:p w14:paraId="75F8CF4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、总价合同支付分解表的编制与审批：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53F1D89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、单价合同的总价项目支付分解表的编制与审批：</w:t>
      </w:r>
      <w:r>
        <w:rPr>
          <w:rFonts w:hint="eastAsia" w:ascii="仿宋" w:hAnsi="仿宋" w:eastAsia="仿宋" w:cs="仿宋"/>
          <w:color w:val="auto"/>
          <w:sz w:val="24"/>
          <w:szCs w:val="24"/>
          <w:u w:val="single"/>
        </w:rPr>
        <w:t xml:space="preserve">  执行通用条款  </w:t>
      </w:r>
      <w:r>
        <w:rPr>
          <w:rFonts w:hint="eastAsia" w:ascii="仿宋" w:hAnsi="仿宋" w:eastAsia="仿宋" w:cs="仿宋"/>
          <w:color w:val="auto"/>
          <w:sz w:val="24"/>
          <w:szCs w:val="24"/>
        </w:rPr>
        <w:t>。</w:t>
      </w:r>
    </w:p>
    <w:bookmarkEnd w:id="1046"/>
    <w:p w14:paraId="2A3657D2">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217" w:name="_Toc351203645"/>
      <w:bookmarkStart w:id="1218" w:name="_Toc296346720"/>
      <w:bookmarkStart w:id="1219" w:name="_Toc292559424"/>
      <w:bookmarkStart w:id="1220" w:name="_Toc312678053"/>
      <w:bookmarkStart w:id="1221" w:name="_Toc300935015"/>
      <w:bookmarkStart w:id="1222" w:name="_Toc297123564"/>
      <w:bookmarkStart w:id="1223" w:name="_Toc304295593"/>
      <w:bookmarkStart w:id="1224" w:name="_Toc292559929"/>
      <w:bookmarkStart w:id="1225" w:name="_Toc296347218"/>
      <w:bookmarkStart w:id="1226" w:name="_Toc296944558"/>
      <w:bookmarkStart w:id="1227" w:name="_Toc303539172"/>
      <w:bookmarkStart w:id="1228" w:name="_Toc296891047"/>
      <w:bookmarkStart w:id="1229" w:name="_Toc297216223"/>
      <w:bookmarkStart w:id="1230" w:name="_Toc296503219"/>
      <w:bookmarkStart w:id="1231" w:name="_Toc297048405"/>
      <w:bookmarkStart w:id="1232" w:name="_Toc296891259"/>
      <w:bookmarkStart w:id="1233" w:name="_Toc297120519"/>
      <w:r>
        <w:rPr>
          <w:rFonts w:hint="eastAsia" w:ascii="仿宋" w:hAnsi="仿宋" w:eastAsia="仿宋" w:cs="仿宋"/>
          <w:color w:val="auto"/>
          <w:sz w:val="24"/>
          <w:szCs w:val="24"/>
        </w:rPr>
        <w:t>13. 验收和工程试车</w:t>
      </w:r>
      <w:bookmarkEnd w:id="1217"/>
    </w:p>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p w14:paraId="789B6CE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13.1 分部分项工程验收</w:t>
      </w:r>
    </w:p>
    <w:p w14:paraId="79828F5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13.1.2监理人不能按时进行验收时，应提前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24</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小时提交书面延期要求。</w:t>
      </w:r>
    </w:p>
    <w:p w14:paraId="04AC385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b/>
          <w:color w:val="auto"/>
          <w:sz w:val="24"/>
          <w:szCs w:val="24"/>
        </w:rPr>
      </w:pPr>
      <w:r>
        <w:rPr>
          <w:rFonts w:hint="eastAsia" w:ascii="仿宋" w:hAnsi="仿宋" w:eastAsia="仿宋" w:cs="仿宋"/>
          <w:color w:val="auto"/>
          <w:sz w:val="24"/>
          <w:szCs w:val="24"/>
        </w:rPr>
        <w:t>关于延期最长不得超过：</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48</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小时。</w:t>
      </w:r>
    </w:p>
    <w:p w14:paraId="6630122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bookmarkStart w:id="1234" w:name="_Toc296891263"/>
      <w:bookmarkStart w:id="1235" w:name="_Toc312678056"/>
      <w:bookmarkStart w:id="1236" w:name="_Toc292559933"/>
      <w:bookmarkStart w:id="1237" w:name="_Toc300935016"/>
      <w:bookmarkStart w:id="1238" w:name="_Toc304295596"/>
      <w:bookmarkStart w:id="1239" w:name="_Toc296891051"/>
      <w:bookmarkStart w:id="1240" w:name="_Toc292559428"/>
      <w:bookmarkStart w:id="1241" w:name="_Toc297120523"/>
      <w:bookmarkStart w:id="1242" w:name="_Toc303539173"/>
      <w:bookmarkStart w:id="1243" w:name="_Toc296503223"/>
      <w:bookmarkStart w:id="1244" w:name="_Toc297123565"/>
      <w:bookmarkStart w:id="1245" w:name="_Toc296347222"/>
      <w:bookmarkStart w:id="1246" w:name="_Toc297048409"/>
      <w:bookmarkStart w:id="1247" w:name="_Toc297216224"/>
      <w:bookmarkStart w:id="1248" w:name="_Toc296944562"/>
      <w:bookmarkStart w:id="1249" w:name="_Toc296346724"/>
      <w:bookmarkStart w:id="1250" w:name="_Toc267251472"/>
      <w:bookmarkStart w:id="1251" w:name="_Toc267251473"/>
      <w:bookmarkStart w:id="1252" w:name="_Toc267251474"/>
      <w:bookmarkStart w:id="1253" w:name="_Toc267251475"/>
      <w:bookmarkStart w:id="1254" w:name="_Toc267251470"/>
      <w:bookmarkStart w:id="1255" w:name="_Toc267251476"/>
      <w:bookmarkStart w:id="1256" w:name="_Toc267251471"/>
      <w:r>
        <w:rPr>
          <w:rFonts w:hint="eastAsia" w:ascii="仿宋" w:hAnsi="仿宋" w:eastAsia="仿宋" w:cs="仿宋"/>
          <w:color w:val="auto"/>
          <w:sz w:val="24"/>
          <w:szCs w:val="24"/>
        </w:rPr>
        <w:t>13.2 竣工验收</w:t>
      </w:r>
    </w:p>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p w14:paraId="747AA5E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bookmarkStart w:id="1257" w:name="_Toc280868704"/>
      <w:bookmarkStart w:id="1258" w:name="_Toc280868705"/>
      <w:bookmarkStart w:id="1259" w:name="_Toc280868706"/>
      <w:bookmarkStart w:id="1260" w:name="_Toc280868707"/>
      <w:bookmarkStart w:id="1261" w:name="_Toc280868708"/>
      <w:bookmarkStart w:id="1262" w:name="_Toc280868709"/>
      <w:r>
        <w:rPr>
          <w:rFonts w:hint="eastAsia" w:ascii="仿宋" w:hAnsi="仿宋" w:eastAsia="仿宋" w:cs="仿宋"/>
          <w:color w:val="auto"/>
          <w:sz w:val="24"/>
          <w:szCs w:val="24"/>
        </w:rPr>
        <w:t>13.2.2竣工验收程序</w:t>
      </w:r>
    </w:p>
    <w:bookmarkEnd w:id="1257"/>
    <w:p w14:paraId="625A4D9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关于竣工验收程序的约定：</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p w14:paraId="49E8EE5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发包人不按照本项约定组织竣工验收、颁发工程接收证书的违约金的计算方法：</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1258"/>
    <w:p w14:paraId="0A13FC9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13.2.5移交、接收全部与部分工程</w:t>
      </w:r>
    </w:p>
    <w:bookmarkEnd w:id="1259"/>
    <w:p w14:paraId="0605407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承包人向发包人移交工程的期限：</w:t>
      </w:r>
      <w:r>
        <w:rPr>
          <w:rFonts w:hint="eastAsia" w:ascii="仿宋" w:hAnsi="仿宋" w:eastAsia="仿宋" w:cs="仿宋"/>
          <w:color w:val="auto"/>
          <w:sz w:val="24"/>
          <w:szCs w:val="24"/>
          <w:u w:val="single"/>
        </w:rPr>
        <w:t xml:space="preserve">   按照发包人约定执行 </w:t>
      </w:r>
      <w:r>
        <w:rPr>
          <w:rFonts w:hint="eastAsia" w:ascii="仿宋" w:hAnsi="仿宋" w:eastAsia="仿宋" w:cs="仿宋"/>
          <w:color w:val="auto"/>
          <w:sz w:val="24"/>
          <w:szCs w:val="24"/>
        </w:rPr>
        <w:t>。</w:t>
      </w:r>
    </w:p>
    <w:p w14:paraId="7395E7E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kern w:val="0"/>
          <w:sz w:val="24"/>
          <w:szCs w:val="24"/>
        </w:rPr>
        <w:t>发包人未按本合同约定接收全部或部分工程的，违约金的计算方法为：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1260"/>
    <w:p w14:paraId="3008462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承包人未按时移交工程的，违约金的计算方法为：</w:t>
      </w:r>
      <w:r>
        <w:rPr>
          <w:rFonts w:hint="eastAsia" w:ascii="仿宋" w:hAnsi="仿宋" w:eastAsia="仿宋" w:cs="仿宋"/>
          <w:color w:val="auto"/>
          <w:sz w:val="24"/>
          <w:szCs w:val="24"/>
          <w:u w:val="single"/>
        </w:rPr>
        <w:t xml:space="preserve">  扣除全部履约保证金和工程质保金   </w:t>
      </w:r>
      <w:r>
        <w:rPr>
          <w:rFonts w:hint="eastAsia" w:ascii="仿宋" w:hAnsi="仿宋" w:eastAsia="仿宋" w:cs="仿宋"/>
          <w:color w:val="auto"/>
          <w:sz w:val="24"/>
          <w:szCs w:val="24"/>
        </w:rPr>
        <w:t>。</w:t>
      </w:r>
    </w:p>
    <w:p w14:paraId="0595CCA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13.3 工程试车</w:t>
      </w:r>
    </w:p>
    <w:bookmarkEnd w:id="1261"/>
    <w:p w14:paraId="09E0E94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13.3.1 试车程序</w:t>
      </w:r>
    </w:p>
    <w:p w14:paraId="0FCBBB2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工程试车内容：</w:t>
      </w:r>
      <w:r>
        <w:rPr>
          <w:rFonts w:hint="eastAsia" w:ascii="仿宋" w:hAnsi="仿宋" w:eastAsia="仿宋" w:cs="仿宋"/>
          <w:color w:val="auto"/>
          <w:sz w:val="24"/>
          <w:szCs w:val="24"/>
          <w:u w:val="single"/>
        </w:rPr>
        <w:t xml:space="preserve">     按实际情况确定          </w:t>
      </w:r>
      <w:r>
        <w:rPr>
          <w:rFonts w:hint="eastAsia" w:ascii="仿宋" w:hAnsi="仿宋" w:eastAsia="仿宋" w:cs="仿宋"/>
          <w:color w:val="auto"/>
          <w:sz w:val="24"/>
          <w:szCs w:val="24"/>
        </w:rPr>
        <w:t>。</w:t>
      </w:r>
    </w:p>
    <w:p w14:paraId="69CCC34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（1）单机无负荷试车费用由</w:t>
      </w:r>
      <w:r>
        <w:rPr>
          <w:rFonts w:hint="eastAsia" w:ascii="仿宋" w:hAnsi="仿宋" w:eastAsia="仿宋" w:cs="仿宋"/>
          <w:color w:val="auto"/>
          <w:sz w:val="24"/>
          <w:szCs w:val="24"/>
          <w:u w:val="single"/>
        </w:rPr>
        <w:t xml:space="preserve">  由承包人承担、费用含在合同价中承担  </w:t>
      </w:r>
      <w:r>
        <w:rPr>
          <w:rFonts w:hint="eastAsia" w:ascii="仿宋" w:hAnsi="仿宋" w:eastAsia="仿宋" w:cs="仿宋"/>
          <w:color w:val="auto"/>
          <w:kern w:val="0"/>
          <w:sz w:val="24"/>
          <w:szCs w:val="24"/>
        </w:rPr>
        <w:t>承担；</w:t>
      </w:r>
    </w:p>
    <w:p w14:paraId="124D50C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（2）无负荷联动试车费用由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承担。</w:t>
      </w:r>
    </w:p>
    <w:p w14:paraId="0575EBB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13.3.3 投料试车</w:t>
      </w:r>
    </w:p>
    <w:p w14:paraId="2E9E5CD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关于投料试车相关事项的约定：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4DCD386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13.</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 xml:space="preserve"> 竣工退场</w:t>
      </w:r>
    </w:p>
    <w:p w14:paraId="7A7FF97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13.</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.1 竣工退场</w:t>
      </w:r>
    </w:p>
    <w:p w14:paraId="5104275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承包人完成竣工退场的期限：</w:t>
      </w:r>
      <w:r>
        <w:rPr>
          <w:rFonts w:hint="eastAsia" w:ascii="仿宋" w:hAnsi="仿宋" w:eastAsia="仿宋" w:cs="仿宋"/>
          <w:color w:val="auto"/>
          <w:sz w:val="24"/>
          <w:szCs w:val="24"/>
          <w:u w:val="single"/>
        </w:rPr>
        <w:t xml:space="preserve">    按照发包人要求执行      </w:t>
      </w:r>
      <w:r>
        <w:rPr>
          <w:rFonts w:hint="eastAsia" w:ascii="仿宋" w:hAnsi="仿宋" w:eastAsia="仿宋" w:cs="仿宋"/>
          <w:color w:val="auto"/>
          <w:kern w:val="0"/>
          <w:sz w:val="24"/>
          <w:szCs w:val="24"/>
        </w:rPr>
        <w:t>。</w:t>
      </w:r>
    </w:p>
    <w:p w14:paraId="244FA0CE">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263" w:name="_Toc351203646"/>
      <w:r>
        <w:rPr>
          <w:rFonts w:hint="eastAsia" w:ascii="仿宋" w:hAnsi="仿宋" w:eastAsia="仿宋" w:cs="仿宋"/>
          <w:color w:val="auto"/>
          <w:sz w:val="24"/>
          <w:szCs w:val="24"/>
        </w:rPr>
        <w:t>14. 竣工结算</w:t>
      </w:r>
      <w:bookmarkEnd w:id="1263"/>
    </w:p>
    <w:p w14:paraId="6C84120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14.1 竣工结算申请</w:t>
      </w:r>
    </w:p>
    <w:p w14:paraId="4173EDA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承包人提交竣工结算申请单的期限：</w:t>
      </w:r>
      <w:r>
        <w:rPr>
          <w:rFonts w:hint="eastAsia" w:ascii="仿宋" w:hAnsi="仿宋" w:eastAsia="仿宋" w:cs="仿宋"/>
          <w:color w:val="auto"/>
          <w:sz w:val="24"/>
          <w:szCs w:val="24"/>
          <w:u w:val="single"/>
        </w:rPr>
        <w:t xml:space="preserve">  工程竣工验收合格后 28 天内  </w:t>
      </w:r>
      <w:r>
        <w:rPr>
          <w:rFonts w:hint="eastAsia" w:ascii="仿宋" w:hAnsi="仿宋" w:eastAsia="仿宋" w:cs="仿宋"/>
          <w:color w:val="auto"/>
          <w:sz w:val="24"/>
          <w:szCs w:val="24"/>
        </w:rPr>
        <w:t>。</w:t>
      </w:r>
    </w:p>
    <w:p w14:paraId="71352C3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竣工结算申请单应包括的内容：</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p w14:paraId="5020855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14.2 竣工结算审核</w:t>
      </w:r>
    </w:p>
    <w:p w14:paraId="295A5E9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i w:val="0"/>
          <w:iCs w:val="0"/>
          <w:color w:val="auto"/>
          <w:sz w:val="24"/>
          <w:szCs w:val="24"/>
        </w:rPr>
      </w:pPr>
      <w:r>
        <w:rPr>
          <w:rFonts w:hint="eastAsia" w:ascii="仿宋" w:hAnsi="仿宋" w:eastAsia="仿宋" w:cs="仿宋"/>
          <w:color w:val="auto"/>
          <w:sz w:val="24"/>
          <w:szCs w:val="24"/>
        </w:rPr>
        <w:t>发包人审批竣工付款申请单的期限：</w:t>
      </w:r>
      <w:r>
        <w:rPr>
          <w:rFonts w:hint="eastAsia" w:ascii="仿宋" w:hAnsi="仿宋" w:eastAsia="仿宋" w:cs="仿宋"/>
          <w:i w:val="0"/>
          <w:iCs w:val="0"/>
          <w:color w:val="auto"/>
          <w:sz w:val="24"/>
          <w:szCs w:val="24"/>
          <w:u w:val="single"/>
        </w:rPr>
        <w:t xml:space="preserve"> </w:t>
      </w:r>
      <w:r>
        <w:rPr>
          <w:rFonts w:hint="eastAsia" w:ascii="仿宋" w:hAnsi="仿宋" w:eastAsia="仿宋" w:cs="仿宋"/>
          <w:i w:val="0"/>
          <w:iCs w:val="0"/>
          <w:color w:val="auto"/>
          <w:sz w:val="24"/>
          <w:szCs w:val="24"/>
          <w:u w:val="single"/>
          <w:lang w:val="en-US" w:eastAsia="zh-CN"/>
        </w:rPr>
        <w:t>委托第三方对最终工程价款进行结算审核</w:t>
      </w:r>
      <w:r>
        <w:rPr>
          <w:rFonts w:hint="eastAsia" w:ascii="仿宋" w:hAnsi="仿宋" w:eastAsia="仿宋" w:cs="仿宋"/>
          <w:i w:val="0"/>
          <w:iCs w:val="0"/>
          <w:color w:val="auto"/>
          <w:sz w:val="24"/>
          <w:szCs w:val="24"/>
          <w:u w:val="single"/>
        </w:rPr>
        <w:t xml:space="preserve"> </w:t>
      </w:r>
      <w:r>
        <w:rPr>
          <w:rFonts w:hint="eastAsia" w:ascii="仿宋" w:hAnsi="仿宋" w:eastAsia="仿宋" w:cs="仿宋"/>
          <w:i w:val="0"/>
          <w:iCs w:val="0"/>
          <w:color w:val="auto"/>
          <w:sz w:val="24"/>
          <w:szCs w:val="24"/>
        </w:rPr>
        <w:t>。</w:t>
      </w:r>
    </w:p>
    <w:p w14:paraId="151591F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发包人完成竣工付款的期限：</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p w14:paraId="1B25DE5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关于竣工付款证书异议部分复核的方式和程序：</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p w14:paraId="63E3531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14.4 最终结清</w:t>
      </w:r>
    </w:p>
    <w:p w14:paraId="2F3D7A8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14.4.1 最终结清申请单</w:t>
      </w:r>
    </w:p>
    <w:p w14:paraId="43DE9D5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承包人提交最终结清申请单的份数：</w:t>
      </w:r>
      <w:r>
        <w:rPr>
          <w:rFonts w:hint="eastAsia" w:ascii="仿宋" w:hAnsi="仿宋" w:eastAsia="仿宋" w:cs="仿宋"/>
          <w:color w:val="auto"/>
          <w:sz w:val="24"/>
          <w:szCs w:val="24"/>
          <w:u w:val="single"/>
        </w:rPr>
        <w:t xml:space="preserve">       八份        </w:t>
      </w:r>
      <w:r>
        <w:rPr>
          <w:rFonts w:hint="eastAsia" w:ascii="仿宋" w:hAnsi="仿宋" w:eastAsia="仿宋" w:cs="仿宋"/>
          <w:color w:val="auto"/>
          <w:sz w:val="24"/>
          <w:szCs w:val="24"/>
        </w:rPr>
        <w:t>。</w:t>
      </w:r>
    </w:p>
    <w:p w14:paraId="3999898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承包人提交最终结算申请单的期限：</w:t>
      </w:r>
      <w:r>
        <w:rPr>
          <w:rFonts w:hint="eastAsia" w:ascii="仿宋" w:hAnsi="仿宋" w:eastAsia="仿宋" w:cs="仿宋"/>
          <w:color w:val="auto"/>
          <w:sz w:val="24"/>
          <w:szCs w:val="24"/>
          <w:u w:val="single"/>
        </w:rPr>
        <w:t xml:space="preserve">  缺陷责任期满后 7 日内 </w:t>
      </w:r>
      <w:r>
        <w:rPr>
          <w:rFonts w:hint="eastAsia" w:ascii="仿宋" w:hAnsi="仿宋" w:eastAsia="仿宋" w:cs="仿宋"/>
          <w:color w:val="auto"/>
          <w:sz w:val="24"/>
          <w:szCs w:val="24"/>
        </w:rPr>
        <w:t xml:space="preserve">。 </w:t>
      </w:r>
    </w:p>
    <w:p w14:paraId="2750610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14.4.2 最终结清证书和支付</w:t>
      </w:r>
    </w:p>
    <w:p w14:paraId="3108E13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（1）发包人完成最终结清申请单的审批并颁发最终结清证书的期限：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7563A3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（2）发包人完成支付的期限：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bookmarkEnd w:id="1250"/>
    <w:bookmarkEnd w:id="1251"/>
    <w:bookmarkEnd w:id="1252"/>
    <w:bookmarkEnd w:id="1253"/>
    <w:bookmarkEnd w:id="1254"/>
    <w:bookmarkEnd w:id="1255"/>
    <w:bookmarkEnd w:id="1256"/>
    <w:bookmarkEnd w:id="1262"/>
    <w:p w14:paraId="7FBF87C9">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264" w:name="_Toc351203647"/>
      <w:bookmarkStart w:id="1265" w:name="_Toc267251483"/>
      <w:bookmarkStart w:id="1266" w:name="_Toc267251484"/>
      <w:bookmarkStart w:id="1267" w:name="_Toc267251482"/>
      <w:bookmarkStart w:id="1268" w:name="_Toc267251485"/>
      <w:bookmarkStart w:id="1269" w:name="_Toc267251486"/>
      <w:bookmarkStart w:id="1270" w:name="_Toc267251490"/>
      <w:bookmarkStart w:id="1271" w:name="_Toc267251488"/>
      <w:bookmarkStart w:id="1272" w:name="_Toc267251489"/>
      <w:bookmarkStart w:id="1273" w:name="_Toc267251502"/>
      <w:bookmarkStart w:id="1274" w:name="_Toc267251499"/>
      <w:bookmarkStart w:id="1275" w:name="_Toc267251493"/>
      <w:bookmarkStart w:id="1276" w:name="_Toc267251495"/>
      <w:bookmarkStart w:id="1277" w:name="_Toc267251494"/>
      <w:bookmarkStart w:id="1278" w:name="_Toc267251497"/>
      <w:bookmarkStart w:id="1279" w:name="_Toc267251492"/>
      <w:bookmarkStart w:id="1280" w:name="_Toc267251491"/>
      <w:bookmarkStart w:id="1281" w:name="_Toc267251496"/>
      <w:bookmarkStart w:id="1282" w:name="_Toc267251503"/>
      <w:bookmarkStart w:id="1283" w:name="_Toc267251501"/>
      <w:bookmarkStart w:id="1284" w:name="_Toc267251498"/>
      <w:bookmarkStart w:id="1285" w:name="_Toc267251506"/>
      <w:bookmarkStart w:id="1286" w:name="_Toc267251504"/>
      <w:bookmarkStart w:id="1287" w:name="_Toc267251507"/>
      <w:bookmarkStart w:id="1288" w:name="_Toc267251508"/>
      <w:bookmarkStart w:id="1289" w:name="_Toc267251515"/>
      <w:bookmarkStart w:id="1290" w:name="_Toc267251514"/>
      <w:bookmarkStart w:id="1291" w:name="_Toc267251509"/>
      <w:bookmarkStart w:id="1292" w:name="_Toc267251513"/>
      <w:bookmarkStart w:id="1293" w:name="_Toc267251510"/>
      <w:bookmarkStart w:id="1294" w:name="_Toc267251511"/>
      <w:r>
        <w:rPr>
          <w:rFonts w:hint="eastAsia" w:ascii="仿宋" w:hAnsi="仿宋" w:eastAsia="仿宋" w:cs="仿宋"/>
          <w:color w:val="auto"/>
          <w:sz w:val="24"/>
          <w:szCs w:val="24"/>
        </w:rPr>
        <w:t>15. 缺陷责任期与保修</w:t>
      </w:r>
      <w:bookmarkEnd w:id="1264"/>
    </w:p>
    <w:p w14:paraId="5BD02A7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15.2缺陷责任期</w:t>
      </w:r>
      <w:bookmarkEnd w:id="1265"/>
    </w:p>
    <w:p w14:paraId="47F8201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缺陷责任期的具体期限：</w:t>
      </w:r>
      <w:r>
        <w:rPr>
          <w:rFonts w:hint="eastAsia" w:ascii="仿宋" w:hAnsi="仿宋" w:eastAsia="仿宋" w:cs="仿宋"/>
          <w:color w:val="auto"/>
          <w:sz w:val="24"/>
          <w:szCs w:val="24"/>
          <w:u w:val="single"/>
        </w:rPr>
        <w:t xml:space="preserve">  竣工验收合格后起算，具体期限详见工程质量保修书   </w:t>
      </w:r>
      <w:r>
        <w:rPr>
          <w:rFonts w:hint="eastAsia" w:ascii="仿宋" w:hAnsi="仿宋" w:eastAsia="仿宋" w:cs="仿宋"/>
          <w:color w:val="auto"/>
          <w:sz w:val="24"/>
          <w:szCs w:val="24"/>
        </w:rPr>
        <w:t>。</w:t>
      </w:r>
    </w:p>
    <w:p w14:paraId="707C030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15.3 质量保证金</w:t>
      </w:r>
    </w:p>
    <w:p w14:paraId="11F8796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关于是否扣留质量保证金的约定：</w:t>
      </w:r>
      <w:r>
        <w:rPr>
          <w:rFonts w:hint="eastAsia" w:ascii="仿宋" w:hAnsi="仿宋" w:eastAsia="仿宋" w:cs="仿宋"/>
          <w:color w:val="auto"/>
          <w:sz w:val="24"/>
          <w:szCs w:val="24"/>
          <w:u w:val="single"/>
        </w:rPr>
        <w:t xml:space="preserve">  扣留工程</w:t>
      </w:r>
      <w:r>
        <w:rPr>
          <w:rFonts w:hint="eastAsia" w:ascii="仿宋" w:hAnsi="仿宋" w:eastAsia="仿宋" w:cs="仿宋"/>
          <w:i w:val="0"/>
          <w:iCs w:val="0"/>
          <w:color w:val="auto"/>
          <w:sz w:val="24"/>
          <w:szCs w:val="24"/>
          <w:u w:val="single"/>
        </w:rPr>
        <w:t>终审</w:t>
      </w:r>
      <w:r>
        <w:rPr>
          <w:rFonts w:hint="eastAsia" w:ascii="仿宋" w:hAnsi="仿宋" w:eastAsia="仿宋" w:cs="仿宋"/>
          <w:i w:val="0"/>
          <w:iCs w:val="0"/>
          <w:color w:val="auto"/>
          <w:sz w:val="24"/>
          <w:szCs w:val="24"/>
          <w:u w:val="single"/>
          <w:lang w:val="en-US" w:eastAsia="zh-CN"/>
        </w:rPr>
        <w:t>定案</w:t>
      </w:r>
      <w:r>
        <w:rPr>
          <w:rFonts w:hint="eastAsia" w:ascii="仿宋" w:hAnsi="仿宋" w:eastAsia="仿宋" w:cs="仿宋"/>
          <w:i w:val="0"/>
          <w:iCs w:val="0"/>
          <w:color w:val="auto"/>
          <w:sz w:val="24"/>
          <w:szCs w:val="24"/>
          <w:u w:val="single"/>
        </w:rPr>
        <w:t>价</w:t>
      </w:r>
      <w:r>
        <w:rPr>
          <w:rFonts w:hint="eastAsia" w:ascii="仿宋" w:hAnsi="仿宋" w:eastAsia="仿宋" w:cs="仿宋"/>
          <w:color w:val="auto"/>
          <w:sz w:val="24"/>
          <w:szCs w:val="24"/>
          <w:u w:val="single"/>
        </w:rPr>
        <w:t xml:space="preserve">的 3%作为工程质量保证金  </w:t>
      </w:r>
      <w:r>
        <w:rPr>
          <w:rFonts w:hint="eastAsia" w:ascii="仿宋" w:hAnsi="仿宋" w:eastAsia="仿宋" w:cs="仿宋"/>
          <w:color w:val="auto"/>
          <w:sz w:val="24"/>
          <w:szCs w:val="24"/>
        </w:rPr>
        <w:t>。</w:t>
      </w:r>
    </w:p>
    <w:p w14:paraId="5E4FA75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15.3.1 承包人提供质量保证金的方式</w:t>
      </w:r>
    </w:p>
    <w:p w14:paraId="293D211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质量保证金采用以下第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种方式：</w:t>
      </w:r>
    </w:p>
    <w:p w14:paraId="35626CE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（1）质量保证金保函，保证金额为：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 xml:space="preserve">； </w:t>
      </w:r>
    </w:p>
    <w:p w14:paraId="59C19AA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3</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%的工程款；</w:t>
      </w:r>
    </w:p>
    <w:p w14:paraId="4299BE6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（3）其他方式:</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225836D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15.3.2 质量保证金的扣留 </w:t>
      </w:r>
    </w:p>
    <w:p w14:paraId="6DA3F64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质量保证金的扣留采取以下第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种方式：</w:t>
      </w:r>
    </w:p>
    <w:p w14:paraId="2513737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（1）在支付工程进度款时逐次扣留，在此情形下，质量保证金的计算基数不包括预付款的支付、扣回以及价格调整的金额；</w:t>
      </w:r>
    </w:p>
    <w:p w14:paraId="775AE48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（2）工程竣工结算时一次性扣留质量保证金；</w:t>
      </w:r>
    </w:p>
    <w:p w14:paraId="7DCDDA3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（3）其他扣留方式:</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462B7C7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关于质量保证金的补充约定：</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bookmarkEnd w:id="1266"/>
    <w:bookmarkEnd w:id="1267"/>
    <w:p w14:paraId="4236448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15.4保修</w:t>
      </w:r>
    </w:p>
    <w:bookmarkEnd w:id="1268"/>
    <w:p w14:paraId="04D478A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15.4.1 保修责任</w:t>
      </w:r>
    </w:p>
    <w:p w14:paraId="60B12CD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工程保修期为：</w:t>
      </w:r>
      <w:r>
        <w:rPr>
          <w:rFonts w:hint="eastAsia" w:ascii="仿宋" w:hAnsi="仿宋" w:eastAsia="仿宋" w:cs="仿宋"/>
          <w:color w:val="auto"/>
          <w:kern w:val="0"/>
          <w:sz w:val="24"/>
          <w:szCs w:val="24"/>
          <w:u w:val="single"/>
        </w:rPr>
        <w:t xml:space="preserve">    见工程质量保修书             </w:t>
      </w:r>
      <w:r>
        <w:rPr>
          <w:rFonts w:hint="eastAsia" w:ascii="仿宋" w:hAnsi="仿宋" w:eastAsia="仿宋" w:cs="仿宋"/>
          <w:color w:val="auto"/>
          <w:kern w:val="0"/>
          <w:sz w:val="24"/>
          <w:szCs w:val="24"/>
        </w:rPr>
        <w:t>。</w:t>
      </w:r>
    </w:p>
    <w:p w14:paraId="5094034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15.4.3 修复通知</w:t>
      </w:r>
    </w:p>
    <w:p w14:paraId="2246F025">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承包人收到保修通知并到达工程现场的合理时间：</w:t>
      </w:r>
      <w:r>
        <w:rPr>
          <w:rFonts w:hint="eastAsia" w:ascii="仿宋" w:hAnsi="仿宋" w:eastAsia="仿宋" w:cs="仿宋"/>
          <w:color w:val="auto"/>
          <w:kern w:val="0"/>
          <w:sz w:val="24"/>
          <w:szCs w:val="24"/>
          <w:u w:val="single"/>
        </w:rPr>
        <w:t xml:space="preserve">   收到通知后 24 小时内    </w:t>
      </w:r>
      <w:r>
        <w:rPr>
          <w:rFonts w:hint="eastAsia" w:ascii="仿宋" w:hAnsi="仿宋" w:eastAsia="仿宋" w:cs="仿宋"/>
          <w:color w:val="auto"/>
          <w:kern w:val="0"/>
          <w:sz w:val="24"/>
          <w:szCs w:val="24"/>
        </w:rPr>
        <w:t>。</w:t>
      </w:r>
    </w:p>
    <w:bookmarkEnd w:id="1269"/>
    <w:bookmarkEnd w:id="1270"/>
    <w:bookmarkEnd w:id="1271"/>
    <w:bookmarkEnd w:id="1272"/>
    <w:p w14:paraId="4B53BAF1">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295" w:name="_Toc351203648"/>
      <w:bookmarkStart w:id="1296" w:name="_Toc280868717"/>
      <w:bookmarkStart w:id="1297" w:name="_Toc280868718"/>
      <w:r>
        <w:rPr>
          <w:rFonts w:hint="eastAsia" w:ascii="仿宋" w:hAnsi="仿宋" w:eastAsia="仿宋" w:cs="仿宋"/>
          <w:color w:val="auto"/>
          <w:sz w:val="24"/>
          <w:szCs w:val="24"/>
        </w:rPr>
        <w:t>16. 违约</w:t>
      </w:r>
      <w:bookmarkEnd w:id="1295"/>
    </w:p>
    <w:p w14:paraId="6E9E2D6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16.1 发包人违约</w:t>
      </w:r>
    </w:p>
    <w:p w14:paraId="1FBEE1F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16.1.1发包人违约的情形</w:t>
      </w:r>
    </w:p>
    <w:p w14:paraId="6693AEB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发包人违约的其他情形：</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49D26E5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16.1.2 发包人违约的责任</w:t>
      </w:r>
    </w:p>
    <w:p w14:paraId="3CEF2DD7">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发包人违约责任的承担方式和计算方法：</w:t>
      </w:r>
    </w:p>
    <w:p w14:paraId="4A82F8D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（1）因发包人原因未能在计划开工日期前7天内下达开工通知的违约责任：</w:t>
      </w:r>
      <w:r>
        <w:rPr>
          <w:rFonts w:hint="eastAsia" w:ascii="仿宋" w:hAnsi="仿宋" w:eastAsia="仿宋" w:cs="仿宋"/>
          <w:color w:val="auto"/>
          <w:kern w:val="0"/>
          <w:sz w:val="24"/>
          <w:szCs w:val="24"/>
          <w:u w:val="single"/>
        </w:rPr>
        <w:t xml:space="preserve">      执行通用条款                      </w:t>
      </w:r>
      <w:r>
        <w:rPr>
          <w:rFonts w:hint="eastAsia" w:ascii="仿宋" w:hAnsi="仿宋" w:eastAsia="仿宋" w:cs="仿宋"/>
          <w:color w:val="auto"/>
          <w:kern w:val="0"/>
          <w:sz w:val="24"/>
          <w:szCs w:val="24"/>
        </w:rPr>
        <w:t>。</w:t>
      </w:r>
    </w:p>
    <w:p w14:paraId="03BC783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（2）因发包人原因未能按合同约定支付合同价款的违约责任：</w:t>
      </w:r>
      <w:r>
        <w:rPr>
          <w:rFonts w:hint="eastAsia" w:ascii="仿宋" w:hAnsi="仿宋" w:eastAsia="仿宋" w:cs="仿宋"/>
          <w:color w:val="auto"/>
          <w:kern w:val="0"/>
          <w:sz w:val="24"/>
          <w:szCs w:val="24"/>
          <w:u w:val="single"/>
        </w:rPr>
        <w:t xml:space="preserve">        执行通用条款                     </w:t>
      </w:r>
      <w:r>
        <w:rPr>
          <w:rFonts w:hint="eastAsia" w:ascii="仿宋" w:hAnsi="仿宋" w:eastAsia="仿宋" w:cs="仿宋"/>
          <w:color w:val="auto"/>
          <w:kern w:val="0"/>
          <w:sz w:val="24"/>
          <w:szCs w:val="24"/>
        </w:rPr>
        <w:t>。</w:t>
      </w:r>
    </w:p>
    <w:p w14:paraId="43DF778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（3）发包人违反第10.1款〔变更的范围〕第（2）项约定，自行实施被取消的工作或转由他人实施的违约责任：</w:t>
      </w:r>
      <w:r>
        <w:rPr>
          <w:rFonts w:hint="eastAsia" w:ascii="仿宋" w:hAnsi="仿宋" w:eastAsia="仿宋" w:cs="仿宋"/>
          <w:color w:val="auto"/>
          <w:kern w:val="0"/>
          <w:sz w:val="24"/>
          <w:szCs w:val="24"/>
          <w:u w:val="single"/>
        </w:rPr>
        <w:t xml:space="preserve">    执行通用条款        </w:t>
      </w:r>
      <w:r>
        <w:rPr>
          <w:rFonts w:hint="eastAsia" w:ascii="仿宋" w:hAnsi="仿宋" w:eastAsia="仿宋" w:cs="仿宋"/>
          <w:color w:val="auto"/>
          <w:kern w:val="0"/>
          <w:sz w:val="24"/>
          <w:szCs w:val="24"/>
        </w:rPr>
        <w:t>。</w:t>
      </w:r>
    </w:p>
    <w:p w14:paraId="15711EA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（4）发包人提供的材料、工程设备的规格、数量或质量不符合合同约定，或因发包人原因导致交货日期延误或交货地点变更等情况的违约责任：</w:t>
      </w:r>
      <w:r>
        <w:rPr>
          <w:rFonts w:hint="eastAsia" w:ascii="仿宋" w:hAnsi="仿宋" w:eastAsia="仿宋" w:cs="仿宋"/>
          <w:color w:val="auto"/>
          <w:kern w:val="0"/>
          <w:sz w:val="24"/>
          <w:szCs w:val="24"/>
          <w:u w:val="single"/>
        </w:rPr>
        <w:t xml:space="preserve">      执行通用条款                      </w:t>
      </w:r>
      <w:r>
        <w:rPr>
          <w:rFonts w:hint="eastAsia" w:ascii="仿宋" w:hAnsi="仿宋" w:eastAsia="仿宋" w:cs="仿宋"/>
          <w:color w:val="auto"/>
          <w:kern w:val="0"/>
          <w:sz w:val="24"/>
          <w:szCs w:val="24"/>
        </w:rPr>
        <w:t>。</w:t>
      </w:r>
    </w:p>
    <w:p w14:paraId="3580FB5F">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（5）因发包人违反合同约定造成暂停施工的违约责任：</w:t>
      </w:r>
      <w:r>
        <w:rPr>
          <w:rFonts w:hint="eastAsia" w:ascii="仿宋" w:hAnsi="仿宋" w:eastAsia="仿宋" w:cs="仿宋"/>
          <w:color w:val="auto"/>
          <w:kern w:val="0"/>
          <w:sz w:val="24"/>
          <w:szCs w:val="24"/>
          <w:u w:val="single"/>
        </w:rPr>
        <w:t xml:space="preserve">     </w:t>
      </w:r>
    </w:p>
    <w:p w14:paraId="1F5C694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u w:val="single"/>
        </w:rPr>
        <w:t xml:space="preserve">             执行通用条款                              </w:t>
      </w:r>
      <w:r>
        <w:rPr>
          <w:rFonts w:hint="eastAsia" w:ascii="仿宋" w:hAnsi="仿宋" w:eastAsia="仿宋" w:cs="仿宋"/>
          <w:color w:val="auto"/>
          <w:kern w:val="0"/>
          <w:sz w:val="24"/>
          <w:szCs w:val="24"/>
        </w:rPr>
        <w:t>。</w:t>
      </w:r>
    </w:p>
    <w:p w14:paraId="5931B1E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（6）发包人无正当理由没有在约定期限内发出复工指示，导致承包人无法复工的违约责任：</w:t>
      </w:r>
      <w:r>
        <w:rPr>
          <w:rFonts w:hint="eastAsia" w:ascii="仿宋" w:hAnsi="仿宋" w:eastAsia="仿宋" w:cs="仿宋"/>
          <w:color w:val="auto"/>
          <w:kern w:val="0"/>
          <w:sz w:val="24"/>
          <w:szCs w:val="24"/>
          <w:u w:val="single"/>
        </w:rPr>
        <w:t xml:space="preserve">      执行通用条款           </w:t>
      </w:r>
      <w:r>
        <w:rPr>
          <w:rFonts w:hint="eastAsia" w:ascii="仿宋" w:hAnsi="仿宋" w:eastAsia="仿宋" w:cs="仿宋"/>
          <w:color w:val="auto"/>
          <w:kern w:val="0"/>
          <w:sz w:val="24"/>
          <w:szCs w:val="24"/>
        </w:rPr>
        <w:t>。</w:t>
      </w:r>
    </w:p>
    <w:p w14:paraId="2EB0338B">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（7）其他：</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14:paraId="3757616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16.1.3 因发包人违约解除合同</w:t>
      </w:r>
    </w:p>
    <w:p w14:paraId="60D8260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承包人按16.1.1项〔发包人违约的情形〕约定暂停施工满</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val="en-US" w:eastAsia="zh-CN"/>
        </w:rPr>
        <w:t>/</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天后发包人仍不纠正其违约行为并致使合同目的不能实现的，承包人有权解除合同。</w:t>
      </w:r>
    </w:p>
    <w:p w14:paraId="5AB5E3B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16.2 承包人违约</w:t>
      </w:r>
    </w:p>
    <w:p w14:paraId="53626D7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16.2.1 承包人违约的情形</w:t>
      </w:r>
    </w:p>
    <w:p w14:paraId="3B375F79">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承包人违约的其他情形：</w:t>
      </w:r>
      <w:r>
        <w:rPr>
          <w:rFonts w:hint="eastAsia" w:ascii="仿宋" w:hAnsi="仿宋" w:eastAsia="仿宋" w:cs="仿宋"/>
          <w:color w:val="auto"/>
          <w:kern w:val="0"/>
          <w:sz w:val="24"/>
          <w:szCs w:val="24"/>
          <w:u w:val="single"/>
        </w:rPr>
        <w:t xml:space="preserve">  （1）因承包人原因造成工程质量不合格的，承包人应承担全部经济责任，扣除履约保证金的同时，并按终审价 5%向发包人支付违约金。承包人应按照施工图设计要求将不合格的工程返工至合格，返工费用由承包人承担。如果因承包人原因造成工期延误而遇不可抗力时，责任由承包人全部承担，并承担工程不能按期竣工的违约责任；（2）承包</w:t>
      </w:r>
      <w:r>
        <w:rPr>
          <w:rFonts w:hint="eastAsia" w:ascii="仿宋" w:hAnsi="仿宋" w:eastAsia="仿宋" w:cs="仿宋"/>
          <w:color w:val="auto"/>
          <w:kern w:val="0"/>
          <w:sz w:val="24"/>
          <w:szCs w:val="24"/>
          <w:u w:val="single"/>
          <w:lang w:val="en-US" w:eastAsia="zh-CN"/>
        </w:rPr>
        <w:t>人</w:t>
      </w:r>
      <w:r>
        <w:rPr>
          <w:rFonts w:hint="eastAsia" w:ascii="仿宋" w:hAnsi="仿宋" w:eastAsia="仿宋" w:cs="仿宋"/>
          <w:color w:val="auto"/>
          <w:kern w:val="0"/>
          <w:sz w:val="24"/>
          <w:szCs w:val="24"/>
          <w:u w:val="single"/>
        </w:rPr>
        <w:t>不能以发包方工程建设资金不到位等原由，而停工或不按照发包方要求进行工程施工，也不能因此而拖欠工人工资，造成工人上访</w:t>
      </w:r>
      <w:r>
        <w:rPr>
          <w:rFonts w:hint="eastAsia" w:ascii="仿宋" w:hAnsi="仿宋" w:eastAsia="仿宋" w:cs="仿宋"/>
          <w:color w:val="auto"/>
          <w:kern w:val="0"/>
          <w:sz w:val="24"/>
          <w:szCs w:val="24"/>
          <w:u w:val="single"/>
          <w:lang w:eastAsia="zh-CN"/>
        </w:rPr>
        <w:t>，</w:t>
      </w:r>
      <w:r>
        <w:rPr>
          <w:rFonts w:hint="eastAsia" w:ascii="仿宋" w:hAnsi="仿宋" w:eastAsia="仿宋" w:cs="仿宋"/>
          <w:i w:val="0"/>
          <w:iCs w:val="0"/>
          <w:color w:val="auto"/>
          <w:kern w:val="0"/>
          <w:sz w:val="24"/>
          <w:szCs w:val="24"/>
          <w:u w:val="single"/>
          <w:lang w:val="en-US" w:eastAsia="zh-CN"/>
        </w:rPr>
        <w:t>否则应按1万元/人/次的标准向发包人偿付违约金</w:t>
      </w:r>
      <w:r>
        <w:rPr>
          <w:rFonts w:hint="eastAsia" w:ascii="仿宋" w:hAnsi="仿宋" w:eastAsia="仿宋" w:cs="仿宋"/>
          <w:i w:val="0"/>
          <w:iCs w:val="0"/>
          <w:color w:val="auto"/>
          <w:kern w:val="0"/>
          <w:sz w:val="24"/>
          <w:szCs w:val="24"/>
          <w:u w:val="single"/>
        </w:rPr>
        <w:t>；</w:t>
      </w:r>
      <w:r>
        <w:rPr>
          <w:rFonts w:hint="eastAsia" w:ascii="仿宋" w:hAnsi="仿宋" w:eastAsia="仿宋" w:cs="仿宋"/>
          <w:color w:val="auto"/>
          <w:kern w:val="0"/>
          <w:sz w:val="24"/>
          <w:szCs w:val="24"/>
          <w:u w:val="single"/>
        </w:rPr>
        <w:t>若发生以上情况，承包</w:t>
      </w:r>
      <w:r>
        <w:rPr>
          <w:rFonts w:hint="eastAsia" w:ascii="仿宋" w:hAnsi="仿宋" w:eastAsia="仿宋" w:cs="仿宋"/>
          <w:color w:val="auto"/>
          <w:kern w:val="0"/>
          <w:sz w:val="24"/>
          <w:szCs w:val="24"/>
          <w:u w:val="single"/>
          <w:lang w:val="en-US" w:eastAsia="zh-CN"/>
        </w:rPr>
        <w:t>人</w:t>
      </w:r>
      <w:r>
        <w:rPr>
          <w:rFonts w:hint="eastAsia" w:ascii="仿宋" w:hAnsi="仿宋" w:eastAsia="仿宋" w:cs="仿宋"/>
          <w:color w:val="auto"/>
          <w:kern w:val="0"/>
          <w:sz w:val="24"/>
          <w:szCs w:val="24"/>
          <w:u w:val="single"/>
        </w:rPr>
        <w:t xml:space="preserve">承诺将在三年内不参加发包方组织的招投标活动，并接受发包方扣除本工程全部履约保证金的处罚   </w:t>
      </w:r>
      <w:r>
        <w:rPr>
          <w:rFonts w:hint="eastAsia" w:ascii="仿宋" w:hAnsi="仿宋" w:eastAsia="仿宋" w:cs="仿宋"/>
          <w:color w:val="auto"/>
          <w:kern w:val="0"/>
          <w:sz w:val="24"/>
          <w:szCs w:val="24"/>
        </w:rPr>
        <w:t>。</w:t>
      </w:r>
    </w:p>
    <w:p w14:paraId="3556DA8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16.2.2承包人违约的责任</w:t>
      </w:r>
    </w:p>
    <w:p w14:paraId="25A8963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承包人违约责任的承担方式和计算方法：</w:t>
      </w:r>
      <w:r>
        <w:rPr>
          <w:rFonts w:hint="eastAsia" w:ascii="仿宋" w:hAnsi="仿宋" w:eastAsia="仿宋" w:cs="仿宋"/>
          <w:color w:val="auto"/>
          <w:kern w:val="0"/>
          <w:sz w:val="24"/>
          <w:szCs w:val="24"/>
          <w:u w:val="single"/>
        </w:rPr>
        <w:t xml:space="preserve">  按照合同工期，每推延一天，赔偿壹万元整，投标报价中计取的赶工期措施费扣除同时还得赔偿由于延误给发包人带来的其它损失  </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 xml:space="preserve">    </w:t>
      </w:r>
    </w:p>
    <w:p w14:paraId="51187EB6">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16.2.3 因承包人违约解除合同</w:t>
      </w:r>
    </w:p>
    <w:p w14:paraId="7243E13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关于承包人违约解除合同的特别约定：</w:t>
      </w:r>
      <w:r>
        <w:rPr>
          <w:rFonts w:hint="eastAsia" w:ascii="仿宋" w:hAnsi="仿宋" w:eastAsia="仿宋" w:cs="仿宋"/>
          <w:color w:val="auto"/>
          <w:kern w:val="0"/>
          <w:sz w:val="24"/>
          <w:szCs w:val="24"/>
          <w:u w:val="single"/>
        </w:rPr>
        <w:t xml:space="preserve"> 按通用条款执行    </w:t>
      </w:r>
      <w:r>
        <w:rPr>
          <w:rFonts w:hint="eastAsia" w:ascii="仿宋" w:hAnsi="仿宋" w:eastAsia="仿宋" w:cs="仿宋"/>
          <w:color w:val="auto"/>
          <w:kern w:val="0"/>
          <w:sz w:val="24"/>
          <w:szCs w:val="24"/>
        </w:rPr>
        <w:t>。</w:t>
      </w:r>
    </w:p>
    <w:p w14:paraId="5FBAC84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发包人继续使用承包人在施工现场的材料、设备、临时工程、承包人文件和由承包人或以其名义编制的其他文件的费用承担方式：</w:t>
      </w:r>
      <w:r>
        <w:rPr>
          <w:rFonts w:hint="eastAsia" w:ascii="仿宋" w:hAnsi="仿宋" w:eastAsia="仿宋" w:cs="仿宋"/>
          <w:color w:val="auto"/>
          <w:kern w:val="0"/>
          <w:sz w:val="24"/>
          <w:szCs w:val="24"/>
          <w:u w:val="single"/>
        </w:rPr>
        <w:t xml:space="preserve">    经双方协商后确认                      </w:t>
      </w:r>
      <w:r>
        <w:rPr>
          <w:rFonts w:hint="eastAsia" w:ascii="仿宋" w:hAnsi="仿宋" w:eastAsia="仿宋" w:cs="仿宋"/>
          <w:color w:val="auto"/>
          <w:kern w:val="0"/>
          <w:sz w:val="24"/>
          <w:szCs w:val="24"/>
        </w:rPr>
        <w:t>。</w:t>
      </w:r>
    </w:p>
    <w:p w14:paraId="11CC3A05">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298" w:name="_Toc351203649"/>
      <w:r>
        <w:rPr>
          <w:rFonts w:hint="eastAsia" w:ascii="仿宋" w:hAnsi="仿宋" w:eastAsia="仿宋" w:cs="仿宋"/>
          <w:color w:val="auto"/>
          <w:sz w:val="24"/>
          <w:szCs w:val="24"/>
        </w:rPr>
        <w:t>17. 不可抗力</w:t>
      </w:r>
      <w:bookmarkEnd w:id="1298"/>
      <w:r>
        <w:rPr>
          <w:rFonts w:hint="eastAsia" w:ascii="仿宋" w:hAnsi="仿宋" w:eastAsia="仿宋" w:cs="仿宋"/>
          <w:color w:val="auto"/>
          <w:sz w:val="24"/>
          <w:szCs w:val="24"/>
        </w:rPr>
        <w:t xml:space="preserve"> </w:t>
      </w:r>
      <w:bookmarkEnd w:id="1296"/>
    </w:p>
    <w:p w14:paraId="3A0FD73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17.1 不可抗力的确认</w:t>
      </w:r>
    </w:p>
    <w:p w14:paraId="230D354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u w:val="single"/>
        </w:rPr>
      </w:pPr>
      <w:r>
        <w:rPr>
          <w:rFonts w:hint="eastAsia" w:ascii="仿宋" w:hAnsi="仿宋" w:eastAsia="仿宋" w:cs="仿宋"/>
          <w:color w:val="auto"/>
          <w:sz w:val="24"/>
          <w:szCs w:val="24"/>
        </w:rPr>
        <w:t xml:space="preserve">除通用合同条款约定的不可抗力事件之外，视为不可抗力的其他情形： </w:t>
      </w:r>
      <w:r>
        <w:rPr>
          <w:rFonts w:hint="eastAsia" w:ascii="仿宋" w:hAnsi="仿宋" w:eastAsia="仿宋" w:cs="仿宋"/>
          <w:color w:val="auto"/>
          <w:kern w:val="0"/>
          <w:sz w:val="24"/>
          <w:szCs w:val="24"/>
          <w:u w:val="single"/>
        </w:rPr>
        <w:t xml:space="preserve">  不可抗力不包括（1）因一方或其雇员的疏忽或有意行为而造成的事件；（2）勤勉的一方可以合理的在合同签署时考虑到和在以后履行义务时避免或克服的事件；（3）不可抗力不包括资金短缺或无力支付   </w:t>
      </w:r>
      <w:r>
        <w:rPr>
          <w:rFonts w:hint="eastAsia" w:ascii="仿宋" w:hAnsi="仿宋" w:eastAsia="仿宋" w:cs="仿宋"/>
          <w:color w:val="auto"/>
          <w:kern w:val="0"/>
          <w:sz w:val="24"/>
          <w:szCs w:val="24"/>
        </w:rPr>
        <w:t>。</w:t>
      </w:r>
    </w:p>
    <w:p w14:paraId="4695066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17.4 因不可抗力解除合同</w:t>
      </w:r>
    </w:p>
    <w:p w14:paraId="7849D3C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合同解除后，发包人应在商定或确定发包人应支付款项后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90</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天内完成款项的支付。</w:t>
      </w:r>
    </w:p>
    <w:p w14:paraId="021D9A90">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299" w:name="_Toc351203650"/>
      <w:r>
        <w:rPr>
          <w:rFonts w:hint="eastAsia" w:ascii="仿宋" w:hAnsi="仿宋" w:eastAsia="仿宋" w:cs="仿宋"/>
          <w:color w:val="auto"/>
          <w:sz w:val="24"/>
          <w:szCs w:val="24"/>
        </w:rPr>
        <w:t>18. 保险</w:t>
      </w:r>
      <w:bookmarkEnd w:id="1299"/>
    </w:p>
    <w:bookmarkEnd w:id="1297"/>
    <w:p w14:paraId="7423DB6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18.1 工程保险</w:t>
      </w:r>
    </w:p>
    <w:p w14:paraId="05BB3EC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关于工程保险的特别约定：</w:t>
      </w:r>
      <w:r>
        <w:rPr>
          <w:rFonts w:hint="eastAsia" w:ascii="仿宋" w:hAnsi="仿宋" w:eastAsia="仿宋" w:cs="仿宋"/>
          <w:color w:val="auto"/>
          <w:kern w:val="0"/>
          <w:sz w:val="24"/>
          <w:szCs w:val="24"/>
          <w:u w:val="single"/>
        </w:rPr>
        <w:t xml:space="preserve">    由承包人投保，费用含在合同价中  </w:t>
      </w:r>
      <w:r>
        <w:rPr>
          <w:rFonts w:hint="eastAsia" w:ascii="仿宋" w:hAnsi="仿宋" w:eastAsia="仿宋" w:cs="仿宋"/>
          <w:color w:val="auto"/>
          <w:kern w:val="0"/>
          <w:sz w:val="24"/>
          <w:szCs w:val="24"/>
        </w:rPr>
        <w:t>。</w:t>
      </w:r>
    </w:p>
    <w:p w14:paraId="7EC58E9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18.3 其他保险</w:t>
      </w:r>
    </w:p>
    <w:p w14:paraId="6EDCB25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关于其他保险的约定：</w:t>
      </w:r>
      <w:r>
        <w:rPr>
          <w:rFonts w:hint="eastAsia" w:ascii="仿宋" w:hAnsi="仿宋" w:eastAsia="仿宋" w:cs="仿宋"/>
          <w:color w:val="auto"/>
          <w:kern w:val="0"/>
          <w:sz w:val="24"/>
          <w:szCs w:val="24"/>
          <w:u w:val="single"/>
        </w:rPr>
        <w:t xml:space="preserve">  承包人应为施工现场的全部人员办理意外保险并支付保险费用   </w:t>
      </w:r>
      <w:r>
        <w:rPr>
          <w:rFonts w:hint="eastAsia" w:ascii="仿宋" w:hAnsi="仿宋" w:eastAsia="仿宋" w:cs="仿宋"/>
          <w:color w:val="auto"/>
          <w:kern w:val="0"/>
          <w:sz w:val="24"/>
          <w:szCs w:val="24"/>
        </w:rPr>
        <w:t>。</w:t>
      </w:r>
    </w:p>
    <w:p w14:paraId="567A022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sz w:val="24"/>
          <w:szCs w:val="24"/>
        </w:rPr>
        <w:t>承包人是否应为其施工设备等办理财产保险：</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p w14:paraId="06144B8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18.7 通知义务</w:t>
      </w:r>
    </w:p>
    <w:p w14:paraId="485F0E2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kern w:val="0"/>
          <w:sz w:val="24"/>
          <w:szCs w:val="24"/>
        </w:rPr>
        <w:t>关于变更保险合同时的通知义务的约定：</w:t>
      </w:r>
      <w:r>
        <w:rPr>
          <w:rFonts w:hint="eastAsia" w:ascii="仿宋" w:hAnsi="仿宋" w:eastAsia="仿宋" w:cs="仿宋"/>
          <w:color w:val="auto"/>
          <w:sz w:val="24"/>
          <w:szCs w:val="24"/>
          <w:u w:val="single"/>
        </w:rPr>
        <w:t xml:space="preserve">    按通用条款执行        </w:t>
      </w:r>
      <w:r>
        <w:rPr>
          <w:rFonts w:hint="eastAsia" w:ascii="仿宋" w:hAnsi="仿宋" w:eastAsia="仿宋" w:cs="仿宋"/>
          <w:color w:val="auto"/>
          <w:sz w:val="24"/>
          <w:szCs w:val="24"/>
        </w:rPr>
        <w:t>。</w:t>
      </w:r>
    </w:p>
    <w:bookmarkEnd w:id="1273"/>
    <w:bookmarkEnd w:id="1274"/>
    <w:bookmarkEnd w:id="1275"/>
    <w:bookmarkEnd w:id="1276"/>
    <w:bookmarkEnd w:id="1277"/>
    <w:bookmarkEnd w:id="1278"/>
    <w:bookmarkEnd w:id="1279"/>
    <w:bookmarkEnd w:id="1280"/>
    <w:bookmarkEnd w:id="1281"/>
    <w:bookmarkEnd w:id="1282"/>
    <w:bookmarkEnd w:id="1283"/>
    <w:bookmarkEnd w:id="1284"/>
    <w:p w14:paraId="05A2006F">
      <w:pPr>
        <w:pStyle w:val="5"/>
        <w:pageBreakBefore w:val="0"/>
        <w:kinsoku/>
        <w:overflowPunct/>
        <w:topLinePunct w:val="0"/>
        <w:bidi w:val="0"/>
        <w:spacing w:line="440" w:lineRule="exact"/>
        <w:rPr>
          <w:rFonts w:hint="eastAsia" w:ascii="仿宋" w:hAnsi="仿宋" w:eastAsia="仿宋" w:cs="仿宋"/>
          <w:color w:val="auto"/>
          <w:sz w:val="24"/>
          <w:szCs w:val="24"/>
        </w:rPr>
      </w:pPr>
      <w:bookmarkStart w:id="1300" w:name="_Toc351203651"/>
      <w:r>
        <w:rPr>
          <w:rFonts w:hint="eastAsia" w:ascii="仿宋" w:hAnsi="仿宋" w:eastAsia="仿宋" w:cs="仿宋"/>
          <w:color w:val="auto"/>
          <w:sz w:val="24"/>
          <w:szCs w:val="24"/>
        </w:rPr>
        <w:t>20. 争议解决</w:t>
      </w:r>
      <w:bookmarkEnd w:id="1300"/>
    </w:p>
    <w:bookmarkEnd w:id="1285"/>
    <w:bookmarkEnd w:id="1286"/>
    <w:p w14:paraId="5102B82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20.3 争</w:t>
      </w:r>
      <w:bookmarkEnd w:id="1287"/>
      <w:r>
        <w:rPr>
          <w:rFonts w:hint="eastAsia" w:ascii="仿宋" w:hAnsi="仿宋" w:eastAsia="仿宋" w:cs="仿宋"/>
          <w:color w:val="auto"/>
          <w:sz w:val="24"/>
          <w:szCs w:val="24"/>
        </w:rPr>
        <w:t>议评审</w:t>
      </w:r>
    </w:p>
    <w:p w14:paraId="057EF8E0">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合同当事人是否同意将工程争议提交争议评审小组决定：</w:t>
      </w:r>
      <w:r>
        <w:rPr>
          <w:rFonts w:hint="eastAsia" w:ascii="仿宋" w:hAnsi="仿宋" w:eastAsia="仿宋" w:cs="仿宋"/>
          <w:color w:val="auto"/>
          <w:sz w:val="24"/>
          <w:szCs w:val="24"/>
          <w:u w:val="single"/>
        </w:rPr>
        <w:t xml:space="preserve">    </w:t>
      </w:r>
    </w:p>
    <w:p w14:paraId="3EC0511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否</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33861DF1">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20.3.1 争议评审小组的确定</w:t>
      </w:r>
    </w:p>
    <w:p w14:paraId="43946D1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u w:val="single"/>
        </w:rPr>
      </w:pPr>
      <w:r>
        <w:rPr>
          <w:rFonts w:hint="eastAsia" w:ascii="仿宋" w:hAnsi="仿宋" w:eastAsia="仿宋" w:cs="仿宋"/>
          <w:color w:val="auto"/>
          <w:sz w:val="24"/>
          <w:szCs w:val="24"/>
        </w:rPr>
        <w:t>争议评审小组成员的确定：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016C40F4">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选定争议评审员的期限：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32B5EDBC">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争议评审小组成员的报酬承担方式：</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758E0A3">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其他事项的约定：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775C2B5D">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20.3.2 争议评审小组的决定</w:t>
      </w:r>
    </w:p>
    <w:p w14:paraId="78B5AA52">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合同当事人关于本项的约定：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F6A18C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20.4仲裁或诉讼</w:t>
      </w:r>
      <w:bookmarkEnd w:id="1288"/>
    </w:p>
    <w:p w14:paraId="0B6B3BDE">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因合同及合同有关事项发生的争议，按下列第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lang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种方式解决：</w:t>
      </w:r>
    </w:p>
    <w:p w14:paraId="3CF168E8">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（1）向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仲裁委员会申请仲裁；</w:t>
      </w:r>
    </w:p>
    <w:p w14:paraId="2CF0769A">
      <w:pPr>
        <w:pageBreakBefore w:val="0"/>
        <w:widowControl w:val="0"/>
        <w:kinsoku/>
        <w:wordWrap/>
        <w:overflowPunct/>
        <w:topLinePunct w:val="0"/>
        <w:autoSpaceDE w:val="0"/>
        <w:autoSpaceDN w:val="0"/>
        <w:bidi w:val="0"/>
        <w:adjustRightInd w:val="0"/>
        <w:snapToGrid w:val="0"/>
        <w:spacing w:before="0" w:after="0" w:line="440" w:lineRule="exact"/>
        <w:ind w:left="0" w:leftChars="0" w:right="0" w:rightChars="0" w:firstLine="480" w:firstLineChars="200"/>
        <w:jc w:val="lef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（2）向</w:t>
      </w:r>
      <w:r>
        <w:rPr>
          <w:rFonts w:hint="eastAsia" w:ascii="仿宋" w:hAnsi="仿宋" w:eastAsia="仿宋" w:cs="仿宋"/>
          <w:color w:val="auto"/>
          <w:sz w:val="24"/>
          <w:szCs w:val="24"/>
          <w:u w:val="single"/>
        </w:rPr>
        <w:t xml:space="preserve"> </w:t>
      </w:r>
      <w:r>
        <w:rPr>
          <w:rFonts w:hint="eastAsia" w:ascii="仿宋" w:hAnsi="仿宋" w:eastAsia="仿宋" w:cs="仿宋"/>
          <w:i/>
          <w:iCs/>
          <w:color w:val="auto"/>
          <w:sz w:val="24"/>
          <w:szCs w:val="24"/>
          <w:u w:val="single"/>
        </w:rPr>
        <w:t xml:space="preserve"> </w:t>
      </w:r>
      <w:r>
        <w:rPr>
          <w:rFonts w:hint="eastAsia" w:ascii="仿宋" w:hAnsi="仿宋" w:eastAsia="仿宋" w:cs="仿宋"/>
          <w:i w:val="0"/>
          <w:iCs w:val="0"/>
          <w:color w:val="auto"/>
          <w:sz w:val="24"/>
          <w:szCs w:val="24"/>
          <w:u w:val="single"/>
          <w:lang w:val="en-US" w:eastAsia="zh-CN"/>
        </w:rPr>
        <w:t>工程所在地</w:t>
      </w:r>
      <w:r>
        <w:rPr>
          <w:rFonts w:hint="eastAsia" w:ascii="仿宋" w:hAnsi="仿宋" w:eastAsia="仿宋" w:cs="仿宋"/>
          <w:color w:val="auto"/>
          <w:sz w:val="24"/>
          <w:szCs w:val="24"/>
          <w:u w:val="single"/>
        </w:rPr>
        <w:t xml:space="preserve">有管辖权的 </w:t>
      </w:r>
      <w:r>
        <w:rPr>
          <w:rFonts w:hint="eastAsia" w:ascii="仿宋" w:hAnsi="仿宋" w:eastAsia="仿宋" w:cs="仿宋"/>
          <w:color w:val="auto"/>
          <w:sz w:val="24"/>
          <w:szCs w:val="24"/>
        </w:rPr>
        <w:t>人民法院起诉。</w:t>
      </w:r>
      <w:bookmarkEnd w:id="1289"/>
      <w:bookmarkEnd w:id="1290"/>
      <w:bookmarkEnd w:id="1291"/>
      <w:bookmarkEnd w:id="1292"/>
      <w:bookmarkEnd w:id="1293"/>
      <w:bookmarkEnd w:id="1294"/>
    </w:p>
    <w:p w14:paraId="06A0AD9C">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p>
    <w:p w14:paraId="7A186EDF">
      <w:pPr>
        <w:pageBreakBefore w:val="0"/>
        <w:kinsoku/>
        <w:overflowPunct/>
        <w:topLinePunct w:val="0"/>
        <w:bidi w:val="0"/>
        <w:spacing w:line="440" w:lineRule="exact"/>
        <w:jc w:val="left"/>
        <w:rPr>
          <w:rFonts w:hint="eastAsia" w:ascii="仿宋" w:hAnsi="仿宋" w:eastAsia="仿宋" w:cs="仿宋"/>
          <w:b/>
          <w:color w:val="auto"/>
          <w:sz w:val="24"/>
          <w:szCs w:val="24"/>
        </w:rPr>
      </w:pPr>
      <w:r>
        <w:rPr>
          <w:rFonts w:hint="eastAsia" w:ascii="仿宋" w:hAnsi="仿宋" w:eastAsia="仿宋" w:cs="仿宋"/>
          <w:color w:val="auto"/>
          <w:sz w:val="24"/>
          <w:szCs w:val="24"/>
        </w:rPr>
        <w:br w:type="page"/>
      </w:r>
      <w:bookmarkStart w:id="1301" w:name="_Toc351203652"/>
      <w:r>
        <w:rPr>
          <w:rFonts w:hint="eastAsia" w:ascii="仿宋" w:hAnsi="仿宋" w:eastAsia="仿宋" w:cs="仿宋"/>
          <w:b/>
          <w:color w:val="auto"/>
          <w:sz w:val="24"/>
          <w:szCs w:val="24"/>
        </w:rPr>
        <w:t>附件</w:t>
      </w:r>
      <w:bookmarkEnd w:id="1301"/>
    </w:p>
    <w:p w14:paraId="5C82C2F7">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协议书附件：</w:t>
      </w:r>
    </w:p>
    <w:p w14:paraId="6C763C1D">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附件1：承包人承揽工程项目一览表</w:t>
      </w:r>
    </w:p>
    <w:p w14:paraId="34050E90">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专用合同条款附件：</w:t>
      </w:r>
    </w:p>
    <w:p w14:paraId="1C9831ED">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附件2：发包人供应材料设备一览表</w:t>
      </w:r>
    </w:p>
    <w:p w14:paraId="24525032">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附件3：工程质量保修书</w:t>
      </w:r>
    </w:p>
    <w:p w14:paraId="1DB212CD">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附件4：主要建设工程文件目录</w:t>
      </w:r>
    </w:p>
    <w:p w14:paraId="03C3D32E">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附件5：承包人用于本工程施工的机械设备表</w:t>
      </w:r>
    </w:p>
    <w:p w14:paraId="12B60888">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附件6：承包人主要施工管理人员表</w:t>
      </w:r>
    </w:p>
    <w:p w14:paraId="05805958">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附件7：分包人主要施工管理人员表</w:t>
      </w:r>
    </w:p>
    <w:p w14:paraId="0C5AB547">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附件8：履约担保格式</w:t>
      </w:r>
    </w:p>
    <w:p w14:paraId="041A3EA7">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附件9：预付款担保格式</w:t>
      </w:r>
    </w:p>
    <w:p w14:paraId="4B96029B">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附件10：支付担保格式</w:t>
      </w:r>
    </w:p>
    <w:p w14:paraId="539C9355">
      <w:pPr>
        <w:pageBreakBefore w:val="0"/>
        <w:kinsoku/>
        <w:overflowPunct/>
        <w:topLinePunct w:val="0"/>
        <w:bidi w:val="0"/>
        <w:spacing w:line="440" w:lineRule="exact"/>
        <w:jc w:val="left"/>
        <w:rPr>
          <w:rFonts w:hint="eastAsia" w:ascii="仿宋" w:hAnsi="仿宋" w:eastAsia="仿宋" w:cs="仿宋"/>
          <w:color w:val="auto"/>
          <w:sz w:val="24"/>
          <w:szCs w:val="24"/>
        </w:rPr>
        <w:sectPr>
          <w:footerReference r:id="rId15" w:type="first"/>
          <w:footerReference r:id="rId14" w:type="default"/>
          <w:pgSz w:w="11906" w:h="16838"/>
          <w:pgMar w:top="1440" w:right="1463" w:bottom="1440" w:left="1463" w:header="851" w:footer="992" w:gutter="0"/>
          <w:pgNumType w:fmt="decimal"/>
          <w:cols w:space="720" w:num="1"/>
          <w:titlePg/>
          <w:docGrid w:type="lines" w:linePitch="312" w:charSpace="0"/>
        </w:sectPr>
      </w:pPr>
      <w:r>
        <w:rPr>
          <w:rFonts w:hint="eastAsia" w:ascii="仿宋" w:hAnsi="仿宋" w:eastAsia="仿宋" w:cs="仿宋"/>
          <w:color w:val="auto"/>
          <w:sz w:val="24"/>
          <w:szCs w:val="24"/>
        </w:rPr>
        <w:t>附件11：暂估价一览表</w:t>
      </w:r>
    </w:p>
    <w:p w14:paraId="36718D6C">
      <w:pPr>
        <w:pageBreakBefore w:val="0"/>
        <w:kinsoku/>
        <w:overflowPunct/>
        <w:topLinePunct w:val="0"/>
        <w:bidi w:val="0"/>
        <w:spacing w:before="156" w:beforeLines="50" w:after="156" w:afterLines="50"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附件1：</w:t>
      </w:r>
    </w:p>
    <w:p w14:paraId="0F00DDFE">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承包人承揽工程项目一览表</w:t>
      </w:r>
    </w:p>
    <w:tbl>
      <w:tblPr>
        <w:tblStyle w:val="19"/>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09EE11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239AD62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单位工程名称</w:t>
            </w:r>
          </w:p>
        </w:tc>
        <w:tc>
          <w:tcPr>
            <w:tcW w:w="1843" w:type="dxa"/>
            <w:tcBorders>
              <w:top w:val="single" w:color="auto" w:sz="12" w:space="0"/>
              <w:bottom w:val="double" w:color="auto" w:sz="6" w:space="0"/>
            </w:tcBorders>
            <w:noWrap w:val="0"/>
            <w:vAlign w:val="center"/>
          </w:tcPr>
          <w:p w14:paraId="043CED4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建设规模</w:t>
            </w:r>
          </w:p>
        </w:tc>
        <w:tc>
          <w:tcPr>
            <w:tcW w:w="1417" w:type="dxa"/>
            <w:tcBorders>
              <w:top w:val="single" w:color="auto" w:sz="12" w:space="0"/>
              <w:bottom w:val="double" w:color="auto" w:sz="6" w:space="0"/>
            </w:tcBorders>
            <w:noWrap w:val="0"/>
            <w:vAlign w:val="center"/>
          </w:tcPr>
          <w:p w14:paraId="7A5647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建筑面积(平方米)</w:t>
            </w:r>
          </w:p>
        </w:tc>
        <w:tc>
          <w:tcPr>
            <w:tcW w:w="2410" w:type="dxa"/>
            <w:tcBorders>
              <w:top w:val="single" w:color="auto" w:sz="12" w:space="0"/>
              <w:bottom w:val="double" w:color="auto" w:sz="6" w:space="0"/>
            </w:tcBorders>
            <w:noWrap w:val="0"/>
            <w:vAlign w:val="center"/>
          </w:tcPr>
          <w:p w14:paraId="79E04F8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结构形式</w:t>
            </w:r>
          </w:p>
        </w:tc>
        <w:tc>
          <w:tcPr>
            <w:tcW w:w="850" w:type="dxa"/>
            <w:tcBorders>
              <w:top w:val="single" w:color="auto" w:sz="12" w:space="0"/>
              <w:bottom w:val="double" w:color="auto" w:sz="6" w:space="0"/>
            </w:tcBorders>
            <w:noWrap w:val="0"/>
            <w:vAlign w:val="center"/>
          </w:tcPr>
          <w:p w14:paraId="52664A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层数</w:t>
            </w:r>
          </w:p>
        </w:tc>
        <w:tc>
          <w:tcPr>
            <w:tcW w:w="1560" w:type="dxa"/>
            <w:tcBorders>
              <w:top w:val="single" w:color="auto" w:sz="12" w:space="0"/>
              <w:bottom w:val="double" w:color="auto" w:sz="6" w:space="0"/>
            </w:tcBorders>
            <w:noWrap w:val="0"/>
            <w:vAlign w:val="center"/>
          </w:tcPr>
          <w:p w14:paraId="3F9803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生产能力</w:t>
            </w:r>
          </w:p>
        </w:tc>
        <w:tc>
          <w:tcPr>
            <w:tcW w:w="2126" w:type="dxa"/>
            <w:tcBorders>
              <w:top w:val="single" w:color="auto" w:sz="12" w:space="0"/>
              <w:bottom w:val="double" w:color="auto" w:sz="6" w:space="0"/>
            </w:tcBorders>
            <w:noWrap w:val="0"/>
            <w:vAlign w:val="center"/>
          </w:tcPr>
          <w:p w14:paraId="4ED1F34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设备安装内容</w:t>
            </w:r>
          </w:p>
        </w:tc>
        <w:tc>
          <w:tcPr>
            <w:tcW w:w="1417" w:type="dxa"/>
            <w:tcBorders>
              <w:top w:val="single" w:color="auto" w:sz="12" w:space="0"/>
              <w:bottom w:val="double" w:color="auto" w:sz="6" w:space="0"/>
            </w:tcBorders>
            <w:noWrap w:val="0"/>
            <w:vAlign w:val="center"/>
          </w:tcPr>
          <w:p w14:paraId="2DFBDB2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合同价格（元）</w:t>
            </w:r>
          </w:p>
        </w:tc>
        <w:tc>
          <w:tcPr>
            <w:tcW w:w="851" w:type="dxa"/>
            <w:tcBorders>
              <w:top w:val="single" w:color="auto" w:sz="12" w:space="0"/>
              <w:bottom w:val="double" w:color="auto" w:sz="6" w:space="0"/>
            </w:tcBorders>
            <w:noWrap w:val="0"/>
            <w:vAlign w:val="center"/>
          </w:tcPr>
          <w:p w14:paraId="34242C0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开工日期</w:t>
            </w:r>
          </w:p>
        </w:tc>
        <w:tc>
          <w:tcPr>
            <w:tcW w:w="850" w:type="dxa"/>
            <w:tcBorders>
              <w:top w:val="single" w:color="auto" w:sz="12" w:space="0"/>
              <w:bottom w:val="double" w:color="auto" w:sz="6" w:space="0"/>
            </w:tcBorders>
            <w:noWrap w:val="0"/>
            <w:vAlign w:val="center"/>
          </w:tcPr>
          <w:p w14:paraId="1E195D0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竣工日期</w:t>
            </w:r>
          </w:p>
        </w:tc>
      </w:tr>
      <w:tr w14:paraId="5837DF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5B5BDBA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double" w:color="auto" w:sz="6" w:space="0"/>
              <w:bottom w:val="single" w:color="auto" w:sz="6" w:space="0"/>
            </w:tcBorders>
            <w:noWrap w:val="0"/>
            <w:vAlign w:val="center"/>
          </w:tcPr>
          <w:p w14:paraId="6ED82E3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double" w:color="auto" w:sz="6" w:space="0"/>
              <w:bottom w:val="single" w:color="auto" w:sz="6" w:space="0"/>
            </w:tcBorders>
            <w:noWrap w:val="0"/>
            <w:vAlign w:val="center"/>
          </w:tcPr>
          <w:p w14:paraId="62F4789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double" w:color="auto" w:sz="6" w:space="0"/>
              <w:bottom w:val="single" w:color="auto" w:sz="6" w:space="0"/>
            </w:tcBorders>
            <w:noWrap w:val="0"/>
            <w:vAlign w:val="center"/>
          </w:tcPr>
          <w:p w14:paraId="1013628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double" w:color="auto" w:sz="6" w:space="0"/>
              <w:bottom w:val="single" w:color="auto" w:sz="6" w:space="0"/>
            </w:tcBorders>
            <w:noWrap w:val="0"/>
            <w:vAlign w:val="center"/>
          </w:tcPr>
          <w:p w14:paraId="15BB3D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double" w:color="auto" w:sz="6" w:space="0"/>
              <w:bottom w:val="single" w:color="auto" w:sz="6" w:space="0"/>
            </w:tcBorders>
            <w:noWrap w:val="0"/>
            <w:vAlign w:val="center"/>
          </w:tcPr>
          <w:p w14:paraId="3341FD4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double" w:color="auto" w:sz="6" w:space="0"/>
              <w:bottom w:val="single" w:color="auto" w:sz="6" w:space="0"/>
            </w:tcBorders>
            <w:noWrap w:val="0"/>
            <w:vAlign w:val="center"/>
          </w:tcPr>
          <w:p w14:paraId="59EACE2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double" w:color="auto" w:sz="6" w:space="0"/>
              <w:bottom w:val="single" w:color="auto" w:sz="6" w:space="0"/>
            </w:tcBorders>
            <w:noWrap w:val="0"/>
            <w:vAlign w:val="center"/>
          </w:tcPr>
          <w:p w14:paraId="29676A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double" w:color="auto" w:sz="6" w:space="0"/>
              <w:bottom w:val="single" w:color="auto" w:sz="6" w:space="0"/>
            </w:tcBorders>
            <w:noWrap w:val="0"/>
            <w:vAlign w:val="center"/>
          </w:tcPr>
          <w:p w14:paraId="641B662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double" w:color="auto" w:sz="6" w:space="0"/>
              <w:bottom w:val="single" w:color="auto" w:sz="6" w:space="0"/>
            </w:tcBorders>
            <w:noWrap w:val="0"/>
            <w:vAlign w:val="center"/>
          </w:tcPr>
          <w:p w14:paraId="1F1DFDE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30BC9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FCA371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nil"/>
            </w:tcBorders>
            <w:noWrap w:val="0"/>
            <w:vAlign w:val="center"/>
          </w:tcPr>
          <w:p w14:paraId="55FA051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42E2B51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nil"/>
            </w:tcBorders>
            <w:noWrap w:val="0"/>
            <w:vAlign w:val="center"/>
          </w:tcPr>
          <w:p w14:paraId="5CA728D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7A8C576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nil"/>
            </w:tcBorders>
            <w:noWrap w:val="0"/>
            <w:vAlign w:val="center"/>
          </w:tcPr>
          <w:p w14:paraId="3752B0D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nil"/>
            </w:tcBorders>
            <w:noWrap w:val="0"/>
            <w:vAlign w:val="center"/>
          </w:tcPr>
          <w:p w14:paraId="2413F7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1B89044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2A90C3B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4516324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576C7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55717E8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nil"/>
            </w:tcBorders>
            <w:noWrap w:val="0"/>
            <w:vAlign w:val="center"/>
          </w:tcPr>
          <w:p w14:paraId="7672978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6E3529A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nil"/>
            </w:tcBorders>
            <w:noWrap w:val="0"/>
            <w:vAlign w:val="center"/>
          </w:tcPr>
          <w:p w14:paraId="6C07196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110BB10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nil"/>
            </w:tcBorders>
            <w:noWrap w:val="0"/>
            <w:vAlign w:val="center"/>
          </w:tcPr>
          <w:p w14:paraId="6C5D52D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nil"/>
            </w:tcBorders>
            <w:noWrap w:val="0"/>
            <w:vAlign w:val="center"/>
          </w:tcPr>
          <w:p w14:paraId="366B420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462B38C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0A44BD0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271DE7E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4AAE9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568B94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noWrap w:val="0"/>
            <w:vAlign w:val="center"/>
          </w:tcPr>
          <w:p w14:paraId="23F686D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5D0DF1C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noWrap w:val="0"/>
            <w:vAlign w:val="center"/>
          </w:tcPr>
          <w:p w14:paraId="0234EF5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3F39797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noWrap w:val="0"/>
            <w:vAlign w:val="center"/>
          </w:tcPr>
          <w:p w14:paraId="019DCB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noWrap w:val="0"/>
            <w:vAlign w:val="center"/>
          </w:tcPr>
          <w:p w14:paraId="258376E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175B98A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6074266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02D0350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B3784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5E81F1B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nil"/>
            </w:tcBorders>
            <w:noWrap w:val="0"/>
            <w:vAlign w:val="center"/>
          </w:tcPr>
          <w:p w14:paraId="565C27B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7C9CD0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nil"/>
            </w:tcBorders>
            <w:noWrap w:val="0"/>
            <w:vAlign w:val="center"/>
          </w:tcPr>
          <w:p w14:paraId="41411DD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03892A3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nil"/>
            </w:tcBorders>
            <w:noWrap w:val="0"/>
            <w:vAlign w:val="center"/>
          </w:tcPr>
          <w:p w14:paraId="5BEAA3B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nil"/>
            </w:tcBorders>
            <w:noWrap w:val="0"/>
            <w:vAlign w:val="center"/>
          </w:tcPr>
          <w:p w14:paraId="314178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00DCE28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5D26F77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0C9CC4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9A011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3B03B69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noWrap w:val="0"/>
            <w:vAlign w:val="center"/>
          </w:tcPr>
          <w:p w14:paraId="322BA8C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0E82FC1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noWrap w:val="0"/>
            <w:vAlign w:val="center"/>
          </w:tcPr>
          <w:p w14:paraId="2FC2B5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49A7594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noWrap w:val="0"/>
            <w:vAlign w:val="center"/>
          </w:tcPr>
          <w:p w14:paraId="75C055B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noWrap w:val="0"/>
            <w:vAlign w:val="center"/>
          </w:tcPr>
          <w:p w14:paraId="213D5B7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3DC964A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5CE5D8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6B7020D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87A24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4FDFA1A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nil"/>
            </w:tcBorders>
            <w:noWrap w:val="0"/>
            <w:vAlign w:val="center"/>
          </w:tcPr>
          <w:p w14:paraId="7A591A7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1A35FD2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nil"/>
            </w:tcBorders>
            <w:noWrap w:val="0"/>
            <w:vAlign w:val="center"/>
          </w:tcPr>
          <w:p w14:paraId="343F345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374CB5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nil"/>
            </w:tcBorders>
            <w:noWrap w:val="0"/>
            <w:vAlign w:val="center"/>
          </w:tcPr>
          <w:p w14:paraId="5BF92AA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nil"/>
            </w:tcBorders>
            <w:noWrap w:val="0"/>
            <w:vAlign w:val="center"/>
          </w:tcPr>
          <w:p w14:paraId="0B4C052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67ADA5C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3D9EE6F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6D586A9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CDB7D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650AC9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nil"/>
            </w:tcBorders>
            <w:noWrap w:val="0"/>
            <w:vAlign w:val="center"/>
          </w:tcPr>
          <w:p w14:paraId="63A0AD5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19931B5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nil"/>
            </w:tcBorders>
            <w:noWrap w:val="0"/>
            <w:vAlign w:val="center"/>
          </w:tcPr>
          <w:p w14:paraId="4F9A18A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525190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nil"/>
            </w:tcBorders>
            <w:noWrap w:val="0"/>
            <w:vAlign w:val="center"/>
          </w:tcPr>
          <w:p w14:paraId="796DDF2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nil"/>
            </w:tcBorders>
            <w:noWrap w:val="0"/>
            <w:vAlign w:val="center"/>
          </w:tcPr>
          <w:p w14:paraId="1C016CD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2406A67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4EBEE9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07BFCF5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1DAC1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44EBDC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noWrap w:val="0"/>
            <w:vAlign w:val="center"/>
          </w:tcPr>
          <w:p w14:paraId="698281C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3886F4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noWrap w:val="0"/>
            <w:vAlign w:val="center"/>
          </w:tcPr>
          <w:p w14:paraId="7AEEE37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3CB9FF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noWrap w:val="0"/>
            <w:vAlign w:val="center"/>
          </w:tcPr>
          <w:p w14:paraId="67D88A3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noWrap w:val="0"/>
            <w:vAlign w:val="center"/>
          </w:tcPr>
          <w:p w14:paraId="6C1C161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07A637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6E11453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529F04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896E1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22F419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tcBorders>
              <w:top w:val="nil"/>
            </w:tcBorders>
            <w:noWrap w:val="0"/>
            <w:vAlign w:val="center"/>
          </w:tcPr>
          <w:p w14:paraId="5B45B0F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28BD2CF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tcBorders>
              <w:top w:val="nil"/>
            </w:tcBorders>
            <w:noWrap w:val="0"/>
            <w:vAlign w:val="center"/>
          </w:tcPr>
          <w:p w14:paraId="498E2DE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4C3F624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tcBorders>
              <w:top w:val="nil"/>
            </w:tcBorders>
            <w:noWrap w:val="0"/>
            <w:vAlign w:val="center"/>
          </w:tcPr>
          <w:p w14:paraId="49EA251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tcBorders>
              <w:top w:val="nil"/>
            </w:tcBorders>
            <w:noWrap w:val="0"/>
            <w:vAlign w:val="center"/>
          </w:tcPr>
          <w:p w14:paraId="666923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tcBorders>
              <w:top w:val="nil"/>
            </w:tcBorders>
            <w:noWrap w:val="0"/>
            <w:vAlign w:val="center"/>
          </w:tcPr>
          <w:p w14:paraId="53D481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78C955D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67D9466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5F80A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20E2D87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843" w:type="dxa"/>
            <w:noWrap w:val="0"/>
            <w:vAlign w:val="center"/>
          </w:tcPr>
          <w:p w14:paraId="4DECF78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2BBD4CD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410" w:type="dxa"/>
            <w:noWrap w:val="0"/>
            <w:vAlign w:val="center"/>
          </w:tcPr>
          <w:p w14:paraId="41F57C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2EFDE5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560" w:type="dxa"/>
            <w:noWrap w:val="0"/>
            <w:vAlign w:val="center"/>
          </w:tcPr>
          <w:p w14:paraId="00104D5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2126" w:type="dxa"/>
            <w:noWrap w:val="0"/>
            <w:vAlign w:val="center"/>
          </w:tcPr>
          <w:p w14:paraId="7168719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7" w:type="dxa"/>
            <w:noWrap w:val="0"/>
            <w:vAlign w:val="center"/>
          </w:tcPr>
          <w:p w14:paraId="7651CB0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775ECD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31DE5D7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bl>
    <w:p w14:paraId="42C14AAD">
      <w:pPr>
        <w:pageBreakBefore w:val="0"/>
        <w:kinsoku/>
        <w:overflowPunct/>
        <w:topLinePunct w:val="0"/>
        <w:bidi w:val="0"/>
        <w:spacing w:line="440" w:lineRule="exact"/>
        <w:rPr>
          <w:rFonts w:hint="eastAsia" w:ascii="仿宋" w:hAnsi="仿宋" w:eastAsia="仿宋" w:cs="仿宋"/>
          <w:b/>
          <w:color w:val="auto"/>
          <w:sz w:val="24"/>
          <w:szCs w:val="24"/>
        </w:rPr>
        <w:sectPr>
          <w:pgSz w:w="16838" w:h="11906" w:orient="landscape"/>
          <w:pgMar w:top="1440" w:right="1463" w:bottom="1440" w:left="1463" w:header="851" w:footer="992" w:gutter="0"/>
          <w:pgNumType w:fmt="decimal"/>
          <w:cols w:space="720" w:num="1"/>
          <w:titlePg/>
          <w:docGrid w:type="linesAndChars" w:linePitch="312" w:charSpace="0"/>
        </w:sectPr>
      </w:pPr>
    </w:p>
    <w:p w14:paraId="436E978A">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附</w:t>
      </w:r>
      <w:bookmarkStart w:id="1302" w:name="_Toc296503225"/>
      <w:bookmarkStart w:id="1303" w:name="_Toc296346726"/>
      <w:bookmarkStart w:id="1304" w:name="_Toc267261692"/>
      <w:bookmarkStart w:id="1305" w:name="_Toc296891053"/>
      <w:bookmarkStart w:id="1306" w:name="_Toc296891265"/>
      <w:bookmarkStart w:id="1307" w:name="_Toc296944564"/>
      <w:bookmarkStart w:id="1308" w:name="_Toc296347224"/>
      <w:r>
        <w:rPr>
          <w:rFonts w:hint="eastAsia" w:ascii="仿宋" w:hAnsi="仿宋" w:eastAsia="仿宋" w:cs="仿宋"/>
          <w:color w:val="auto"/>
          <w:sz w:val="24"/>
          <w:szCs w:val="24"/>
        </w:rPr>
        <w:t>件2：</w:t>
      </w:r>
    </w:p>
    <w:bookmarkEnd w:id="1302"/>
    <w:bookmarkEnd w:id="1303"/>
    <w:bookmarkEnd w:id="1304"/>
    <w:bookmarkEnd w:id="1305"/>
    <w:bookmarkEnd w:id="1306"/>
    <w:bookmarkEnd w:id="1307"/>
    <w:bookmarkEnd w:id="1308"/>
    <w:p w14:paraId="7802A9AB">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发包人供应材料设备一览表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7AB61E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14:paraId="50BF058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序号</w:t>
            </w:r>
          </w:p>
        </w:tc>
        <w:tc>
          <w:tcPr>
            <w:tcW w:w="1276" w:type="dxa"/>
            <w:tcBorders>
              <w:top w:val="single" w:color="auto" w:sz="12" w:space="0"/>
              <w:bottom w:val="double" w:color="auto" w:sz="6" w:space="0"/>
            </w:tcBorders>
            <w:noWrap w:val="0"/>
            <w:vAlign w:val="center"/>
          </w:tcPr>
          <w:p w14:paraId="793ABB1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 xml:space="preserve">  材料、</w:t>
            </w:r>
          </w:p>
          <w:p w14:paraId="4236DC33">
            <w:pPr>
              <w:pStyle w:val="10"/>
              <w:keepNext/>
              <w:pageBreakBefore w:val="0"/>
              <w:kinsoku/>
              <w:overflowPunct/>
              <w:topLinePunct w:val="0"/>
              <w:bidi w:val="0"/>
              <w:spacing w:after="0" w:line="440" w:lineRule="exact"/>
              <w:ind w:left="0" w:leftChars="0" w:right="63"/>
              <w:jc w:val="both"/>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设备品种</w:t>
            </w:r>
          </w:p>
        </w:tc>
        <w:tc>
          <w:tcPr>
            <w:tcW w:w="1418" w:type="dxa"/>
            <w:tcBorders>
              <w:top w:val="single" w:color="auto" w:sz="12" w:space="0"/>
              <w:bottom w:val="double" w:color="auto" w:sz="6" w:space="0"/>
            </w:tcBorders>
            <w:noWrap w:val="0"/>
            <w:vAlign w:val="center"/>
          </w:tcPr>
          <w:p w14:paraId="482FEB2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规格型号</w:t>
            </w:r>
          </w:p>
        </w:tc>
        <w:tc>
          <w:tcPr>
            <w:tcW w:w="940" w:type="dxa"/>
            <w:tcBorders>
              <w:top w:val="single" w:color="auto" w:sz="12" w:space="0"/>
              <w:bottom w:val="double" w:color="auto" w:sz="6" w:space="0"/>
            </w:tcBorders>
            <w:noWrap w:val="0"/>
            <w:vAlign w:val="center"/>
          </w:tcPr>
          <w:p w14:paraId="2E0C7E5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单位</w:t>
            </w:r>
          </w:p>
        </w:tc>
        <w:tc>
          <w:tcPr>
            <w:tcW w:w="851" w:type="dxa"/>
            <w:tcBorders>
              <w:top w:val="single" w:color="auto" w:sz="12" w:space="0"/>
              <w:bottom w:val="double" w:color="auto" w:sz="6" w:space="0"/>
            </w:tcBorders>
            <w:noWrap w:val="0"/>
            <w:vAlign w:val="center"/>
          </w:tcPr>
          <w:p w14:paraId="6304848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数量</w:t>
            </w:r>
          </w:p>
        </w:tc>
        <w:tc>
          <w:tcPr>
            <w:tcW w:w="1044" w:type="dxa"/>
            <w:tcBorders>
              <w:top w:val="single" w:color="auto" w:sz="12" w:space="0"/>
              <w:bottom w:val="double" w:color="auto" w:sz="6" w:space="0"/>
            </w:tcBorders>
            <w:noWrap w:val="0"/>
            <w:vAlign w:val="center"/>
          </w:tcPr>
          <w:p w14:paraId="708189F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单价（元）</w:t>
            </w:r>
          </w:p>
        </w:tc>
        <w:tc>
          <w:tcPr>
            <w:tcW w:w="992" w:type="dxa"/>
            <w:tcBorders>
              <w:top w:val="single" w:color="auto" w:sz="12" w:space="0"/>
              <w:bottom w:val="double" w:color="auto" w:sz="6" w:space="0"/>
            </w:tcBorders>
            <w:noWrap w:val="0"/>
            <w:vAlign w:val="center"/>
          </w:tcPr>
          <w:p w14:paraId="299EF9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质量等级</w:t>
            </w:r>
          </w:p>
        </w:tc>
        <w:tc>
          <w:tcPr>
            <w:tcW w:w="851" w:type="dxa"/>
            <w:tcBorders>
              <w:top w:val="single" w:color="auto" w:sz="12" w:space="0"/>
              <w:bottom w:val="double" w:color="auto" w:sz="6" w:space="0"/>
            </w:tcBorders>
            <w:noWrap w:val="0"/>
            <w:vAlign w:val="center"/>
          </w:tcPr>
          <w:p w14:paraId="3959516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供应时间</w:t>
            </w:r>
          </w:p>
        </w:tc>
        <w:tc>
          <w:tcPr>
            <w:tcW w:w="1487" w:type="dxa"/>
            <w:tcBorders>
              <w:top w:val="single" w:color="auto" w:sz="12" w:space="0"/>
              <w:bottom w:val="double" w:color="auto" w:sz="6" w:space="0"/>
            </w:tcBorders>
            <w:noWrap w:val="0"/>
            <w:vAlign w:val="center"/>
          </w:tcPr>
          <w:p w14:paraId="7AEB925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送达地点</w:t>
            </w:r>
          </w:p>
        </w:tc>
        <w:tc>
          <w:tcPr>
            <w:tcW w:w="992" w:type="dxa"/>
            <w:tcBorders>
              <w:top w:val="single" w:color="auto" w:sz="12" w:space="0"/>
              <w:bottom w:val="double" w:color="auto" w:sz="6" w:space="0"/>
            </w:tcBorders>
            <w:noWrap w:val="0"/>
            <w:vAlign w:val="center"/>
          </w:tcPr>
          <w:p w14:paraId="4FB7C75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备注</w:t>
            </w:r>
          </w:p>
        </w:tc>
      </w:tr>
      <w:tr w14:paraId="4989BD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14:paraId="26272C0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double" w:color="auto" w:sz="6" w:space="0"/>
              <w:bottom w:val="single" w:color="auto" w:sz="6" w:space="0"/>
            </w:tcBorders>
            <w:noWrap w:val="0"/>
            <w:vAlign w:val="center"/>
          </w:tcPr>
          <w:p w14:paraId="79845D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double" w:color="auto" w:sz="6" w:space="0"/>
              <w:bottom w:val="single" w:color="auto" w:sz="6" w:space="0"/>
            </w:tcBorders>
            <w:noWrap w:val="0"/>
            <w:vAlign w:val="center"/>
          </w:tcPr>
          <w:p w14:paraId="66DC213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tcBorders>
              <w:top w:val="double" w:color="auto" w:sz="6" w:space="0"/>
              <w:bottom w:val="single" w:color="auto" w:sz="6" w:space="0"/>
            </w:tcBorders>
            <w:noWrap w:val="0"/>
            <w:vAlign w:val="center"/>
          </w:tcPr>
          <w:p w14:paraId="2AC3107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double" w:color="auto" w:sz="6" w:space="0"/>
              <w:bottom w:val="single" w:color="auto" w:sz="6" w:space="0"/>
            </w:tcBorders>
            <w:noWrap w:val="0"/>
            <w:vAlign w:val="center"/>
          </w:tcPr>
          <w:p w14:paraId="229948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tcBorders>
              <w:top w:val="double" w:color="auto" w:sz="6" w:space="0"/>
              <w:bottom w:val="single" w:color="auto" w:sz="6" w:space="0"/>
            </w:tcBorders>
            <w:noWrap w:val="0"/>
            <w:vAlign w:val="center"/>
          </w:tcPr>
          <w:p w14:paraId="11CB522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tcBorders>
              <w:top w:val="double" w:color="auto" w:sz="6" w:space="0"/>
              <w:bottom w:val="single" w:color="auto" w:sz="6" w:space="0"/>
            </w:tcBorders>
            <w:noWrap w:val="0"/>
            <w:vAlign w:val="center"/>
          </w:tcPr>
          <w:p w14:paraId="52D34FB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double" w:color="auto" w:sz="6" w:space="0"/>
              <w:bottom w:val="single" w:color="auto" w:sz="6" w:space="0"/>
            </w:tcBorders>
            <w:noWrap w:val="0"/>
            <w:vAlign w:val="center"/>
          </w:tcPr>
          <w:p w14:paraId="669AAD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tcBorders>
              <w:top w:val="double" w:color="auto" w:sz="6" w:space="0"/>
              <w:bottom w:val="single" w:color="auto" w:sz="6" w:space="0"/>
            </w:tcBorders>
            <w:noWrap w:val="0"/>
            <w:vAlign w:val="center"/>
          </w:tcPr>
          <w:p w14:paraId="1D918C0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tcBorders>
              <w:top w:val="double" w:color="auto" w:sz="6" w:space="0"/>
              <w:bottom w:val="single" w:color="auto" w:sz="6" w:space="0"/>
            </w:tcBorders>
            <w:noWrap w:val="0"/>
            <w:vAlign w:val="center"/>
          </w:tcPr>
          <w:p w14:paraId="69AA577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4DAB2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14:paraId="1ADF69A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nil"/>
            </w:tcBorders>
            <w:noWrap w:val="0"/>
            <w:vAlign w:val="center"/>
          </w:tcPr>
          <w:p w14:paraId="6CAE60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nil"/>
            </w:tcBorders>
            <w:noWrap w:val="0"/>
            <w:vAlign w:val="center"/>
          </w:tcPr>
          <w:p w14:paraId="3B44AF1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tcBorders>
              <w:top w:val="nil"/>
            </w:tcBorders>
            <w:noWrap w:val="0"/>
            <w:vAlign w:val="center"/>
          </w:tcPr>
          <w:p w14:paraId="629C6EB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7D66A91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tcBorders>
              <w:top w:val="nil"/>
            </w:tcBorders>
            <w:noWrap w:val="0"/>
            <w:vAlign w:val="center"/>
          </w:tcPr>
          <w:p w14:paraId="295B914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tcBorders>
              <w:top w:val="nil"/>
            </w:tcBorders>
            <w:noWrap w:val="0"/>
            <w:vAlign w:val="center"/>
          </w:tcPr>
          <w:p w14:paraId="1E46F2D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center"/>
          </w:tcPr>
          <w:p w14:paraId="7424803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tcBorders>
              <w:top w:val="nil"/>
            </w:tcBorders>
            <w:noWrap w:val="0"/>
            <w:vAlign w:val="center"/>
          </w:tcPr>
          <w:p w14:paraId="2096082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tcBorders>
              <w:top w:val="nil"/>
            </w:tcBorders>
            <w:noWrap w:val="0"/>
            <w:vAlign w:val="center"/>
          </w:tcPr>
          <w:p w14:paraId="41E4D4E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C7D1C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305C2F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2680304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2B7A413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6AE545E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18A7550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11E98BC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7F1CD6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0081AE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707B795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1A63609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0E6E1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49A8D7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05E96B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0469AE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736D5BD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00649FD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51DF0B9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4615615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5A579ED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1EE141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0172096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30655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7F1E9F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4AE0F8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2BD8EEA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0C2C66B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22AB26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4033E20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4F83849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0BCB5AC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38AF906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7CF92CC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7A82E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2978693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16172CA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5F2AD6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191812C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2D8EE98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378C38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749C99F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1EFB475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7BD1333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64CEB2F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71B5D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E68DB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344CBA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3FE733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4C911B7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6381B34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2873ED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677C6E5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3325E77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1D47BDF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6A9966B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CBC29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BD1D9D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443BFD0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6616B3B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432412F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5D354E6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171A8C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14A8753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620F490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6F3ABF5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6EA23B6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4A48E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E68AB7B">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563117C7">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7D3801C5">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0479E39D">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24D67749">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5F393E5E">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1EA241EF">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3AFCCB43">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29EC2863">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30DD2F38">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3BC84B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C5E709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0534E95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6D105D1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40" w:type="dxa"/>
            <w:noWrap w:val="0"/>
            <w:vAlign w:val="center"/>
          </w:tcPr>
          <w:p w14:paraId="3C938CE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6D5EF77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44" w:type="dxa"/>
            <w:noWrap w:val="0"/>
            <w:vAlign w:val="center"/>
          </w:tcPr>
          <w:p w14:paraId="3B1A873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62D928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center"/>
          </w:tcPr>
          <w:p w14:paraId="20D338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7" w:type="dxa"/>
            <w:noWrap w:val="0"/>
            <w:vAlign w:val="center"/>
          </w:tcPr>
          <w:p w14:paraId="1222D2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92" w:type="dxa"/>
            <w:noWrap w:val="0"/>
            <w:vAlign w:val="center"/>
          </w:tcPr>
          <w:p w14:paraId="5E3C342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82393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D647487">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2752443D">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279DCB95">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0266CE41">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6208D33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5D44CDD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1AC1B8C4">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2DBB3B4D">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430E255F">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2E8F52A6">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250A9D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CB09A81">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3B1ADD9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762065D0">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4E95B9E2">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366909A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448C2B6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650AFFC5">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5AFE2F13">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0B7331EF">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6B15F13C">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497180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F23174B">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266070BE">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55DD118A">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0CDE045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0239FC7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6C9FF9BD">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74CE6909">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143A4F3A">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6432EDE1">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04C96F97">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1D6609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6BD04B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48DF8767">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53AF5092">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1AAEF7F2">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38473603">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0894E829">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7D11C8C8">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264493D0">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6C3F6839">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250612FF">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2345CD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0524404">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356A2A48">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49513EB5">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5B30E589">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7843A4E8">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75871C60">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6C87D81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46865DC4">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411631E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39276EF3">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3E54D3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59210F5">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62270ED2">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3D30CF6F">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026CA72A">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393AF99B">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77185E2B">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580FBCC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0BC7A9A8">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4A8C7A0E">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0B5B7894">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4E7884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0B66FA3">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1653CC8A">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1231E8DD">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055BF5E8">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321A1A92">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4F698D20">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1A766967">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436F5D9F">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72724520">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5B188B27">
            <w:pPr>
              <w:pageBreakBefore w:val="0"/>
              <w:kinsoku/>
              <w:overflowPunct/>
              <w:topLinePunct w:val="0"/>
              <w:bidi w:val="0"/>
              <w:spacing w:line="440" w:lineRule="exact"/>
              <w:jc w:val="center"/>
              <w:rPr>
                <w:rFonts w:hint="eastAsia" w:ascii="仿宋" w:hAnsi="仿宋" w:eastAsia="仿宋" w:cs="仿宋"/>
                <w:color w:val="auto"/>
                <w:sz w:val="24"/>
                <w:szCs w:val="24"/>
              </w:rPr>
            </w:pPr>
          </w:p>
        </w:tc>
      </w:tr>
      <w:tr w14:paraId="3A8C9C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933DE3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276" w:type="dxa"/>
            <w:noWrap w:val="0"/>
            <w:vAlign w:val="center"/>
          </w:tcPr>
          <w:p w14:paraId="6871E221">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18" w:type="dxa"/>
            <w:noWrap w:val="0"/>
            <w:vAlign w:val="center"/>
          </w:tcPr>
          <w:p w14:paraId="79DFD21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40" w:type="dxa"/>
            <w:noWrap w:val="0"/>
            <w:vAlign w:val="center"/>
          </w:tcPr>
          <w:p w14:paraId="5C3D2D8C">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278D21CF">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044" w:type="dxa"/>
            <w:noWrap w:val="0"/>
            <w:vAlign w:val="center"/>
          </w:tcPr>
          <w:p w14:paraId="466A8F78">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1506B5A6">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851" w:type="dxa"/>
            <w:noWrap w:val="0"/>
            <w:vAlign w:val="center"/>
          </w:tcPr>
          <w:p w14:paraId="173F80E7">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1487" w:type="dxa"/>
            <w:noWrap w:val="0"/>
            <w:vAlign w:val="center"/>
          </w:tcPr>
          <w:p w14:paraId="158CBF14">
            <w:pPr>
              <w:pageBreakBefore w:val="0"/>
              <w:kinsoku/>
              <w:overflowPunct/>
              <w:topLinePunct w:val="0"/>
              <w:bidi w:val="0"/>
              <w:spacing w:line="440" w:lineRule="exact"/>
              <w:jc w:val="center"/>
              <w:rPr>
                <w:rFonts w:hint="eastAsia" w:ascii="仿宋" w:hAnsi="仿宋" w:eastAsia="仿宋" w:cs="仿宋"/>
                <w:color w:val="auto"/>
                <w:sz w:val="24"/>
                <w:szCs w:val="24"/>
              </w:rPr>
            </w:pPr>
          </w:p>
        </w:tc>
        <w:tc>
          <w:tcPr>
            <w:tcW w:w="992" w:type="dxa"/>
            <w:noWrap w:val="0"/>
            <w:vAlign w:val="center"/>
          </w:tcPr>
          <w:p w14:paraId="2D66D9C2">
            <w:pPr>
              <w:pageBreakBefore w:val="0"/>
              <w:kinsoku/>
              <w:overflowPunct/>
              <w:topLinePunct w:val="0"/>
              <w:bidi w:val="0"/>
              <w:spacing w:line="440" w:lineRule="exact"/>
              <w:jc w:val="center"/>
              <w:rPr>
                <w:rFonts w:hint="eastAsia" w:ascii="仿宋" w:hAnsi="仿宋" w:eastAsia="仿宋" w:cs="仿宋"/>
                <w:color w:val="auto"/>
                <w:sz w:val="24"/>
                <w:szCs w:val="24"/>
              </w:rPr>
            </w:pPr>
          </w:p>
        </w:tc>
      </w:tr>
    </w:tbl>
    <w:p w14:paraId="08D60705">
      <w:pPr>
        <w:pageBreakBefore w:val="0"/>
        <w:kinsoku/>
        <w:overflowPunct/>
        <w:topLinePunct w:val="0"/>
        <w:bidi w:val="0"/>
        <w:spacing w:line="440" w:lineRule="exact"/>
        <w:rPr>
          <w:rFonts w:hint="eastAsia" w:ascii="仿宋" w:hAnsi="仿宋" w:eastAsia="仿宋" w:cs="仿宋"/>
          <w:color w:val="auto"/>
          <w:sz w:val="24"/>
          <w:szCs w:val="24"/>
        </w:rPr>
      </w:pPr>
    </w:p>
    <w:p w14:paraId="1F447EB2">
      <w:pPr>
        <w:pageBreakBefore w:val="0"/>
        <w:kinsoku/>
        <w:overflowPunct/>
        <w:topLinePunct w:val="0"/>
        <w:bidi w:val="0"/>
        <w:spacing w:line="440" w:lineRule="exact"/>
        <w:rPr>
          <w:rFonts w:hint="eastAsia" w:ascii="仿宋" w:hAnsi="仿宋" w:eastAsia="仿宋" w:cs="仿宋"/>
          <w:color w:val="auto"/>
          <w:sz w:val="24"/>
          <w:szCs w:val="24"/>
        </w:rPr>
      </w:pPr>
    </w:p>
    <w:p w14:paraId="2B9AC70D">
      <w:pPr>
        <w:pageBreakBefore w:val="0"/>
        <w:kinsoku/>
        <w:overflowPunct/>
        <w:topLinePunct w:val="0"/>
        <w:bidi w:val="0"/>
        <w:spacing w:line="440" w:lineRule="exact"/>
        <w:rPr>
          <w:rFonts w:hint="eastAsia" w:ascii="仿宋" w:hAnsi="仿宋" w:eastAsia="仿宋" w:cs="仿宋"/>
          <w:color w:val="auto"/>
          <w:sz w:val="24"/>
          <w:szCs w:val="24"/>
        </w:rPr>
      </w:pPr>
    </w:p>
    <w:p w14:paraId="4F115439">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附</w:t>
      </w:r>
      <w:bookmarkStart w:id="1309" w:name="_Toc296346727"/>
      <w:bookmarkStart w:id="1310" w:name="_Toc296891054"/>
      <w:bookmarkStart w:id="1311" w:name="_Toc296944565"/>
      <w:bookmarkStart w:id="1312" w:name="_Toc296891266"/>
      <w:bookmarkStart w:id="1313" w:name="_Toc296347225"/>
      <w:bookmarkStart w:id="1314" w:name="_Toc296503226"/>
      <w:bookmarkStart w:id="1315" w:name="_Toc267261693"/>
      <w:r>
        <w:rPr>
          <w:rFonts w:hint="eastAsia" w:ascii="仿宋" w:hAnsi="仿宋" w:eastAsia="仿宋" w:cs="仿宋"/>
          <w:color w:val="auto"/>
          <w:sz w:val="24"/>
          <w:szCs w:val="24"/>
        </w:rPr>
        <w:t>件3：</w:t>
      </w:r>
      <w:bookmarkEnd w:id="1309"/>
      <w:bookmarkEnd w:id="1310"/>
      <w:bookmarkEnd w:id="1311"/>
      <w:bookmarkEnd w:id="1312"/>
      <w:bookmarkEnd w:id="1313"/>
      <w:bookmarkEnd w:id="1314"/>
      <w:bookmarkEnd w:id="1315"/>
      <w:r>
        <w:rPr>
          <w:rFonts w:hint="eastAsia" w:ascii="仿宋" w:hAnsi="仿宋" w:eastAsia="仿宋" w:cs="仿宋"/>
          <w:color w:val="auto"/>
          <w:sz w:val="24"/>
          <w:szCs w:val="24"/>
        </w:rPr>
        <w:t xml:space="preserve">    </w:t>
      </w:r>
    </w:p>
    <w:p w14:paraId="169EC41A">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工程质量保修书</w:t>
      </w:r>
    </w:p>
    <w:p w14:paraId="00DCC5F3">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发包人（全称）：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3B9362B1">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承包人（全称）：</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34CEEC47">
      <w:pPr>
        <w:pageBreakBefore w:val="0"/>
        <w:kinsoku/>
        <w:overflowPunct/>
        <w:topLinePunct w:val="0"/>
        <w:bidi w:val="0"/>
        <w:spacing w:line="440" w:lineRule="exact"/>
        <w:rPr>
          <w:rFonts w:hint="eastAsia" w:ascii="仿宋" w:hAnsi="仿宋" w:eastAsia="仿宋" w:cs="仿宋"/>
          <w:color w:val="auto"/>
          <w:sz w:val="24"/>
          <w:szCs w:val="24"/>
        </w:rPr>
      </w:pPr>
    </w:p>
    <w:p w14:paraId="3B4E59BC">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发包人和承包人根据《中华人民共和国建筑法》和《建设工程质量管理条例》，经协商一致就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（工程全称）签订工程质量保修书。</w:t>
      </w:r>
    </w:p>
    <w:p w14:paraId="3BC0F07A">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一、工程质量保修范围和内容</w:t>
      </w:r>
    </w:p>
    <w:p w14:paraId="7590C5D0">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承包人在质量保修期内，按照有关法律规定和合同约定，承担工程质量保修责任。</w:t>
      </w:r>
    </w:p>
    <w:p w14:paraId="567DE035">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7DFBCF58">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w:t>
      </w:r>
      <w:r>
        <w:rPr>
          <w:rFonts w:hint="eastAsia" w:ascii="仿宋" w:hAnsi="仿宋" w:eastAsia="仿宋" w:cs="仿宋"/>
          <w:color w:val="auto"/>
          <w:sz w:val="24"/>
          <w:szCs w:val="24"/>
          <w:u w:val="single"/>
        </w:rPr>
        <w:t xml:space="preserve">  承包范围内的所有工作内容    </w:t>
      </w:r>
      <w:r>
        <w:rPr>
          <w:rFonts w:hint="eastAsia" w:ascii="仿宋" w:hAnsi="仿宋" w:eastAsia="仿宋" w:cs="仿宋"/>
          <w:color w:val="auto"/>
          <w:sz w:val="24"/>
          <w:szCs w:val="24"/>
        </w:rPr>
        <w:t>。</w:t>
      </w:r>
    </w:p>
    <w:p w14:paraId="246B8601">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b/>
          <w:color w:val="auto"/>
          <w:sz w:val="24"/>
          <w:szCs w:val="24"/>
        </w:rPr>
        <w:t>　　</w:t>
      </w:r>
      <w:r>
        <w:rPr>
          <w:rFonts w:hint="eastAsia" w:ascii="仿宋" w:hAnsi="仿宋" w:eastAsia="仿宋" w:cs="仿宋"/>
          <w:color w:val="auto"/>
          <w:sz w:val="24"/>
          <w:szCs w:val="24"/>
        </w:rPr>
        <w:t>二、质量保修期</w:t>
      </w:r>
    </w:p>
    <w:p w14:paraId="3E9130FC">
      <w:pPr>
        <w:pageBreakBefore w:val="0"/>
        <w:kinsoku/>
        <w:overflowPunct/>
        <w:topLinePunct w:val="0"/>
        <w:bidi w:val="0"/>
        <w:spacing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根据《建设工程质量管理条例》及有关规定，工程的质量保修期如下：</w:t>
      </w:r>
    </w:p>
    <w:p w14:paraId="743932CE">
      <w:pPr>
        <w:pageBreakBefore w:val="0"/>
        <w:kinsoku/>
        <w:overflowPunct/>
        <w:topLinePunct w:val="0"/>
        <w:bidi w:val="0"/>
        <w:spacing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1．地基基础工程和主体结构工程为设计文件规定的工程合理使用年限；</w:t>
      </w:r>
    </w:p>
    <w:p w14:paraId="5BE17F15">
      <w:pPr>
        <w:pageBreakBefore w:val="0"/>
        <w:kinsoku/>
        <w:overflowPunct/>
        <w:topLinePunct w:val="0"/>
        <w:bidi w:val="0"/>
        <w:spacing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2．屋面防水工程、有防水要求的卫生间、房间和外墙面的防渗为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p>
    <w:p w14:paraId="1644C998">
      <w:pPr>
        <w:pageBreakBefore w:val="0"/>
        <w:kinsoku/>
        <w:overflowPunct/>
        <w:topLinePunct w:val="0"/>
        <w:bidi w:val="0"/>
        <w:spacing w:line="440" w:lineRule="exact"/>
        <w:ind w:left="420" w:leftChars="200" w:firstLine="120" w:firstLineChars="50"/>
        <w:outlineLvl w:val="9"/>
        <w:rPr>
          <w:rFonts w:hint="eastAsia" w:ascii="仿宋" w:hAnsi="仿宋" w:eastAsia="仿宋" w:cs="仿宋"/>
          <w:color w:val="auto"/>
          <w:sz w:val="24"/>
          <w:szCs w:val="24"/>
        </w:rPr>
      </w:pPr>
      <w:r>
        <w:rPr>
          <w:rFonts w:hint="eastAsia" w:ascii="仿宋" w:hAnsi="仿宋" w:eastAsia="仿宋" w:cs="仿宋"/>
          <w:color w:val="auto"/>
          <w:sz w:val="24"/>
          <w:szCs w:val="24"/>
        </w:rPr>
        <w:t>3．装修工程为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p>
    <w:p w14:paraId="54C48957">
      <w:pPr>
        <w:pageBreakBefore w:val="0"/>
        <w:kinsoku/>
        <w:overflowPunct/>
        <w:topLinePunct w:val="0"/>
        <w:bidi w:val="0"/>
        <w:spacing w:line="440" w:lineRule="exact"/>
        <w:ind w:left="420" w:leftChars="200" w:firstLine="120" w:firstLineChars="50"/>
        <w:outlineLvl w:val="9"/>
        <w:rPr>
          <w:rFonts w:hint="eastAsia" w:ascii="仿宋" w:hAnsi="仿宋" w:eastAsia="仿宋" w:cs="仿宋"/>
          <w:color w:val="auto"/>
          <w:sz w:val="24"/>
          <w:szCs w:val="24"/>
        </w:rPr>
      </w:pPr>
      <w:r>
        <w:rPr>
          <w:rFonts w:hint="eastAsia" w:ascii="仿宋" w:hAnsi="仿宋" w:eastAsia="仿宋" w:cs="仿宋"/>
          <w:color w:val="auto"/>
          <w:sz w:val="24"/>
          <w:szCs w:val="24"/>
        </w:rPr>
        <w:t>4．电气管线、给排水管道、设备安装工程为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p>
    <w:p w14:paraId="6D331ADD">
      <w:pPr>
        <w:pageBreakBefore w:val="0"/>
        <w:kinsoku/>
        <w:overflowPunct/>
        <w:topLinePunct w:val="0"/>
        <w:bidi w:val="0"/>
        <w:spacing w:line="440" w:lineRule="exact"/>
        <w:ind w:left="420" w:leftChars="200" w:firstLine="120" w:firstLineChars="50"/>
        <w:outlineLvl w:val="9"/>
        <w:rPr>
          <w:rFonts w:hint="eastAsia" w:ascii="仿宋" w:hAnsi="仿宋" w:eastAsia="仿宋" w:cs="仿宋"/>
          <w:color w:val="auto"/>
          <w:sz w:val="24"/>
          <w:szCs w:val="24"/>
        </w:rPr>
      </w:pPr>
      <w:r>
        <w:rPr>
          <w:rFonts w:hint="eastAsia" w:ascii="仿宋" w:hAnsi="仿宋" w:eastAsia="仿宋" w:cs="仿宋"/>
          <w:color w:val="auto"/>
          <w:sz w:val="24"/>
          <w:szCs w:val="24"/>
        </w:rPr>
        <w:t>5．供热与供冷系统为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个采暖期、供冷期；</w:t>
      </w:r>
    </w:p>
    <w:p w14:paraId="10CEF2F9">
      <w:pPr>
        <w:pageBreakBefore w:val="0"/>
        <w:kinsoku/>
        <w:overflowPunct/>
        <w:topLinePunct w:val="0"/>
        <w:bidi w:val="0"/>
        <w:spacing w:line="440" w:lineRule="exact"/>
        <w:ind w:left="420" w:leftChars="200" w:firstLine="120" w:firstLineChars="50"/>
        <w:outlineLvl w:val="9"/>
        <w:rPr>
          <w:rFonts w:hint="eastAsia" w:ascii="仿宋" w:hAnsi="仿宋" w:eastAsia="仿宋" w:cs="仿宋"/>
          <w:color w:val="auto"/>
          <w:sz w:val="24"/>
          <w:szCs w:val="24"/>
        </w:rPr>
      </w:pPr>
      <w:r>
        <w:rPr>
          <w:rFonts w:hint="eastAsia" w:ascii="仿宋" w:hAnsi="仿宋" w:eastAsia="仿宋" w:cs="仿宋"/>
          <w:color w:val="auto"/>
          <w:sz w:val="24"/>
          <w:szCs w:val="24"/>
        </w:rPr>
        <w:t>6．住宅小区内的给排水设施、道路等配套工程为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p>
    <w:p w14:paraId="04B60144">
      <w:pPr>
        <w:pageBreakBefore w:val="0"/>
        <w:kinsoku/>
        <w:overflowPunct/>
        <w:topLinePunct w:val="0"/>
        <w:bidi w:val="0"/>
        <w:spacing w:line="440" w:lineRule="exact"/>
        <w:ind w:left="420" w:leftChars="200" w:firstLine="120" w:firstLineChars="50"/>
        <w:outlineLvl w:val="9"/>
        <w:rPr>
          <w:rFonts w:hint="eastAsia" w:ascii="仿宋" w:hAnsi="仿宋" w:eastAsia="仿宋" w:cs="仿宋"/>
          <w:color w:val="auto"/>
          <w:sz w:val="24"/>
          <w:szCs w:val="24"/>
        </w:rPr>
      </w:pPr>
      <w:r>
        <w:rPr>
          <w:rFonts w:hint="eastAsia" w:ascii="仿宋" w:hAnsi="仿宋" w:eastAsia="仿宋" w:cs="仿宋"/>
          <w:color w:val="auto"/>
          <w:sz w:val="24"/>
          <w:szCs w:val="24"/>
        </w:rPr>
        <w:t>7．其他项目保修期限约定如下：</w:t>
      </w:r>
    </w:p>
    <w:p w14:paraId="700483C2">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414C4320">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质量保修期自工程竣工验收合格之日起计算。</w:t>
      </w:r>
    </w:p>
    <w:p w14:paraId="4ACDD5A6">
      <w:pPr>
        <w:pageBreakBefore w:val="0"/>
        <w:kinsoku/>
        <w:overflowPunct/>
        <w:topLinePunct w:val="0"/>
        <w:bidi w:val="0"/>
        <w:spacing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三、缺陷责任期</w:t>
      </w:r>
    </w:p>
    <w:p w14:paraId="1F5C932E">
      <w:pPr>
        <w:pageBreakBefore w:val="0"/>
        <w:kinsoku/>
        <w:overflowPunct/>
        <w:topLinePunct w:val="0"/>
        <w:bidi w:val="0"/>
        <w:spacing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工程缺陷责任期为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24</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个月，缺陷责任期自工程通过竣工验收之日起计算。单位工程先于全部工程进行验收，单位工程缺陷责任期自单位工程验收合格之日起算。</w:t>
      </w:r>
    </w:p>
    <w:p w14:paraId="153C6C5B">
      <w:pPr>
        <w:pageBreakBefore w:val="0"/>
        <w:kinsoku/>
        <w:overflowPunct/>
        <w:topLinePunct w:val="0"/>
        <w:bidi w:val="0"/>
        <w:spacing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缺陷责任期终止后，发包人应退还剩余的质量保证金。</w:t>
      </w:r>
    </w:p>
    <w:p w14:paraId="24C3C942">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四、质量保修责任</w:t>
      </w:r>
    </w:p>
    <w:p w14:paraId="517ED6B3">
      <w:pPr>
        <w:pageBreakBefore w:val="0"/>
        <w:kinsoku/>
        <w:overflowPunct/>
        <w:topLinePunct w:val="0"/>
        <w:bidi w:val="0"/>
        <w:spacing w:line="440" w:lineRule="exact"/>
        <w:ind w:left="105" w:leftChars="50" w:firstLine="491" w:firstLineChars="205"/>
        <w:outlineLvl w:val="9"/>
        <w:rPr>
          <w:rFonts w:hint="eastAsia" w:ascii="仿宋" w:hAnsi="仿宋" w:eastAsia="仿宋" w:cs="仿宋"/>
          <w:color w:val="auto"/>
          <w:sz w:val="24"/>
          <w:szCs w:val="24"/>
        </w:rPr>
      </w:pPr>
      <w:r>
        <w:rPr>
          <w:rFonts w:hint="eastAsia" w:ascii="仿宋" w:hAnsi="仿宋" w:eastAsia="仿宋" w:cs="仿宋"/>
          <w:color w:val="auto"/>
          <w:sz w:val="24"/>
          <w:szCs w:val="24"/>
        </w:rPr>
        <w:t>1．属于保修范围、内容的项目，承包人应当在接到保修通知之日起7天内派人保修。承包人不在约定期限内派人保修的，发包人可以委托他人修理。</w:t>
      </w:r>
    </w:p>
    <w:p w14:paraId="5FB17358">
      <w:pPr>
        <w:pageBreakBefore w:val="0"/>
        <w:kinsoku/>
        <w:overflowPunct/>
        <w:topLinePunct w:val="0"/>
        <w:bidi w:val="0"/>
        <w:spacing w:line="440" w:lineRule="exact"/>
        <w:ind w:left="105" w:leftChars="50" w:firstLine="491" w:firstLineChars="205"/>
        <w:outlineLvl w:val="9"/>
        <w:rPr>
          <w:rFonts w:hint="eastAsia" w:ascii="仿宋" w:hAnsi="仿宋" w:eastAsia="仿宋" w:cs="仿宋"/>
          <w:color w:val="auto"/>
          <w:sz w:val="24"/>
          <w:szCs w:val="24"/>
        </w:rPr>
      </w:pPr>
      <w:r>
        <w:rPr>
          <w:rFonts w:hint="eastAsia" w:ascii="仿宋" w:hAnsi="仿宋" w:eastAsia="仿宋" w:cs="仿宋"/>
          <w:color w:val="auto"/>
          <w:sz w:val="24"/>
          <w:szCs w:val="24"/>
        </w:rPr>
        <w:t>2．发生紧急事故需抢修的，承包人在接到事故通知后，应当立即到达事故现场抢修。</w:t>
      </w:r>
    </w:p>
    <w:p w14:paraId="3348D244">
      <w:pPr>
        <w:pageBreakBefore w:val="0"/>
        <w:kinsoku/>
        <w:overflowPunct/>
        <w:topLinePunct w:val="0"/>
        <w:bidi w:val="0"/>
        <w:spacing w:line="440" w:lineRule="exact"/>
        <w:ind w:left="105" w:leftChars="50" w:firstLine="491" w:firstLineChars="205"/>
        <w:outlineLvl w:val="9"/>
        <w:rPr>
          <w:rFonts w:hint="eastAsia" w:ascii="仿宋" w:hAnsi="仿宋" w:eastAsia="仿宋" w:cs="仿宋"/>
          <w:color w:val="auto"/>
          <w:sz w:val="24"/>
          <w:szCs w:val="24"/>
        </w:rPr>
      </w:pPr>
      <w:r>
        <w:rPr>
          <w:rFonts w:hint="eastAsia" w:ascii="仿宋" w:hAnsi="仿宋" w:eastAsia="仿宋" w:cs="仿宋"/>
          <w:color w:val="auto"/>
          <w:sz w:val="24"/>
          <w:szCs w:val="24"/>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3360F612">
      <w:pPr>
        <w:pageBreakBefore w:val="0"/>
        <w:kinsoku/>
        <w:overflowPunct/>
        <w:topLinePunct w:val="0"/>
        <w:bidi w:val="0"/>
        <w:spacing w:line="440" w:lineRule="exact"/>
        <w:ind w:left="420" w:leftChars="200" w:firstLine="120" w:firstLineChars="50"/>
        <w:outlineLvl w:val="9"/>
        <w:rPr>
          <w:rFonts w:hint="eastAsia" w:ascii="仿宋" w:hAnsi="仿宋" w:eastAsia="仿宋" w:cs="仿宋"/>
          <w:color w:val="auto"/>
          <w:sz w:val="24"/>
          <w:szCs w:val="24"/>
        </w:rPr>
      </w:pPr>
      <w:r>
        <w:rPr>
          <w:rFonts w:hint="eastAsia" w:ascii="仿宋" w:hAnsi="仿宋" w:eastAsia="仿宋" w:cs="仿宋"/>
          <w:color w:val="auto"/>
          <w:sz w:val="24"/>
          <w:szCs w:val="24"/>
        </w:rPr>
        <w:t>4．质量保修完成后，由发包人组织验收。</w:t>
      </w:r>
    </w:p>
    <w:p w14:paraId="219CE8C4">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五、保修费用</w:t>
      </w:r>
    </w:p>
    <w:p w14:paraId="2A122C49">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　　保修费用由造成质量缺陷的责任方承担。</w:t>
      </w:r>
    </w:p>
    <w:p w14:paraId="53227CAC">
      <w:pPr>
        <w:pageBreakBefore w:val="0"/>
        <w:kinsoku/>
        <w:overflowPunct/>
        <w:topLinePunct w:val="0"/>
        <w:bidi w:val="0"/>
        <w:spacing w:line="440" w:lineRule="exact"/>
        <w:jc w:val="left"/>
        <w:outlineLvl w:val="9"/>
        <w:rPr>
          <w:rFonts w:hint="eastAsia" w:ascii="仿宋" w:hAnsi="仿宋" w:eastAsia="仿宋" w:cs="仿宋"/>
          <w:color w:val="auto"/>
          <w:sz w:val="24"/>
          <w:szCs w:val="24"/>
        </w:rPr>
      </w:pPr>
      <w:r>
        <w:rPr>
          <w:rFonts w:hint="eastAsia" w:ascii="仿宋" w:hAnsi="仿宋" w:eastAsia="仿宋" w:cs="仿宋"/>
          <w:b/>
          <w:color w:val="auto"/>
          <w:sz w:val="24"/>
          <w:szCs w:val="24"/>
        </w:rPr>
        <w:t>六</w:t>
      </w:r>
      <w:r>
        <w:rPr>
          <w:rFonts w:hint="eastAsia" w:ascii="仿宋" w:hAnsi="仿宋" w:eastAsia="仿宋" w:cs="仿宋"/>
          <w:color w:val="auto"/>
          <w:sz w:val="24"/>
          <w:szCs w:val="24"/>
        </w:rPr>
        <w:t>、双方约定的其他工程质量保修事项：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3CC227C1">
      <w:pPr>
        <w:pageBreakBefore w:val="0"/>
        <w:kinsoku/>
        <w:overflowPunct/>
        <w:topLinePunct w:val="0"/>
        <w:bidi w:val="0"/>
        <w:spacing w:line="440" w:lineRule="exact"/>
        <w:ind w:firstLine="456" w:firstLineChars="190"/>
        <w:outlineLvl w:val="9"/>
        <w:rPr>
          <w:rFonts w:hint="eastAsia" w:ascii="仿宋" w:hAnsi="仿宋" w:eastAsia="仿宋" w:cs="仿宋"/>
          <w:color w:val="auto"/>
          <w:sz w:val="24"/>
          <w:szCs w:val="24"/>
        </w:rPr>
      </w:pPr>
      <w:r>
        <w:rPr>
          <w:rFonts w:hint="eastAsia" w:ascii="仿宋" w:hAnsi="仿宋" w:eastAsia="仿宋" w:cs="仿宋"/>
          <w:color w:val="auto"/>
          <w:sz w:val="24"/>
          <w:szCs w:val="24"/>
        </w:rPr>
        <w:t>工程质量保修书由发包人、承包人在工程竣工验收前共同签署，作为施工合同附件，其有效期限至保修期满。</w:t>
      </w:r>
    </w:p>
    <w:p w14:paraId="025F5807">
      <w:pPr>
        <w:pageBreakBefore w:val="0"/>
        <w:kinsoku/>
        <w:overflowPunct/>
        <w:topLinePunct w:val="0"/>
        <w:bidi w:val="0"/>
        <w:spacing w:line="440" w:lineRule="exact"/>
        <w:ind w:firstLine="420"/>
        <w:outlineLvl w:val="9"/>
        <w:rPr>
          <w:rFonts w:hint="eastAsia" w:ascii="仿宋" w:hAnsi="仿宋" w:eastAsia="仿宋" w:cs="仿宋"/>
          <w:color w:val="auto"/>
          <w:sz w:val="24"/>
          <w:szCs w:val="24"/>
        </w:rPr>
      </w:pPr>
    </w:p>
    <w:p w14:paraId="0250508E">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发包人(公章)：</w:t>
      </w:r>
      <w:r>
        <w:rPr>
          <w:rFonts w:hint="eastAsia" w:ascii="仿宋" w:hAnsi="仿宋" w:eastAsia="仿宋" w:cs="仿宋"/>
          <w:color w:val="auto"/>
          <w:sz w:val="24"/>
          <w:szCs w:val="24"/>
          <w:u w:val="single"/>
        </w:rPr>
        <w:t xml:space="preserve">        </w:t>
      </w:r>
      <w:r>
        <w:rPr>
          <w:rFonts w:hint="eastAsia" w:ascii="仿宋" w:hAnsi="仿宋" w:eastAsia="仿宋" w:cs="仿宋"/>
          <w:color w:val="auto"/>
          <w:sz w:val="24"/>
          <w:szCs w:val="24"/>
        </w:rPr>
        <w:t xml:space="preserve"> 承包人(公章)：</w:t>
      </w:r>
      <w:r>
        <w:rPr>
          <w:rFonts w:hint="eastAsia" w:ascii="仿宋" w:hAnsi="仿宋" w:eastAsia="仿宋" w:cs="仿宋"/>
          <w:color w:val="auto"/>
          <w:sz w:val="24"/>
          <w:szCs w:val="24"/>
          <w:u w:val="single"/>
        </w:rPr>
        <w:t xml:space="preserve">           </w:t>
      </w:r>
    </w:p>
    <w:p w14:paraId="61132B28">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地  址：</w:t>
      </w:r>
      <w:r>
        <w:rPr>
          <w:rFonts w:hint="eastAsia" w:ascii="仿宋" w:hAnsi="仿宋" w:eastAsia="仿宋" w:cs="仿宋"/>
          <w:color w:val="auto"/>
          <w:sz w:val="24"/>
          <w:szCs w:val="24"/>
          <w:u w:val="single"/>
        </w:rPr>
        <w:t xml:space="preserve">       </w:t>
      </w:r>
    </w:p>
    <w:p w14:paraId="3786311A">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法定代表人(签字)：</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法定代表人(签字)：</w:t>
      </w:r>
      <w:r>
        <w:rPr>
          <w:rFonts w:hint="eastAsia" w:ascii="仿宋" w:hAnsi="仿宋" w:eastAsia="仿宋" w:cs="仿宋"/>
          <w:color w:val="auto"/>
          <w:sz w:val="24"/>
          <w:szCs w:val="24"/>
          <w:u w:val="single"/>
        </w:rPr>
        <w:t xml:space="preserve">       </w:t>
      </w:r>
    </w:p>
    <w:p w14:paraId="05850DB3">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委托代理人(签字)：</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委托代理人(签字)：</w:t>
      </w:r>
      <w:r>
        <w:rPr>
          <w:rFonts w:hint="eastAsia" w:ascii="仿宋" w:hAnsi="仿宋" w:eastAsia="仿宋" w:cs="仿宋"/>
          <w:color w:val="auto"/>
          <w:sz w:val="24"/>
          <w:szCs w:val="24"/>
          <w:u w:val="single"/>
        </w:rPr>
        <w:t xml:space="preserve">       </w:t>
      </w:r>
    </w:p>
    <w:p w14:paraId="2635DD2C">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电  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电  话：</w:t>
      </w:r>
      <w:r>
        <w:rPr>
          <w:rFonts w:hint="eastAsia" w:ascii="仿宋" w:hAnsi="仿宋" w:eastAsia="仿宋" w:cs="仿宋"/>
          <w:color w:val="auto"/>
          <w:sz w:val="24"/>
          <w:szCs w:val="24"/>
          <w:u w:val="single"/>
        </w:rPr>
        <w:t xml:space="preserve">     </w:t>
      </w:r>
    </w:p>
    <w:p w14:paraId="63A25F53">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传  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传  真：</w:t>
      </w:r>
      <w:r>
        <w:rPr>
          <w:rFonts w:hint="eastAsia" w:ascii="仿宋" w:hAnsi="仿宋" w:eastAsia="仿宋" w:cs="仿宋"/>
          <w:color w:val="auto"/>
          <w:sz w:val="24"/>
          <w:szCs w:val="24"/>
          <w:u w:val="single"/>
        </w:rPr>
        <w:t xml:space="preserve">     </w:t>
      </w:r>
    </w:p>
    <w:p w14:paraId="07D8070E">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开户银行：</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开户银行：</w:t>
      </w:r>
      <w:r>
        <w:rPr>
          <w:rFonts w:hint="eastAsia" w:ascii="仿宋" w:hAnsi="仿宋" w:eastAsia="仿宋" w:cs="仿宋"/>
          <w:color w:val="auto"/>
          <w:sz w:val="24"/>
          <w:szCs w:val="24"/>
          <w:u w:val="single"/>
        </w:rPr>
        <w:t xml:space="preserve">   </w:t>
      </w:r>
    </w:p>
    <w:p w14:paraId="36396BE7">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账  号：</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账  号：</w:t>
      </w:r>
      <w:r>
        <w:rPr>
          <w:rFonts w:hint="eastAsia" w:ascii="仿宋" w:hAnsi="仿宋" w:eastAsia="仿宋" w:cs="仿宋"/>
          <w:color w:val="auto"/>
          <w:sz w:val="24"/>
          <w:szCs w:val="24"/>
          <w:u w:val="single"/>
        </w:rPr>
        <w:t xml:space="preserve">     </w:t>
      </w:r>
    </w:p>
    <w:p w14:paraId="3B455059">
      <w:pPr>
        <w:pageBreakBefore w:val="0"/>
        <w:kinsoku/>
        <w:overflowPunct/>
        <w:topLinePunct w:val="0"/>
        <w:bidi w:val="0"/>
        <w:spacing w:line="440" w:lineRule="exact"/>
        <w:outlineLvl w:val="9"/>
        <w:rPr>
          <w:rFonts w:hint="eastAsia" w:ascii="仿宋" w:hAnsi="仿宋" w:eastAsia="仿宋" w:cs="仿宋"/>
          <w:color w:val="auto"/>
          <w:sz w:val="24"/>
          <w:szCs w:val="24"/>
        </w:rPr>
      </w:pPr>
      <w:r>
        <w:rPr>
          <w:rFonts w:hint="eastAsia" w:ascii="仿宋" w:hAnsi="仿宋" w:eastAsia="仿宋" w:cs="仿宋"/>
          <w:color w:val="auto"/>
          <w:sz w:val="24"/>
          <w:szCs w:val="24"/>
        </w:rPr>
        <w:t>邮政编码：</w:t>
      </w:r>
      <w:r>
        <w:rPr>
          <w:rFonts w:hint="eastAsia" w:ascii="仿宋" w:hAnsi="仿宋" w:eastAsia="仿宋" w:cs="仿宋"/>
          <w:color w:val="auto"/>
          <w:sz w:val="24"/>
          <w:szCs w:val="24"/>
          <w:u w:val="single"/>
        </w:rPr>
        <w:t xml:space="preserve">     </w:t>
      </w:r>
      <w:r>
        <w:rPr>
          <w:rFonts w:hint="eastAsia" w:ascii="仿宋" w:hAnsi="仿宋" w:eastAsia="仿宋" w:cs="仿宋"/>
          <w:color w:val="auto"/>
          <w:sz w:val="24"/>
          <w:szCs w:val="24"/>
        </w:rPr>
        <w:t xml:space="preserve"> 邮政编码：</w:t>
      </w:r>
      <w:r>
        <w:rPr>
          <w:rFonts w:hint="eastAsia" w:ascii="仿宋" w:hAnsi="仿宋" w:eastAsia="仿宋" w:cs="仿宋"/>
          <w:color w:val="auto"/>
          <w:sz w:val="24"/>
          <w:szCs w:val="24"/>
          <w:u w:val="single"/>
        </w:rPr>
        <w:t xml:space="preserve">   </w:t>
      </w:r>
      <w:r>
        <w:rPr>
          <w:rFonts w:hint="eastAsia" w:ascii="仿宋" w:hAnsi="仿宋" w:eastAsia="仿宋" w:cs="仿宋"/>
          <w:b/>
          <w:color w:val="auto"/>
          <w:sz w:val="24"/>
          <w:szCs w:val="24"/>
        </w:rPr>
        <w:br w:type="page"/>
      </w:r>
      <w:r>
        <w:rPr>
          <w:rFonts w:hint="eastAsia" w:ascii="仿宋" w:hAnsi="仿宋" w:eastAsia="仿宋" w:cs="仿宋"/>
          <w:color w:val="auto"/>
          <w:sz w:val="24"/>
          <w:szCs w:val="24"/>
        </w:rPr>
        <w:t>附件4：</w:t>
      </w:r>
    </w:p>
    <w:p w14:paraId="40DA89C7">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主要建设工程文件目录</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7C3996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7196BF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文件名称</w:t>
            </w:r>
          </w:p>
        </w:tc>
        <w:tc>
          <w:tcPr>
            <w:tcW w:w="1276" w:type="dxa"/>
            <w:tcBorders>
              <w:top w:val="single" w:color="auto" w:sz="12" w:space="0"/>
              <w:bottom w:val="double" w:color="auto" w:sz="6" w:space="0"/>
            </w:tcBorders>
            <w:noWrap w:val="0"/>
            <w:vAlign w:val="center"/>
          </w:tcPr>
          <w:p w14:paraId="0837EAD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套数</w:t>
            </w:r>
          </w:p>
        </w:tc>
        <w:tc>
          <w:tcPr>
            <w:tcW w:w="1450" w:type="dxa"/>
            <w:tcBorders>
              <w:top w:val="single" w:color="auto" w:sz="12" w:space="0"/>
              <w:bottom w:val="double" w:color="auto" w:sz="6" w:space="0"/>
            </w:tcBorders>
            <w:noWrap w:val="0"/>
            <w:vAlign w:val="center"/>
          </w:tcPr>
          <w:p w14:paraId="5D08661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费用（元）</w:t>
            </w:r>
          </w:p>
        </w:tc>
        <w:tc>
          <w:tcPr>
            <w:tcW w:w="1243" w:type="dxa"/>
            <w:tcBorders>
              <w:top w:val="single" w:color="auto" w:sz="12" w:space="0"/>
              <w:bottom w:val="double" w:color="auto" w:sz="6" w:space="0"/>
            </w:tcBorders>
            <w:noWrap w:val="0"/>
            <w:vAlign w:val="center"/>
          </w:tcPr>
          <w:p w14:paraId="3B0E55C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质量</w:t>
            </w:r>
          </w:p>
        </w:tc>
        <w:tc>
          <w:tcPr>
            <w:tcW w:w="1450" w:type="dxa"/>
            <w:tcBorders>
              <w:top w:val="single" w:color="auto" w:sz="12" w:space="0"/>
              <w:bottom w:val="double" w:color="auto" w:sz="6" w:space="0"/>
            </w:tcBorders>
            <w:noWrap w:val="0"/>
            <w:vAlign w:val="top"/>
          </w:tcPr>
          <w:p w14:paraId="0CC46945">
            <w:pPr>
              <w:pageBreakBefore w:val="0"/>
              <w:kinsoku/>
              <w:overflowPunct/>
              <w:topLinePunct w:val="0"/>
              <w:bidi w:val="0"/>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移交时间</w:t>
            </w:r>
          </w:p>
        </w:tc>
        <w:tc>
          <w:tcPr>
            <w:tcW w:w="1667" w:type="dxa"/>
            <w:tcBorders>
              <w:top w:val="single" w:color="auto" w:sz="12" w:space="0"/>
              <w:bottom w:val="double" w:color="auto" w:sz="6" w:space="0"/>
            </w:tcBorders>
            <w:noWrap w:val="0"/>
            <w:vAlign w:val="top"/>
          </w:tcPr>
          <w:p w14:paraId="434697F0">
            <w:pPr>
              <w:pageBreakBefore w:val="0"/>
              <w:kinsoku/>
              <w:overflowPunct/>
              <w:topLinePunct w:val="0"/>
              <w:bidi w:val="0"/>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责任人</w:t>
            </w:r>
          </w:p>
        </w:tc>
      </w:tr>
      <w:tr w14:paraId="28EBD1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626D459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double" w:color="auto" w:sz="6" w:space="0"/>
              <w:bottom w:val="single" w:color="auto" w:sz="6" w:space="0"/>
            </w:tcBorders>
            <w:noWrap w:val="0"/>
            <w:vAlign w:val="center"/>
          </w:tcPr>
          <w:p w14:paraId="1377F0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tcBorders>
              <w:top w:val="double" w:color="auto" w:sz="6" w:space="0"/>
              <w:bottom w:val="single" w:color="auto" w:sz="6" w:space="0"/>
            </w:tcBorders>
            <w:noWrap w:val="0"/>
            <w:vAlign w:val="center"/>
          </w:tcPr>
          <w:p w14:paraId="1EC46D4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tcBorders>
              <w:top w:val="double" w:color="auto" w:sz="6" w:space="0"/>
              <w:bottom w:val="single" w:color="auto" w:sz="6" w:space="0"/>
            </w:tcBorders>
            <w:noWrap w:val="0"/>
            <w:vAlign w:val="center"/>
          </w:tcPr>
          <w:p w14:paraId="76DC223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tcBorders>
              <w:top w:val="double" w:color="auto" w:sz="6" w:space="0"/>
              <w:bottom w:val="single" w:color="auto" w:sz="6" w:space="0"/>
            </w:tcBorders>
            <w:noWrap w:val="0"/>
            <w:vAlign w:val="center"/>
          </w:tcPr>
          <w:p w14:paraId="13DEA4F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tcBorders>
              <w:top w:val="double" w:color="auto" w:sz="6" w:space="0"/>
              <w:bottom w:val="single" w:color="auto" w:sz="6" w:space="0"/>
            </w:tcBorders>
            <w:noWrap w:val="0"/>
            <w:vAlign w:val="center"/>
          </w:tcPr>
          <w:p w14:paraId="5A1C034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F55FF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149D4F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nil"/>
            </w:tcBorders>
            <w:noWrap w:val="0"/>
            <w:vAlign w:val="center"/>
          </w:tcPr>
          <w:p w14:paraId="1C0BB60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tcBorders>
              <w:top w:val="nil"/>
            </w:tcBorders>
            <w:noWrap w:val="0"/>
            <w:vAlign w:val="center"/>
          </w:tcPr>
          <w:p w14:paraId="3225105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tcBorders>
              <w:top w:val="nil"/>
            </w:tcBorders>
            <w:noWrap w:val="0"/>
            <w:vAlign w:val="center"/>
          </w:tcPr>
          <w:p w14:paraId="33FB586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tcBorders>
              <w:top w:val="nil"/>
            </w:tcBorders>
            <w:noWrap w:val="0"/>
            <w:vAlign w:val="center"/>
          </w:tcPr>
          <w:p w14:paraId="796599E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tcBorders>
              <w:top w:val="nil"/>
            </w:tcBorders>
            <w:noWrap w:val="0"/>
            <w:vAlign w:val="center"/>
          </w:tcPr>
          <w:p w14:paraId="483AE65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21606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E1E937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3DA6B63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2051F79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13FC5CE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29EF0DA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1AD794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3F424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5B20BB1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558E088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7F621C3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1C3C21F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4C590B6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0739A93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14259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ECBF9E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36ADC33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613A61C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00DDC2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3C06A8A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1BCD8F0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3C3B1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8E3DF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5533D87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03349DD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6BA2212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1D18EB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55BE5E2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AEA9C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B0A957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54E3C45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7240D99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7BA364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28BDC5B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7D88814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07871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2D26D1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63F642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6CB1DD3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31A9019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131BED3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04DD7C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0F59D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73C274B">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0C4FEEAA">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5557AEE9">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605BE626">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1628ACF7">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2ACEC049">
            <w:pPr>
              <w:pageBreakBefore w:val="0"/>
              <w:kinsoku/>
              <w:overflowPunct/>
              <w:topLinePunct w:val="0"/>
              <w:bidi w:val="0"/>
              <w:spacing w:line="440" w:lineRule="exact"/>
              <w:rPr>
                <w:rFonts w:hint="eastAsia" w:ascii="仿宋" w:hAnsi="仿宋" w:eastAsia="仿宋" w:cs="仿宋"/>
                <w:color w:val="auto"/>
                <w:sz w:val="24"/>
                <w:szCs w:val="24"/>
              </w:rPr>
            </w:pPr>
          </w:p>
        </w:tc>
      </w:tr>
      <w:tr w14:paraId="48B289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D73105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center"/>
          </w:tcPr>
          <w:p w14:paraId="70732EF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434AACA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43" w:type="dxa"/>
            <w:noWrap w:val="0"/>
            <w:vAlign w:val="center"/>
          </w:tcPr>
          <w:p w14:paraId="3BD4483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50" w:type="dxa"/>
            <w:noWrap w:val="0"/>
            <w:vAlign w:val="center"/>
          </w:tcPr>
          <w:p w14:paraId="3BE8F18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667" w:type="dxa"/>
            <w:noWrap w:val="0"/>
            <w:vAlign w:val="center"/>
          </w:tcPr>
          <w:p w14:paraId="4A6E995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F60E8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3307D60">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018BEA33">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01B71C64">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6E7F8F20">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2DA0DA5D">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1C0E04CB">
            <w:pPr>
              <w:pageBreakBefore w:val="0"/>
              <w:kinsoku/>
              <w:overflowPunct/>
              <w:topLinePunct w:val="0"/>
              <w:bidi w:val="0"/>
              <w:spacing w:line="440" w:lineRule="exact"/>
              <w:rPr>
                <w:rFonts w:hint="eastAsia" w:ascii="仿宋" w:hAnsi="仿宋" w:eastAsia="仿宋" w:cs="仿宋"/>
                <w:color w:val="auto"/>
                <w:sz w:val="24"/>
                <w:szCs w:val="24"/>
              </w:rPr>
            </w:pPr>
          </w:p>
        </w:tc>
      </w:tr>
      <w:tr w14:paraId="3A9906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8994D69">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2CD385E2">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705FE36B">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3D3F1760">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39EDCC12">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277E7E6D">
            <w:pPr>
              <w:pageBreakBefore w:val="0"/>
              <w:kinsoku/>
              <w:overflowPunct/>
              <w:topLinePunct w:val="0"/>
              <w:bidi w:val="0"/>
              <w:spacing w:line="440" w:lineRule="exact"/>
              <w:rPr>
                <w:rFonts w:hint="eastAsia" w:ascii="仿宋" w:hAnsi="仿宋" w:eastAsia="仿宋" w:cs="仿宋"/>
                <w:color w:val="auto"/>
                <w:sz w:val="24"/>
                <w:szCs w:val="24"/>
              </w:rPr>
            </w:pPr>
          </w:p>
        </w:tc>
      </w:tr>
      <w:tr w14:paraId="4AA952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263AAED">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726D4958">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422FD416">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25AB0578">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7019B0E3">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08A5E6EF">
            <w:pPr>
              <w:pageBreakBefore w:val="0"/>
              <w:kinsoku/>
              <w:overflowPunct/>
              <w:topLinePunct w:val="0"/>
              <w:bidi w:val="0"/>
              <w:spacing w:line="440" w:lineRule="exact"/>
              <w:rPr>
                <w:rFonts w:hint="eastAsia" w:ascii="仿宋" w:hAnsi="仿宋" w:eastAsia="仿宋" w:cs="仿宋"/>
                <w:color w:val="auto"/>
                <w:sz w:val="24"/>
                <w:szCs w:val="24"/>
              </w:rPr>
            </w:pPr>
          </w:p>
        </w:tc>
      </w:tr>
      <w:tr w14:paraId="4F0289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766BC186">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09361BE2">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24CD1A7F">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342F4C29">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3AE02F3A">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6C069F6B">
            <w:pPr>
              <w:pageBreakBefore w:val="0"/>
              <w:kinsoku/>
              <w:overflowPunct/>
              <w:topLinePunct w:val="0"/>
              <w:bidi w:val="0"/>
              <w:spacing w:line="440" w:lineRule="exact"/>
              <w:rPr>
                <w:rFonts w:hint="eastAsia" w:ascii="仿宋" w:hAnsi="仿宋" w:eastAsia="仿宋" w:cs="仿宋"/>
                <w:color w:val="auto"/>
                <w:sz w:val="24"/>
                <w:szCs w:val="24"/>
              </w:rPr>
            </w:pPr>
          </w:p>
        </w:tc>
      </w:tr>
      <w:tr w14:paraId="03131A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1C613D4">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4B99D5DE">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051F7AF8">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3A4EB8DA">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63902C4D">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56361377">
            <w:pPr>
              <w:pageBreakBefore w:val="0"/>
              <w:kinsoku/>
              <w:overflowPunct/>
              <w:topLinePunct w:val="0"/>
              <w:bidi w:val="0"/>
              <w:spacing w:line="440" w:lineRule="exact"/>
              <w:rPr>
                <w:rFonts w:hint="eastAsia" w:ascii="仿宋" w:hAnsi="仿宋" w:eastAsia="仿宋" w:cs="仿宋"/>
                <w:color w:val="auto"/>
                <w:sz w:val="24"/>
                <w:szCs w:val="24"/>
              </w:rPr>
            </w:pPr>
          </w:p>
        </w:tc>
      </w:tr>
      <w:tr w14:paraId="78A33D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5AEACA9">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1D59E040">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1406D39F">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2490AC68">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1141D8D4">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6FBE1777">
            <w:pPr>
              <w:pageBreakBefore w:val="0"/>
              <w:kinsoku/>
              <w:overflowPunct/>
              <w:topLinePunct w:val="0"/>
              <w:bidi w:val="0"/>
              <w:spacing w:line="440" w:lineRule="exact"/>
              <w:rPr>
                <w:rFonts w:hint="eastAsia" w:ascii="仿宋" w:hAnsi="仿宋" w:eastAsia="仿宋" w:cs="仿宋"/>
                <w:color w:val="auto"/>
                <w:sz w:val="24"/>
                <w:szCs w:val="24"/>
              </w:rPr>
            </w:pPr>
          </w:p>
        </w:tc>
      </w:tr>
      <w:tr w14:paraId="6ACA0D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1FB4140">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2F934D2C">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669F8CAD">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0BB8C3AA">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3B2204AB">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72DA0264">
            <w:pPr>
              <w:pageBreakBefore w:val="0"/>
              <w:kinsoku/>
              <w:overflowPunct/>
              <w:topLinePunct w:val="0"/>
              <w:bidi w:val="0"/>
              <w:spacing w:line="440" w:lineRule="exact"/>
              <w:rPr>
                <w:rFonts w:hint="eastAsia" w:ascii="仿宋" w:hAnsi="仿宋" w:eastAsia="仿宋" w:cs="仿宋"/>
                <w:color w:val="auto"/>
                <w:sz w:val="24"/>
                <w:szCs w:val="24"/>
              </w:rPr>
            </w:pPr>
          </w:p>
        </w:tc>
      </w:tr>
      <w:tr w14:paraId="1C2EB7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710AE472">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1B24150B">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74B76548">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334D11CC">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1A09A2DC">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6DF34974">
            <w:pPr>
              <w:pageBreakBefore w:val="0"/>
              <w:kinsoku/>
              <w:overflowPunct/>
              <w:topLinePunct w:val="0"/>
              <w:bidi w:val="0"/>
              <w:spacing w:line="440" w:lineRule="exact"/>
              <w:rPr>
                <w:rFonts w:hint="eastAsia" w:ascii="仿宋" w:hAnsi="仿宋" w:eastAsia="仿宋" w:cs="仿宋"/>
                <w:color w:val="auto"/>
                <w:sz w:val="24"/>
                <w:szCs w:val="24"/>
              </w:rPr>
            </w:pPr>
          </w:p>
        </w:tc>
      </w:tr>
      <w:tr w14:paraId="626A8B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5EDB642F">
            <w:pPr>
              <w:pageBreakBefore w:val="0"/>
              <w:kinsoku/>
              <w:overflowPunct/>
              <w:topLinePunct w:val="0"/>
              <w:bidi w:val="0"/>
              <w:spacing w:line="440" w:lineRule="exact"/>
              <w:rPr>
                <w:rFonts w:hint="eastAsia" w:ascii="仿宋" w:hAnsi="仿宋" w:eastAsia="仿宋" w:cs="仿宋"/>
                <w:color w:val="auto"/>
                <w:sz w:val="24"/>
                <w:szCs w:val="24"/>
              </w:rPr>
            </w:pPr>
          </w:p>
        </w:tc>
        <w:tc>
          <w:tcPr>
            <w:tcW w:w="1276" w:type="dxa"/>
            <w:noWrap w:val="0"/>
            <w:vAlign w:val="top"/>
          </w:tcPr>
          <w:p w14:paraId="4228750D">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7D3E00D9">
            <w:pPr>
              <w:pageBreakBefore w:val="0"/>
              <w:kinsoku/>
              <w:overflowPunct/>
              <w:topLinePunct w:val="0"/>
              <w:bidi w:val="0"/>
              <w:spacing w:line="440" w:lineRule="exact"/>
              <w:rPr>
                <w:rFonts w:hint="eastAsia" w:ascii="仿宋" w:hAnsi="仿宋" w:eastAsia="仿宋" w:cs="仿宋"/>
                <w:color w:val="auto"/>
                <w:sz w:val="24"/>
                <w:szCs w:val="24"/>
              </w:rPr>
            </w:pPr>
          </w:p>
        </w:tc>
        <w:tc>
          <w:tcPr>
            <w:tcW w:w="1243" w:type="dxa"/>
            <w:noWrap w:val="0"/>
            <w:vAlign w:val="top"/>
          </w:tcPr>
          <w:p w14:paraId="7202B583">
            <w:pPr>
              <w:pageBreakBefore w:val="0"/>
              <w:kinsoku/>
              <w:overflowPunct/>
              <w:topLinePunct w:val="0"/>
              <w:bidi w:val="0"/>
              <w:spacing w:line="440" w:lineRule="exact"/>
              <w:rPr>
                <w:rFonts w:hint="eastAsia" w:ascii="仿宋" w:hAnsi="仿宋" w:eastAsia="仿宋" w:cs="仿宋"/>
                <w:color w:val="auto"/>
                <w:sz w:val="24"/>
                <w:szCs w:val="24"/>
              </w:rPr>
            </w:pPr>
          </w:p>
        </w:tc>
        <w:tc>
          <w:tcPr>
            <w:tcW w:w="1450" w:type="dxa"/>
            <w:noWrap w:val="0"/>
            <w:vAlign w:val="top"/>
          </w:tcPr>
          <w:p w14:paraId="4AED6BB8">
            <w:pPr>
              <w:pageBreakBefore w:val="0"/>
              <w:kinsoku/>
              <w:overflowPunct/>
              <w:topLinePunct w:val="0"/>
              <w:bidi w:val="0"/>
              <w:spacing w:line="440" w:lineRule="exact"/>
              <w:rPr>
                <w:rFonts w:hint="eastAsia" w:ascii="仿宋" w:hAnsi="仿宋" w:eastAsia="仿宋" w:cs="仿宋"/>
                <w:color w:val="auto"/>
                <w:sz w:val="24"/>
                <w:szCs w:val="24"/>
              </w:rPr>
            </w:pPr>
          </w:p>
        </w:tc>
        <w:tc>
          <w:tcPr>
            <w:tcW w:w="1667" w:type="dxa"/>
            <w:noWrap w:val="0"/>
            <w:vAlign w:val="top"/>
          </w:tcPr>
          <w:p w14:paraId="5EC61689">
            <w:pPr>
              <w:pageBreakBefore w:val="0"/>
              <w:kinsoku/>
              <w:overflowPunct/>
              <w:topLinePunct w:val="0"/>
              <w:bidi w:val="0"/>
              <w:spacing w:line="440" w:lineRule="exact"/>
              <w:rPr>
                <w:rFonts w:hint="eastAsia" w:ascii="仿宋" w:hAnsi="仿宋" w:eastAsia="仿宋" w:cs="仿宋"/>
                <w:color w:val="auto"/>
                <w:sz w:val="24"/>
                <w:szCs w:val="24"/>
              </w:rPr>
            </w:pPr>
          </w:p>
        </w:tc>
      </w:tr>
    </w:tbl>
    <w:p w14:paraId="12C3C0D4">
      <w:pPr>
        <w:pageBreakBefore w:val="0"/>
        <w:kinsoku/>
        <w:overflowPunct/>
        <w:topLinePunct w:val="0"/>
        <w:bidi w:val="0"/>
        <w:spacing w:line="440" w:lineRule="exact"/>
        <w:rPr>
          <w:rFonts w:hint="eastAsia" w:ascii="仿宋" w:hAnsi="仿宋" w:eastAsia="仿宋" w:cs="仿宋"/>
          <w:color w:val="auto"/>
          <w:sz w:val="24"/>
          <w:szCs w:val="24"/>
        </w:rPr>
      </w:pPr>
    </w:p>
    <w:p w14:paraId="7AB2FEA5">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附</w:t>
      </w:r>
      <w:bookmarkStart w:id="1316" w:name="_Toc296503227"/>
      <w:bookmarkStart w:id="1317" w:name="_Toc296891267"/>
      <w:bookmarkStart w:id="1318" w:name="_Toc296347226"/>
      <w:bookmarkStart w:id="1319" w:name="_Toc267261698"/>
      <w:bookmarkStart w:id="1320" w:name="_Toc296944566"/>
      <w:bookmarkStart w:id="1321" w:name="_Toc296891055"/>
      <w:bookmarkStart w:id="1322" w:name="_Toc296346728"/>
      <w:r>
        <w:rPr>
          <w:rFonts w:hint="eastAsia" w:ascii="仿宋" w:hAnsi="仿宋" w:eastAsia="仿宋" w:cs="仿宋"/>
          <w:color w:val="auto"/>
          <w:sz w:val="24"/>
          <w:szCs w:val="24"/>
        </w:rPr>
        <w:t>件5：</w:t>
      </w:r>
    </w:p>
    <w:bookmarkEnd w:id="1316"/>
    <w:bookmarkEnd w:id="1317"/>
    <w:bookmarkEnd w:id="1318"/>
    <w:bookmarkEnd w:id="1319"/>
    <w:bookmarkEnd w:id="1320"/>
    <w:bookmarkEnd w:id="1321"/>
    <w:bookmarkEnd w:id="1322"/>
    <w:p w14:paraId="34A5F734">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承包人用于本工程施工的机械设备表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258400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1001DD5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序号</w:t>
            </w:r>
          </w:p>
        </w:tc>
        <w:tc>
          <w:tcPr>
            <w:tcW w:w="1418" w:type="dxa"/>
            <w:tcBorders>
              <w:top w:val="single" w:color="auto" w:sz="12" w:space="0"/>
              <w:bottom w:val="double" w:color="auto" w:sz="6" w:space="0"/>
            </w:tcBorders>
            <w:noWrap w:val="0"/>
            <w:vAlign w:val="center"/>
          </w:tcPr>
          <w:p w14:paraId="7F97937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机械或设备名称</w:t>
            </w:r>
          </w:p>
        </w:tc>
        <w:tc>
          <w:tcPr>
            <w:tcW w:w="850" w:type="dxa"/>
            <w:tcBorders>
              <w:top w:val="single" w:color="auto" w:sz="12" w:space="0"/>
              <w:bottom w:val="double" w:color="auto" w:sz="6" w:space="0"/>
            </w:tcBorders>
            <w:noWrap w:val="0"/>
            <w:vAlign w:val="center"/>
          </w:tcPr>
          <w:p w14:paraId="6E2FAA5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规格型号</w:t>
            </w:r>
          </w:p>
        </w:tc>
        <w:tc>
          <w:tcPr>
            <w:tcW w:w="1058" w:type="dxa"/>
            <w:tcBorders>
              <w:top w:val="single" w:color="auto" w:sz="12" w:space="0"/>
              <w:bottom w:val="double" w:color="auto" w:sz="6" w:space="0"/>
            </w:tcBorders>
            <w:noWrap w:val="0"/>
            <w:vAlign w:val="center"/>
          </w:tcPr>
          <w:p w14:paraId="6CABBE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数量</w:t>
            </w:r>
          </w:p>
        </w:tc>
        <w:tc>
          <w:tcPr>
            <w:tcW w:w="880" w:type="dxa"/>
            <w:tcBorders>
              <w:top w:val="single" w:color="auto" w:sz="12" w:space="0"/>
              <w:bottom w:val="double" w:color="auto" w:sz="6" w:space="0"/>
            </w:tcBorders>
            <w:noWrap w:val="0"/>
            <w:vAlign w:val="center"/>
          </w:tcPr>
          <w:p w14:paraId="4EB975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产地</w:t>
            </w:r>
          </w:p>
        </w:tc>
        <w:tc>
          <w:tcPr>
            <w:tcW w:w="1020" w:type="dxa"/>
            <w:tcBorders>
              <w:top w:val="single" w:color="auto" w:sz="12" w:space="0"/>
              <w:bottom w:val="double" w:color="auto" w:sz="6" w:space="0"/>
            </w:tcBorders>
            <w:noWrap w:val="0"/>
            <w:vAlign w:val="center"/>
          </w:tcPr>
          <w:p w14:paraId="56F193C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制造年份</w:t>
            </w:r>
          </w:p>
        </w:tc>
        <w:tc>
          <w:tcPr>
            <w:tcW w:w="1480" w:type="dxa"/>
            <w:tcBorders>
              <w:top w:val="single" w:color="auto" w:sz="12" w:space="0"/>
              <w:bottom w:val="double" w:color="auto" w:sz="6" w:space="0"/>
            </w:tcBorders>
            <w:noWrap w:val="0"/>
            <w:vAlign w:val="center"/>
          </w:tcPr>
          <w:p w14:paraId="71EB904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额定功率(kW)</w:t>
            </w:r>
          </w:p>
        </w:tc>
        <w:tc>
          <w:tcPr>
            <w:tcW w:w="1020" w:type="dxa"/>
            <w:tcBorders>
              <w:top w:val="single" w:color="auto" w:sz="12" w:space="0"/>
              <w:bottom w:val="double" w:color="auto" w:sz="6" w:space="0"/>
            </w:tcBorders>
            <w:noWrap w:val="0"/>
            <w:vAlign w:val="center"/>
          </w:tcPr>
          <w:p w14:paraId="720CAC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生产能力</w:t>
            </w:r>
          </w:p>
        </w:tc>
        <w:tc>
          <w:tcPr>
            <w:tcW w:w="921" w:type="dxa"/>
            <w:tcBorders>
              <w:top w:val="single" w:color="auto" w:sz="12" w:space="0"/>
              <w:bottom w:val="double" w:color="auto" w:sz="6" w:space="0"/>
            </w:tcBorders>
            <w:noWrap w:val="0"/>
            <w:vAlign w:val="center"/>
          </w:tcPr>
          <w:p w14:paraId="4264FA4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备注</w:t>
            </w:r>
          </w:p>
        </w:tc>
      </w:tr>
      <w:tr w14:paraId="1C5760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6F1D600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double" w:color="auto" w:sz="6" w:space="0"/>
              <w:bottom w:val="single" w:color="auto" w:sz="6" w:space="0"/>
            </w:tcBorders>
            <w:noWrap w:val="0"/>
            <w:vAlign w:val="center"/>
          </w:tcPr>
          <w:p w14:paraId="60730F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double" w:color="auto" w:sz="6" w:space="0"/>
              <w:bottom w:val="single" w:color="auto" w:sz="6" w:space="0"/>
            </w:tcBorders>
            <w:noWrap w:val="0"/>
            <w:vAlign w:val="center"/>
          </w:tcPr>
          <w:p w14:paraId="082F207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tcBorders>
              <w:top w:val="double" w:color="auto" w:sz="6" w:space="0"/>
              <w:bottom w:val="single" w:color="auto" w:sz="6" w:space="0"/>
            </w:tcBorders>
            <w:noWrap w:val="0"/>
            <w:vAlign w:val="center"/>
          </w:tcPr>
          <w:p w14:paraId="2B97F1A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tcBorders>
              <w:top w:val="double" w:color="auto" w:sz="6" w:space="0"/>
              <w:bottom w:val="single" w:color="auto" w:sz="6" w:space="0"/>
            </w:tcBorders>
            <w:noWrap w:val="0"/>
            <w:vAlign w:val="center"/>
          </w:tcPr>
          <w:p w14:paraId="71F1A3E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tcBorders>
              <w:top w:val="double" w:color="auto" w:sz="6" w:space="0"/>
              <w:bottom w:val="single" w:color="auto" w:sz="6" w:space="0"/>
            </w:tcBorders>
            <w:noWrap w:val="0"/>
            <w:vAlign w:val="center"/>
          </w:tcPr>
          <w:p w14:paraId="7DFF93F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tcBorders>
              <w:top w:val="double" w:color="auto" w:sz="6" w:space="0"/>
              <w:bottom w:val="single" w:color="auto" w:sz="6" w:space="0"/>
            </w:tcBorders>
            <w:noWrap w:val="0"/>
            <w:vAlign w:val="center"/>
          </w:tcPr>
          <w:p w14:paraId="6D997A5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tcBorders>
              <w:top w:val="double" w:color="auto" w:sz="6" w:space="0"/>
              <w:bottom w:val="single" w:color="auto" w:sz="6" w:space="0"/>
            </w:tcBorders>
            <w:noWrap w:val="0"/>
            <w:vAlign w:val="center"/>
          </w:tcPr>
          <w:p w14:paraId="41CA4D2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tcBorders>
              <w:top w:val="double" w:color="auto" w:sz="6" w:space="0"/>
              <w:bottom w:val="single" w:color="auto" w:sz="6" w:space="0"/>
            </w:tcBorders>
            <w:noWrap w:val="0"/>
            <w:vAlign w:val="center"/>
          </w:tcPr>
          <w:p w14:paraId="57302D1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3DD38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0D0FD0D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nil"/>
            </w:tcBorders>
            <w:noWrap w:val="0"/>
            <w:vAlign w:val="center"/>
          </w:tcPr>
          <w:p w14:paraId="0297AA8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tcBorders>
              <w:top w:val="nil"/>
            </w:tcBorders>
            <w:noWrap w:val="0"/>
            <w:vAlign w:val="center"/>
          </w:tcPr>
          <w:p w14:paraId="6F7444F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tcBorders>
              <w:top w:val="nil"/>
            </w:tcBorders>
            <w:noWrap w:val="0"/>
            <w:vAlign w:val="center"/>
          </w:tcPr>
          <w:p w14:paraId="3C37589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tcBorders>
              <w:top w:val="nil"/>
            </w:tcBorders>
            <w:noWrap w:val="0"/>
            <w:vAlign w:val="center"/>
          </w:tcPr>
          <w:p w14:paraId="42A20AF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tcBorders>
              <w:top w:val="nil"/>
            </w:tcBorders>
            <w:noWrap w:val="0"/>
            <w:vAlign w:val="center"/>
          </w:tcPr>
          <w:p w14:paraId="31F8679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tcBorders>
              <w:top w:val="nil"/>
            </w:tcBorders>
            <w:noWrap w:val="0"/>
            <w:vAlign w:val="center"/>
          </w:tcPr>
          <w:p w14:paraId="10DAD0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tcBorders>
              <w:top w:val="nil"/>
            </w:tcBorders>
            <w:noWrap w:val="0"/>
            <w:vAlign w:val="center"/>
          </w:tcPr>
          <w:p w14:paraId="7A2AF2E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tcBorders>
              <w:top w:val="nil"/>
            </w:tcBorders>
            <w:noWrap w:val="0"/>
            <w:vAlign w:val="center"/>
          </w:tcPr>
          <w:p w14:paraId="63D9AC0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79B60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651BC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1B1FE07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7B6AC74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2DC41C6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2AC6403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4BB948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2FA9D2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5C77547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34BC004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4A5F4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4395C9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1C85B45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5B01C7E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2BD265A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0A3228F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63E62E8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06BEDD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50AB832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4FBC468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92551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F56F20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16753DF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353DB32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32ABB6E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6C78A24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53B834C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26296F8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6214E0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59E79D9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76306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6486E0C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00D1BEB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34A434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54398BF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644ADA8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2D28AAA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091BC20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4918717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24F746B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91451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D7A949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73ED9F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252DD6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02F3050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1AF8650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0F2C729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4293758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7B9FAAA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1ECE51C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EA0A5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7B9D32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18EFA6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139F33E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2D40827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50DC418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39814DA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344A42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4902BC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6630512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70442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5D71524">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7436DD75">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323562CE">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22EA63B8">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06DD90DC">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308A4D5C">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430E90E2">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3D2CB2C4">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640D0CA7">
            <w:pPr>
              <w:pageBreakBefore w:val="0"/>
              <w:kinsoku/>
              <w:overflowPunct/>
              <w:topLinePunct w:val="0"/>
              <w:bidi w:val="0"/>
              <w:spacing w:line="440" w:lineRule="exact"/>
              <w:rPr>
                <w:rFonts w:hint="eastAsia" w:ascii="仿宋" w:hAnsi="仿宋" w:eastAsia="仿宋" w:cs="仿宋"/>
                <w:color w:val="auto"/>
                <w:sz w:val="24"/>
                <w:szCs w:val="24"/>
              </w:rPr>
            </w:pPr>
          </w:p>
        </w:tc>
      </w:tr>
      <w:tr w14:paraId="3111C8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8F2E6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598A95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0" w:type="dxa"/>
            <w:noWrap w:val="0"/>
            <w:vAlign w:val="center"/>
          </w:tcPr>
          <w:p w14:paraId="14A5854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58" w:type="dxa"/>
            <w:noWrap w:val="0"/>
            <w:vAlign w:val="center"/>
          </w:tcPr>
          <w:p w14:paraId="15C771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80" w:type="dxa"/>
            <w:noWrap w:val="0"/>
            <w:vAlign w:val="center"/>
          </w:tcPr>
          <w:p w14:paraId="4454558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373BFD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80" w:type="dxa"/>
            <w:noWrap w:val="0"/>
            <w:vAlign w:val="center"/>
          </w:tcPr>
          <w:p w14:paraId="3542CEF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020" w:type="dxa"/>
            <w:noWrap w:val="0"/>
            <w:vAlign w:val="center"/>
          </w:tcPr>
          <w:p w14:paraId="386BC5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921" w:type="dxa"/>
            <w:noWrap w:val="0"/>
            <w:vAlign w:val="center"/>
          </w:tcPr>
          <w:p w14:paraId="013450C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5C79B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46D34F1D">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5C9A032E">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3200F795">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2450A3A5">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0BC47DA1">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78AC1614">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663D5F31">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781002B3">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56EBF8B4">
            <w:pPr>
              <w:pageBreakBefore w:val="0"/>
              <w:kinsoku/>
              <w:overflowPunct/>
              <w:topLinePunct w:val="0"/>
              <w:bidi w:val="0"/>
              <w:spacing w:line="440" w:lineRule="exact"/>
              <w:rPr>
                <w:rFonts w:hint="eastAsia" w:ascii="仿宋" w:hAnsi="仿宋" w:eastAsia="仿宋" w:cs="仿宋"/>
                <w:color w:val="auto"/>
                <w:sz w:val="24"/>
                <w:szCs w:val="24"/>
              </w:rPr>
            </w:pPr>
          </w:p>
        </w:tc>
      </w:tr>
      <w:tr w14:paraId="53EEEA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2E7A450E">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355C81CB">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70102653">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7C195B56">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2D4C037F">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5893C5E7">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7BD9F09A">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06A610D0">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231EDA00">
            <w:pPr>
              <w:pageBreakBefore w:val="0"/>
              <w:kinsoku/>
              <w:overflowPunct/>
              <w:topLinePunct w:val="0"/>
              <w:bidi w:val="0"/>
              <w:spacing w:line="440" w:lineRule="exact"/>
              <w:rPr>
                <w:rFonts w:hint="eastAsia" w:ascii="仿宋" w:hAnsi="仿宋" w:eastAsia="仿宋" w:cs="仿宋"/>
                <w:color w:val="auto"/>
                <w:sz w:val="24"/>
                <w:szCs w:val="24"/>
              </w:rPr>
            </w:pPr>
          </w:p>
        </w:tc>
      </w:tr>
      <w:tr w14:paraId="3B5C20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70D494B">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44FD5BEF">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00E64CD8">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773747E8">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1D935D98">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21CC1F14">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27733E2F">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670FB7F6">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267682BA">
            <w:pPr>
              <w:pageBreakBefore w:val="0"/>
              <w:kinsoku/>
              <w:overflowPunct/>
              <w:topLinePunct w:val="0"/>
              <w:bidi w:val="0"/>
              <w:spacing w:line="440" w:lineRule="exact"/>
              <w:rPr>
                <w:rFonts w:hint="eastAsia" w:ascii="仿宋" w:hAnsi="仿宋" w:eastAsia="仿宋" w:cs="仿宋"/>
                <w:color w:val="auto"/>
                <w:sz w:val="24"/>
                <w:szCs w:val="24"/>
              </w:rPr>
            </w:pPr>
          </w:p>
        </w:tc>
      </w:tr>
      <w:tr w14:paraId="21455E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1DE1A271">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6C3646E9">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41E350F9">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325B350F">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6E0DF0CC">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318CF15A">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06C50EA2">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64E81F46">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166E9E96">
            <w:pPr>
              <w:pageBreakBefore w:val="0"/>
              <w:kinsoku/>
              <w:overflowPunct/>
              <w:topLinePunct w:val="0"/>
              <w:bidi w:val="0"/>
              <w:spacing w:line="440" w:lineRule="exact"/>
              <w:rPr>
                <w:rFonts w:hint="eastAsia" w:ascii="仿宋" w:hAnsi="仿宋" w:eastAsia="仿宋" w:cs="仿宋"/>
                <w:color w:val="auto"/>
                <w:sz w:val="24"/>
                <w:szCs w:val="24"/>
              </w:rPr>
            </w:pPr>
          </w:p>
        </w:tc>
      </w:tr>
      <w:tr w14:paraId="27AC93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78FF5CD">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280478C6">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091AFF94">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15E4BA6F">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6EEA1F0F">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63520911">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22684B2E">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50D72A4A">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32045ACF">
            <w:pPr>
              <w:pageBreakBefore w:val="0"/>
              <w:kinsoku/>
              <w:overflowPunct/>
              <w:topLinePunct w:val="0"/>
              <w:bidi w:val="0"/>
              <w:spacing w:line="440" w:lineRule="exact"/>
              <w:rPr>
                <w:rFonts w:hint="eastAsia" w:ascii="仿宋" w:hAnsi="仿宋" w:eastAsia="仿宋" w:cs="仿宋"/>
                <w:color w:val="auto"/>
                <w:sz w:val="24"/>
                <w:szCs w:val="24"/>
              </w:rPr>
            </w:pPr>
          </w:p>
        </w:tc>
      </w:tr>
      <w:tr w14:paraId="1A2066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0CAEAA9B">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0FA1D336">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51272D9D">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0E6764CB">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35C5AE64">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40F2A286">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18C383AD">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604BDE8D">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006AB953">
            <w:pPr>
              <w:pageBreakBefore w:val="0"/>
              <w:kinsoku/>
              <w:overflowPunct/>
              <w:topLinePunct w:val="0"/>
              <w:bidi w:val="0"/>
              <w:spacing w:line="440" w:lineRule="exact"/>
              <w:rPr>
                <w:rFonts w:hint="eastAsia" w:ascii="仿宋" w:hAnsi="仿宋" w:eastAsia="仿宋" w:cs="仿宋"/>
                <w:color w:val="auto"/>
                <w:sz w:val="24"/>
                <w:szCs w:val="24"/>
              </w:rPr>
            </w:pPr>
          </w:p>
        </w:tc>
      </w:tr>
      <w:tr w14:paraId="07A6B5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47A8A10B">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745EEA57">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32CF8FAB">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6D0B59FA">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7723C343">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633C2FFD">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5F2B0AD7">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2B9DDF80">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229DE96B">
            <w:pPr>
              <w:pageBreakBefore w:val="0"/>
              <w:kinsoku/>
              <w:overflowPunct/>
              <w:topLinePunct w:val="0"/>
              <w:bidi w:val="0"/>
              <w:spacing w:line="440" w:lineRule="exact"/>
              <w:rPr>
                <w:rFonts w:hint="eastAsia" w:ascii="仿宋" w:hAnsi="仿宋" w:eastAsia="仿宋" w:cs="仿宋"/>
                <w:color w:val="auto"/>
                <w:sz w:val="24"/>
                <w:szCs w:val="24"/>
              </w:rPr>
            </w:pPr>
          </w:p>
        </w:tc>
      </w:tr>
      <w:tr w14:paraId="1DFA35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2FF6C0A">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4E1DADEA">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58674AF6">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4A8B7D0B">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1AA9B0E6">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6706DE47">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6137967A">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7A9FAAAB">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1F9593ED">
            <w:pPr>
              <w:pageBreakBefore w:val="0"/>
              <w:kinsoku/>
              <w:overflowPunct/>
              <w:topLinePunct w:val="0"/>
              <w:bidi w:val="0"/>
              <w:spacing w:line="440" w:lineRule="exact"/>
              <w:rPr>
                <w:rFonts w:hint="eastAsia" w:ascii="仿宋" w:hAnsi="仿宋" w:eastAsia="仿宋" w:cs="仿宋"/>
                <w:color w:val="auto"/>
                <w:sz w:val="24"/>
                <w:szCs w:val="24"/>
              </w:rPr>
            </w:pPr>
          </w:p>
        </w:tc>
      </w:tr>
      <w:tr w14:paraId="36384E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E310FAF">
            <w:pPr>
              <w:pageBreakBefore w:val="0"/>
              <w:kinsoku/>
              <w:overflowPunct/>
              <w:topLinePunct w:val="0"/>
              <w:bidi w:val="0"/>
              <w:spacing w:line="440" w:lineRule="exact"/>
              <w:rPr>
                <w:rFonts w:hint="eastAsia" w:ascii="仿宋" w:hAnsi="仿宋" w:eastAsia="仿宋" w:cs="仿宋"/>
                <w:color w:val="auto"/>
                <w:sz w:val="24"/>
                <w:szCs w:val="24"/>
              </w:rPr>
            </w:pPr>
          </w:p>
        </w:tc>
        <w:tc>
          <w:tcPr>
            <w:tcW w:w="1418" w:type="dxa"/>
            <w:noWrap w:val="0"/>
            <w:vAlign w:val="top"/>
          </w:tcPr>
          <w:p w14:paraId="4D4C5530">
            <w:pPr>
              <w:pageBreakBefore w:val="0"/>
              <w:kinsoku/>
              <w:overflowPunct/>
              <w:topLinePunct w:val="0"/>
              <w:bidi w:val="0"/>
              <w:spacing w:line="440" w:lineRule="exact"/>
              <w:rPr>
                <w:rFonts w:hint="eastAsia" w:ascii="仿宋" w:hAnsi="仿宋" w:eastAsia="仿宋" w:cs="仿宋"/>
                <w:color w:val="auto"/>
                <w:sz w:val="24"/>
                <w:szCs w:val="24"/>
              </w:rPr>
            </w:pPr>
          </w:p>
        </w:tc>
        <w:tc>
          <w:tcPr>
            <w:tcW w:w="850" w:type="dxa"/>
            <w:noWrap w:val="0"/>
            <w:vAlign w:val="top"/>
          </w:tcPr>
          <w:p w14:paraId="5D507FF0">
            <w:pPr>
              <w:pageBreakBefore w:val="0"/>
              <w:kinsoku/>
              <w:overflowPunct/>
              <w:topLinePunct w:val="0"/>
              <w:bidi w:val="0"/>
              <w:spacing w:line="440" w:lineRule="exact"/>
              <w:rPr>
                <w:rFonts w:hint="eastAsia" w:ascii="仿宋" w:hAnsi="仿宋" w:eastAsia="仿宋" w:cs="仿宋"/>
                <w:color w:val="auto"/>
                <w:sz w:val="24"/>
                <w:szCs w:val="24"/>
              </w:rPr>
            </w:pPr>
          </w:p>
        </w:tc>
        <w:tc>
          <w:tcPr>
            <w:tcW w:w="1058" w:type="dxa"/>
            <w:noWrap w:val="0"/>
            <w:vAlign w:val="top"/>
          </w:tcPr>
          <w:p w14:paraId="33E57DBE">
            <w:pPr>
              <w:pageBreakBefore w:val="0"/>
              <w:kinsoku/>
              <w:overflowPunct/>
              <w:topLinePunct w:val="0"/>
              <w:bidi w:val="0"/>
              <w:spacing w:line="440" w:lineRule="exact"/>
              <w:rPr>
                <w:rFonts w:hint="eastAsia" w:ascii="仿宋" w:hAnsi="仿宋" w:eastAsia="仿宋" w:cs="仿宋"/>
                <w:color w:val="auto"/>
                <w:sz w:val="24"/>
                <w:szCs w:val="24"/>
              </w:rPr>
            </w:pPr>
          </w:p>
        </w:tc>
        <w:tc>
          <w:tcPr>
            <w:tcW w:w="880" w:type="dxa"/>
            <w:noWrap w:val="0"/>
            <w:vAlign w:val="top"/>
          </w:tcPr>
          <w:p w14:paraId="03BCB0B0">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0E3EA35D">
            <w:pPr>
              <w:pageBreakBefore w:val="0"/>
              <w:kinsoku/>
              <w:overflowPunct/>
              <w:topLinePunct w:val="0"/>
              <w:bidi w:val="0"/>
              <w:spacing w:line="440" w:lineRule="exact"/>
              <w:rPr>
                <w:rFonts w:hint="eastAsia" w:ascii="仿宋" w:hAnsi="仿宋" w:eastAsia="仿宋" w:cs="仿宋"/>
                <w:color w:val="auto"/>
                <w:sz w:val="24"/>
                <w:szCs w:val="24"/>
              </w:rPr>
            </w:pPr>
          </w:p>
        </w:tc>
        <w:tc>
          <w:tcPr>
            <w:tcW w:w="1480" w:type="dxa"/>
            <w:noWrap w:val="0"/>
            <w:vAlign w:val="top"/>
          </w:tcPr>
          <w:p w14:paraId="5CF06C73">
            <w:pPr>
              <w:pageBreakBefore w:val="0"/>
              <w:kinsoku/>
              <w:overflowPunct/>
              <w:topLinePunct w:val="0"/>
              <w:bidi w:val="0"/>
              <w:spacing w:line="440" w:lineRule="exact"/>
              <w:rPr>
                <w:rFonts w:hint="eastAsia" w:ascii="仿宋" w:hAnsi="仿宋" w:eastAsia="仿宋" w:cs="仿宋"/>
                <w:color w:val="auto"/>
                <w:sz w:val="24"/>
                <w:szCs w:val="24"/>
              </w:rPr>
            </w:pPr>
          </w:p>
        </w:tc>
        <w:tc>
          <w:tcPr>
            <w:tcW w:w="1020" w:type="dxa"/>
            <w:noWrap w:val="0"/>
            <w:vAlign w:val="top"/>
          </w:tcPr>
          <w:p w14:paraId="42D741E3">
            <w:pPr>
              <w:pageBreakBefore w:val="0"/>
              <w:kinsoku/>
              <w:overflowPunct/>
              <w:topLinePunct w:val="0"/>
              <w:bidi w:val="0"/>
              <w:spacing w:line="440" w:lineRule="exact"/>
              <w:rPr>
                <w:rFonts w:hint="eastAsia" w:ascii="仿宋" w:hAnsi="仿宋" w:eastAsia="仿宋" w:cs="仿宋"/>
                <w:color w:val="auto"/>
                <w:sz w:val="24"/>
                <w:szCs w:val="24"/>
              </w:rPr>
            </w:pPr>
          </w:p>
        </w:tc>
        <w:tc>
          <w:tcPr>
            <w:tcW w:w="921" w:type="dxa"/>
            <w:noWrap w:val="0"/>
            <w:vAlign w:val="top"/>
          </w:tcPr>
          <w:p w14:paraId="3A991913">
            <w:pPr>
              <w:pageBreakBefore w:val="0"/>
              <w:kinsoku/>
              <w:overflowPunct/>
              <w:topLinePunct w:val="0"/>
              <w:bidi w:val="0"/>
              <w:spacing w:line="440" w:lineRule="exact"/>
              <w:rPr>
                <w:rFonts w:hint="eastAsia" w:ascii="仿宋" w:hAnsi="仿宋" w:eastAsia="仿宋" w:cs="仿宋"/>
                <w:color w:val="auto"/>
                <w:sz w:val="24"/>
                <w:szCs w:val="24"/>
              </w:rPr>
            </w:pPr>
          </w:p>
        </w:tc>
      </w:tr>
    </w:tbl>
    <w:p w14:paraId="512FAF41">
      <w:pPr>
        <w:pageBreakBefore w:val="0"/>
        <w:kinsoku/>
        <w:overflowPunct/>
        <w:topLinePunct w:val="0"/>
        <w:bidi w:val="0"/>
        <w:spacing w:line="440" w:lineRule="exact"/>
        <w:rPr>
          <w:rFonts w:hint="eastAsia" w:ascii="仿宋" w:hAnsi="仿宋" w:eastAsia="仿宋" w:cs="仿宋"/>
          <w:color w:val="auto"/>
          <w:sz w:val="24"/>
          <w:szCs w:val="24"/>
        </w:rPr>
      </w:pPr>
    </w:p>
    <w:p w14:paraId="4FAEDC7E">
      <w:pPr>
        <w:pageBreakBefore w:val="0"/>
        <w:kinsoku/>
        <w:overflowPunct/>
        <w:topLinePunct w:val="0"/>
        <w:bidi w:val="0"/>
        <w:spacing w:line="440" w:lineRule="exact"/>
        <w:rPr>
          <w:rFonts w:hint="eastAsia" w:ascii="仿宋" w:hAnsi="仿宋" w:eastAsia="仿宋" w:cs="仿宋"/>
          <w:color w:val="auto"/>
          <w:sz w:val="24"/>
          <w:szCs w:val="24"/>
        </w:rPr>
      </w:pPr>
    </w:p>
    <w:p w14:paraId="24752226">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附</w:t>
      </w:r>
      <w:bookmarkStart w:id="1323" w:name="_Toc267261699"/>
      <w:bookmarkStart w:id="1324" w:name="_Toc296346729"/>
      <w:bookmarkStart w:id="1325" w:name="_Toc296503228"/>
      <w:bookmarkStart w:id="1326" w:name="_Toc296347227"/>
      <w:bookmarkStart w:id="1327" w:name="_Toc296891056"/>
      <w:bookmarkStart w:id="1328" w:name="_Toc296891268"/>
      <w:bookmarkStart w:id="1329" w:name="_Toc296944567"/>
      <w:r>
        <w:rPr>
          <w:rFonts w:hint="eastAsia" w:ascii="仿宋" w:hAnsi="仿宋" w:eastAsia="仿宋" w:cs="仿宋"/>
          <w:color w:val="auto"/>
          <w:sz w:val="24"/>
          <w:szCs w:val="24"/>
        </w:rPr>
        <w:t>件6：</w:t>
      </w:r>
    </w:p>
    <w:bookmarkEnd w:id="1323"/>
    <w:bookmarkEnd w:id="1324"/>
    <w:bookmarkEnd w:id="1325"/>
    <w:bookmarkEnd w:id="1326"/>
    <w:bookmarkEnd w:id="1327"/>
    <w:bookmarkEnd w:id="1328"/>
    <w:bookmarkEnd w:id="1329"/>
    <w:p w14:paraId="7CA2050D">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承包人主要施工管理人员表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685AEB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47BCF9E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名    称</w:t>
            </w:r>
          </w:p>
        </w:tc>
        <w:tc>
          <w:tcPr>
            <w:tcW w:w="1418" w:type="dxa"/>
            <w:tcBorders>
              <w:top w:val="single" w:color="auto" w:sz="12" w:space="0"/>
              <w:bottom w:val="double" w:color="auto" w:sz="6" w:space="0"/>
            </w:tcBorders>
            <w:noWrap w:val="0"/>
            <w:vAlign w:val="center"/>
          </w:tcPr>
          <w:p w14:paraId="0CDB412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姓名</w:t>
            </w:r>
          </w:p>
        </w:tc>
        <w:tc>
          <w:tcPr>
            <w:tcW w:w="1134" w:type="dxa"/>
            <w:tcBorders>
              <w:top w:val="single" w:color="auto" w:sz="12" w:space="0"/>
              <w:bottom w:val="double" w:color="auto" w:sz="6" w:space="0"/>
            </w:tcBorders>
            <w:noWrap w:val="0"/>
            <w:vAlign w:val="center"/>
          </w:tcPr>
          <w:p w14:paraId="4272CB5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职务</w:t>
            </w:r>
          </w:p>
        </w:tc>
        <w:tc>
          <w:tcPr>
            <w:tcW w:w="1134" w:type="dxa"/>
            <w:tcBorders>
              <w:top w:val="single" w:color="auto" w:sz="12" w:space="0"/>
              <w:bottom w:val="double" w:color="auto" w:sz="6" w:space="0"/>
            </w:tcBorders>
            <w:noWrap w:val="0"/>
            <w:vAlign w:val="center"/>
          </w:tcPr>
          <w:p w14:paraId="646934A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职称</w:t>
            </w:r>
          </w:p>
        </w:tc>
        <w:tc>
          <w:tcPr>
            <w:tcW w:w="4252" w:type="dxa"/>
            <w:tcBorders>
              <w:top w:val="single" w:color="auto" w:sz="12" w:space="0"/>
              <w:bottom w:val="double" w:color="auto" w:sz="6" w:space="0"/>
            </w:tcBorders>
            <w:noWrap w:val="0"/>
            <w:vAlign w:val="center"/>
          </w:tcPr>
          <w:p w14:paraId="0470D2F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主要资历、经验及承担过的项目</w:t>
            </w:r>
          </w:p>
        </w:tc>
      </w:tr>
      <w:tr w14:paraId="520909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41EA96E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一、总部人员</w:t>
            </w:r>
          </w:p>
        </w:tc>
      </w:tr>
      <w:tr w14:paraId="6C32A6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CB619E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项目主管</w:t>
            </w:r>
          </w:p>
        </w:tc>
        <w:tc>
          <w:tcPr>
            <w:tcW w:w="1418" w:type="dxa"/>
            <w:tcBorders>
              <w:top w:val="nil"/>
            </w:tcBorders>
            <w:noWrap w:val="0"/>
            <w:vAlign w:val="center"/>
          </w:tcPr>
          <w:p w14:paraId="691DBA2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top w:val="nil"/>
            </w:tcBorders>
            <w:noWrap w:val="0"/>
            <w:vAlign w:val="center"/>
          </w:tcPr>
          <w:p w14:paraId="5A2D09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top w:val="nil"/>
            </w:tcBorders>
            <w:noWrap w:val="0"/>
            <w:vAlign w:val="center"/>
          </w:tcPr>
          <w:p w14:paraId="1909FCE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tcBorders>
              <w:top w:val="nil"/>
            </w:tcBorders>
            <w:noWrap w:val="0"/>
            <w:vAlign w:val="center"/>
          </w:tcPr>
          <w:p w14:paraId="7E3F690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D74B4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6D001E7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27FABF3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17632D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563D323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5622C32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45398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792637D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其他人员</w:t>
            </w:r>
          </w:p>
        </w:tc>
        <w:tc>
          <w:tcPr>
            <w:tcW w:w="1418" w:type="dxa"/>
            <w:noWrap w:val="0"/>
            <w:vAlign w:val="center"/>
          </w:tcPr>
          <w:p w14:paraId="30E9F1D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DD8A2F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E6F54E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1786FE9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C4AD8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3F73069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548BBD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39EE991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FBF17E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33D888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F745C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4DEEACB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二、现场人员</w:t>
            </w:r>
          </w:p>
        </w:tc>
      </w:tr>
      <w:tr w14:paraId="02C11B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691C55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项目经理</w:t>
            </w:r>
          </w:p>
        </w:tc>
        <w:tc>
          <w:tcPr>
            <w:tcW w:w="1418" w:type="dxa"/>
            <w:noWrap w:val="0"/>
            <w:vAlign w:val="center"/>
          </w:tcPr>
          <w:p w14:paraId="3E4B4A0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470AAF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05801A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7C4B04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CB94B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36E27A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项目副经理</w:t>
            </w:r>
          </w:p>
        </w:tc>
        <w:tc>
          <w:tcPr>
            <w:tcW w:w="1418" w:type="dxa"/>
            <w:noWrap w:val="0"/>
            <w:vAlign w:val="center"/>
          </w:tcPr>
          <w:p w14:paraId="56C9587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11F527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8D6C5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5C8298D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193AF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51832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技术负责人</w:t>
            </w:r>
          </w:p>
        </w:tc>
        <w:tc>
          <w:tcPr>
            <w:tcW w:w="1418" w:type="dxa"/>
            <w:noWrap w:val="0"/>
            <w:vAlign w:val="center"/>
          </w:tcPr>
          <w:p w14:paraId="1A91C0F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BFC89E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2839A6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746720C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67144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2ADE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造价管理</w:t>
            </w:r>
          </w:p>
        </w:tc>
        <w:tc>
          <w:tcPr>
            <w:tcW w:w="1418" w:type="dxa"/>
            <w:noWrap w:val="0"/>
            <w:vAlign w:val="center"/>
          </w:tcPr>
          <w:p w14:paraId="50762FE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8D0505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A1313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455CED1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34691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6009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质量管理</w:t>
            </w:r>
          </w:p>
        </w:tc>
        <w:tc>
          <w:tcPr>
            <w:tcW w:w="1418" w:type="dxa"/>
            <w:noWrap w:val="0"/>
            <w:vAlign w:val="center"/>
          </w:tcPr>
          <w:p w14:paraId="4341F07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A81D32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F1B74D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46E530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2EE48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6D1513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材料管理</w:t>
            </w:r>
          </w:p>
        </w:tc>
        <w:tc>
          <w:tcPr>
            <w:tcW w:w="1418" w:type="dxa"/>
            <w:noWrap w:val="0"/>
            <w:vAlign w:val="center"/>
          </w:tcPr>
          <w:p w14:paraId="1AE8BB0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5AE3EB2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052A46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136023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D02FD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05200B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计划管理</w:t>
            </w:r>
          </w:p>
        </w:tc>
        <w:tc>
          <w:tcPr>
            <w:tcW w:w="1418" w:type="dxa"/>
            <w:noWrap w:val="0"/>
            <w:vAlign w:val="center"/>
          </w:tcPr>
          <w:p w14:paraId="3E82DB4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27AF0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DBF88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3E201E4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7A3AD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C81692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安全管理</w:t>
            </w:r>
          </w:p>
        </w:tc>
        <w:tc>
          <w:tcPr>
            <w:tcW w:w="1418" w:type="dxa"/>
            <w:noWrap w:val="0"/>
            <w:vAlign w:val="center"/>
          </w:tcPr>
          <w:p w14:paraId="2E500A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6242A7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5FB8FA3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12683E1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34CF4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0C6D25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其他人员</w:t>
            </w:r>
          </w:p>
        </w:tc>
        <w:tc>
          <w:tcPr>
            <w:tcW w:w="1418" w:type="dxa"/>
            <w:noWrap w:val="0"/>
            <w:vAlign w:val="center"/>
          </w:tcPr>
          <w:p w14:paraId="342A754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FA3310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95D94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2581E51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E891E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17E008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bottom w:val="nil"/>
            </w:tcBorders>
            <w:noWrap w:val="0"/>
            <w:vAlign w:val="center"/>
          </w:tcPr>
          <w:p w14:paraId="0D4D8AB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nil"/>
            </w:tcBorders>
            <w:noWrap w:val="0"/>
            <w:vAlign w:val="center"/>
          </w:tcPr>
          <w:p w14:paraId="6A4CEA8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nil"/>
            </w:tcBorders>
            <w:noWrap w:val="0"/>
            <w:vAlign w:val="center"/>
          </w:tcPr>
          <w:p w14:paraId="66507A5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tcBorders>
              <w:bottom w:val="nil"/>
            </w:tcBorders>
            <w:noWrap w:val="0"/>
            <w:vAlign w:val="center"/>
          </w:tcPr>
          <w:p w14:paraId="12C597E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55642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ED4EE2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5671C5E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6849D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5E10C0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35D7291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E2B60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86F6FC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1E9993F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15B356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0EB9A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57753FF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3967E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F005E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6C7F3EF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B329C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DD048D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088E15F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B0B32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4364E46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bottom w:val="single" w:color="auto" w:sz="12" w:space="0"/>
            </w:tcBorders>
            <w:noWrap w:val="0"/>
            <w:vAlign w:val="center"/>
          </w:tcPr>
          <w:p w14:paraId="7F43368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single" w:color="auto" w:sz="12" w:space="0"/>
            </w:tcBorders>
            <w:noWrap w:val="0"/>
            <w:vAlign w:val="center"/>
          </w:tcPr>
          <w:p w14:paraId="608764A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single" w:color="auto" w:sz="12" w:space="0"/>
            </w:tcBorders>
            <w:noWrap w:val="0"/>
            <w:vAlign w:val="center"/>
          </w:tcPr>
          <w:p w14:paraId="3F3F31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tcBorders>
              <w:bottom w:val="single" w:color="auto" w:sz="12" w:space="0"/>
            </w:tcBorders>
            <w:noWrap w:val="0"/>
            <w:vAlign w:val="center"/>
          </w:tcPr>
          <w:p w14:paraId="52D37C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bl>
    <w:p w14:paraId="4964BC9D">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附</w:t>
      </w:r>
      <w:bookmarkStart w:id="1330" w:name="_Toc296944568"/>
      <w:bookmarkStart w:id="1331" w:name="_Toc296891057"/>
      <w:bookmarkStart w:id="1332" w:name="_Toc296347228"/>
      <w:bookmarkStart w:id="1333" w:name="_Toc296891269"/>
      <w:bookmarkStart w:id="1334" w:name="_Toc296346730"/>
      <w:bookmarkStart w:id="1335" w:name="_Toc296503229"/>
      <w:r>
        <w:rPr>
          <w:rFonts w:hint="eastAsia" w:ascii="仿宋" w:hAnsi="仿宋" w:eastAsia="仿宋" w:cs="仿宋"/>
          <w:color w:val="auto"/>
          <w:sz w:val="24"/>
          <w:szCs w:val="24"/>
        </w:rPr>
        <w:t>件7：</w:t>
      </w:r>
    </w:p>
    <w:bookmarkEnd w:id="1330"/>
    <w:bookmarkEnd w:id="1331"/>
    <w:bookmarkEnd w:id="1332"/>
    <w:bookmarkEnd w:id="1333"/>
    <w:bookmarkEnd w:id="1334"/>
    <w:bookmarkEnd w:id="1335"/>
    <w:p w14:paraId="753083AA">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分包人主要施工管理人员表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032E1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32CB59C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名    称</w:t>
            </w:r>
          </w:p>
        </w:tc>
        <w:tc>
          <w:tcPr>
            <w:tcW w:w="1418" w:type="dxa"/>
            <w:tcBorders>
              <w:top w:val="single" w:color="auto" w:sz="12" w:space="0"/>
              <w:bottom w:val="double" w:color="auto" w:sz="6" w:space="0"/>
            </w:tcBorders>
            <w:noWrap w:val="0"/>
            <w:vAlign w:val="center"/>
          </w:tcPr>
          <w:p w14:paraId="44B5BB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姓名</w:t>
            </w:r>
          </w:p>
        </w:tc>
        <w:tc>
          <w:tcPr>
            <w:tcW w:w="1134" w:type="dxa"/>
            <w:tcBorders>
              <w:top w:val="single" w:color="auto" w:sz="12" w:space="0"/>
              <w:bottom w:val="double" w:color="auto" w:sz="6" w:space="0"/>
            </w:tcBorders>
            <w:noWrap w:val="0"/>
            <w:vAlign w:val="center"/>
          </w:tcPr>
          <w:p w14:paraId="5505372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职务</w:t>
            </w:r>
          </w:p>
        </w:tc>
        <w:tc>
          <w:tcPr>
            <w:tcW w:w="1134" w:type="dxa"/>
            <w:tcBorders>
              <w:top w:val="single" w:color="auto" w:sz="12" w:space="0"/>
              <w:bottom w:val="double" w:color="auto" w:sz="6" w:space="0"/>
            </w:tcBorders>
            <w:noWrap w:val="0"/>
            <w:vAlign w:val="center"/>
          </w:tcPr>
          <w:p w14:paraId="55C79F1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职称</w:t>
            </w:r>
          </w:p>
        </w:tc>
        <w:tc>
          <w:tcPr>
            <w:tcW w:w="4252" w:type="dxa"/>
            <w:tcBorders>
              <w:top w:val="single" w:color="auto" w:sz="12" w:space="0"/>
              <w:bottom w:val="double" w:color="auto" w:sz="6" w:space="0"/>
            </w:tcBorders>
            <w:noWrap w:val="0"/>
            <w:vAlign w:val="center"/>
          </w:tcPr>
          <w:p w14:paraId="5F62724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主要资历、经验及承担过的项目</w:t>
            </w:r>
          </w:p>
        </w:tc>
      </w:tr>
      <w:tr w14:paraId="048BD6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63DCE59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一、总部人员</w:t>
            </w:r>
          </w:p>
        </w:tc>
      </w:tr>
      <w:tr w14:paraId="33AA57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1D5C7E1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项目主管</w:t>
            </w:r>
          </w:p>
        </w:tc>
        <w:tc>
          <w:tcPr>
            <w:tcW w:w="1418" w:type="dxa"/>
            <w:tcBorders>
              <w:top w:val="nil"/>
            </w:tcBorders>
            <w:noWrap w:val="0"/>
            <w:vAlign w:val="center"/>
          </w:tcPr>
          <w:p w14:paraId="612FF67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top w:val="nil"/>
            </w:tcBorders>
            <w:noWrap w:val="0"/>
            <w:vAlign w:val="center"/>
          </w:tcPr>
          <w:p w14:paraId="74F995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top w:val="nil"/>
            </w:tcBorders>
            <w:noWrap w:val="0"/>
            <w:vAlign w:val="center"/>
          </w:tcPr>
          <w:p w14:paraId="1D82298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tcBorders>
              <w:top w:val="nil"/>
            </w:tcBorders>
            <w:noWrap w:val="0"/>
            <w:vAlign w:val="center"/>
          </w:tcPr>
          <w:p w14:paraId="7860184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A93C8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3BE2593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34A1FE1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3E2EB8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A14AE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299B4FB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42E8A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1FEA28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其他人员</w:t>
            </w:r>
          </w:p>
        </w:tc>
        <w:tc>
          <w:tcPr>
            <w:tcW w:w="1418" w:type="dxa"/>
            <w:noWrap w:val="0"/>
            <w:vAlign w:val="center"/>
          </w:tcPr>
          <w:p w14:paraId="72200BD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BB0EE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2F7D26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41A09C1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DFD37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402F3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6831D4F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59D29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D652A8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41AF5DD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0F5B0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2B67D6F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二、现场人员</w:t>
            </w:r>
          </w:p>
        </w:tc>
      </w:tr>
      <w:tr w14:paraId="13367C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F16AEC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项目经理</w:t>
            </w:r>
          </w:p>
        </w:tc>
        <w:tc>
          <w:tcPr>
            <w:tcW w:w="1418" w:type="dxa"/>
            <w:noWrap w:val="0"/>
            <w:vAlign w:val="center"/>
          </w:tcPr>
          <w:p w14:paraId="35A801A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523340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5E277FB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089E2DF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DE17F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056BE6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项目副经理</w:t>
            </w:r>
          </w:p>
        </w:tc>
        <w:tc>
          <w:tcPr>
            <w:tcW w:w="1418" w:type="dxa"/>
            <w:noWrap w:val="0"/>
            <w:vAlign w:val="center"/>
          </w:tcPr>
          <w:p w14:paraId="01753F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63875A3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8D81C8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1D6E8DE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A05C5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F78FE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技术负责人</w:t>
            </w:r>
          </w:p>
        </w:tc>
        <w:tc>
          <w:tcPr>
            <w:tcW w:w="1418" w:type="dxa"/>
            <w:noWrap w:val="0"/>
            <w:vAlign w:val="center"/>
          </w:tcPr>
          <w:p w14:paraId="4683AE4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968B7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A7B024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3FBDA2B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D5F24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56B0F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造价管理</w:t>
            </w:r>
          </w:p>
        </w:tc>
        <w:tc>
          <w:tcPr>
            <w:tcW w:w="1418" w:type="dxa"/>
            <w:noWrap w:val="0"/>
            <w:vAlign w:val="center"/>
          </w:tcPr>
          <w:p w14:paraId="6032E49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52339E7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F7AD9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1E3C1FA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0BF00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20B760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质量管理</w:t>
            </w:r>
          </w:p>
        </w:tc>
        <w:tc>
          <w:tcPr>
            <w:tcW w:w="1418" w:type="dxa"/>
            <w:noWrap w:val="0"/>
            <w:vAlign w:val="center"/>
          </w:tcPr>
          <w:p w14:paraId="38224BB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3392FCA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3FF3B8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5B1AE1D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B1EF0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18F12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材料管理</w:t>
            </w:r>
          </w:p>
        </w:tc>
        <w:tc>
          <w:tcPr>
            <w:tcW w:w="1418" w:type="dxa"/>
            <w:noWrap w:val="0"/>
            <w:vAlign w:val="center"/>
          </w:tcPr>
          <w:p w14:paraId="481D17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53EF62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D07059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19E8FA6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28665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895BD8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计划管理</w:t>
            </w:r>
          </w:p>
        </w:tc>
        <w:tc>
          <w:tcPr>
            <w:tcW w:w="1418" w:type="dxa"/>
            <w:noWrap w:val="0"/>
            <w:vAlign w:val="center"/>
          </w:tcPr>
          <w:p w14:paraId="3B5552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DBD77B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AE81E0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37B2E58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CD8E2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767C67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安全管理</w:t>
            </w:r>
          </w:p>
        </w:tc>
        <w:tc>
          <w:tcPr>
            <w:tcW w:w="1418" w:type="dxa"/>
            <w:noWrap w:val="0"/>
            <w:vAlign w:val="center"/>
          </w:tcPr>
          <w:p w14:paraId="050057D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0AC70F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62D22C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0EDFB9A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C3220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3CB88A7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其他人员</w:t>
            </w:r>
          </w:p>
        </w:tc>
        <w:tc>
          <w:tcPr>
            <w:tcW w:w="1418" w:type="dxa"/>
            <w:noWrap w:val="0"/>
            <w:vAlign w:val="center"/>
          </w:tcPr>
          <w:p w14:paraId="05EB86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DF79C5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D621FC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6C6D60E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CC80E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456892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bottom w:val="nil"/>
            </w:tcBorders>
            <w:noWrap w:val="0"/>
            <w:vAlign w:val="center"/>
          </w:tcPr>
          <w:p w14:paraId="60F9B80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nil"/>
            </w:tcBorders>
            <w:noWrap w:val="0"/>
            <w:vAlign w:val="center"/>
          </w:tcPr>
          <w:p w14:paraId="6ABF999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nil"/>
            </w:tcBorders>
            <w:noWrap w:val="0"/>
            <w:vAlign w:val="center"/>
          </w:tcPr>
          <w:p w14:paraId="01EBDFD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tcBorders>
              <w:bottom w:val="nil"/>
            </w:tcBorders>
            <w:noWrap w:val="0"/>
            <w:vAlign w:val="center"/>
          </w:tcPr>
          <w:p w14:paraId="5F21463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82E9D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78F70E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555F593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7B32E31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154C5BA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028799C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4628F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4D0537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49318D1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07250E6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A20544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482F7B7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D41FC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B0F862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center"/>
          </w:tcPr>
          <w:p w14:paraId="518B45D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4068E4A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noWrap w:val="0"/>
            <w:vAlign w:val="center"/>
          </w:tcPr>
          <w:p w14:paraId="2E6D671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noWrap w:val="0"/>
            <w:vAlign w:val="center"/>
          </w:tcPr>
          <w:p w14:paraId="3727B2D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E0C9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40F407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bottom w:val="single" w:color="auto" w:sz="12" w:space="0"/>
            </w:tcBorders>
            <w:noWrap w:val="0"/>
            <w:vAlign w:val="center"/>
          </w:tcPr>
          <w:p w14:paraId="009EF6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single" w:color="auto" w:sz="12" w:space="0"/>
            </w:tcBorders>
            <w:noWrap w:val="0"/>
            <w:vAlign w:val="center"/>
          </w:tcPr>
          <w:p w14:paraId="6EAE497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134" w:type="dxa"/>
            <w:tcBorders>
              <w:bottom w:val="single" w:color="auto" w:sz="12" w:space="0"/>
            </w:tcBorders>
            <w:noWrap w:val="0"/>
            <w:vAlign w:val="center"/>
          </w:tcPr>
          <w:p w14:paraId="6C392AF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252" w:type="dxa"/>
            <w:tcBorders>
              <w:bottom w:val="single" w:color="auto" w:sz="12" w:space="0"/>
            </w:tcBorders>
            <w:noWrap w:val="0"/>
            <w:vAlign w:val="center"/>
          </w:tcPr>
          <w:p w14:paraId="68D6571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bl>
    <w:p w14:paraId="7FE0D84C">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br w:type="page"/>
      </w:r>
      <w:bookmarkStart w:id="1336" w:name="_Toc267261701"/>
      <w:r>
        <w:rPr>
          <w:rFonts w:hint="eastAsia" w:ascii="仿宋" w:hAnsi="仿宋" w:eastAsia="仿宋" w:cs="仿宋"/>
          <w:color w:val="auto"/>
          <w:sz w:val="24"/>
          <w:szCs w:val="24"/>
        </w:rPr>
        <w:t>附</w:t>
      </w:r>
      <w:bookmarkStart w:id="1337" w:name="_Toc296503231"/>
      <w:bookmarkStart w:id="1338" w:name="_Toc296346732"/>
      <w:bookmarkStart w:id="1339" w:name="_Toc296347230"/>
      <w:bookmarkStart w:id="1340" w:name="_Toc296891271"/>
      <w:bookmarkStart w:id="1341" w:name="_Toc296891059"/>
      <w:bookmarkStart w:id="1342" w:name="_Toc296944570"/>
      <w:r>
        <w:rPr>
          <w:rFonts w:hint="eastAsia" w:ascii="仿宋" w:hAnsi="仿宋" w:eastAsia="仿宋" w:cs="仿宋"/>
          <w:color w:val="auto"/>
          <w:sz w:val="24"/>
          <w:szCs w:val="24"/>
        </w:rPr>
        <w:t>件8：</w:t>
      </w:r>
    </w:p>
    <w:bookmarkEnd w:id="1336"/>
    <w:bookmarkEnd w:id="1337"/>
    <w:bookmarkEnd w:id="1338"/>
    <w:bookmarkEnd w:id="1339"/>
    <w:bookmarkEnd w:id="1340"/>
    <w:bookmarkEnd w:id="1341"/>
    <w:bookmarkEnd w:id="1342"/>
    <w:p w14:paraId="22CFE9BC">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履约担保</w:t>
      </w:r>
    </w:p>
    <w:p w14:paraId="3F218752">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（发包人名称）：</w:t>
      </w:r>
    </w:p>
    <w:p w14:paraId="140A3E4D">
      <w:pPr>
        <w:pageBreakBefore w:val="0"/>
        <w:kinsoku/>
        <w:overflowPunct/>
        <w:topLinePunct w:val="0"/>
        <w:bidi w:val="0"/>
        <w:spacing w:line="440" w:lineRule="exact"/>
        <w:rPr>
          <w:rFonts w:hint="eastAsia" w:ascii="仿宋" w:hAnsi="仿宋" w:eastAsia="仿宋" w:cs="仿宋"/>
          <w:color w:val="auto"/>
          <w:sz w:val="24"/>
          <w:szCs w:val="24"/>
        </w:rPr>
      </w:pPr>
    </w:p>
    <w:p w14:paraId="6C34F767">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鉴于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（发包人名称，以下简称“发包人”）与</w:t>
      </w:r>
    </w:p>
    <w:p w14:paraId="337D02DB">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（承包人名称）（以下称“承包人”）于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日就</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（工程名称）施工及有关事项协商一致共同签订《建设工程施工合同》。我方愿意无条件地、不可撤销地就承包人履行与你方签订的合同，向你方提供连带责任担保。 </w:t>
      </w:r>
    </w:p>
    <w:p w14:paraId="2E6831E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 担保金额人民币（大写）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EE34479">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 担保有效期自你方与承包人签订的合同生效之日起至你方签发或应签发工程接收证书之日止。</w:t>
      </w:r>
    </w:p>
    <w:p w14:paraId="5B7D3E76">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 在本担保有效期内，因承包人违反合同约定的义务给你方造成经济损失时，我方在收到你方以书面形式提出的在担保金额内的赔偿要求后，在7天内无条件支付。</w:t>
      </w:r>
    </w:p>
    <w:p w14:paraId="162764CC">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 你方和承包人按合同约定变更合同时，我方承担本担保规定的义务不变。</w:t>
      </w:r>
    </w:p>
    <w:p w14:paraId="1FCEC9FE">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 因本保函发生的纠纷，可由双方协商解决，协商不成的，任何一方均可提请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仲裁委员会仲裁。</w:t>
      </w:r>
    </w:p>
    <w:p w14:paraId="42C0F52A">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 本保函自我方法定代表人（或其授权代理人）签字并加盖公章之日起生效。</w:t>
      </w:r>
    </w:p>
    <w:p w14:paraId="701A26C3">
      <w:pPr>
        <w:pageBreakBefore w:val="0"/>
        <w:kinsoku/>
        <w:overflowPunct/>
        <w:topLinePunct w:val="0"/>
        <w:bidi w:val="0"/>
        <w:spacing w:line="440" w:lineRule="exact"/>
        <w:rPr>
          <w:rFonts w:hint="eastAsia" w:ascii="仿宋" w:hAnsi="仿宋" w:eastAsia="仿宋" w:cs="仿宋"/>
          <w:color w:val="auto"/>
          <w:sz w:val="24"/>
          <w:szCs w:val="24"/>
        </w:rPr>
      </w:pPr>
    </w:p>
    <w:p w14:paraId="2A2BBE69">
      <w:pPr>
        <w:pageBreakBefore w:val="0"/>
        <w:kinsoku/>
        <w:overflowPunct/>
        <w:topLinePunct w:val="0"/>
        <w:bidi w:val="0"/>
        <w:spacing w:line="440" w:lineRule="exact"/>
        <w:ind w:firstLine="1200" w:firstLineChars="500"/>
        <w:jc w:val="left"/>
        <w:rPr>
          <w:rFonts w:hint="eastAsia" w:ascii="仿宋" w:hAnsi="仿宋" w:eastAsia="仿宋" w:cs="仿宋"/>
          <w:color w:val="auto"/>
          <w:sz w:val="24"/>
          <w:szCs w:val="24"/>
        </w:rPr>
      </w:pPr>
      <w:r>
        <w:rPr>
          <w:rFonts w:hint="eastAsia" w:ascii="仿宋" w:hAnsi="仿宋" w:eastAsia="仿宋" w:cs="仿宋"/>
          <w:color w:val="auto"/>
          <w:sz w:val="24"/>
          <w:szCs w:val="24"/>
        </w:rPr>
        <w:t>担 保 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（盖单位章）</w:t>
      </w:r>
    </w:p>
    <w:p w14:paraId="077CCD27">
      <w:pPr>
        <w:pageBreakBefore w:val="0"/>
        <w:kinsoku/>
        <w:overflowPunct/>
        <w:topLinePunct w:val="0"/>
        <w:bidi w:val="0"/>
        <w:spacing w:line="440" w:lineRule="exact"/>
        <w:ind w:firstLine="1200" w:firstLineChars="500"/>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法定代表人或其委托代理人：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（签字）</w:t>
      </w:r>
    </w:p>
    <w:p w14:paraId="2BF70C52">
      <w:pPr>
        <w:pageBreakBefore w:val="0"/>
        <w:kinsoku/>
        <w:overflowPunct/>
        <w:topLinePunct w:val="0"/>
        <w:bidi w:val="0"/>
        <w:spacing w:line="440" w:lineRule="exact"/>
        <w:ind w:firstLine="1200" w:firstLineChars="500"/>
        <w:jc w:val="left"/>
        <w:rPr>
          <w:rFonts w:hint="eastAsia" w:ascii="仿宋" w:hAnsi="仿宋" w:eastAsia="仿宋" w:cs="仿宋"/>
          <w:color w:val="auto"/>
          <w:sz w:val="24"/>
          <w:szCs w:val="24"/>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single"/>
        </w:rPr>
        <w:t xml:space="preserve">                                      </w:t>
      </w:r>
    </w:p>
    <w:p w14:paraId="09373683">
      <w:pPr>
        <w:pageBreakBefore w:val="0"/>
        <w:kinsoku/>
        <w:overflowPunct/>
        <w:topLinePunct w:val="0"/>
        <w:bidi w:val="0"/>
        <w:spacing w:line="440" w:lineRule="exact"/>
        <w:ind w:firstLine="1200" w:firstLineChars="500"/>
        <w:jc w:val="left"/>
        <w:rPr>
          <w:rFonts w:hint="eastAsia" w:ascii="仿宋" w:hAnsi="仿宋" w:eastAsia="仿宋" w:cs="仿宋"/>
          <w:color w:val="auto"/>
          <w:sz w:val="24"/>
          <w:szCs w:val="24"/>
        </w:rPr>
      </w:pPr>
      <w:r>
        <w:rPr>
          <w:rFonts w:hint="eastAsia" w:ascii="仿宋" w:hAnsi="仿宋" w:eastAsia="仿宋" w:cs="仿宋"/>
          <w:color w:val="auto"/>
          <w:sz w:val="24"/>
          <w:szCs w:val="24"/>
        </w:rPr>
        <w:t>邮政编码：</w:t>
      </w:r>
      <w:r>
        <w:rPr>
          <w:rFonts w:hint="eastAsia" w:ascii="仿宋" w:hAnsi="仿宋" w:eastAsia="仿宋" w:cs="仿宋"/>
          <w:color w:val="auto"/>
          <w:sz w:val="24"/>
          <w:szCs w:val="24"/>
          <w:u w:val="single"/>
        </w:rPr>
        <w:t xml:space="preserve">                                      </w:t>
      </w:r>
    </w:p>
    <w:p w14:paraId="66CC9130">
      <w:pPr>
        <w:pageBreakBefore w:val="0"/>
        <w:kinsoku/>
        <w:overflowPunct/>
        <w:topLinePunct w:val="0"/>
        <w:bidi w:val="0"/>
        <w:spacing w:line="440" w:lineRule="exact"/>
        <w:ind w:firstLine="1200" w:firstLineChars="500"/>
        <w:jc w:val="left"/>
        <w:rPr>
          <w:rFonts w:hint="eastAsia" w:ascii="仿宋" w:hAnsi="仿宋" w:eastAsia="仿宋" w:cs="仿宋"/>
          <w:color w:val="auto"/>
          <w:sz w:val="24"/>
          <w:szCs w:val="24"/>
          <w:u w:val="single"/>
        </w:rPr>
      </w:pPr>
      <w:r>
        <w:rPr>
          <w:rFonts w:hint="eastAsia" w:ascii="仿宋" w:hAnsi="仿宋" w:eastAsia="仿宋" w:cs="仿宋"/>
          <w:color w:val="auto"/>
          <w:sz w:val="24"/>
          <w:szCs w:val="24"/>
        </w:rPr>
        <w:t>电    话：</w:t>
      </w:r>
      <w:r>
        <w:rPr>
          <w:rFonts w:hint="eastAsia" w:ascii="仿宋" w:hAnsi="仿宋" w:eastAsia="仿宋" w:cs="仿宋"/>
          <w:color w:val="auto"/>
          <w:sz w:val="24"/>
          <w:szCs w:val="24"/>
          <w:u w:val="single"/>
        </w:rPr>
        <w:t xml:space="preserve">                                      </w:t>
      </w:r>
    </w:p>
    <w:p w14:paraId="6FEAC812">
      <w:pPr>
        <w:pageBreakBefore w:val="0"/>
        <w:kinsoku/>
        <w:overflowPunct/>
        <w:topLinePunct w:val="0"/>
        <w:bidi w:val="0"/>
        <w:spacing w:line="440" w:lineRule="exact"/>
        <w:ind w:firstLine="1200" w:firstLineChars="500"/>
        <w:jc w:val="left"/>
        <w:rPr>
          <w:rFonts w:hint="eastAsia" w:ascii="仿宋" w:hAnsi="仿宋" w:eastAsia="仿宋" w:cs="仿宋"/>
          <w:color w:val="auto"/>
          <w:sz w:val="24"/>
          <w:szCs w:val="24"/>
        </w:rPr>
      </w:pPr>
      <w:r>
        <w:rPr>
          <w:rFonts w:hint="eastAsia" w:ascii="仿宋" w:hAnsi="仿宋" w:eastAsia="仿宋" w:cs="仿宋"/>
          <w:color w:val="auto"/>
          <w:sz w:val="24"/>
          <w:szCs w:val="24"/>
        </w:rPr>
        <w:t>传    真：</w:t>
      </w:r>
      <w:r>
        <w:rPr>
          <w:rFonts w:hint="eastAsia" w:ascii="仿宋" w:hAnsi="仿宋" w:eastAsia="仿宋" w:cs="仿宋"/>
          <w:color w:val="auto"/>
          <w:sz w:val="24"/>
          <w:szCs w:val="24"/>
          <w:u w:val="single"/>
        </w:rPr>
        <w:t xml:space="preserve">                                      </w:t>
      </w:r>
    </w:p>
    <w:p w14:paraId="0142C617">
      <w:pPr>
        <w:pageBreakBefore w:val="0"/>
        <w:kinsoku/>
        <w:overflowPunct/>
        <w:topLinePunct w:val="0"/>
        <w:bidi w:val="0"/>
        <w:spacing w:line="440" w:lineRule="exact"/>
        <w:jc w:val="left"/>
        <w:rPr>
          <w:rFonts w:hint="eastAsia" w:ascii="仿宋" w:hAnsi="仿宋" w:eastAsia="仿宋" w:cs="仿宋"/>
          <w:color w:val="auto"/>
          <w:sz w:val="24"/>
          <w:szCs w:val="24"/>
          <w:u w:val="single"/>
        </w:rPr>
      </w:pPr>
    </w:p>
    <w:p w14:paraId="24A838F9">
      <w:pPr>
        <w:pageBreakBefore w:val="0"/>
        <w:kinsoku/>
        <w:overflowPunct/>
        <w:topLinePunct w:val="0"/>
        <w:bidi w:val="0"/>
        <w:spacing w:line="440" w:lineRule="exact"/>
        <w:ind w:left="1899" w:hanging="1519" w:hangingChars="633"/>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01F69A59">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附</w:t>
      </w:r>
      <w:bookmarkStart w:id="1343" w:name="_Toc296944571"/>
      <w:bookmarkStart w:id="1344" w:name="_Toc296347231"/>
      <w:bookmarkStart w:id="1345" w:name="_Toc267261702"/>
      <w:bookmarkStart w:id="1346" w:name="_Toc296503232"/>
      <w:bookmarkStart w:id="1347" w:name="_Toc296891272"/>
      <w:bookmarkStart w:id="1348" w:name="_Toc296346733"/>
      <w:bookmarkStart w:id="1349" w:name="_Toc296891060"/>
      <w:r>
        <w:rPr>
          <w:rFonts w:hint="eastAsia" w:ascii="仿宋" w:hAnsi="仿宋" w:eastAsia="仿宋" w:cs="仿宋"/>
          <w:color w:val="auto"/>
          <w:sz w:val="24"/>
          <w:szCs w:val="24"/>
        </w:rPr>
        <w:t>件9 ：</w:t>
      </w:r>
    </w:p>
    <w:bookmarkEnd w:id="1343"/>
    <w:bookmarkEnd w:id="1344"/>
    <w:bookmarkEnd w:id="1345"/>
    <w:bookmarkEnd w:id="1346"/>
    <w:bookmarkEnd w:id="1347"/>
    <w:bookmarkEnd w:id="1348"/>
    <w:bookmarkEnd w:id="1349"/>
    <w:p w14:paraId="49F25CF8">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预付款担保</w:t>
      </w:r>
    </w:p>
    <w:p w14:paraId="02B289C1">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（发包人名称）：</w:t>
      </w:r>
    </w:p>
    <w:p w14:paraId="32FAAB20">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根据</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（承包人名称）（以下称“承包人”）与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（发包人名称）（以下简称“发包人”）</w:t>
      </w:r>
    </w:p>
    <w:p w14:paraId="66FDC4A9">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日签订的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（工程名称）《建设工程施工合同》，承包人按约定的金额向你方提交一份预付款担保，即有权得到你方支付相等金额的预付款。我方愿意就你方提供给承包人的预付款为承包人提供连带责任担保。</w:t>
      </w:r>
    </w:p>
    <w:p w14:paraId="49C6434F">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 担保金额人民币（大写）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21B1E850">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 担保有效期自预付款支付给承包人起生效，至你方签发的进度款支付证书说明已完全扣清止。</w:t>
      </w:r>
    </w:p>
    <w:p w14:paraId="6E6C0272">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49A3A91F">
      <w:pPr>
        <w:pageBreakBefore w:val="0"/>
        <w:kinsoku/>
        <w:overflowPunct/>
        <w:topLinePunct w:val="0"/>
        <w:bidi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 你方和承包人按合同约定变更合同时，我方承担本保函规定的义务不变。</w:t>
      </w:r>
    </w:p>
    <w:p w14:paraId="6E0B1798">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 因本保函发生的纠纷，可由双方协商解决，协商不成的，任何一方均可提请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仲裁委员会仲裁。</w:t>
      </w:r>
    </w:p>
    <w:p w14:paraId="4DCC73C8">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 本保函自我方法定代表人（或其授权代理人）签字并加盖公章之日起生效。</w:t>
      </w:r>
    </w:p>
    <w:p w14:paraId="4DBB12EE">
      <w:pPr>
        <w:pageBreakBefore w:val="0"/>
        <w:kinsoku/>
        <w:overflowPunct/>
        <w:topLinePunct w:val="0"/>
        <w:bidi w:val="0"/>
        <w:spacing w:line="440" w:lineRule="exact"/>
        <w:rPr>
          <w:rFonts w:hint="eastAsia" w:ascii="仿宋" w:hAnsi="仿宋" w:eastAsia="仿宋" w:cs="仿宋"/>
          <w:color w:val="auto"/>
          <w:sz w:val="24"/>
          <w:szCs w:val="24"/>
        </w:rPr>
      </w:pPr>
    </w:p>
    <w:p w14:paraId="41BDD8B2">
      <w:pPr>
        <w:pageBreakBefore w:val="0"/>
        <w:kinsoku/>
        <w:overflowPunct/>
        <w:topLinePunct w:val="0"/>
        <w:bidi w:val="0"/>
        <w:spacing w:line="440" w:lineRule="exact"/>
        <w:jc w:val="right"/>
        <w:rPr>
          <w:rFonts w:hint="eastAsia" w:ascii="仿宋" w:hAnsi="仿宋" w:eastAsia="仿宋" w:cs="仿宋"/>
          <w:color w:val="auto"/>
          <w:sz w:val="24"/>
          <w:szCs w:val="24"/>
        </w:rPr>
      </w:pPr>
      <w:r>
        <w:rPr>
          <w:rFonts w:hint="eastAsia" w:ascii="仿宋" w:hAnsi="仿宋" w:eastAsia="仿宋" w:cs="仿宋"/>
          <w:color w:val="auto"/>
          <w:sz w:val="24"/>
          <w:szCs w:val="24"/>
        </w:rPr>
        <w:t>担保人：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（盖单位章）</w:t>
      </w:r>
    </w:p>
    <w:p w14:paraId="3437AE10">
      <w:pPr>
        <w:pageBreakBefore w:val="0"/>
        <w:kinsoku/>
        <w:overflowPunct/>
        <w:topLinePunct w:val="0"/>
        <w:bidi w:val="0"/>
        <w:spacing w:line="440" w:lineRule="exact"/>
        <w:jc w:val="right"/>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法定代表人或其委托代理人：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（签字）</w:t>
      </w:r>
    </w:p>
    <w:p w14:paraId="6FE5AF80">
      <w:pPr>
        <w:pageBreakBefore w:val="0"/>
        <w:kinsoku/>
        <w:overflowPunct/>
        <w:topLinePunct w:val="0"/>
        <w:bidi w:val="0"/>
        <w:spacing w:line="440" w:lineRule="exact"/>
        <w:jc w:val="right"/>
        <w:rPr>
          <w:rFonts w:hint="eastAsia" w:ascii="仿宋" w:hAnsi="仿宋" w:eastAsia="仿宋" w:cs="仿宋"/>
          <w:color w:val="auto"/>
          <w:sz w:val="24"/>
          <w:szCs w:val="24"/>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p>
    <w:p w14:paraId="1C8E5D44">
      <w:pPr>
        <w:pageBreakBefore w:val="0"/>
        <w:kinsoku/>
        <w:overflowPunct/>
        <w:topLinePunct w:val="0"/>
        <w:bidi w:val="0"/>
        <w:spacing w:line="440" w:lineRule="exact"/>
        <w:jc w:val="right"/>
        <w:rPr>
          <w:rFonts w:hint="eastAsia" w:ascii="仿宋" w:hAnsi="仿宋" w:eastAsia="仿宋" w:cs="仿宋"/>
          <w:color w:val="auto"/>
          <w:sz w:val="24"/>
          <w:szCs w:val="24"/>
          <w:u w:val="single"/>
        </w:rPr>
      </w:pPr>
      <w:r>
        <w:rPr>
          <w:rFonts w:hint="eastAsia" w:ascii="仿宋" w:hAnsi="仿宋" w:eastAsia="仿宋" w:cs="仿宋"/>
          <w:color w:val="auto"/>
          <w:sz w:val="24"/>
          <w:szCs w:val="24"/>
        </w:rPr>
        <w:t>邮政编码：</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p>
    <w:p w14:paraId="46FC0F0B">
      <w:pPr>
        <w:pageBreakBefore w:val="0"/>
        <w:kinsoku/>
        <w:overflowPunct/>
        <w:topLinePunct w:val="0"/>
        <w:bidi w:val="0"/>
        <w:spacing w:line="440" w:lineRule="exact"/>
        <w:jc w:val="right"/>
        <w:rPr>
          <w:rFonts w:hint="eastAsia" w:ascii="仿宋" w:hAnsi="仿宋" w:eastAsia="仿宋" w:cs="仿宋"/>
          <w:color w:val="auto"/>
          <w:sz w:val="24"/>
          <w:szCs w:val="24"/>
          <w:u w:val="single"/>
        </w:rPr>
      </w:pPr>
      <w:r>
        <w:rPr>
          <w:rFonts w:hint="eastAsia" w:ascii="仿宋" w:hAnsi="仿宋" w:eastAsia="仿宋" w:cs="仿宋"/>
          <w:color w:val="auto"/>
          <w:sz w:val="24"/>
          <w:szCs w:val="24"/>
        </w:rPr>
        <w:t>电    话：</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p>
    <w:p w14:paraId="0A909B66">
      <w:pPr>
        <w:pageBreakBefore w:val="0"/>
        <w:kinsoku/>
        <w:overflowPunct/>
        <w:topLinePunct w:val="0"/>
        <w:bidi w:val="0"/>
        <w:spacing w:line="440" w:lineRule="exact"/>
        <w:jc w:val="right"/>
        <w:rPr>
          <w:rFonts w:hint="eastAsia" w:ascii="仿宋" w:hAnsi="仿宋" w:eastAsia="仿宋" w:cs="仿宋"/>
          <w:color w:val="auto"/>
          <w:sz w:val="24"/>
          <w:szCs w:val="24"/>
          <w:u w:val="single"/>
        </w:rPr>
      </w:pPr>
      <w:r>
        <w:rPr>
          <w:rFonts w:hint="eastAsia" w:ascii="仿宋" w:hAnsi="仿宋" w:eastAsia="仿宋" w:cs="仿宋"/>
          <w:color w:val="auto"/>
          <w:sz w:val="24"/>
          <w:szCs w:val="24"/>
        </w:rPr>
        <w:t>传    真：</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rPr>
        <w:tab/>
      </w:r>
    </w:p>
    <w:p w14:paraId="62382E3D">
      <w:pPr>
        <w:pageBreakBefore w:val="0"/>
        <w:kinsoku/>
        <w:overflowPunct/>
        <w:topLinePunct w:val="0"/>
        <w:bidi w:val="0"/>
        <w:spacing w:line="440" w:lineRule="exact"/>
        <w:jc w:val="right"/>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14:paraId="35D580FB">
      <w:pPr>
        <w:pageBreakBefore w:val="0"/>
        <w:kinsoku/>
        <w:overflowPunct/>
        <w:topLinePunct w:val="0"/>
        <w:bidi w:val="0"/>
        <w:spacing w:line="440" w:lineRule="exact"/>
        <w:jc w:val="right"/>
        <w:rPr>
          <w:rFonts w:hint="eastAsia" w:ascii="仿宋" w:hAnsi="仿宋" w:eastAsia="仿宋" w:cs="仿宋"/>
          <w:color w:val="auto"/>
          <w:sz w:val="24"/>
          <w:szCs w:val="24"/>
          <w:u w:val="single"/>
        </w:rPr>
      </w:pPr>
    </w:p>
    <w:p w14:paraId="22809745">
      <w:pPr>
        <w:pageBreakBefore w:val="0"/>
        <w:kinsoku/>
        <w:overflowPunct/>
        <w:topLinePunct w:val="0"/>
        <w:bidi w:val="0"/>
        <w:spacing w:line="440" w:lineRule="exact"/>
        <w:jc w:val="right"/>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5C4E272F">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b/>
          <w:color w:val="auto"/>
          <w:sz w:val="24"/>
          <w:szCs w:val="24"/>
        </w:rPr>
        <w:br w:type="page"/>
      </w:r>
      <w:r>
        <w:rPr>
          <w:rFonts w:hint="eastAsia" w:ascii="仿宋" w:hAnsi="仿宋" w:eastAsia="仿宋" w:cs="仿宋"/>
          <w:color w:val="auto"/>
          <w:sz w:val="24"/>
          <w:szCs w:val="24"/>
        </w:rPr>
        <w:t>附</w:t>
      </w:r>
      <w:bookmarkStart w:id="1350" w:name="_Toc296944572"/>
      <w:bookmarkStart w:id="1351" w:name="_Toc296347232"/>
      <w:bookmarkStart w:id="1352" w:name="_Toc296891061"/>
      <w:bookmarkStart w:id="1353" w:name="_Toc296503233"/>
      <w:bookmarkStart w:id="1354" w:name="_Toc296891273"/>
      <w:bookmarkStart w:id="1355" w:name="_Toc296346734"/>
      <w:r>
        <w:rPr>
          <w:rFonts w:hint="eastAsia" w:ascii="仿宋" w:hAnsi="仿宋" w:eastAsia="仿宋" w:cs="仿宋"/>
          <w:color w:val="auto"/>
          <w:sz w:val="24"/>
          <w:szCs w:val="24"/>
        </w:rPr>
        <w:t xml:space="preserve">件10:  </w:t>
      </w:r>
    </w:p>
    <w:bookmarkEnd w:id="1350"/>
    <w:bookmarkEnd w:id="1351"/>
    <w:bookmarkEnd w:id="1352"/>
    <w:bookmarkEnd w:id="1353"/>
    <w:bookmarkEnd w:id="1354"/>
    <w:bookmarkEnd w:id="1355"/>
    <w:p w14:paraId="0BBC23D8">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支付担保</w:t>
      </w:r>
    </w:p>
    <w:p w14:paraId="64E09952">
      <w:pPr>
        <w:pageBreakBefore w:val="0"/>
        <w:kinsoku/>
        <w:overflowPunct/>
        <w:topLinePunct w:val="0"/>
        <w:bidi w:val="0"/>
        <w:spacing w:line="4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（承包人）：</w:t>
      </w:r>
    </w:p>
    <w:p w14:paraId="42C0D00D">
      <w:pPr>
        <w:pageBreakBefore w:val="0"/>
        <w:kinsoku/>
        <w:overflowPunct/>
        <w:topLinePunct w:val="0"/>
        <w:bidi w:val="0"/>
        <w:spacing w:line="440" w:lineRule="exact"/>
        <w:jc w:val="left"/>
        <w:rPr>
          <w:rFonts w:hint="eastAsia" w:ascii="仿宋" w:hAnsi="仿宋" w:eastAsia="仿宋" w:cs="仿宋"/>
          <w:color w:val="auto"/>
          <w:sz w:val="24"/>
          <w:szCs w:val="24"/>
        </w:rPr>
      </w:pPr>
    </w:p>
    <w:p w14:paraId="75EDCD1C">
      <w:pPr>
        <w:pageBreakBefore w:val="0"/>
        <w:kinsoku/>
        <w:overflowPunct/>
        <w:topLinePunct w:val="0"/>
        <w:bidi w:val="0"/>
        <w:spacing w:line="44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鉴于你方作为承包人已经与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（发包人名称）（以下称“发包人”）于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日签订了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（工程名称）《建设工程施工合同》（以下称“主合同”），应发包人的申请，我方愿就发包人履行主合同约定的工程款支付义务以保证的方式向你方提供如下担保：</w:t>
      </w:r>
    </w:p>
    <w:p w14:paraId="21D77181">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一、保证的范围及保证金额</w:t>
      </w:r>
    </w:p>
    <w:p w14:paraId="2639237C">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 我方的保证范围是主合同约定的工程款。</w:t>
      </w:r>
    </w:p>
    <w:p w14:paraId="354951DA">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 本保函所称主合同约定的工程款是指主合同约定的除工程质量保证金以外的合同价款。</w:t>
      </w:r>
    </w:p>
    <w:p w14:paraId="25056816">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3. 我方保证的金额是主合同约定的工程款的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%，数额最高不超过人民币元（大写：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18559562">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二、保证的方式及保证期间</w:t>
      </w:r>
    </w:p>
    <w:p w14:paraId="09DD757D">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 我方保证的方式为：连带责任保证。</w:t>
      </w:r>
    </w:p>
    <w:p w14:paraId="08C44205">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 我方保证的期间为：自本合同生效之日起至主合同约定的工程款支付完毕之日后</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日内。</w:t>
      </w:r>
    </w:p>
    <w:p w14:paraId="150E74B4">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3. 你方与发包人协议变更工程款支付日期的，经我方书面同意后，保证期间按照变更后的支付日期做相应调整。</w:t>
      </w:r>
    </w:p>
    <w:p w14:paraId="08E02C48">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三、承担保证责任的形式</w:t>
      </w:r>
    </w:p>
    <w:p w14:paraId="65F32DA8">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我方承担保证责任的形式是代为支付。发包人未按主合同约定向你方支付工程款的，由我方在保证金额内代为支付。</w:t>
      </w:r>
    </w:p>
    <w:p w14:paraId="422C97E6">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四、代偿的安排</w:t>
      </w:r>
    </w:p>
    <w:p w14:paraId="23FA9180">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 你方要求我方承担保证责任的，应向我方发出书面索赔通知及发包人未支付主合同约定工程款的证明材料。索赔通知应写明要求索赔的金额，支付款项应到达的账号。</w:t>
      </w:r>
    </w:p>
    <w:p w14:paraId="3F9B8783">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 在出现你方与发包人因工程质量发生争议，发包人拒绝向你方支付工程款的情形时，你方要求我方履行保证责任代为支付的，需提供符合相应条件要求的工程质量检测机构出具的质量说明材料。</w:t>
      </w:r>
    </w:p>
    <w:p w14:paraId="574B1255">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3. 我方收到你方的书面索赔通知及相应的证明材料后７天内无条件支付。</w:t>
      </w:r>
    </w:p>
    <w:p w14:paraId="6CA17973">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五、保证责任的解除</w:t>
      </w:r>
    </w:p>
    <w:p w14:paraId="501387E8">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 在本保函承诺的保证期间内，你方未书面向我方主张保证责任的，自保证期间届满次日起，我方保证责任解除。</w:t>
      </w:r>
    </w:p>
    <w:p w14:paraId="28B70466">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 发包人按主合同约定履行了工程款的全部支付义务的，自本保函承诺的保证期间届满次日起，我方保证责任解除。</w:t>
      </w:r>
    </w:p>
    <w:p w14:paraId="30050F39">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3. 我方按照本保函向你方履行保证责任所支付金额达到本保函保证金额时，自我方向你方支付（支付款项从我方账户划出）之日起，保证责任即解除。</w:t>
      </w:r>
    </w:p>
    <w:p w14:paraId="51D80AB4">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4. 按照法律法规的规定或出现应解除我方保证责任的其他情形的，我方在本保函项下的保证责任亦解除。</w:t>
      </w:r>
    </w:p>
    <w:p w14:paraId="370A1CF5">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5. 我方解除保证责任后，你方应自我方保证责任解除之日起</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个工作日内，将本保函原件返还我方。</w:t>
      </w:r>
    </w:p>
    <w:p w14:paraId="4AAC3E80">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六、免责条款</w:t>
      </w:r>
    </w:p>
    <w:p w14:paraId="61FF05A3">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 因你方违约致使发包人不能履行义务的，我方不承担保证责任。</w:t>
      </w:r>
    </w:p>
    <w:p w14:paraId="4B415A3C">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 依照法律法规的规定或你方与发包人的另行约定，免除发包人部分或全部义务的，我方亦免除其相应的保证责任。</w:t>
      </w:r>
    </w:p>
    <w:p w14:paraId="4E6BA230">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3. 你方与发包人协议变更主合同的，如加重发包人责任致使我方保证责任加重的，需征得我方书面同意，否则我方不再承担因此而加重部分的保证责任，但主合同第10条〔变更〕约定的变更不受本款限制。</w:t>
      </w:r>
    </w:p>
    <w:p w14:paraId="5C09A06F">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4. 因不可抗力造成发包人不能履行义务的，我方不承担保证责任。</w:t>
      </w:r>
    </w:p>
    <w:p w14:paraId="435F23E7">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七、争议解决</w:t>
      </w:r>
    </w:p>
    <w:p w14:paraId="4D95AE69">
      <w:pPr>
        <w:pageBreakBefore w:val="0"/>
        <w:kinsoku/>
        <w:overflowPunct/>
        <w:topLinePunct w:val="0"/>
        <w:bidi w:val="0"/>
        <w:spacing w:after="120" w:line="440" w:lineRule="exact"/>
        <w:ind w:firstLine="480" w:firstLineChars="200"/>
        <w:outlineLvl w:val="9"/>
        <w:rPr>
          <w:rFonts w:hint="eastAsia" w:ascii="仿宋" w:hAnsi="仿宋" w:eastAsia="仿宋" w:cs="仿宋"/>
          <w:color w:val="auto"/>
          <w:sz w:val="24"/>
          <w:szCs w:val="24"/>
        </w:rPr>
      </w:pPr>
      <w:r>
        <w:rPr>
          <w:rFonts w:hint="eastAsia" w:ascii="仿宋" w:hAnsi="仿宋" w:eastAsia="仿宋" w:cs="仿宋"/>
          <w:color w:val="auto"/>
          <w:sz w:val="24"/>
          <w:szCs w:val="24"/>
        </w:rPr>
        <w:t>因本保函或本保函相关事项发生的纠纷，可由双方协商解决，协商不成的，按下列第</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种方式解决：</w:t>
      </w:r>
    </w:p>
    <w:p w14:paraId="02146701">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（1）向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仲裁委员会申请仲裁；</w:t>
      </w:r>
    </w:p>
    <w:p w14:paraId="046DA5E7">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（2）向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人民法院起诉。</w:t>
      </w:r>
    </w:p>
    <w:p w14:paraId="332ED540">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八、保函的生效</w:t>
      </w:r>
    </w:p>
    <w:p w14:paraId="1A2A6EF6">
      <w:pPr>
        <w:pageBreakBefore w:val="0"/>
        <w:kinsoku/>
        <w:overflowPunct/>
        <w:topLinePunct w:val="0"/>
        <w:bidi w:val="0"/>
        <w:spacing w:line="440" w:lineRule="exact"/>
        <w:ind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本保函自我方法定代表人（或其授权代理人）签字并加盖公章之日起生效。</w:t>
      </w:r>
    </w:p>
    <w:p w14:paraId="2E99DBEC">
      <w:pPr>
        <w:pageBreakBefore w:val="0"/>
        <w:kinsoku/>
        <w:overflowPunct/>
        <w:topLinePunct w:val="0"/>
        <w:bidi w:val="0"/>
        <w:spacing w:line="440" w:lineRule="exact"/>
        <w:ind w:right="6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担保人：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（盖章）</w:t>
      </w:r>
    </w:p>
    <w:p w14:paraId="7B364374">
      <w:pPr>
        <w:pageBreakBefore w:val="0"/>
        <w:kinsoku/>
        <w:overflowPunct/>
        <w:topLinePunct w:val="0"/>
        <w:bidi w:val="0"/>
        <w:spacing w:line="440" w:lineRule="exact"/>
        <w:ind w:right="1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法定代表人或委托代理人：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（签字）</w:t>
      </w:r>
    </w:p>
    <w:p w14:paraId="083FB4CD">
      <w:pPr>
        <w:pageBreakBefore w:val="0"/>
        <w:kinsoku/>
        <w:overflowPunct/>
        <w:topLinePunct w:val="0"/>
        <w:bidi w:val="0"/>
        <w:spacing w:line="440" w:lineRule="exact"/>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single"/>
        </w:rPr>
        <w:t xml:space="preserve">                                        </w:t>
      </w:r>
    </w:p>
    <w:p w14:paraId="0ED2C5A0">
      <w:pPr>
        <w:pageBreakBefore w:val="0"/>
        <w:kinsoku/>
        <w:overflowPunct/>
        <w:topLinePunct w:val="0"/>
        <w:bidi w:val="0"/>
        <w:spacing w:line="440" w:lineRule="exact"/>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邮政编码：</w:t>
      </w:r>
      <w:r>
        <w:rPr>
          <w:rFonts w:hint="eastAsia" w:ascii="仿宋" w:hAnsi="仿宋" w:eastAsia="仿宋" w:cs="仿宋"/>
          <w:color w:val="auto"/>
          <w:sz w:val="24"/>
          <w:szCs w:val="24"/>
          <w:u w:val="single"/>
        </w:rPr>
        <w:t xml:space="preserve">                                        </w:t>
      </w:r>
    </w:p>
    <w:p w14:paraId="7974EF02">
      <w:pPr>
        <w:pageBreakBefore w:val="0"/>
        <w:kinsoku/>
        <w:overflowPunct/>
        <w:topLinePunct w:val="0"/>
        <w:bidi w:val="0"/>
        <w:spacing w:line="440" w:lineRule="exact"/>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传    真：</w:t>
      </w:r>
      <w:r>
        <w:rPr>
          <w:rFonts w:hint="eastAsia" w:ascii="仿宋" w:hAnsi="仿宋" w:eastAsia="仿宋" w:cs="仿宋"/>
          <w:color w:val="auto"/>
          <w:sz w:val="24"/>
          <w:szCs w:val="24"/>
          <w:u w:val="single"/>
        </w:rPr>
        <w:t xml:space="preserve">                                        </w:t>
      </w:r>
    </w:p>
    <w:p w14:paraId="47A151A6">
      <w:pPr>
        <w:pageBreakBefore w:val="0"/>
        <w:kinsoku/>
        <w:overflowPunct/>
        <w:topLinePunct w:val="0"/>
        <w:bidi w:val="0"/>
        <w:spacing w:line="440" w:lineRule="exact"/>
        <w:ind w:right="150" w:firstLine="480" w:firstLineChars="200"/>
        <w:jc w:val="left"/>
        <w:outlineLvl w:val="9"/>
        <w:rPr>
          <w:rFonts w:hint="eastAsia" w:ascii="仿宋" w:hAnsi="仿宋" w:eastAsia="仿宋" w:cs="仿宋"/>
          <w:color w:val="auto"/>
          <w:sz w:val="24"/>
          <w:szCs w:val="24"/>
          <w:u w:val="single"/>
        </w:rPr>
      </w:pPr>
    </w:p>
    <w:p w14:paraId="691CA0AF">
      <w:pPr>
        <w:pageBreakBefore w:val="0"/>
        <w:kinsoku/>
        <w:overflowPunct/>
        <w:topLinePunct w:val="0"/>
        <w:bidi w:val="0"/>
        <w:spacing w:line="440" w:lineRule="exact"/>
        <w:ind w:right="150" w:firstLine="480" w:firstLineChars="200"/>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32EFEB26">
      <w:pPr>
        <w:pageBreakBefore w:val="0"/>
        <w:kinsoku/>
        <w:overflowPunct/>
        <w:topLinePunct w:val="0"/>
        <w:bidi w:val="0"/>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附件11：</w:t>
      </w:r>
    </w:p>
    <w:p w14:paraId="50009516">
      <w:pPr>
        <w:pageBreakBefore w:val="0"/>
        <w:kinsoku/>
        <w:overflowPunct/>
        <w:topLinePunct w:val="0"/>
        <w:bidi w:val="0"/>
        <w:spacing w:before="156" w:beforeLines="50" w:after="156" w:afterLines="50" w:line="440" w:lineRule="exact"/>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rPr>
        <w:t>11-1：材料暂估价表</w:t>
      </w:r>
    </w:p>
    <w:tbl>
      <w:tblPr>
        <w:tblStyle w:val="19"/>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0BEDB5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7E06840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序号</w:t>
            </w:r>
          </w:p>
        </w:tc>
        <w:tc>
          <w:tcPr>
            <w:tcW w:w="1984" w:type="dxa"/>
            <w:tcBorders>
              <w:top w:val="single" w:color="auto" w:sz="12" w:space="0"/>
              <w:bottom w:val="double" w:color="auto" w:sz="6" w:space="0"/>
            </w:tcBorders>
            <w:noWrap w:val="0"/>
            <w:vAlign w:val="top"/>
          </w:tcPr>
          <w:p w14:paraId="672BDEA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名称</w:t>
            </w:r>
          </w:p>
        </w:tc>
        <w:tc>
          <w:tcPr>
            <w:tcW w:w="851" w:type="dxa"/>
            <w:tcBorders>
              <w:top w:val="single" w:color="auto" w:sz="12" w:space="0"/>
              <w:bottom w:val="double" w:color="auto" w:sz="6" w:space="0"/>
            </w:tcBorders>
            <w:noWrap w:val="0"/>
            <w:vAlign w:val="top"/>
          </w:tcPr>
          <w:p w14:paraId="1B5C7DE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单位</w:t>
            </w:r>
          </w:p>
        </w:tc>
        <w:tc>
          <w:tcPr>
            <w:tcW w:w="774" w:type="dxa"/>
            <w:tcBorders>
              <w:top w:val="single" w:color="auto" w:sz="12" w:space="0"/>
              <w:bottom w:val="double" w:color="auto" w:sz="6" w:space="0"/>
            </w:tcBorders>
            <w:noWrap w:val="0"/>
            <w:vAlign w:val="top"/>
          </w:tcPr>
          <w:p w14:paraId="2DA5BA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数量</w:t>
            </w:r>
          </w:p>
        </w:tc>
        <w:tc>
          <w:tcPr>
            <w:tcW w:w="1352" w:type="dxa"/>
            <w:tcBorders>
              <w:top w:val="single" w:color="auto" w:sz="12" w:space="0"/>
              <w:bottom w:val="double" w:color="auto" w:sz="6" w:space="0"/>
            </w:tcBorders>
            <w:noWrap w:val="0"/>
            <w:vAlign w:val="top"/>
          </w:tcPr>
          <w:p w14:paraId="75E5E1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单价（元）</w:t>
            </w:r>
          </w:p>
        </w:tc>
        <w:tc>
          <w:tcPr>
            <w:tcW w:w="1418" w:type="dxa"/>
            <w:tcBorders>
              <w:top w:val="single" w:color="auto" w:sz="12" w:space="0"/>
              <w:bottom w:val="double" w:color="auto" w:sz="6" w:space="0"/>
            </w:tcBorders>
            <w:noWrap w:val="0"/>
            <w:vAlign w:val="top"/>
          </w:tcPr>
          <w:p w14:paraId="09A6291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合价（元）</w:t>
            </w:r>
          </w:p>
        </w:tc>
        <w:tc>
          <w:tcPr>
            <w:tcW w:w="1701" w:type="dxa"/>
            <w:tcBorders>
              <w:top w:val="single" w:color="auto" w:sz="12" w:space="0"/>
              <w:bottom w:val="double" w:color="auto" w:sz="6" w:space="0"/>
            </w:tcBorders>
            <w:noWrap w:val="0"/>
            <w:vAlign w:val="top"/>
          </w:tcPr>
          <w:p w14:paraId="13DD333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备注</w:t>
            </w:r>
          </w:p>
        </w:tc>
      </w:tr>
      <w:tr w14:paraId="22D0EF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3E653B0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double" w:color="auto" w:sz="6" w:space="0"/>
              <w:bottom w:val="single" w:color="auto" w:sz="6" w:space="0"/>
            </w:tcBorders>
            <w:noWrap w:val="0"/>
            <w:vAlign w:val="top"/>
          </w:tcPr>
          <w:p w14:paraId="586D89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double" w:color="auto" w:sz="6" w:space="0"/>
              <w:bottom w:val="single" w:color="auto" w:sz="6" w:space="0"/>
            </w:tcBorders>
            <w:noWrap w:val="0"/>
            <w:vAlign w:val="top"/>
          </w:tcPr>
          <w:p w14:paraId="548CD1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tcBorders>
              <w:top w:val="double" w:color="auto" w:sz="6" w:space="0"/>
              <w:bottom w:val="single" w:color="auto" w:sz="6" w:space="0"/>
            </w:tcBorders>
            <w:noWrap w:val="0"/>
            <w:vAlign w:val="top"/>
          </w:tcPr>
          <w:p w14:paraId="447E825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tcBorders>
              <w:top w:val="double" w:color="auto" w:sz="6" w:space="0"/>
              <w:bottom w:val="single" w:color="auto" w:sz="6" w:space="0"/>
            </w:tcBorders>
            <w:noWrap w:val="0"/>
            <w:vAlign w:val="top"/>
          </w:tcPr>
          <w:p w14:paraId="2BE51A4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double" w:color="auto" w:sz="6" w:space="0"/>
              <w:bottom w:val="single" w:color="auto" w:sz="6" w:space="0"/>
            </w:tcBorders>
            <w:noWrap w:val="0"/>
            <w:vAlign w:val="top"/>
          </w:tcPr>
          <w:p w14:paraId="36371BE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tcBorders>
              <w:top w:val="double" w:color="auto" w:sz="6" w:space="0"/>
              <w:bottom w:val="single" w:color="auto" w:sz="6" w:space="0"/>
            </w:tcBorders>
            <w:noWrap w:val="0"/>
            <w:vAlign w:val="top"/>
          </w:tcPr>
          <w:p w14:paraId="5C146D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92D70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4683EF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nil"/>
            </w:tcBorders>
            <w:noWrap w:val="0"/>
            <w:vAlign w:val="top"/>
          </w:tcPr>
          <w:p w14:paraId="6200068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top"/>
          </w:tcPr>
          <w:p w14:paraId="6E8B652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tcBorders>
              <w:top w:val="nil"/>
            </w:tcBorders>
            <w:noWrap w:val="0"/>
            <w:vAlign w:val="top"/>
          </w:tcPr>
          <w:p w14:paraId="6CA671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tcBorders>
              <w:top w:val="nil"/>
            </w:tcBorders>
            <w:noWrap w:val="0"/>
            <w:vAlign w:val="top"/>
          </w:tcPr>
          <w:p w14:paraId="7E0AC6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nil"/>
            </w:tcBorders>
            <w:noWrap w:val="0"/>
            <w:vAlign w:val="top"/>
          </w:tcPr>
          <w:p w14:paraId="54E6816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tcBorders>
              <w:top w:val="nil"/>
            </w:tcBorders>
            <w:noWrap w:val="0"/>
            <w:vAlign w:val="top"/>
          </w:tcPr>
          <w:p w14:paraId="0B794A9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8C7CF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C5E619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6243AA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03ADDBF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2CE4834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6A8DAF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329C95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2B4E29B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B51DA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D587F6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A6FC19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3C39B9D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57AA8E1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C3EF32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476009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F027E9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7B069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929355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685F89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69CEE26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7738997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C26C76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1AC82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74A1094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F857B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DCBFE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1BD742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1F839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0253947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30B43D7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2F4CB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9B474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E8761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9194C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1A56B2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8651F3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1B77D03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85B644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67431A0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6060536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5B012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B414BB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0678C8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3F091E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79933A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4A70F13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4B3FB80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7BD637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E4281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C7B1D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FD3DEE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0A734DA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166D2CA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EED956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61DB04C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7B00AA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C4145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9A5C87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38C80B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26421E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F27FB2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3BA47C6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DF8FA3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65F3708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BBF3E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CEA68C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4AAB49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71B8FA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7BB6363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EA60C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4B2CC0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4102481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D57E8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7E75AA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EEAF07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7DC29D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0E8C648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71A43C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4EF5B91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15FA11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23936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B2BC2A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D1984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BA037D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075C32C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3BE027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0C66D3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97683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208A4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AA171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E95017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7CE897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617F35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11AEBE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799CE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478E6B4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51380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C2238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2EF475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08FC14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AE2BF2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C69A51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0545DFE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93F4B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A7286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43F452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F22F83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273457A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08A5B09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BFEC3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48F61B8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A59B8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87412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14FEE6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7F705F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CAF959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6F9170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AF1AEF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CBE904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2B896D5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EEDBE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261E7E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B9D886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612C04B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16E7127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6AD695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56E739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6F0106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B502B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988EAB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BDF5A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268B538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8AFDC3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18FB8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1E2BD8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6C481AE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3191C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7EDEA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EB1723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EE1831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21BF9A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72F0449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42BFBE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1C91CF2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7FAA0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E88966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6BC5A9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3CAB09F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1823F6F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0F9AC60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30A1D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03FA98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DBD86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FDCBD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76BF39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7EB4AC2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7499BD2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4BD39C3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12849A3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EFDD3C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9E0C1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3F67E0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62FC46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08FF11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1931B70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01AB154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134D2D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8FEBF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37098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6C1624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31AA80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0F34BB8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FCEB88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2CD847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4A69E1E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6FCE913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234F1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0D6AB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0B4BF1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EFCAEC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986FC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42F8A9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420E2ED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064D1E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bl>
    <w:p w14:paraId="6AF7F1ED">
      <w:pPr>
        <w:pageBreakBefore w:val="0"/>
        <w:kinsoku/>
        <w:overflowPunct/>
        <w:topLinePunct w:val="0"/>
        <w:bidi w:val="0"/>
        <w:spacing w:before="156" w:beforeLines="50" w:after="156" w:afterLines="50" w:line="440" w:lineRule="exact"/>
        <w:rPr>
          <w:rFonts w:hint="eastAsia" w:ascii="仿宋" w:hAnsi="仿宋" w:eastAsia="仿宋" w:cs="仿宋"/>
          <w:color w:val="auto"/>
          <w:sz w:val="24"/>
          <w:szCs w:val="24"/>
        </w:rPr>
      </w:pPr>
    </w:p>
    <w:p w14:paraId="48C2FC93">
      <w:pPr>
        <w:pStyle w:val="2"/>
        <w:rPr>
          <w:rFonts w:hint="eastAsia"/>
        </w:rPr>
      </w:pPr>
    </w:p>
    <w:p w14:paraId="1760CDC0">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11-2：工程设备暂估价表</w:t>
      </w:r>
    </w:p>
    <w:tbl>
      <w:tblPr>
        <w:tblStyle w:val="19"/>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53B79C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69C161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序号</w:t>
            </w:r>
          </w:p>
        </w:tc>
        <w:tc>
          <w:tcPr>
            <w:tcW w:w="1984" w:type="dxa"/>
            <w:tcBorders>
              <w:top w:val="single" w:color="auto" w:sz="12" w:space="0"/>
              <w:bottom w:val="double" w:color="auto" w:sz="6" w:space="0"/>
            </w:tcBorders>
            <w:noWrap w:val="0"/>
            <w:vAlign w:val="top"/>
          </w:tcPr>
          <w:p w14:paraId="06CE1D0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名称</w:t>
            </w:r>
          </w:p>
        </w:tc>
        <w:tc>
          <w:tcPr>
            <w:tcW w:w="851" w:type="dxa"/>
            <w:tcBorders>
              <w:top w:val="single" w:color="auto" w:sz="12" w:space="0"/>
              <w:bottom w:val="double" w:color="auto" w:sz="6" w:space="0"/>
            </w:tcBorders>
            <w:noWrap w:val="0"/>
            <w:vAlign w:val="top"/>
          </w:tcPr>
          <w:p w14:paraId="3B356A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单位</w:t>
            </w:r>
          </w:p>
        </w:tc>
        <w:tc>
          <w:tcPr>
            <w:tcW w:w="774" w:type="dxa"/>
            <w:tcBorders>
              <w:top w:val="single" w:color="auto" w:sz="12" w:space="0"/>
              <w:bottom w:val="double" w:color="auto" w:sz="6" w:space="0"/>
            </w:tcBorders>
            <w:noWrap w:val="0"/>
            <w:vAlign w:val="top"/>
          </w:tcPr>
          <w:p w14:paraId="515D3D7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数量</w:t>
            </w:r>
          </w:p>
        </w:tc>
        <w:tc>
          <w:tcPr>
            <w:tcW w:w="1352" w:type="dxa"/>
            <w:tcBorders>
              <w:top w:val="single" w:color="auto" w:sz="12" w:space="0"/>
              <w:bottom w:val="double" w:color="auto" w:sz="6" w:space="0"/>
            </w:tcBorders>
            <w:noWrap w:val="0"/>
            <w:vAlign w:val="top"/>
          </w:tcPr>
          <w:p w14:paraId="52F1D7F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单价（元）</w:t>
            </w:r>
          </w:p>
        </w:tc>
        <w:tc>
          <w:tcPr>
            <w:tcW w:w="1418" w:type="dxa"/>
            <w:tcBorders>
              <w:top w:val="single" w:color="auto" w:sz="12" w:space="0"/>
              <w:bottom w:val="double" w:color="auto" w:sz="6" w:space="0"/>
            </w:tcBorders>
            <w:noWrap w:val="0"/>
            <w:vAlign w:val="top"/>
          </w:tcPr>
          <w:p w14:paraId="57488E3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合价（元）</w:t>
            </w:r>
          </w:p>
        </w:tc>
        <w:tc>
          <w:tcPr>
            <w:tcW w:w="1701" w:type="dxa"/>
            <w:tcBorders>
              <w:top w:val="single" w:color="auto" w:sz="12" w:space="0"/>
              <w:bottom w:val="double" w:color="auto" w:sz="6" w:space="0"/>
            </w:tcBorders>
            <w:noWrap w:val="0"/>
            <w:vAlign w:val="top"/>
          </w:tcPr>
          <w:p w14:paraId="0D1EEDA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备注</w:t>
            </w:r>
          </w:p>
        </w:tc>
      </w:tr>
      <w:tr w14:paraId="4F55A3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5F8337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double" w:color="auto" w:sz="6" w:space="0"/>
              <w:bottom w:val="single" w:color="auto" w:sz="6" w:space="0"/>
            </w:tcBorders>
            <w:noWrap w:val="0"/>
            <w:vAlign w:val="top"/>
          </w:tcPr>
          <w:p w14:paraId="152B312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double" w:color="auto" w:sz="6" w:space="0"/>
              <w:bottom w:val="single" w:color="auto" w:sz="6" w:space="0"/>
            </w:tcBorders>
            <w:noWrap w:val="0"/>
            <w:vAlign w:val="top"/>
          </w:tcPr>
          <w:p w14:paraId="79ADD3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tcBorders>
              <w:top w:val="double" w:color="auto" w:sz="6" w:space="0"/>
              <w:bottom w:val="single" w:color="auto" w:sz="6" w:space="0"/>
            </w:tcBorders>
            <w:noWrap w:val="0"/>
            <w:vAlign w:val="top"/>
          </w:tcPr>
          <w:p w14:paraId="21D0D97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tcBorders>
              <w:top w:val="double" w:color="auto" w:sz="6" w:space="0"/>
              <w:bottom w:val="single" w:color="auto" w:sz="6" w:space="0"/>
            </w:tcBorders>
            <w:noWrap w:val="0"/>
            <w:vAlign w:val="top"/>
          </w:tcPr>
          <w:p w14:paraId="0D1AF7B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double" w:color="auto" w:sz="6" w:space="0"/>
              <w:bottom w:val="single" w:color="auto" w:sz="6" w:space="0"/>
            </w:tcBorders>
            <w:noWrap w:val="0"/>
            <w:vAlign w:val="top"/>
          </w:tcPr>
          <w:p w14:paraId="1547341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tcBorders>
              <w:top w:val="double" w:color="auto" w:sz="6" w:space="0"/>
              <w:bottom w:val="single" w:color="auto" w:sz="6" w:space="0"/>
            </w:tcBorders>
            <w:noWrap w:val="0"/>
            <w:vAlign w:val="top"/>
          </w:tcPr>
          <w:p w14:paraId="7846193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8BDC2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14237E3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nil"/>
            </w:tcBorders>
            <w:noWrap w:val="0"/>
            <w:vAlign w:val="top"/>
          </w:tcPr>
          <w:p w14:paraId="7EFE36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tcBorders>
              <w:top w:val="nil"/>
            </w:tcBorders>
            <w:noWrap w:val="0"/>
            <w:vAlign w:val="top"/>
          </w:tcPr>
          <w:p w14:paraId="63285E0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tcBorders>
              <w:top w:val="nil"/>
            </w:tcBorders>
            <w:noWrap w:val="0"/>
            <w:vAlign w:val="top"/>
          </w:tcPr>
          <w:p w14:paraId="35FCB7C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tcBorders>
              <w:top w:val="nil"/>
            </w:tcBorders>
            <w:noWrap w:val="0"/>
            <w:vAlign w:val="top"/>
          </w:tcPr>
          <w:p w14:paraId="0A5F46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tcBorders>
              <w:top w:val="nil"/>
            </w:tcBorders>
            <w:noWrap w:val="0"/>
            <w:vAlign w:val="top"/>
          </w:tcPr>
          <w:p w14:paraId="3B7E61D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tcBorders>
              <w:top w:val="nil"/>
            </w:tcBorders>
            <w:noWrap w:val="0"/>
            <w:vAlign w:val="top"/>
          </w:tcPr>
          <w:p w14:paraId="429170A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45BD9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FA4097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F371F4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E66BE2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13A8100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12BCF8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02F7C1D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2D0EE9F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5C862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B98F05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66A709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3B832F5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817EA0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4A3803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696087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20F6F25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46E2A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79F27F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82DAC7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75F06C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87ECC6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68E6D1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956E31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4749A6F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76A15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C95C09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2978CF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672DF85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D08680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3C0E0FB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63664A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17FCCAD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A28F4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687CEA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7BF7D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083C4EB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FDDEE9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62C27D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BDF4AE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3CD7A7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4F58B3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4FF2E8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0715F4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32AB8B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31C4AE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7BF6286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1C4F24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136CE27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85266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25C27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579A49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67E6AA4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C7E38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70FF37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380A6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719D2E4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C3F84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7F6F2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90576E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66FB21A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94FA37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6BF30F3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34F3122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C43C56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589B6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EC3BB4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8295A8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59DC3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A758F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EB77B6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3FCD91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1D47951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44E29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180078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E6A152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285D2FF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5AD2AB2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76926D0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336D25D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141693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5E1C3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DE70E2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4C5122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622F18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3EB82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079006E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191D960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C98BA5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691D2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7F6A5D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FC3AF4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7235E4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B40863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E085E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0DC628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61F6395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38161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4552C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5C18AA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32C4FA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84E77E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0EC5F54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03EEF53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2AFA7DB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7EF20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57004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EE0FB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83D4E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2C9A77B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0842B3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2D204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70194DF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EA9DC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380FD4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65B0BF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2687E18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2874E4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6F1B71E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3A4D77E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B0CD3C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001DF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0E7E2C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34371F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38D59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1E9275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50B1E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4E4CEE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58F4825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79210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ECD4D9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EF7D8E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7E1042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0E28E6E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561EF20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5A00FA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92914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9C4B8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441566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662759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621E47B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3FD6E49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6CBDE41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81AAEE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9D2A2F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DE902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69F32A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83A175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5808AC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58A580A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70D8284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7C4B4E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55791A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DC55B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FD879E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AFEE0B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B4200A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616B2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25C2AA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603468F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77EF36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6C865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A2BF1D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8C5EC5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2728A0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48DAED4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380735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23B09FD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358837D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9C855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BFB33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C4A419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1CD23D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6A6C1E9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6AC0F95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19EB4D5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0A16DDF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A07D7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061786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8B9B6D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851" w:type="dxa"/>
            <w:noWrap w:val="0"/>
            <w:vAlign w:val="top"/>
          </w:tcPr>
          <w:p w14:paraId="471E86B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774" w:type="dxa"/>
            <w:noWrap w:val="0"/>
            <w:vAlign w:val="top"/>
          </w:tcPr>
          <w:p w14:paraId="504F991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352" w:type="dxa"/>
            <w:noWrap w:val="0"/>
            <w:vAlign w:val="top"/>
          </w:tcPr>
          <w:p w14:paraId="1A41938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418" w:type="dxa"/>
            <w:noWrap w:val="0"/>
            <w:vAlign w:val="top"/>
          </w:tcPr>
          <w:p w14:paraId="165AD8D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701" w:type="dxa"/>
            <w:noWrap w:val="0"/>
            <w:vAlign w:val="top"/>
          </w:tcPr>
          <w:p w14:paraId="1B71FEB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bl>
    <w:p w14:paraId="23DBDCA4">
      <w:pPr>
        <w:pageBreakBefore w:val="0"/>
        <w:kinsoku/>
        <w:overflowPunct/>
        <w:topLinePunct w:val="0"/>
        <w:bidi w:val="0"/>
        <w:spacing w:line="440" w:lineRule="exact"/>
        <w:rPr>
          <w:rFonts w:hint="eastAsia" w:ascii="仿宋" w:hAnsi="仿宋" w:eastAsia="仿宋" w:cs="仿宋"/>
          <w:color w:val="auto"/>
          <w:sz w:val="24"/>
          <w:szCs w:val="24"/>
        </w:rPr>
      </w:pPr>
    </w:p>
    <w:p w14:paraId="28F1371A">
      <w:pPr>
        <w:pageBreakBefore w:val="0"/>
        <w:kinsoku/>
        <w:overflowPunct/>
        <w:topLinePunct w:val="0"/>
        <w:bidi w:val="0"/>
        <w:spacing w:before="156" w:beforeLines="50" w:after="156" w:afterLines="50"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11-3：专业工程暂估价表</w:t>
      </w:r>
    </w:p>
    <w:tbl>
      <w:tblPr>
        <w:tblStyle w:val="19"/>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7DFFFD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top"/>
          </w:tcPr>
          <w:p w14:paraId="764A03E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序号</w:t>
            </w:r>
          </w:p>
        </w:tc>
        <w:tc>
          <w:tcPr>
            <w:tcW w:w="1984" w:type="dxa"/>
            <w:tcBorders>
              <w:top w:val="single" w:color="auto" w:sz="12" w:space="0"/>
              <w:bottom w:val="double" w:color="auto" w:sz="6" w:space="0"/>
            </w:tcBorders>
            <w:noWrap w:val="0"/>
            <w:vAlign w:val="top"/>
          </w:tcPr>
          <w:p w14:paraId="7795BBD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专业工程名称</w:t>
            </w:r>
          </w:p>
        </w:tc>
        <w:tc>
          <w:tcPr>
            <w:tcW w:w="4678" w:type="dxa"/>
            <w:tcBorders>
              <w:top w:val="single" w:color="auto" w:sz="12" w:space="0"/>
              <w:bottom w:val="double" w:color="auto" w:sz="6" w:space="0"/>
            </w:tcBorders>
            <w:noWrap w:val="0"/>
            <w:vAlign w:val="top"/>
          </w:tcPr>
          <w:p w14:paraId="743DEE3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工程内容</w:t>
            </w:r>
          </w:p>
        </w:tc>
        <w:tc>
          <w:tcPr>
            <w:tcW w:w="1276" w:type="dxa"/>
            <w:tcBorders>
              <w:top w:val="single" w:color="auto" w:sz="12" w:space="0"/>
              <w:bottom w:val="double" w:color="auto" w:sz="6" w:space="0"/>
            </w:tcBorders>
            <w:noWrap w:val="0"/>
            <w:vAlign w:val="top"/>
          </w:tcPr>
          <w:p w14:paraId="446A3D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金额</w:t>
            </w:r>
          </w:p>
        </w:tc>
      </w:tr>
      <w:tr w14:paraId="43E903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14:paraId="1C6C63F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double" w:color="auto" w:sz="6" w:space="0"/>
              <w:bottom w:val="single" w:color="auto" w:sz="6" w:space="0"/>
            </w:tcBorders>
            <w:noWrap w:val="0"/>
            <w:vAlign w:val="top"/>
          </w:tcPr>
          <w:p w14:paraId="71C159A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tcBorders>
              <w:top w:val="double" w:color="auto" w:sz="6" w:space="0"/>
              <w:bottom w:val="single" w:color="auto" w:sz="6" w:space="0"/>
            </w:tcBorders>
            <w:noWrap w:val="0"/>
            <w:vAlign w:val="top"/>
          </w:tcPr>
          <w:p w14:paraId="41E6528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double" w:color="auto" w:sz="6" w:space="0"/>
              <w:bottom w:val="single" w:color="auto" w:sz="6" w:space="0"/>
            </w:tcBorders>
            <w:noWrap w:val="0"/>
            <w:vAlign w:val="top"/>
          </w:tcPr>
          <w:p w14:paraId="4D73FF5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4B0E2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49DC4AB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nil"/>
            </w:tcBorders>
            <w:noWrap w:val="0"/>
            <w:vAlign w:val="top"/>
          </w:tcPr>
          <w:p w14:paraId="77CA41F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tcBorders>
              <w:top w:val="nil"/>
            </w:tcBorders>
            <w:noWrap w:val="0"/>
            <w:vAlign w:val="top"/>
          </w:tcPr>
          <w:p w14:paraId="4230AD5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nil"/>
            </w:tcBorders>
            <w:noWrap w:val="0"/>
            <w:vAlign w:val="top"/>
          </w:tcPr>
          <w:p w14:paraId="1F8536F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A2494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7D50BD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tcBorders>
              <w:top w:val="nil"/>
            </w:tcBorders>
            <w:noWrap w:val="0"/>
            <w:vAlign w:val="top"/>
          </w:tcPr>
          <w:p w14:paraId="540C359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tcBorders>
              <w:top w:val="nil"/>
            </w:tcBorders>
            <w:noWrap w:val="0"/>
            <w:vAlign w:val="top"/>
          </w:tcPr>
          <w:p w14:paraId="689C6A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tcBorders>
              <w:top w:val="nil"/>
            </w:tcBorders>
            <w:noWrap w:val="0"/>
            <w:vAlign w:val="top"/>
          </w:tcPr>
          <w:p w14:paraId="2EE7DB7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E2129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159D1B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6D350D1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041C8F6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5B7780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176FA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D23F64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3108F3A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31EF272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F30234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6CDC9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95C972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7721A74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654E11E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620AC0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E481C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970C98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6BA125B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6C0C767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2384ACE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01109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DD0198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5F78A4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65D36AC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698E23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77FD1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1A01A7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4FE216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390D50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30F6522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9C4C4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D46C18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3F000A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27546E3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130ACC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4B4F7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78C9C6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ECF7FB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0817DDF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52A0A00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A9BC2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FE8027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021C1E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3F5D360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B47143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308A7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0315B6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160DA0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4140C27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294BC5F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D26DB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20763A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12CB77D">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6872269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7508C5E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045F6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98B356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AF4EAC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6CB021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45E53F7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887C1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FEF5EE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BD1286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09C74EC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328A788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0C07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B80C4B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1B482F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1EEBF99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06F6C0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697CB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3C5A1B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A5B2A6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05B2AC6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5E76E72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0B8AC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E87955F">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A0874A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2D6AC79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7F68E6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0DAD1B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6B25CB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667F7D0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20DE36C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4F6F66C5">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2AB3AA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BFF32FB">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D80628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3EDA5B1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3715A22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E0DD8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66AC8A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5CDFE86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233DAF97">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5C1869D2">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1BE724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A0F43AA">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06D6EFD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7455A278">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9DC52E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5C6C4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423A4D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1E128DD0">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7C99D63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21CDC699">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4D979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23622A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245BAA5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12A8F95E">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13E5BEC6">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7F8DD1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8C87B6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984" w:type="dxa"/>
            <w:noWrap w:val="0"/>
            <w:vAlign w:val="top"/>
          </w:tcPr>
          <w:p w14:paraId="42DDFE83">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4678" w:type="dxa"/>
            <w:noWrap w:val="0"/>
            <w:vAlign w:val="top"/>
          </w:tcPr>
          <w:p w14:paraId="5B60B2B4">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c>
          <w:tcPr>
            <w:tcW w:w="1276" w:type="dxa"/>
            <w:noWrap w:val="0"/>
            <w:vAlign w:val="top"/>
          </w:tcPr>
          <w:p w14:paraId="2462D2B1">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p>
        </w:tc>
      </w:tr>
      <w:tr w14:paraId="362FE8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top"/>
          </w:tcPr>
          <w:p w14:paraId="367B071C">
            <w:pPr>
              <w:pStyle w:val="10"/>
              <w:keepNext/>
              <w:pageBreakBefore w:val="0"/>
              <w:kinsoku/>
              <w:overflowPunct/>
              <w:topLinePunct w:val="0"/>
              <w:bidi w:val="0"/>
              <w:spacing w:after="0" w:line="440" w:lineRule="exact"/>
              <w:ind w:left="63" w:right="63"/>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小计：</w:t>
            </w:r>
          </w:p>
        </w:tc>
      </w:tr>
    </w:tbl>
    <w:p w14:paraId="13F5B6B6">
      <w:pPr>
        <w:keepNext w:val="0"/>
        <w:keepLines w:val="0"/>
        <w:pageBreakBefore w:val="0"/>
        <w:widowControl/>
        <w:kinsoku/>
        <w:wordWrap/>
        <w:overflowPunct/>
        <w:topLinePunct w:val="0"/>
        <w:autoSpaceDE/>
        <w:autoSpaceDN/>
        <w:bidi w:val="0"/>
        <w:adjustRightInd/>
        <w:snapToGrid w:val="0"/>
        <w:spacing w:line="440" w:lineRule="exact"/>
        <w:jc w:val="left"/>
        <w:textAlignment w:val="bottom"/>
        <w:rPr>
          <w:rFonts w:hint="eastAsia" w:ascii="仿宋" w:hAnsi="仿宋" w:eastAsia="仿宋" w:cs="仿宋"/>
          <w:b w:val="0"/>
          <w:bCs w:val="0"/>
          <w:color w:val="auto"/>
          <w:kern w:val="0"/>
          <w:sz w:val="24"/>
          <w:szCs w:val="24"/>
          <w:lang w:bidi="ar"/>
        </w:rPr>
      </w:pPr>
    </w:p>
    <w:p w14:paraId="7FC0FBBC">
      <w:pPr>
        <w:pStyle w:val="3"/>
        <w:pageBreakBefore w:val="0"/>
        <w:wordWrap/>
        <w:topLinePunct w:val="0"/>
        <w:bidi w:val="0"/>
        <w:spacing w:line="480" w:lineRule="exact"/>
        <w:jc w:val="center"/>
        <w:rPr>
          <w:rFonts w:hint="eastAsia" w:ascii="仿宋" w:hAnsi="仿宋" w:eastAsia="仿宋" w:cs="仿宋"/>
          <w:sz w:val="28"/>
          <w:szCs w:val="28"/>
        </w:rPr>
      </w:pPr>
      <w:bookmarkStart w:id="1356" w:name="_Toc11788"/>
      <w:r>
        <w:rPr>
          <w:rFonts w:hint="eastAsia" w:ascii="仿宋" w:hAnsi="仿宋" w:eastAsia="仿宋" w:cs="仿宋"/>
          <w:sz w:val="28"/>
          <w:szCs w:val="28"/>
        </w:rPr>
        <w:t>第六章</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响应文件的格式</w:t>
      </w:r>
      <w:bookmarkEnd w:id="1356"/>
    </w:p>
    <w:p w14:paraId="3D872032">
      <w:pPr>
        <w:pageBreakBefore w:val="0"/>
        <w:wordWrap/>
        <w:topLinePunct w:val="0"/>
        <w:bidi w:val="0"/>
        <w:spacing w:line="480" w:lineRule="exact"/>
        <w:rPr>
          <w:rFonts w:hint="eastAsia" w:ascii="仿宋" w:hAnsi="仿宋" w:eastAsia="仿宋" w:cs="仿宋"/>
          <w:sz w:val="24"/>
          <w:szCs w:val="24"/>
        </w:rPr>
      </w:pPr>
    </w:p>
    <w:p w14:paraId="57B86D99">
      <w:pPr>
        <w:pageBreakBefore w:val="0"/>
        <w:wordWrap/>
        <w:topLinePunct w:val="0"/>
        <w:bidi w:val="0"/>
        <w:spacing w:line="480" w:lineRule="exact"/>
        <w:rPr>
          <w:rFonts w:hint="eastAsia" w:ascii="仿宋" w:hAnsi="仿宋" w:eastAsia="仿宋" w:cs="仿宋"/>
          <w:sz w:val="24"/>
          <w:szCs w:val="24"/>
        </w:rPr>
      </w:pPr>
    </w:p>
    <w:p w14:paraId="3234D91F">
      <w:pPr>
        <w:pageBreakBefore w:val="0"/>
        <w:wordWrap/>
        <w:topLinePunct w:val="0"/>
        <w:bidi w:val="0"/>
        <w:spacing w:line="480" w:lineRule="exact"/>
        <w:rPr>
          <w:rFonts w:hint="eastAsia" w:ascii="仿宋" w:hAnsi="仿宋" w:eastAsia="仿宋" w:cs="仿宋"/>
          <w:sz w:val="24"/>
          <w:szCs w:val="24"/>
        </w:rPr>
      </w:pPr>
      <w:r>
        <w:rPr>
          <w:rFonts w:hint="eastAsia" w:ascii="仿宋" w:hAnsi="仿宋" w:eastAsia="仿宋" w:cs="仿宋"/>
          <w:sz w:val="24"/>
          <w:szCs w:val="24"/>
        </w:rPr>
        <w:t>封面：</w:t>
      </w:r>
    </w:p>
    <w:p w14:paraId="6895694F">
      <w:pPr>
        <w:pageBreakBefore w:val="0"/>
        <w:wordWrap/>
        <w:topLinePunct w:val="0"/>
        <w:bidi w:val="0"/>
        <w:spacing w:line="480" w:lineRule="exact"/>
        <w:rPr>
          <w:rFonts w:hint="eastAsia" w:ascii="仿宋" w:hAnsi="仿宋" w:eastAsia="仿宋" w:cs="仿宋"/>
          <w:sz w:val="24"/>
          <w:szCs w:val="24"/>
        </w:rPr>
      </w:pPr>
    </w:p>
    <w:p w14:paraId="09FB495F">
      <w:pPr>
        <w:pageBreakBefore w:val="0"/>
        <w:wordWrap/>
        <w:topLinePunct w:val="0"/>
        <w:bidi w:val="0"/>
        <w:spacing w:line="480" w:lineRule="exact"/>
        <w:rPr>
          <w:rFonts w:hint="eastAsia" w:ascii="仿宋" w:hAnsi="仿宋" w:eastAsia="仿宋" w:cs="仿宋"/>
          <w:sz w:val="24"/>
          <w:szCs w:val="24"/>
        </w:rPr>
      </w:pPr>
    </w:p>
    <w:p w14:paraId="12E95D32">
      <w:pPr>
        <w:pageBreakBefore w:val="0"/>
        <w:wordWrap/>
        <w:topLinePunct w:val="0"/>
        <w:bidi w:val="0"/>
        <w:spacing w:line="480" w:lineRule="exact"/>
        <w:rPr>
          <w:rFonts w:hint="eastAsia" w:ascii="仿宋" w:hAnsi="仿宋" w:eastAsia="仿宋" w:cs="仿宋"/>
          <w:sz w:val="24"/>
          <w:szCs w:val="24"/>
        </w:rPr>
      </w:pPr>
    </w:p>
    <w:p w14:paraId="731345F9">
      <w:pPr>
        <w:pageBreakBefore w:val="0"/>
        <w:wordWrap/>
        <w:topLinePunct w:val="0"/>
        <w:bidi w:val="0"/>
        <w:spacing w:line="480" w:lineRule="exact"/>
        <w:rPr>
          <w:rFonts w:hint="eastAsia" w:ascii="仿宋" w:hAnsi="仿宋" w:eastAsia="仿宋" w:cs="仿宋"/>
          <w:sz w:val="24"/>
          <w:szCs w:val="24"/>
        </w:rPr>
      </w:pPr>
    </w:p>
    <w:p w14:paraId="1F55716F">
      <w:pPr>
        <w:pageBreakBefore w:val="0"/>
        <w:wordWrap/>
        <w:topLinePunct w:val="0"/>
        <w:bidi w:val="0"/>
        <w:spacing w:line="480" w:lineRule="exact"/>
        <w:rPr>
          <w:rFonts w:hint="eastAsia" w:ascii="仿宋" w:hAnsi="仿宋" w:eastAsia="仿宋" w:cs="仿宋"/>
          <w:sz w:val="24"/>
          <w:szCs w:val="24"/>
        </w:rPr>
      </w:pPr>
    </w:p>
    <w:p w14:paraId="2B21A938">
      <w:pPr>
        <w:pageBreakBefore w:val="0"/>
        <w:wordWrap/>
        <w:topLinePunct w:val="0"/>
        <w:bidi w:val="0"/>
        <w:spacing w:line="480" w:lineRule="exact"/>
        <w:rPr>
          <w:rFonts w:hint="eastAsia" w:ascii="仿宋" w:hAnsi="仿宋" w:eastAsia="仿宋" w:cs="仿宋"/>
          <w:sz w:val="24"/>
          <w:szCs w:val="24"/>
        </w:rPr>
      </w:pPr>
    </w:p>
    <w:p w14:paraId="29491096">
      <w:pPr>
        <w:pageBreakBefore w:val="0"/>
        <w:wordWrap/>
        <w:topLinePunct w:val="0"/>
        <w:bidi w:val="0"/>
        <w:spacing w:line="480" w:lineRule="exact"/>
        <w:jc w:val="center"/>
        <w:rPr>
          <w:rFonts w:hint="eastAsia" w:ascii="仿宋" w:hAnsi="仿宋" w:eastAsia="仿宋" w:cs="仿宋"/>
          <w:sz w:val="40"/>
          <w:szCs w:val="40"/>
        </w:rPr>
      </w:pPr>
      <w:bookmarkStart w:id="1357" w:name="bookmark24"/>
      <w:bookmarkEnd w:id="1357"/>
      <w:r>
        <w:rPr>
          <w:rFonts w:hint="eastAsia" w:ascii="仿宋" w:hAnsi="仿宋" w:eastAsia="仿宋" w:cs="仿宋"/>
          <w:sz w:val="40"/>
          <w:szCs w:val="40"/>
        </w:rPr>
        <w:t>响应文件</w:t>
      </w:r>
      <w:bookmarkStart w:id="1358" w:name="bookmark25"/>
      <w:bookmarkEnd w:id="1358"/>
      <w:bookmarkStart w:id="1359" w:name="bookmark24"/>
      <w:bookmarkEnd w:id="1359"/>
    </w:p>
    <w:p w14:paraId="25FD4F31">
      <w:pPr>
        <w:pageBreakBefore w:val="0"/>
        <w:wordWrap/>
        <w:topLinePunct w:val="0"/>
        <w:bidi w:val="0"/>
        <w:spacing w:line="480" w:lineRule="exact"/>
        <w:jc w:val="center"/>
        <w:rPr>
          <w:rFonts w:hint="eastAsia" w:ascii="仿宋" w:hAnsi="仿宋" w:eastAsia="仿宋" w:cs="仿宋"/>
          <w:sz w:val="24"/>
          <w:szCs w:val="24"/>
        </w:rPr>
      </w:pPr>
    </w:p>
    <w:p w14:paraId="67D9CE3D">
      <w:pPr>
        <w:pageBreakBefore w:val="0"/>
        <w:wordWrap/>
        <w:topLinePunct w:val="0"/>
        <w:bidi w:val="0"/>
        <w:spacing w:line="480" w:lineRule="exact"/>
        <w:jc w:val="center"/>
        <w:rPr>
          <w:rFonts w:hint="eastAsia" w:ascii="仿宋" w:hAnsi="仿宋" w:eastAsia="仿宋" w:cs="仿宋"/>
          <w:sz w:val="24"/>
          <w:szCs w:val="24"/>
        </w:rPr>
      </w:pPr>
    </w:p>
    <w:p w14:paraId="59BD5CF4">
      <w:pPr>
        <w:pageBreakBefore w:val="0"/>
        <w:wordWrap/>
        <w:topLinePunct w:val="0"/>
        <w:bidi w:val="0"/>
        <w:spacing w:line="480" w:lineRule="exact"/>
        <w:jc w:val="center"/>
        <w:rPr>
          <w:rFonts w:hint="eastAsia" w:ascii="仿宋" w:hAnsi="仿宋" w:eastAsia="仿宋" w:cs="仿宋"/>
          <w:sz w:val="24"/>
          <w:szCs w:val="24"/>
        </w:rPr>
      </w:pPr>
    </w:p>
    <w:p w14:paraId="2DECB001">
      <w:pPr>
        <w:pageBreakBefore w:val="0"/>
        <w:wordWrap/>
        <w:topLinePunct w:val="0"/>
        <w:bidi w:val="0"/>
        <w:spacing w:line="480" w:lineRule="exact"/>
        <w:jc w:val="center"/>
        <w:rPr>
          <w:rFonts w:hint="eastAsia" w:ascii="仿宋" w:hAnsi="仿宋" w:eastAsia="仿宋" w:cs="仿宋"/>
          <w:sz w:val="24"/>
          <w:szCs w:val="24"/>
        </w:rPr>
      </w:pPr>
    </w:p>
    <w:p w14:paraId="160306C0">
      <w:pPr>
        <w:pageBreakBefore w:val="0"/>
        <w:wordWrap/>
        <w:topLinePunct w:val="0"/>
        <w:bidi w:val="0"/>
        <w:spacing w:line="480" w:lineRule="exact"/>
        <w:jc w:val="center"/>
        <w:rPr>
          <w:rFonts w:hint="eastAsia" w:ascii="仿宋" w:hAnsi="仿宋" w:eastAsia="仿宋" w:cs="仿宋"/>
          <w:sz w:val="24"/>
          <w:szCs w:val="24"/>
        </w:rPr>
      </w:pPr>
    </w:p>
    <w:p w14:paraId="4671CF77">
      <w:pPr>
        <w:pageBreakBefore w:val="0"/>
        <w:wordWrap/>
        <w:topLinePunct w:val="0"/>
        <w:bidi w:val="0"/>
        <w:spacing w:line="480" w:lineRule="exact"/>
        <w:jc w:val="center"/>
        <w:rPr>
          <w:rFonts w:hint="eastAsia" w:ascii="仿宋" w:hAnsi="仿宋" w:eastAsia="仿宋" w:cs="仿宋"/>
          <w:sz w:val="24"/>
          <w:szCs w:val="24"/>
        </w:rPr>
      </w:pPr>
    </w:p>
    <w:p w14:paraId="1EE98F97">
      <w:pPr>
        <w:pageBreakBefore w:val="0"/>
        <w:wordWrap/>
        <w:topLinePunct w:val="0"/>
        <w:bidi w:val="0"/>
        <w:spacing w:line="480" w:lineRule="exact"/>
        <w:jc w:val="center"/>
        <w:rPr>
          <w:rFonts w:hint="eastAsia" w:ascii="仿宋" w:hAnsi="仿宋" w:eastAsia="仿宋" w:cs="仿宋"/>
          <w:sz w:val="24"/>
          <w:szCs w:val="24"/>
          <w:lang w:eastAsia="zh-CN"/>
        </w:rPr>
      </w:pPr>
      <w:r>
        <w:rPr>
          <w:rFonts w:hint="eastAsia" w:ascii="仿宋" w:hAnsi="仿宋" w:eastAsia="仿宋" w:cs="仿宋"/>
          <w:sz w:val="24"/>
          <w:szCs w:val="24"/>
        </w:rPr>
        <w:t>项目编号：</w:t>
      </w:r>
    </w:p>
    <w:p w14:paraId="5DE37AB2">
      <w:pPr>
        <w:pageBreakBefore w:val="0"/>
        <w:wordWrap/>
        <w:topLinePunct w:val="0"/>
        <w:bidi w:val="0"/>
        <w:spacing w:line="480" w:lineRule="exact"/>
        <w:jc w:val="center"/>
        <w:rPr>
          <w:rFonts w:hint="eastAsia" w:ascii="仿宋" w:hAnsi="仿宋" w:eastAsia="仿宋" w:cs="仿宋"/>
          <w:sz w:val="24"/>
          <w:szCs w:val="24"/>
          <w:lang w:eastAsia="zh-CN"/>
        </w:rPr>
      </w:pPr>
      <w:r>
        <w:rPr>
          <w:rFonts w:hint="eastAsia" w:ascii="仿宋" w:hAnsi="仿宋" w:eastAsia="仿宋" w:cs="仿宋"/>
          <w:sz w:val="24"/>
          <w:szCs w:val="24"/>
        </w:rPr>
        <w:t>项目名称：</w:t>
      </w:r>
    </w:p>
    <w:p w14:paraId="68585F59">
      <w:pPr>
        <w:pageBreakBefore w:val="0"/>
        <w:wordWrap/>
        <w:topLinePunct w:val="0"/>
        <w:bidi w:val="0"/>
        <w:spacing w:line="480" w:lineRule="exact"/>
        <w:jc w:val="center"/>
        <w:rPr>
          <w:rFonts w:hint="eastAsia" w:ascii="仿宋" w:hAnsi="仿宋" w:eastAsia="仿宋" w:cs="仿宋"/>
          <w:sz w:val="24"/>
          <w:szCs w:val="24"/>
          <w:lang w:eastAsia="zh-CN"/>
        </w:rPr>
      </w:pPr>
      <w:r>
        <w:rPr>
          <w:rFonts w:hint="eastAsia" w:ascii="仿宋" w:hAnsi="仿宋" w:eastAsia="仿宋" w:cs="仿宋"/>
          <w:sz w:val="24"/>
          <w:szCs w:val="24"/>
        </w:rPr>
        <w:t>供应商：</w:t>
      </w:r>
    </w:p>
    <w:p w14:paraId="1C9DCE86">
      <w:pPr>
        <w:pageBreakBefore w:val="0"/>
        <w:wordWrap/>
        <w:topLinePunct w:val="0"/>
        <w:bidi w:val="0"/>
        <w:spacing w:line="480" w:lineRule="exact"/>
        <w:jc w:val="center"/>
        <w:rPr>
          <w:rFonts w:hint="eastAsia" w:ascii="仿宋" w:hAnsi="仿宋" w:eastAsia="仿宋" w:cs="仿宋"/>
          <w:sz w:val="24"/>
          <w:szCs w:val="24"/>
        </w:rPr>
      </w:pPr>
    </w:p>
    <w:p w14:paraId="6A6A5A14">
      <w:pPr>
        <w:pageBreakBefore w:val="0"/>
        <w:wordWrap/>
        <w:topLinePunct w:val="0"/>
        <w:bidi w:val="0"/>
        <w:spacing w:line="480" w:lineRule="exact"/>
        <w:jc w:val="center"/>
        <w:rPr>
          <w:rFonts w:hint="eastAsia" w:ascii="仿宋" w:hAnsi="仿宋" w:eastAsia="仿宋" w:cs="仿宋"/>
          <w:sz w:val="24"/>
          <w:szCs w:val="24"/>
        </w:rPr>
      </w:pPr>
    </w:p>
    <w:p w14:paraId="7921C807">
      <w:pPr>
        <w:pageBreakBefore w:val="0"/>
        <w:wordWrap/>
        <w:topLinePunct w:val="0"/>
        <w:bidi w:val="0"/>
        <w:spacing w:line="480" w:lineRule="exact"/>
        <w:jc w:val="center"/>
        <w:rPr>
          <w:rFonts w:hint="eastAsia" w:ascii="仿宋" w:hAnsi="仿宋" w:eastAsia="仿宋" w:cs="仿宋"/>
          <w:sz w:val="24"/>
          <w:szCs w:val="24"/>
        </w:rPr>
      </w:pPr>
    </w:p>
    <w:p w14:paraId="17EC9264">
      <w:pPr>
        <w:pageBreakBefore w:val="0"/>
        <w:wordWrap/>
        <w:topLinePunct w:val="0"/>
        <w:bidi w:val="0"/>
        <w:spacing w:line="480" w:lineRule="exact"/>
        <w:jc w:val="center"/>
        <w:rPr>
          <w:rFonts w:hint="eastAsia" w:ascii="仿宋" w:hAnsi="仿宋" w:eastAsia="仿宋" w:cs="仿宋"/>
          <w:sz w:val="24"/>
          <w:szCs w:val="24"/>
        </w:rPr>
      </w:pPr>
    </w:p>
    <w:p w14:paraId="0B311152">
      <w:pPr>
        <w:pageBreakBefore w:val="0"/>
        <w:wordWrap/>
        <w:topLinePunct w:val="0"/>
        <w:bidi w:val="0"/>
        <w:spacing w:line="480" w:lineRule="exact"/>
        <w:jc w:val="center"/>
        <w:rPr>
          <w:rFonts w:hint="eastAsia" w:ascii="仿宋" w:hAnsi="仿宋" w:eastAsia="仿宋" w:cs="仿宋"/>
          <w:sz w:val="24"/>
          <w:szCs w:val="24"/>
        </w:rPr>
      </w:pPr>
    </w:p>
    <w:p w14:paraId="01280065">
      <w:pPr>
        <w:pageBreakBefore w:val="0"/>
        <w:wordWrap/>
        <w:topLinePunct w:val="0"/>
        <w:bidi w:val="0"/>
        <w:spacing w:line="480" w:lineRule="exact"/>
        <w:jc w:val="center"/>
        <w:rPr>
          <w:rFonts w:hint="eastAsia" w:ascii="仿宋" w:hAnsi="仿宋" w:eastAsia="仿宋" w:cs="仿宋"/>
          <w:sz w:val="24"/>
          <w:szCs w:val="24"/>
        </w:rPr>
      </w:pPr>
    </w:p>
    <w:p w14:paraId="6DF136A7">
      <w:pPr>
        <w:pageBreakBefore w:val="0"/>
        <w:wordWrap/>
        <w:topLinePunct w:val="0"/>
        <w:bidi w:val="0"/>
        <w:spacing w:line="480" w:lineRule="exact"/>
        <w:jc w:val="center"/>
        <w:rPr>
          <w:rFonts w:hint="eastAsia" w:ascii="仿宋" w:hAnsi="仿宋" w:eastAsia="仿宋" w:cs="仿宋"/>
          <w:sz w:val="24"/>
          <w:szCs w:val="24"/>
        </w:rPr>
      </w:pPr>
      <w:r>
        <w:rPr>
          <w:rFonts w:hint="eastAsia" w:ascii="仿宋" w:hAnsi="仿宋" w:eastAsia="仿宋" w:cs="仿宋"/>
          <w:sz w:val="24"/>
          <w:szCs w:val="24"/>
        </w:rPr>
        <w:t>年月日</w:t>
      </w:r>
    </w:p>
    <w:p w14:paraId="0619767D">
      <w:pPr>
        <w:pageBreakBefore w:val="0"/>
        <w:wordWrap/>
        <w:topLinePunct w:val="0"/>
        <w:bidi w:val="0"/>
        <w:spacing w:line="480" w:lineRule="exact"/>
        <w:jc w:val="center"/>
        <w:rPr>
          <w:rFonts w:hint="eastAsia" w:ascii="仿宋" w:hAnsi="仿宋" w:eastAsia="仿宋" w:cs="仿宋"/>
          <w:sz w:val="24"/>
          <w:szCs w:val="24"/>
        </w:rPr>
        <w:sectPr>
          <w:headerReference r:id="rId16" w:type="default"/>
          <w:footerReference r:id="rId17" w:type="default"/>
          <w:pgSz w:w="11906" w:h="16839"/>
          <w:pgMar w:top="1166" w:right="1785" w:bottom="1306" w:left="1785" w:header="829" w:footer="1037" w:gutter="0"/>
          <w:pgNumType w:fmt="decimal"/>
          <w:cols w:space="720" w:num="1"/>
        </w:sectPr>
      </w:pPr>
    </w:p>
    <w:p w14:paraId="1B96EEA6">
      <w:pPr>
        <w:pStyle w:val="26"/>
        <w:keepLines w:val="0"/>
        <w:pageBreakBefore w:val="0"/>
        <w:shd w:val="clear" w:color="auto" w:fill="auto"/>
        <w:wordWrap/>
        <w:topLinePunct w:val="0"/>
        <w:bidi w:val="0"/>
        <w:spacing w:line="480" w:lineRule="exact"/>
        <w:ind w:firstLine="482" w:firstLineChars="200"/>
        <w:jc w:val="both"/>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响应</w:t>
      </w:r>
      <w:r>
        <w:rPr>
          <w:rFonts w:hint="eastAsia" w:ascii="仿宋" w:hAnsi="仿宋" w:eastAsia="仿宋" w:cs="仿宋"/>
          <w:b/>
          <w:bCs w:val="0"/>
          <w:color w:val="auto"/>
          <w:sz w:val="24"/>
          <w:szCs w:val="24"/>
          <w:highlight w:val="none"/>
        </w:rPr>
        <w:t>文件组成</w:t>
      </w:r>
    </w:p>
    <w:p w14:paraId="0B04D408">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60" w:name="_Toc28295"/>
      <w:bookmarkStart w:id="1361" w:name="_Toc3479"/>
      <w:bookmarkStart w:id="1362" w:name="_Toc498343979"/>
      <w:r>
        <w:rPr>
          <w:rFonts w:hint="eastAsia" w:ascii="仿宋" w:hAnsi="仿宋" w:eastAsia="仿宋" w:cs="仿宋"/>
          <w:color w:val="auto"/>
          <w:sz w:val="24"/>
          <w:szCs w:val="24"/>
          <w:highlight w:val="none"/>
          <w:lang w:val="en-US" w:eastAsia="zh-CN"/>
        </w:rPr>
        <w:t>商务部分:</w:t>
      </w:r>
      <w:bookmarkEnd w:id="1360"/>
      <w:bookmarkEnd w:id="1361"/>
    </w:p>
    <w:p w14:paraId="5AC5CB5A">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63" w:name="_Toc15308"/>
      <w:bookmarkStart w:id="1364" w:name="_Toc29260"/>
      <w:r>
        <w:rPr>
          <w:rFonts w:hint="eastAsia" w:ascii="仿宋" w:hAnsi="仿宋" w:eastAsia="仿宋" w:cs="仿宋"/>
          <w:color w:val="auto"/>
          <w:sz w:val="24"/>
          <w:szCs w:val="24"/>
          <w:highlight w:val="none"/>
          <w:lang w:val="en-US" w:eastAsia="zh-CN"/>
        </w:rPr>
        <w:t>（1）投标函</w:t>
      </w:r>
      <w:bookmarkEnd w:id="1363"/>
      <w:bookmarkEnd w:id="1364"/>
    </w:p>
    <w:p w14:paraId="4A1BFE69">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65" w:name="_Toc5981"/>
      <w:bookmarkStart w:id="1366" w:name="_Toc11091"/>
      <w:r>
        <w:rPr>
          <w:rFonts w:hint="eastAsia" w:ascii="仿宋" w:hAnsi="仿宋" w:eastAsia="仿宋" w:cs="仿宋"/>
          <w:color w:val="auto"/>
          <w:sz w:val="24"/>
          <w:szCs w:val="24"/>
          <w:highlight w:val="none"/>
          <w:lang w:val="en-US" w:eastAsia="zh-CN"/>
        </w:rPr>
        <w:t>（2）投标承诺书</w:t>
      </w:r>
      <w:bookmarkEnd w:id="1365"/>
      <w:bookmarkEnd w:id="1366"/>
    </w:p>
    <w:p w14:paraId="37A0501F">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67" w:name="_Toc22285"/>
      <w:bookmarkStart w:id="1368" w:name="_Toc10662"/>
      <w:r>
        <w:rPr>
          <w:rFonts w:hint="eastAsia" w:ascii="仿宋" w:hAnsi="仿宋" w:eastAsia="仿宋" w:cs="仿宋"/>
          <w:color w:val="auto"/>
          <w:sz w:val="24"/>
          <w:szCs w:val="24"/>
          <w:highlight w:val="none"/>
          <w:lang w:val="en-US" w:eastAsia="zh-CN"/>
        </w:rPr>
        <w:t>（3）法定代表人授权委托书</w:t>
      </w:r>
      <w:bookmarkEnd w:id="1367"/>
      <w:bookmarkEnd w:id="1368"/>
    </w:p>
    <w:p w14:paraId="0A009039">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69" w:name="_Toc20999"/>
      <w:bookmarkStart w:id="1370" w:name="_Toc3878"/>
      <w:r>
        <w:rPr>
          <w:rFonts w:hint="eastAsia" w:ascii="仿宋" w:hAnsi="仿宋" w:eastAsia="仿宋" w:cs="仿宋"/>
          <w:color w:val="auto"/>
          <w:sz w:val="24"/>
          <w:szCs w:val="24"/>
          <w:highlight w:val="none"/>
          <w:lang w:val="en-US" w:eastAsia="zh-CN"/>
        </w:rPr>
        <w:t>（4）开标一览表</w:t>
      </w:r>
      <w:bookmarkEnd w:id="1369"/>
      <w:r>
        <w:rPr>
          <w:rFonts w:hint="eastAsia" w:ascii="仿宋" w:hAnsi="仿宋" w:eastAsia="仿宋" w:cs="仿宋"/>
          <w:color w:val="auto"/>
          <w:sz w:val="24"/>
          <w:szCs w:val="24"/>
          <w:highlight w:val="none"/>
          <w:lang w:val="en-US" w:eastAsia="zh-CN"/>
        </w:rPr>
        <w:t xml:space="preserve">  </w:t>
      </w:r>
      <w:bookmarkEnd w:id="1370"/>
    </w:p>
    <w:p w14:paraId="0FD32A4D">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71" w:name="_Toc10158"/>
      <w:bookmarkStart w:id="1372" w:name="_Toc7915"/>
      <w:r>
        <w:rPr>
          <w:rFonts w:hint="eastAsia" w:ascii="仿宋" w:hAnsi="仿宋" w:eastAsia="仿宋" w:cs="仿宋"/>
          <w:color w:val="auto"/>
          <w:sz w:val="24"/>
          <w:szCs w:val="24"/>
          <w:highlight w:val="none"/>
          <w:lang w:val="en-US" w:eastAsia="zh-CN"/>
        </w:rPr>
        <w:t>（5）</w:t>
      </w:r>
      <w:bookmarkEnd w:id="1371"/>
      <w:r>
        <w:rPr>
          <w:rFonts w:hint="eastAsia" w:ascii="仿宋" w:hAnsi="仿宋" w:eastAsia="仿宋" w:cs="仿宋"/>
          <w:color w:val="auto"/>
          <w:sz w:val="24"/>
          <w:szCs w:val="24"/>
          <w:highlight w:val="none"/>
          <w:lang w:val="en-US" w:eastAsia="zh-CN"/>
        </w:rPr>
        <w:t>磋商保证金</w:t>
      </w:r>
      <w:bookmarkEnd w:id="1372"/>
    </w:p>
    <w:p w14:paraId="3AD68B54">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73" w:name="_Toc15585"/>
      <w:bookmarkStart w:id="1374" w:name="_Toc31483"/>
      <w:r>
        <w:rPr>
          <w:rFonts w:hint="eastAsia" w:ascii="仿宋" w:hAnsi="仿宋" w:eastAsia="仿宋" w:cs="仿宋"/>
          <w:color w:val="auto"/>
          <w:sz w:val="24"/>
          <w:szCs w:val="24"/>
          <w:highlight w:val="none"/>
          <w:lang w:val="en-US" w:eastAsia="zh-CN"/>
        </w:rPr>
        <w:t>（6）供应商符合资格条件的证明文件</w:t>
      </w:r>
      <w:bookmarkEnd w:id="1373"/>
      <w:bookmarkEnd w:id="1374"/>
    </w:p>
    <w:p w14:paraId="64180813">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75" w:name="_Toc27142"/>
      <w:r>
        <w:rPr>
          <w:rFonts w:hint="eastAsia" w:ascii="仿宋" w:hAnsi="仿宋" w:eastAsia="仿宋" w:cs="仿宋"/>
          <w:color w:val="auto"/>
          <w:sz w:val="24"/>
          <w:szCs w:val="24"/>
          <w:highlight w:val="none"/>
          <w:lang w:val="en-US" w:eastAsia="zh-CN"/>
        </w:rPr>
        <w:t>（7）商务条款偏离表</w:t>
      </w:r>
      <w:bookmarkEnd w:id="1375"/>
    </w:p>
    <w:p w14:paraId="413569C5">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76" w:name="_Toc28899"/>
      <w:r>
        <w:rPr>
          <w:rFonts w:hint="eastAsia" w:ascii="仿宋" w:hAnsi="仿宋" w:eastAsia="仿宋" w:cs="仿宋"/>
          <w:color w:val="auto"/>
          <w:sz w:val="24"/>
          <w:szCs w:val="24"/>
          <w:highlight w:val="none"/>
          <w:lang w:val="en-US" w:eastAsia="zh-CN"/>
        </w:rPr>
        <w:t>（8）项目管理机构</w:t>
      </w:r>
      <w:bookmarkEnd w:id="1376"/>
    </w:p>
    <w:p w14:paraId="60D7C098">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77" w:name="_Toc1860"/>
      <w:bookmarkStart w:id="1378" w:name="_Toc12270"/>
      <w:r>
        <w:rPr>
          <w:rFonts w:hint="eastAsia" w:ascii="仿宋" w:hAnsi="仿宋" w:eastAsia="仿宋" w:cs="仿宋"/>
          <w:color w:val="auto"/>
          <w:sz w:val="24"/>
          <w:szCs w:val="24"/>
          <w:highlight w:val="none"/>
          <w:lang w:val="en-US" w:eastAsia="zh-CN"/>
        </w:rPr>
        <w:t>技术部分:</w:t>
      </w:r>
      <w:bookmarkEnd w:id="1377"/>
      <w:bookmarkEnd w:id="1378"/>
    </w:p>
    <w:p w14:paraId="0E13E6F7">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79" w:name="_Toc3686"/>
      <w:bookmarkStart w:id="1380" w:name="_Toc10288"/>
      <w:r>
        <w:rPr>
          <w:rFonts w:hint="eastAsia" w:ascii="仿宋" w:hAnsi="仿宋" w:eastAsia="仿宋" w:cs="仿宋"/>
          <w:color w:val="auto"/>
          <w:sz w:val="24"/>
          <w:szCs w:val="24"/>
          <w:highlight w:val="none"/>
          <w:lang w:val="en-US" w:eastAsia="zh-CN"/>
        </w:rPr>
        <w:t>（1）企业项目业绩表</w:t>
      </w:r>
      <w:bookmarkEnd w:id="1379"/>
      <w:bookmarkEnd w:id="1380"/>
    </w:p>
    <w:p w14:paraId="4436BC00">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81" w:name="_Toc729"/>
      <w:bookmarkStart w:id="1382" w:name="_Toc30880"/>
      <w:r>
        <w:rPr>
          <w:rFonts w:hint="eastAsia" w:ascii="仿宋" w:hAnsi="仿宋" w:eastAsia="仿宋" w:cs="仿宋"/>
          <w:color w:val="auto"/>
          <w:sz w:val="24"/>
          <w:szCs w:val="24"/>
          <w:highlight w:val="none"/>
          <w:lang w:val="en-US" w:eastAsia="zh-CN"/>
        </w:rPr>
        <w:t>（2）</w:t>
      </w:r>
      <w:bookmarkEnd w:id="1381"/>
      <w:bookmarkStart w:id="1383" w:name="_Toc16762"/>
      <w:r>
        <w:rPr>
          <w:rFonts w:hint="eastAsia" w:ascii="仿宋" w:hAnsi="仿宋" w:eastAsia="仿宋" w:cs="仿宋"/>
          <w:color w:val="auto"/>
          <w:sz w:val="24"/>
          <w:szCs w:val="24"/>
          <w:highlight w:val="none"/>
          <w:lang w:val="en-US" w:eastAsia="zh-CN"/>
        </w:rPr>
        <w:t>技术服务方案及保障措施</w:t>
      </w:r>
      <w:bookmarkEnd w:id="1382"/>
      <w:bookmarkEnd w:id="1383"/>
    </w:p>
    <w:p w14:paraId="722A4759">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84" w:name="_Toc3830"/>
      <w:bookmarkStart w:id="1385" w:name="_Toc24512"/>
      <w:r>
        <w:rPr>
          <w:rFonts w:hint="eastAsia" w:ascii="仿宋" w:hAnsi="仿宋" w:eastAsia="仿宋" w:cs="仿宋"/>
          <w:color w:val="auto"/>
          <w:sz w:val="24"/>
          <w:szCs w:val="24"/>
          <w:highlight w:val="none"/>
          <w:lang w:val="en-US" w:eastAsia="zh-CN"/>
        </w:rPr>
        <w:t>（3）其他服务承诺</w:t>
      </w:r>
      <w:bookmarkEnd w:id="1384"/>
      <w:bookmarkEnd w:id="1385"/>
    </w:p>
    <w:p w14:paraId="7F7BF963">
      <w:pPr>
        <w:pStyle w:val="26"/>
        <w:keepLines w:val="0"/>
        <w:pageBreakBefore w:val="0"/>
        <w:shd w:val="clear" w:color="auto" w:fill="auto"/>
        <w:wordWrap/>
        <w:topLinePunct w:val="0"/>
        <w:bidi w:val="0"/>
        <w:spacing w:line="480" w:lineRule="exact"/>
        <w:ind w:firstLine="480" w:firstLineChars="200"/>
        <w:jc w:val="both"/>
        <w:outlineLvl w:val="0"/>
        <w:rPr>
          <w:rFonts w:hint="eastAsia" w:ascii="仿宋" w:hAnsi="仿宋" w:eastAsia="仿宋" w:cs="仿宋"/>
          <w:color w:val="auto"/>
          <w:sz w:val="24"/>
          <w:szCs w:val="24"/>
          <w:highlight w:val="none"/>
          <w:lang w:val="en-US" w:eastAsia="zh-CN"/>
        </w:rPr>
      </w:pPr>
      <w:bookmarkStart w:id="1386" w:name="_Toc2796"/>
      <w:bookmarkStart w:id="1387" w:name="_Toc27355"/>
      <w:r>
        <w:rPr>
          <w:rFonts w:hint="eastAsia" w:ascii="仿宋" w:hAnsi="仿宋" w:eastAsia="仿宋" w:cs="仿宋"/>
          <w:color w:val="auto"/>
          <w:sz w:val="24"/>
          <w:szCs w:val="24"/>
          <w:highlight w:val="none"/>
          <w:lang w:val="en-US" w:eastAsia="zh-CN"/>
        </w:rPr>
        <w:t>（4）供应商认为需要提供的其他材料</w:t>
      </w:r>
      <w:bookmarkEnd w:id="1386"/>
      <w:bookmarkEnd w:id="1387"/>
    </w:p>
    <w:p w14:paraId="5785E65A">
      <w:pPr>
        <w:pStyle w:val="26"/>
        <w:keepLines w:val="0"/>
        <w:pageBreakBefore w:val="0"/>
        <w:shd w:val="clear" w:color="auto" w:fill="auto"/>
        <w:wordWrap/>
        <w:topLinePunct w:val="0"/>
        <w:bidi w:val="0"/>
        <w:spacing w:line="480" w:lineRule="exact"/>
        <w:ind w:firstLine="480" w:firstLineChars="200"/>
        <w:jc w:val="both"/>
        <w:outlineLvl w:val="9"/>
        <w:rPr>
          <w:rFonts w:hint="eastAsia" w:ascii="仿宋" w:hAnsi="仿宋" w:eastAsia="仿宋" w:cs="仿宋"/>
          <w:color w:val="auto"/>
          <w:sz w:val="24"/>
          <w:szCs w:val="24"/>
          <w:highlight w:val="none"/>
          <w:lang w:val="en-US" w:eastAsia="zh-CN"/>
        </w:rPr>
      </w:pPr>
    </w:p>
    <w:p w14:paraId="12800E97">
      <w:pPr>
        <w:pStyle w:val="26"/>
        <w:keepLines w:val="0"/>
        <w:pageBreakBefore w:val="0"/>
        <w:shd w:val="clear" w:color="auto" w:fill="auto"/>
        <w:wordWrap/>
        <w:topLinePunct w:val="0"/>
        <w:bidi w:val="0"/>
        <w:spacing w:line="480" w:lineRule="exact"/>
        <w:ind w:firstLine="480" w:firstLineChars="200"/>
        <w:jc w:val="both"/>
        <w:outlineLvl w:val="9"/>
        <w:rPr>
          <w:rFonts w:hint="eastAsia" w:ascii="仿宋" w:hAnsi="仿宋" w:eastAsia="仿宋" w:cs="仿宋"/>
          <w:color w:val="auto"/>
          <w:sz w:val="24"/>
          <w:szCs w:val="24"/>
          <w:highlight w:val="none"/>
        </w:rPr>
        <w:sectPr>
          <w:pgSz w:w="11906" w:h="16838"/>
          <w:pgMar w:top="1417" w:right="1418" w:bottom="1417" w:left="1418" w:header="851" w:footer="850" w:gutter="0"/>
          <w:pgNumType w:fmt="decimal"/>
          <w:cols w:space="720" w:num="1"/>
          <w:rtlGutter w:val="0"/>
          <w:docGrid w:type="lines" w:linePitch="312" w:charSpace="0"/>
        </w:sectPr>
      </w:pPr>
    </w:p>
    <w:p w14:paraId="4A09F783">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color w:val="auto"/>
          <w:sz w:val="24"/>
          <w:szCs w:val="24"/>
          <w:highlight w:val="none"/>
          <w:lang w:val="en-US" w:eastAsia="zh-CN"/>
        </w:rPr>
      </w:pPr>
      <w:bookmarkStart w:id="1388" w:name="_Toc16268"/>
      <w:r>
        <w:rPr>
          <w:rFonts w:hint="eastAsia" w:ascii="仿宋" w:hAnsi="仿宋" w:eastAsia="仿宋" w:cs="仿宋"/>
          <w:b/>
          <w:color w:val="auto"/>
          <w:sz w:val="24"/>
          <w:szCs w:val="24"/>
          <w:highlight w:val="none"/>
          <w:lang w:val="en-US" w:eastAsia="zh-CN"/>
        </w:rPr>
        <w:t>商务部分</w:t>
      </w:r>
    </w:p>
    <w:p w14:paraId="319D7631">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color w:val="auto"/>
          <w:sz w:val="24"/>
          <w:szCs w:val="24"/>
          <w:highlight w:val="none"/>
          <w:lang w:eastAsia="zh-CN"/>
        </w:rPr>
      </w:pPr>
      <w:r>
        <w:rPr>
          <w:rFonts w:hint="eastAsia" w:ascii="仿宋" w:hAnsi="仿宋" w:eastAsia="仿宋" w:cs="仿宋"/>
          <w:b/>
          <w:color w:val="auto"/>
          <w:sz w:val="24"/>
          <w:szCs w:val="24"/>
          <w:highlight w:val="none"/>
        </w:rPr>
        <w:t>1、投标函</w:t>
      </w:r>
      <w:bookmarkEnd w:id="1362"/>
      <w:bookmarkEnd w:id="1388"/>
    </w:p>
    <w:p w14:paraId="1F0133B5">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采购单位</w:t>
      </w:r>
      <w:r>
        <w:rPr>
          <w:rFonts w:hint="eastAsia" w:ascii="仿宋" w:hAnsi="仿宋" w:eastAsia="仿宋" w:cs="仿宋"/>
          <w:color w:val="auto"/>
          <w:sz w:val="24"/>
          <w:szCs w:val="24"/>
          <w:highlight w:val="none"/>
        </w:rPr>
        <w:t>)：</w:t>
      </w:r>
    </w:p>
    <w:p w14:paraId="31376A79">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我们收到你们</w:t>
      </w:r>
      <w:r>
        <w:rPr>
          <w:rFonts w:hint="eastAsia" w:ascii="仿宋" w:hAnsi="仿宋" w:eastAsia="仿宋" w:cs="仿宋"/>
          <w:color w:val="auto"/>
          <w:sz w:val="24"/>
          <w:szCs w:val="24"/>
          <w:highlight w:val="none"/>
          <w:u w:val="single"/>
        </w:rPr>
        <w:t xml:space="preserve"> （项目</w:t>
      </w:r>
      <w:r>
        <w:rPr>
          <w:rFonts w:hint="eastAsia" w:ascii="仿宋" w:hAnsi="仿宋" w:eastAsia="仿宋" w:cs="仿宋"/>
          <w:color w:val="auto"/>
          <w:sz w:val="24"/>
          <w:szCs w:val="24"/>
          <w:highlight w:val="none"/>
          <w:u w:val="single"/>
          <w:lang w:val="en-US" w:eastAsia="zh-CN"/>
        </w:rPr>
        <w:t>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，经认真研究，我们决定参加投标。</w:t>
      </w:r>
    </w:p>
    <w:p w14:paraId="2551E64E">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⒈按照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中的一切要求，提供投标总价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小写+大写）</w:t>
      </w:r>
      <w:r>
        <w:rPr>
          <w:rFonts w:hint="eastAsia" w:ascii="仿宋" w:hAnsi="仿宋" w:eastAsia="仿宋" w:cs="仿宋"/>
          <w:color w:val="auto"/>
          <w:sz w:val="24"/>
          <w:szCs w:val="24"/>
          <w:highlight w:val="none"/>
        </w:rPr>
        <w:t>。</w:t>
      </w:r>
    </w:p>
    <w:p w14:paraId="68B8C902">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⒉如果我们</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被接受，我们将履行</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中规定的每一项要求，按期、按质、按量完成交货和完工任务。</w:t>
      </w:r>
    </w:p>
    <w:p w14:paraId="5EEBAA0B">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⒊我们同意按</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的规定，本投标</w:t>
      </w:r>
      <w:r>
        <w:rPr>
          <w:rFonts w:hint="eastAsia" w:ascii="仿宋" w:hAnsi="仿宋" w:eastAsia="仿宋" w:cs="仿宋"/>
          <w:color w:val="auto"/>
          <w:sz w:val="24"/>
          <w:szCs w:val="24"/>
          <w:highlight w:val="none"/>
          <w:lang w:val="en-US" w:eastAsia="zh-CN"/>
        </w:rPr>
        <w:t>文件</w:t>
      </w:r>
      <w:r>
        <w:rPr>
          <w:rFonts w:hint="eastAsia" w:ascii="仿宋" w:hAnsi="仿宋" w:eastAsia="仿宋" w:cs="仿宋"/>
          <w:color w:val="auto"/>
          <w:sz w:val="24"/>
          <w:szCs w:val="24"/>
          <w:highlight w:val="none"/>
        </w:rPr>
        <w:t xml:space="preserve">的有效期为开标后 </w:t>
      </w:r>
      <w:r>
        <w:rPr>
          <w:rFonts w:hint="eastAsia" w:ascii="仿宋" w:hAnsi="仿宋" w:eastAsia="仿宋" w:cs="仿宋"/>
          <w:b/>
          <w:color w:val="auto"/>
          <w:sz w:val="24"/>
          <w:szCs w:val="24"/>
          <w:highlight w:val="none"/>
          <w:u w:val="single"/>
          <w:lang w:val="en-US" w:eastAsia="zh-CN"/>
        </w:rPr>
        <w:t>90</w:t>
      </w:r>
      <w:r>
        <w:rPr>
          <w:rFonts w:hint="eastAsia" w:ascii="仿宋" w:hAnsi="仿宋" w:eastAsia="仿宋" w:cs="仿宋"/>
          <w:color w:val="auto"/>
          <w:sz w:val="24"/>
          <w:szCs w:val="24"/>
          <w:highlight w:val="none"/>
        </w:rPr>
        <w:t xml:space="preserve"> 天。</w:t>
      </w:r>
    </w:p>
    <w:p w14:paraId="28933101">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⒋我们愿意提供</w:t>
      </w:r>
      <w:r>
        <w:rPr>
          <w:rFonts w:hint="eastAsia" w:ascii="仿宋" w:hAnsi="仿宋" w:eastAsia="仿宋" w:cs="仿宋"/>
          <w:color w:val="auto"/>
          <w:sz w:val="24"/>
          <w:szCs w:val="24"/>
          <w:highlight w:val="none"/>
          <w:lang w:eastAsia="zh-CN"/>
        </w:rPr>
        <w:t>采购单位</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中要求的所有资料。</w:t>
      </w:r>
    </w:p>
    <w:p w14:paraId="22C30B0E">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我们愿按合同法履行自己的全部责任。</w:t>
      </w:r>
    </w:p>
    <w:p w14:paraId="622FDCB1">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我们同意按</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规定，交纳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元的</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w:t>
      </w:r>
    </w:p>
    <w:p w14:paraId="6760ABDF">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7.供应商保证在招标文件中规定的合同履行期限内完成此项目的管理工作，合同履行期限为：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w:t>
      </w:r>
    </w:p>
    <w:p w14:paraId="55096602">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 我方承诺，与采购人聘请的为此项目提供施工的公司及任何附属机构均无关联，我方不是买方的附属机构。</w:t>
      </w:r>
    </w:p>
    <w:p w14:paraId="0C640B43">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9.供应商同意提供按照贵方可能要求的与其投标有关的一切数据或资料，完全理解贵方不一定接受最低价的投标或收到的任何投标。</w:t>
      </w:r>
    </w:p>
    <w:p w14:paraId="3FA2C7EB">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.所有有关本标书的函电，请按下列地址联系：</w:t>
      </w:r>
    </w:p>
    <w:p w14:paraId="59D3A463">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       位：</w:t>
      </w:r>
    </w:p>
    <w:p w14:paraId="22470CFD">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p>
    <w:p w14:paraId="05C04ED2">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p w14:paraId="43BC44AE">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 政 编 码：</w:t>
      </w:r>
    </w:p>
    <w:p w14:paraId="6D85E13B">
      <w:pPr>
        <w:pStyle w:val="26"/>
        <w:keepLines w:val="0"/>
        <w:pageBreakBefore w:val="0"/>
        <w:shd w:val="clear" w:color="auto" w:fill="auto"/>
        <w:wordWrap/>
        <w:topLinePunct w:val="0"/>
        <w:bidi w:val="0"/>
        <w:spacing w:line="480" w:lineRule="exact"/>
        <w:ind w:firstLine="567"/>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   系  人：        </w:t>
      </w:r>
    </w:p>
    <w:p w14:paraId="102BA816">
      <w:pPr>
        <w:keepLines w:val="0"/>
        <w:pageBreakBefore w:val="0"/>
        <w:shd w:val="clear" w:color="auto" w:fill="auto"/>
        <w:wordWrap/>
        <w:topLinePunct w:val="0"/>
        <w:bidi w:val="0"/>
        <w:spacing w:line="480" w:lineRule="exact"/>
        <w:ind w:firstLine="5280" w:firstLineChars="2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供应商名称（盖章）：                            </w:t>
      </w:r>
    </w:p>
    <w:p w14:paraId="240C28A1">
      <w:pPr>
        <w:keepLines w:val="0"/>
        <w:pageBreakBefore w:val="0"/>
        <w:shd w:val="clear" w:color="auto" w:fill="auto"/>
        <w:wordWrap/>
        <w:topLinePunct w:val="0"/>
        <w:bidi w:val="0"/>
        <w:spacing w:line="480" w:lineRule="exact"/>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法定代表人或授权代表（签字或盖章）：</w:t>
      </w:r>
    </w:p>
    <w:p w14:paraId="1EC485EF">
      <w:pPr>
        <w:keepLines w:val="0"/>
        <w:pageBreakBefore w:val="0"/>
        <w:shd w:val="clear" w:color="auto" w:fill="auto"/>
        <w:wordWrap/>
        <w:topLinePunct w:val="0"/>
        <w:bidi w:val="0"/>
        <w:spacing w:line="480" w:lineRule="exact"/>
        <w:ind w:firstLine="1080" w:firstLineChars="450"/>
        <w:jc w:val="left"/>
        <w:rPr>
          <w:rFonts w:hint="eastAsia" w:ascii="仿宋" w:hAnsi="仿宋" w:eastAsia="仿宋" w:cs="仿宋"/>
          <w:color w:val="auto"/>
          <w:sz w:val="24"/>
          <w:szCs w:val="24"/>
          <w:highlight w:val="none"/>
          <w:lang w:val="en-US" w:eastAsia="zh-CN"/>
        </w:rPr>
        <w:sectPr>
          <w:pgSz w:w="11906" w:h="16838"/>
          <w:pgMar w:top="1418" w:right="1134" w:bottom="1418" w:left="1418" w:header="851" w:footer="851" w:gutter="0"/>
          <w:pgNumType w:fmt="decimal"/>
          <w:cols w:space="720" w:num="1"/>
          <w:docGrid w:type="linesAndChars" w:linePitch="312" w:charSpace="0"/>
        </w:sectPr>
      </w:pPr>
      <w:r>
        <w:rPr>
          <w:rFonts w:hint="eastAsia" w:ascii="仿宋" w:hAnsi="仿宋" w:eastAsia="仿宋" w:cs="仿宋"/>
          <w:color w:val="auto"/>
          <w:sz w:val="24"/>
          <w:szCs w:val="24"/>
          <w:highlight w:val="none"/>
        </w:rPr>
        <w:t xml:space="preserve">                                     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p>
    <w:p w14:paraId="1A54BE21">
      <w:pPr>
        <w:keepLines w:val="0"/>
        <w:pageBreakBefore w:val="0"/>
        <w:shd w:val="clear" w:color="auto" w:fill="auto"/>
        <w:wordWrap/>
        <w:topLinePunct w:val="0"/>
        <w:bidi w:val="0"/>
        <w:spacing w:line="480" w:lineRule="exact"/>
        <w:jc w:val="center"/>
        <w:rPr>
          <w:rFonts w:hint="eastAsia" w:ascii="仿宋" w:hAnsi="仿宋" w:eastAsia="仿宋" w:cs="仿宋"/>
          <w:b/>
          <w:bCs/>
          <w:color w:val="auto"/>
          <w:sz w:val="24"/>
          <w:szCs w:val="24"/>
          <w:highlight w:val="none"/>
          <w:lang w:eastAsia="zh-CN"/>
        </w:rPr>
      </w:pPr>
      <w:bookmarkStart w:id="1389" w:name="_Toc15849"/>
      <w:bookmarkStart w:id="1390" w:name="_Toc498343980"/>
      <w:bookmarkStart w:id="1391" w:name="_Toc498343981"/>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投标承诺书</w:t>
      </w:r>
    </w:p>
    <w:p w14:paraId="1340E8BD">
      <w:pPr>
        <w:keepLines w:val="0"/>
        <w:pageBreakBefore w:val="0"/>
        <w:shd w:val="clear" w:color="auto" w:fill="auto"/>
        <w:wordWrap/>
        <w:topLinePunct w:val="0"/>
        <w:bidi w:val="0"/>
        <w:spacing w:line="480" w:lineRule="exact"/>
        <w:ind w:left="424" w:leftChars="202"/>
        <w:rPr>
          <w:rFonts w:hint="eastAsia" w:ascii="仿宋" w:hAnsi="仿宋" w:eastAsia="仿宋" w:cs="仿宋"/>
          <w:b/>
          <w:color w:val="auto"/>
          <w:sz w:val="24"/>
          <w:szCs w:val="24"/>
          <w:highlight w:val="none"/>
        </w:rPr>
      </w:pPr>
    </w:p>
    <w:p w14:paraId="1758D8FC">
      <w:pPr>
        <w:keepLines w:val="0"/>
        <w:pageBreakBefore w:val="0"/>
        <w:shd w:val="clear" w:color="auto" w:fill="auto"/>
        <w:wordWrap/>
        <w:topLinePunct w:val="0"/>
        <w:bidi w:val="0"/>
        <w:spacing w:line="480" w:lineRule="exact"/>
        <w:ind w:left="424" w:leftChars="202"/>
        <w:jc w:val="center"/>
        <w:rPr>
          <w:rFonts w:hint="eastAsia" w:ascii="仿宋" w:hAnsi="仿宋" w:eastAsia="仿宋" w:cs="仿宋"/>
          <w:b/>
          <w:color w:val="auto"/>
          <w:sz w:val="24"/>
          <w:szCs w:val="24"/>
          <w:highlight w:val="none"/>
        </w:rPr>
      </w:pPr>
    </w:p>
    <w:p w14:paraId="395306C2">
      <w:pPr>
        <w:keepLines w:val="0"/>
        <w:pageBreakBefore w:val="0"/>
        <w:shd w:val="clear" w:color="auto" w:fill="auto"/>
        <w:wordWrap/>
        <w:topLinePunct w:val="0"/>
        <w:bidi w:val="0"/>
        <w:spacing w:line="480" w:lineRule="exact"/>
        <w:ind w:left="424" w:leftChars="202"/>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招标人：</w:t>
      </w:r>
      <w:r>
        <w:rPr>
          <w:rFonts w:hint="eastAsia" w:ascii="仿宋" w:hAnsi="仿宋" w:eastAsia="仿宋" w:cs="仿宋"/>
          <w:color w:val="auto"/>
          <w:sz w:val="24"/>
          <w:szCs w:val="24"/>
          <w:highlight w:val="none"/>
          <w:u w:val="single"/>
        </w:rPr>
        <w:t xml:space="preserve">             </w:t>
      </w:r>
    </w:p>
    <w:p w14:paraId="3D065459">
      <w:pPr>
        <w:keepLines w:val="0"/>
        <w:pageBreakBefore w:val="0"/>
        <w:shd w:val="clear" w:color="auto" w:fill="auto"/>
        <w:wordWrap/>
        <w:topLinePunct w:val="0"/>
        <w:bidi w:val="0"/>
        <w:spacing w:line="480" w:lineRule="exact"/>
        <w:ind w:left="424" w:left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若我公司</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后，项目负责人为：</w:t>
      </w:r>
    </w:p>
    <w:p w14:paraId="320872C2">
      <w:pPr>
        <w:keepLines w:val="0"/>
        <w:pageBreakBefore w:val="0"/>
        <w:shd w:val="clear" w:color="auto" w:fill="auto"/>
        <w:wordWrap/>
        <w:topLinePunct w:val="0"/>
        <w:bidi w:val="0"/>
        <w:spacing w:line="480" w:lineRule="exact"/>
        <w:ind w:left="424" w:leftChars="202"/>
        <w:rPr>
          <w:rFonts w:hint="eastAsia" w:ascii="仿宋" w:hAnsi="仿宋" w:eastAsia="仿宋" w:cs="仿宋"/>
          <w:color w:val="auto"/>
          <w:sz w:val="24"/>
          <w:szCs w:val="24"/>
          <w:highlight w:val="none"/>
        </w:rPr>
      </w:pPr>
    </w:p>
    <w:tbl>
      <w:tblPr>
        <w:tblStyle w:val="19"/>
        <w:tblW w:w="92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2"/>
        <w:gridCol w:w="2119"/>
        <w:gridCol w:w="2324"/>
        <w:gridCol w:w="2309"/>
      </w:tblGrid>
      <w:tr w14:paraId="2C41F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2" w:type="dxa"/>
            <w:noWrap w:val="0"/>
            <w:vAlign w:val="top"/>
          </w:tcPr>
          <w:p w14:paraId="6AAFD316">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2119" w:type="dxa"/>
            <w:noWrap w:val="0"/>
            <w:vAlign w:val="top"/>
          </w:tcPr>
          <w:p w14:paraId="5D2C9C67">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324" w:type="dxa"/>
            <w:noWrap w:val="0"/>
            <w:vAlign w:val="top"/>
          </w:tcPr>
          <w:p w14:paraId="0F01BFB7">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证书编号</w:t>
            </w:r>
          </w:p>
        </w:tc>
        <w:tc>
          <w:tcPr>
            <w:tcW w:w="2309" w:type="dxa"/>
            <w:noWrap w:val="0"/>
            <w:vAlign w:val="top"/>
          </w:tcPr>
          <w:p w14:paraId="755FEA95">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3EC82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12" w:type="dxa"/>
            <w:noWrap w:val="0"/>
            <w:vAlign w:val="top"/>
          </w:tcPr>
          <w:p w14:paraId="519B8225">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资格证书</w:t>
            </w:r>
          </w:p>
        </w:tc>
        <w:tc>
          <w:tcPr>
            <w:tcW w:w="6752" w:type="dxa"/>
            <w:gridSpan w:val="3"/>
            <w:noWrap w:val="0"/>
            <w:vAlign w:val="top"/>
          </w:tcPr>
          <w:p w14:paraId="40B77568">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1408B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512" w:type="dxa"/>
            <w:noWrap w:val="0"/>
            <w:vAlign w:val="top"/>
          </w:tcPr>
          <w:p w14:paraId="398B3DE9">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身份证号码</w:t>
            </w:r>
          </w:p>
        </w:tc>
        <w:tc>
          <w:tcPr>
            <w:tcW w:w="6752" w:type="dxa"/>
            <w:gridSpan w:val="3"/>
            <w:noWrap w:val="0"/>
            <w:vAlign w:val="top"/>
          </w:tcPr>
          <w:p w14:paraId="44248CEB">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bl>
    <w:p w14:paraId="7266F3A1">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74F63EDA">
      <w:pPr>
        <w:keepLines w:val="0"/>
        <w:pageBreakBefore w:val="0"/>
        <w:shd w:val="clear" w:color="auto" w:fill="auto"/>
        <w:wordWrap/>
        <w:topLinePunct w:val="0"/>
        <w:bidi w:val="0"/>
        <w:spacing w:line="48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后，若由于特殊原因须更换时，我方将以不低于此项目负责人的人员替换，并报业主审查。经审查通过后，方可更换。若未经业主批准，我方擅自更换，我方愿以合同价的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作为赔偿金。</w:t>
      </w:r>
    </w:p>
    <w:p w14:paraId="54E0CA92">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74829C66">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5289E61C">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451EF184">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7BA260FB">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0B3D5D8D">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0E38265A">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（盖章）</w:t>
      </w:r>
    </w:p>
    <w:p w14:paraId="11F8E25C">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7E52576F">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法定代表人或授权代表（签字或盖章）：</w:t>
      </w:r>
    </w:p>
    <w:p w14:paraId="5CF4FE6F">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1F63B6A7">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r>
        <w:rPr>
          <w:rFonts w:hint="eastAsia" w:ascii="仿宋" w:hAnsi="仿宋" w:eastAsia="仿宋" w:cs="仿宋"/>
          <w:color w:val="auto"/>
          <w:sz w:val="24"/>
          <w:szCs w:val="24"/>
          <w:highlight w:val="none"/>
        </w:rPr>
        <w:t xml:space="preserve">  </w:t>
      </w:r>
    </w:p>
    <w:p w14:paraId="0B279941">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2CCE3A04">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0142FA4A">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1262802C">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39AF5600">
      <w:pPr>
        <w:pStyle w:val="27"/>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0DF03C28">
      <w:pPr>
        <w:pStyle w:val="4"/>
        <w:keepLines w:val="0"/>
        <w:pageBreakBefore w:val="0"/>
        <w:numPr>
          <w:ilvl w:val="0"/>
          <w:numId w:val="0"/>
        </w:numPr>
        <w:shd w:val="clear" w:color="auto" w:fill="auto"/>
        <w:wordWrap/>
        <w:topLinePunct w:val="0"/>
        <w:bidi w:val="0"/>
        <w:spacing w:line="480" w:lineRule="exact"/>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、法定代表人授权委托书</w:t>
      </w:r>
      <w:bookmarkEnd w:id="1389"/>
      <w:bookmarkEnd w:id="1390"/>
    </w:p>
    <w:p w14:paraId="5E1D1D7E">
      <w:pPr>
        <w:pStyle w:val="4"/>
        <w:keepLines w:val="0"/>
        <w:pageBreakBefore w:val="0"/>
        <w:numPr>
          <w:ilvl w:val="0"/>
          <w:numId w:val="0"/>
        </w:numPr>
        <w:shd w:val="clear" w:color="auto" w:fill="auto"/>
        <w:wordWrap/>
        <w:topLinePunct w:val="0"/>
        <w:bidi w:val="0"/>
        <w:spacing w:line="480" w:lineRule="exact"/>
        <w:jc w:val="left"/>
        <w:outlineLvl w:val="9"/>
        <w:rPr>
          <w:rFonts w:hint="eastAsia" w:ascii="仿宋" w:hAnsi="仿宋" w:eastAsia="仿宋" w:cs="仿宋"/>
          <w:b w:val="0"/>
          <w:snapToGrid w:val="0"/>
          <w:color w:val="auto"/>
          <w:kern w:val="0"/>
          <w:sz w:val="24"/>
          <w:szCs w:val="24"/>
          <w:highlight w:val="none"/>
          <w:lang w:val="en-US" w:eastAsia="zh-CN" w:bidi="ar-SA"/>
        </w:rPr>
      </w:pPr>
      <w:r>
        <w:rPr>
          <w:rFonts w:hint="eastAsia" w:ascii="仿宋" w:hAnsi="仿宋" w:eastAsia="仿宋" w:cs="仿宋"/>
          <w:b w:val="0"/>
          <w:snapToGrid w:val="0"/>
          <w:color w:val="auto"/>
          <w:kern w:val="0"/>
          <w:sz w:val="24"/>
          <w:szCs w:val="24"/>
          <w:highlight w:val="none"/>
          <w:lang w:val="en-US" w:eastAsia="zh-CN" w:bidi="ar-SA"/>
        </w:rPr>
        <w:t>附件1－1　法定代表人身份证明复印件(法定代表人参加投标)</w:t>
      </w:r>
    </w:p>
    <w:p w14:paraId="7151E2E8">
      <w:pPr>
        <w:pStyle w:val="4"/>
        <w:keepLines w:val="0"/>
        <w:pageBreakBefore w:val="0"/>
        <w:numPr>
          <w:ilvl w:val="0"/>
          <w:numId w:val="0"/>
        </w:numPr>
        <w:shd w:val="clear" w:color="auto" w:fill="auto"/>
        <w:wordWrap/>
        <w:topLinePunct w:val="0"/>
        <w:bidi w:val="0"/>
        <w:spacing w:line="480" w:lineRule="exact"/>
        <w:jc w:val="left"/>
        <w:outlineLvl w:val="9"/>
        <w:rPr>
          <w:rFonts w:hint="eastAsia" w:ascii="仿宋" w:hAnsi="仿宋" w:eastAsia="仿宋" w:cs="仿宋"/>
          <w:b w:val="0"/>
          <w:snapToGrid w:val="0"/>
          <w:color w:val="auto"/>
          <w:kern w:val="0"/>
          <w:sz w:val="24"/>
          <w:szCs w:val="24"/>
          <w:highlight w:val="none"/>
          <w:lang w:val="en-US" w:eastAsia="zh-CN" w:bidi="ar-SA"/>
        </w:rPr>
      </w:pPr>
    </w:p>
    <w:tbl>
      <w:tblPr>
        <w:tblStyle w:val="19"/>
        <w:tblW w:w="51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118"/>
      </w:tblGrid>
      <w:tr w14:paraId="171246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118" w:type="dxa"/>
            <w:tcBorders>
              <w:top w:val="single" w:color="auto" w:sz="4" w:space="0"/>
              <w:bottom w:val="single" w:color="auto" w:sz="4" w:space="0"/>
            </w:tcBorders>
            <w:vAlign w:val="center"/>
          </w:tcPr>
          <w:p w14:paraId="3748A7BB">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snapToGrid w:val="0"/>
                <w:color w:val="auto"/>
                <w:kern w:val="0"/>
                <w:sz w:val="24"/>
                <w:szCs w:val="24"/>
                <w:highlight w:val="none"/>
                <w:lang w:val="en-US" w:eastAsia="zh-CN" w:bidi="ar-SA"/>
              </w:rPr>
            </w:pPr>
            <w:r>
              <w:rPr>
                <w:rFonts w:hint="eastAsia" w:ascii="仿宋" w:hAnsi="仿宋" w:eastAsia="仿宋" w:cs="仿宋"/>
                <w:b w:val="0"/>
                <w:snapToGrid w:val="0"/>
                <w:color w:val="auto"/>
                <w:kern w:val="0"/>
                <w:sz w:val="24"/>
                <w:szCs w:val="24"/>
                <w:highlight w:val="none"/>
                <w:lang w:val="en-US" w:eastAsia="zh-CN" w:bidi="ar-SA"/>
              </w:rPr>
              <w:t>法定代表人身份证明复印件</w:t>
            </w:r>
          </w:p>
          <w:p w14:paraId="3F7D24AD">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snapToGrid w:val="0"/>
                <w:color w:val="auto"/>
                <w:kern w:val="0"/>
                <w:sz w:val="24"/>
                <w:szCs w:val="24"/>
                <w:highlight w:val="none"/>
                <w:lang w:val="en-US" w:eastAsia="en-US" w:bidi="ar-SA"/>
              </w:rPr>
            </w:pPr>
            <w:r>
              <w:rPr>
                <w:rFonts w:hint="eastAsia" w:ascii="仿宋" w:hAnsi="仿宋" w:eastAsia="仿宋" w:cs="仿宋"/>
                <w:b w:val="0"/>
                <w:snapToGrid w:val="0"/>
                <w:color w:val="auto"/>
                <w:kern w:val="0"/>
                <w:sz w:val="24"/>
                <w:szCs w:val="24"/>
                <w:highlight w:val="none"/>
                <w:lang w:val="en-US" w:eastAsia="en-US" w:bidi="ar-SA"/>
              </w:rPr>
              <w:t>正反面</w:t>
            </w:r>
          </w:p>
        </w:tc>
      </w:tr>
    </w:tbl>
    <w:p w14:paraId="60493025">
      <w:pPr>
        <w:pStyle w:val="4"/>
        <w:keepLines w:val="0"/>
        <w:pageBreakBefore w:val="0"/>
        <w:numPr>
          <w:ilvl w:val="0"/>
          <w:numId w:val="0"/>
        </w:numPr>
        <w:shd w:val="clear" w:color="auto" w:fill="auto"/>
        <w:wordWrap/>
        <w:topLinePunct w:val="0"/>
        <w:bidi w:val="0"/>
        <w:spacing w:line="480" w:lineRule="exact"/>
        <w:jc w:val="left"/>
        <w:outlineLvl w:val="9"/>
        <w:rPr>
          <w:rFonts w:hint="eastAsia" w:ascii="仿宋" w:hAnsi="仿宋" w:eastAsia="仿宋" w:cs="仿宋"/>
          <w:b w:val="0"/>
          <w:snapToGrid w:val="0"/>
          <w:color w:val="auto"/>
          <w:kern w:val="0"/>
          <w:sz w:val="24"/>
          <w:szCs w:val="24"/>
          <w:highlight w:val="none"/>
          <w:lang w:val="en-US" w:eastAsia="en-US" w:bidi="ar-SA"/>
        </w:rPr>
      </w:pPr>
    </w:p>
    <w:p w14:paraId="386ED71F">
      <w:pPr>
        <w:pStyle w:val="4"/>
        <w:keepLines w:val="0"/>
        <w:pageBreakBefore w:val="0"/>
        <w:numPr>
          <w:ilvl w:val="0"/>
          <w:numId w:val="0"/>
        </w:numPr>
        <w:shd w:val="clear" w:color="auto" w:fill="auto"/>
        <w:wordWrap/>
        <w:topLinePunct w:val="0"/>
        <w:bidi w:val="0"/>
        <w:spacing w:line="480" w:lineRule="exact"/>
        <w:jc w:val="left"/>
        <w:outlineLvl w:val="9"/>
        <w:rPr>
          <w:rFonts w:hint="eastAsia" w:ascii="仿宋" w:hAnsi="仿宋" w:eastAsia="仿宋" w:cs="仿宋"/>
          <w:b w:val="0"/>
          <w:snapToGrid w:val="0"/>
          <w:color w:val="auto"/>
          <w:kern w:val="0"/>
          <w:sz w:val="24"/>
          <w:szCs w:val="24"/>
          <w:highlight w:val="none"/>
          <w:lang w:val="en-US" w:eastAsia="zh-CN" w:bidi="ar-SA"/>
        </w:rPr>
      </w:pPr>
      <w:r>
        <w:rPr>
          <w:rFonts w:hint="eastAsia" w:ascii="仿宋" w:hAnsi="仿宋" w:eastAsia="仿宋" w:cs="仿宋"/>
          <w:b w:val="0"/>
          <w:snapToGrid w:val="0"/>
          <w:color w:val="auto"/>
          <w:kern w:val="0"/>
          <w:sz w:val="24"/>
          <w:szCs w:val="24"/>
          <w:highlight w:val="none"/>
          <w:lang w:val="en-US" w:eastAsia="zh-CN" w:bidi="ar-SA"/>
        </w:rPr>
        <w:t>附件1－2　法定代表人授权委托书(授权代表参加投标)</w:t>
      </w:r>
    </w:p>
    <w:p w14:paraId="07618CCD">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snapToGrid w:val="0"/>
          <w:color w:val="auto"/>
          <w:kern w:val="0"/>
          <w:sz w:val="24"/>
          <w:szCs w:val="24"/>
          <w:highlight w:val="none"/>
          <w:lang w:val="en-US" w:eastAsia="en-US" w:bidi="ar-SA"/>
        </w:rPr>
      </w:pPr>
      <w:r>
        <w:rPr>
          <w:rFonts w:hint="eastAsia" w:ascii="仿宋" w:hAnsi="仿宋" w:eastAsia="仿宋" w:cs="仿宋"/>
          <w:b w:val="0"/>
          <w:snapToGrid w:val="0"/>
          <w:color w:val="auto"/>
          <w:kern w:val="0"/>
          <w:sz w:val="24"/>
          <w:szCs w:val="24"/>
          <w:highlight w:val="none"/>
          <w:lang w:val="en-US" w:eastAsia="en-US" w:bidi="ar-SA"/>
        </w:rPr>
        <w:t>法定代表人授权委托书</w:t>
      </w:r>
    </w:p>
    <w:p w14:paraId="3324A4F1">
      <w:pPr>
        <w:keepLines w:val="0"/>
        <w:pageBreakBefore w:val="0"/>
        <w:shd w:val="clear" w:color="auto" w:fill="auto"/>
        <w:wordWrap/>
        <w:topLinePunct w:val="0"/>
        <w:bidi w:val="0"/>
        <w:spacing w:line="480" w:lineRule="exact"/>
        <w:ind w:firstLine="63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本授权委托书声明：我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（姓名）系</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rPr>
        <w:t>（供应商名称）的法定代表人，现授权委托</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rPr>
        <w:t xml:space="preserve">（供应商名称）的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（姓名）为我的代理人，以本公司的名义参加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w:t>
      </w:r>
      <w:r>
        <w:rPr>
          <w:rFonts w:hint="eastAsia" w:ascii="仿宋" w:hAnsi="仿宋" w:eastAsia="仿宋" w:cs="仿宋"/>
          <w:color w:val="auto"/>
          <w:sz w:val="24"/>
          <w:szCs w:val="24"/>
          <w:highlight w:val="none"/>
          <w:lang w:val="en-US" w:eastAsia="zh-CN"/>
        </w:rPr>
        <w:t>单位</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（项目名称）</w:t>
      </w:r>
      <w:r>
        <w:rPr>
          <w:rFonts w:hint="eastAsia" w:ascii="仿宋" w:hAnsi="仿宋" w:eastAsia="仿宋" w:cs="仿宋"/>
          <w:color w:val="auto"/>
          <w:sz w:val="24"/>
          <w:szCs w:val="24"/>
          <w:highlight w:val="none"/>
        </w:rPr>
        <w:t>项目的投标活动。代理人在参加整个项目招标投标活动过程中所签署的一切文件和处理与之有关的一切事物，我均予以承认。</w:t>
      </w:r>
    </w:p>
    <w:p w14:paraId="6D5ED868">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代理人：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性别：</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年龄：</w:t>
      </w:r>
      <w:r>
        <w:rPr>
          <w:rFonts w:hint="eastAsia" w:ascii="仿宋" w:hAnsi="仿宋" w:eastAsia="仿宋" w:cs="仿宋"/>
          <w:color w:val="auto"/>
          <w:sz w:val="24"/>
          <w:szCs w:val="24"/>
          <w:highlight w:val="none"/>
          <w:u w:val="single"/>
        </w:rPr>
        <w:t xml:space="preserve">          </w:t>
      </w:r>
    </w:p>
    <w:p w14:paraId="6913CBC2">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u w:val="single"/>
        </w:rPr>
        <w:t xml:space="preserve">  </w:t>
      </w:r>
    </w:p>
    <w:p w14:paraId="4A259ECD">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部门：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职务：</w:t>
      </w:r>
      <w:r>
        <w:rPr>
          <w:rFonts w:hint="eastAsia" w:ascii="仿宋" w:hAnsi="仿宋" w:eastAsia="仿宋" w:cs="仿宋"/>
          <w:color w:val="auto"/>
          <w:sz w:val="24"/>
          <w:szCs w:val="24"/>
          <w:highlight w:val="none"/>
          <w:u w:val="single"/>
        </w:rPr>
        <w:t xml:space="preserve">              </w:t>
      </w:r>
    </w:p>
    <w:p w14:paraId="260954D7">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代理人无转委权。特此委托。</w:t>
      </w:r>
    </w:p>
    <w:tbl>
      <w:tblPr>
        <w:tblStyle w:val="19"/>
        <w:tblpPr w:leftFromText="180" w:rightFromText="180" w:vertAnchor="text" w:horzAnchor="page" w:tblpX="2305" w:tblpY="423"/>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40"/>
      </w:tblGrid>
      <w:tr w14:paraId="628FFE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993" w:hRule="atLeast"/>
        </w:trPr>
        <w:tc>
          <w:tcPr>
            <w:tcW w:w="3340" w:type="dxa"/>
            <w:tcBorders>
              <w:top w:val="single" w:color="auto" w:sz="4" w:space="0"/>
              <w:bottom w:val="single" w:color="auto" w:sz="4" w:space="0"/>
            </w:tcBorders>
            <w:noWrap w:val="0"/>
            <w:vAlign w:val="center"/>
          </w:tcPr>
          <w:p w14:paraId="41FB85E9">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法定代表人身份证明复印件</w:t>
            </w:r>
          </w:p>
          <w:p w14:paraId="17D64220">
            <w:pPr>
              <w:keepLines w:val="0"/>
              <w:pageBreakBefore w:val="0"/>
              <w:shd w:val="clear" w:color="auto" w:fill="auto"/>
              <w:kinsoku/>
              <w:wordWrap/>
              <w:overflowPunct/>
              <w:topLinePunct w:val="0"/>
              <w:autoSpaceDE/>
              <w:autoSpaceDN/>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正反面</w:t>
            </w:r>
          </w:p>
        </w:tc>
      </w:tr>
    </w:tbl>
    <w:tbl>
      <w:tblPr>
        <w:tblStyle w:val="19"/>
        <w:tblpPr w:leftFromText="180" w:rightFromText="180" w:vertAnchor="text" w:horzAnchor="page" w:tblpX="6246" w:tblpY="427"/>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60"/>
      </w:tblGrid>
      <w:tr w14:paraId="79636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45" w:hRule="atLeast"/>
        </w:trPr>
        <w:tc>
          <w:tcPr>
            <w:tcW w:w="3260" w:type="dxa"/>
            <w:tcBorders>
              <w:top w:val="single" w:color="auto" w:sz="4" w:space="0"/>
              <w:bottom w:val="single" w:color="auto" w:sz="4" w:space="0"/>
            </w:tcBorders>
            <w:noWrap w:val="0"/>
            <w:vAlign w:val="center"/>
          </w:tcPr>
          <w:p w14:paraId="3899BE44">
            <w:pPr>
              <w:keepLines w:val="0"/>
              <w:pageBreakBefore w:val="0"/>
              <w:shd w:val="clear" w:color="auto" w:fill="auto"/>
              <w:kinsoku/>
              <w:wordWrap/>
              <w:overflowPunct/>
              <w:topLinePunct w:val="0"/>
              <w:autoSpaceDE/>
              <w:autoSpaceDN/>
              <w:bidi w:val="0"/>
              <w:spacing w:line="480" w:lineRule="exact"/>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授权代表身份证明复印件</w:t>
            </w:r>
          </w:p>
          <w:p w14:paraId="3CC71485">
            <w:pPr>
              <w:keepLines w:val="0"/>
              <w:pageBreakBefore w:val="0"/>
              <w:shd w:val="clear" w:color="auto" w:fill="auto"/>
              <w:kinsoku/>
              <w:wordWrap/>
              <w:overflowPunct/>
              <w:topLinePunct w:val="0"/>
              <w:autoSpaceDE/>
              <w:autoSpaceDN/>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正反面</w:t>
            </w:r>
          </w:p>
        </w:tc>
      </w:tr>
    </w:tbl>
    <w:p w14:paraId="709E3428">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74E75371">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color w:val="auto"/>
          <w:sz w:val="24"/>
          <w:szCs w:val="24"/>
          <w:highlight w:val="none"/>
        </w:rPr>
      </w:pPr>
    </w:p>
    <w:p w14:paraId="1F6F42B5">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color w:val="auto"/>
          <w:sz w:val="24"/>
          <w:szCs w:val="24"/>
          <w:highlight w:val="none"/>
        </w:rPr>
      </w:pPr>
    </w:p>
    <w:p w14:paraId="2BAA0F67">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color w:val="auto"/>
          <w:sz w:val="24"/>
          <w:szCs w:val="24"/>
          <w:highlight w:val="none"/>
        </w:rPr>
      </w:pPr>
    </w:p>
    <w:p w14:paraId="4E1CF29E">
      <w:pPr>
        <w:pStyle w:val="4"/>
        <w:keepLines w:val="0"/>
        <w:pageBreakBefore w:val="0"/>
        <w:numPr>
          <w:ilvl w:val="0"/>
          <w:numId w:val="0"/>
        </w:numPr>
        <w:shd w:val="clear" w:color="auto" w:fill="auto"/>
        <w:wordWrap/>
        <w:topLinePunct w:val="0"/>
        <w:bidi w:val="0"/>
        <w:spacing w:line="480" w:lineRule="exact"/>
        <w:jc w:val="center"/>
        <w:outlineLvl w:val="9"/>
        <w:rPr>
          <w:rFonts w:hint="eastAsia" w:ascii="仿宋" w:hAnsi="仿宋" w:eastAsia="仿宋" w:cs="仿宋"/>
          <w:b w:val="0"/>
          <w:color w:val="auto"/>
          <w:sz w:val="24"/>
          <w:szCs w:val="24"/>
          <w:highlight w:val="none"/>
        </w:rPr>
      </w:pPr>
    </w:p>
    <w:p w14:paraId="20EE845C">
      <w:pPr>
        <w:keepLines w:val="0"/>
        <w:pageBreakBefore w:val="0"/>
        <w:shd w:val="clear" w:color="auto" w:fill="auto"/>
        <w:wordWrap/>
        <w:topLinePunct w:val="0"/>
        <w:bidi w:val="0"/>
        <w:spacing w:line="480" w:lineRule="exact"/>
        <w:rPr>
          <w:rFonts w:hint="eastAsia" w:ascii="仿宋" w:hAnsi="仿宋" w:eastAsia="仿宋" w:cs="仿宋"/>
          <w:b/>
          <w:color w:val="auto"/>
          <w:sz w:val="24"/>
          <w:szCs w:val="24"/>
          <w:highlight w:val="none"/>
        </w:rPr>
      </w:pPr>
    </w:p>
    <w:p w14:paraId="6F2BE467">
      <w:pPr>
        <w:pStyle w:val="4"/>
        <w:keepLines w:val="0"/>
        <w:pageBreakBefore w:val="0"/>
        <w:numPr>
          <w:ilvl w:val="0"/>
          <w:numId w:val="0"/>
        </w:numPr>
        <w:shd w:val="clear" w:color="auto" w:fill="auto"/>
        <w:wordWrap/>
        <w:topLinePunct w:val="0"/>
        <w:bidi w:val="0"/>
        <w:spacing w:line="480" w:lineRule="exact"/>
        <w:jc w:val="both"/>
        <w:outlineLvl w:val="9"/>
        <w:rPr>
          <w:rFonts w:hint="eastAsia" w:ascii="仿宋" w:hAnsi="仿宋" w:eastAsia="仿宋" w:cs="仿宋"/>
          <w:b w:val="0"/>
          <w:color w:val="auto"/>
          <w:sz w:val="24"/>
          <w:szCs w:val="24"/>
          <w:highlight w:val="none"/>
        </w:rPr>
      </w:pPr>
    </w:p>
    <w:p w14:paraId="545C2B29">
      <w:pPr>
        <w:keepLines w:val="0"/>
        <w:pageBreakBefore w:val="0"/>
        <w:shd w:val="clear" w:color="auto" w:fill="auto"/>
        <w:wordWrap/>
        <w:topLinePunct w:val="0"/>
        <w:bidi w:val="0"/>
        <w:spacing w:line="480" w:lineRule="exact"/>
        <w:ind w:firstLine="5280" w:firstLineChars="2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供应商名称（盖章）：                            </w:t>
      </w:r>
    </w:p>
    <w:p w14:paraId="37D5F009">
      <w:pPr>
        <w:keepLines w:val="0"/>
        <w:pageBreakBefore w:val="0"/>
        <w:shd w:val="clear" w:color="auto" w:fill="auto"/>
        <w:wordWrap/>
        <w:topLinePunct w:val="0"/>
        <w:bidi w:val="0"/>
        <w:spacing w:line="480" w:lineRule="exact"/>
        <w:ind w:left="0" w:leftChars="0" w:firstLine="4320" w:firstLineChars="18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法定代表人或授权代表（签字或盖章）：</w:t>
      </w:r>
    </w:p>
    <w:p w14:paraId="256895E3">
      <w:pPr>
        <w:keepLines w:val="0"/>
        <w:pageBreakBefore w:val="0"/>
        <w:shd w:val="clear" w:color="auto" w:fill="auto"/>
        <w:wordWrap/>
        <w:topLinePunct w:val="0"/>
        <w:bidi w:val="0"/>
        <w:spacing w:line="480" w:lineRule="exact"/>
        <w:ind w:left="0" w:leftChars="0" w:firstLine="4320" w:firstLineChars="1800"/>
        <w:jc w:val="left"/>
        <w:rPr>
          <w:rFonts w:hint="eastAsia" w:ascii="仿宋" w:hAnsi="仿宋" w:eastAsia="仿宋" w:cs="仿宋"/>
          <w:color w:val="auto"/>
          <w:sz w:val="24"/>
          <w:szCs w:val="24"/>
          <w:highlight w:val="none"/>
        </w:rPr>
        <w:sectPr>
          <w:pgSz w:w="11906" w:h="16838"/>
          <w:pgMar w:top="1418" w:right="1134" w:bottom="1418" w:left="1418" w:header="851" w:footer="851" w:gutter="0"/>
          <w:pgNumType w:fmt="decimal"/>
          <w:cols w:space="720" w:num="1"/>
          <w:docGrid w:type="linesAndChars" w:linePitch="312" w:charSpace="0"/>
        </w:sectPr>
      </w:pPr>
      <w:r>
        <w:rPr>
          <w:rFonts w:hint="eastAsia" w:ascii="仿宋" w:hAnsi="仿宋" w:eastAsia="仿宋" w:cs="仿宋"/>
          <w:color w:val="auto"/>
          <w:sz w:val="24"/>
          <w:szCs w:val="24"/>
          <w:highlight w:val="none"/>
        </w:rPr>
        <w:t xml:space="preserve">        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6A0BDA94">
      <w:pPr>
        <w:pStyle w:val="28"/>
        <w:keepLines w:val="0"/>
        <w:pageBreakBefore w:val="0"/>
        <w:numPr>
          <w:ilvl w:val="0"/>
          <w:numId w:val="0"/>
        </w:numPr>
        <w:shd w:val="clear" w:color="auto" w:fill="auto"/>
        <w:wordWrap/>
        <w:topLinePunct w:val="0"/>
        <w:bidi w:val="0"/>
        <w:spacing w:line="480" w:lineRule="exact"/>
        <w:jc w:val="center"/>
        <w:outlineLvl w:val="1"/>
        <w:rPr>
          <w:rFonts w:hint="eastAsia" w:ascii="仿宋" w:hAnsi="仿宋" w:eastAsia="仿宋" w:cs="仿宋"/>
          <w:b/>
          <w:bCs/>
          <w:color w:val="auto"/>
          <w:sz w:val="24"/>
          <w:szCs w:val="24"/>
          <w:highlight w:val="none"/>
        </w:rPr>
      </w:pPr>
      <w:bookmarkStart w:id="1392" w:name="_Toc28745"/>
      <w:r>
        <w:rPr>
          <w:rFonts w:hint="eastAsia" w:ascii="仿宋" w:hAnsi="仿宋" w:eastAsia="仿宋" w:cs="仿宋"/>
          <w:b/>
          <w:bCs/>
          <w:color w:val="auto"/>
          <w:sz w:val="24"/>
          <w:szCs w:val="24"/>
          <w:highlight w:val="none"/>
          <w:lang w:val="en-US" w:eastAsia="zh-CN"/>
        </w:rPr>
        <w:t>4、开标</w:t>
      </w:r>
      <w:r>
        <w:rPr>
          <w:rFonts w:hint="eastAsia" w:ascii="仿宋" w:hAnsi="仿宋" w:eastAsia="仿宋" w:cs="仿宋"/>
          <w:b/>
          <w:bCs/>
          <w:color w:val="auto"/>
          <w:sz w:val="24"/>
          <w:szCs w:val="24"/>
          <w:highlight w:val="none"/>
        </w:rPr>
        <w:t>一览表</w:t>
      </w:r>
      <w:bookmarkEnd w:id="1391"/>
      <w:bookmarkEnd w:id="1392"/>
    </w:p>
    <w:p w14:paraId="1D941661">
      <w:pPr>
        <w:pStyle w:val="28"/>
        <w:keepLines w:val="0"/>
        <w:pageBreakBefore w:val="0"/>
        <w:numPr>
          <w:ilvl w:val="0"/>
          <w:numId w:val="0"/>
        </w:numPr>
        <w:shd w:val="clear" w:color="auto" w:fill="auto"/>
        <w:wordWrap/>
        <w:topLinePunct w:val="0"/>
        <w:bidi w:val="0"/>
        <w:spacing w:line="480" w:lineRule="exact"/>
        <w:jc w:val="both"/>
        <w:outlineLvl w:val="9"/>
        <w:rPr>
          <w:rFonts w:hint="eastAsia" w:ascii="仿宋" w:hAnsi="仿宋" w:eastAsia="仿宋" w:cs="仿宋"/>
          <w:b/>
          <w:bCs/>
          <w:color w:val="auto"/>
          <w:sz w:val="24"/>
          <w:szCs w:val="24"/>
          <w:highlight w:val="none"/>
        </w:rPr>
      </w:pP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3"/>
        <w:gridCol w:w="2562"/>
        <w:gridCol w:w="5473"/>
      </w:tblGrid>
      <w:tr w14:paraId="54382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683" w:type="dxa"/>
            <w:noWrap w:val="0"/>
            <w:vAlign w:val="center"/>
          </w:tcPr>
          <w:p w14:paraId="1902FFD6">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562" w:type="dxa"/>
            <w:noWrap w:val="0"/>
            <w:vAlign w:val="center"/>
          </w:tcPr>
          <w:p w14:paraId="5F1A247E">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5473" w:type="dxa"/>
            <w:noWrap w:val="0"/>
            <w:vAlign w:val="center"/>
          </w:tcPr>
          <w:p w14:paraId="7EF96777">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p>
        </w:tc>
      </w:tr>
      <w:tr w14:paraId="46F5F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83" w:type="dxa"/>
            <w:noWrap w:val="0"/>
            <w:vAlign w:val="center"/>
          </w:tcPr>
          <w:p w14:paraId="112265F9">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2562" w:type="dxa"/>
            <w:noWrap w:val="0"/>
            <w:vAlign w:val="center"/>
          </w:tcPr>
          <w:p w14:paraId="1AB1C3A0">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项目编号</w:t>
            </w:r>
          </w:p>
        </w:tc>
        <w:tc>
          <w:tcPr>
            <w:tcW w:w="5473" w:type="dxa"/>
            <w:noWrap w:val="0"/>
            <w:vAlign w:val="center"/>
          </w:tcPr>
          <w:p w14:paraId="2151FD3C">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lang w:eastAsia="zh-CN"/>
              </w:rPr>
            </w:pPr>
          </w:p>
        </w:tc>
      </w:tr>
      <w:tr w14:paraId="71899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1" w:hRule="atLeast"/>
          <w:jc w:val="center"/>
        </w:trPr>
        <w:tc>
          <w:tcPr>
            <w:tcW w:w="683" w:type="dxa"/>
            <w:noWrap w:val="0"/>
            <w:vAlign w:val="center"/>
          </w:tcPr>
          <w:p w14:paraId="190AC587">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2562" w:type="dxa"/>
            <w:noWrap w:val="0"/>
            <w:vAlign w:val="center"/>
          </w:tcPr>
          <w:p w14:paraId="77AF5380">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投标报价（</w:t>
            </w:r>
            <w:r>
              <w:rPr>
                <w:rFonts w:hint="eastAsia" w:ascii="仿宋" w:hAnsi="仿宋" w:eastAsia="仿宋" w:cs="仿宋"/>
                <w:color w:val="auto"/>
                <w:sz w:val="24"/>
                <w:szCs w:val="24"/>
                <w:highlight w:val="none"/>
                <w:lang w:val="en-US" w:eastAsia="zh-CN"/>
              </w:rPr>
              <w:t>元）</w:t>
            </w:r>
          </w:p>
        </w:tc>
        <w:tc>
          <w:tcPr>
            <w:tcW w:w="5473" w:type="dxa"/>
            <w:noWrap w:val="0"/>
            <w:vAlign w:val="center"/>
          </w:tcPr>
          <w:p w14:paraId="14A05DD5">
            <w:pPr>
              <w:keepLines w:val="0"/>
              <w:pageBreakBefore w:val="0"/>
              <w:shd w:val="clear" w:color="auto" w:fill="auto"/>
              <w:kinsoku/>
              <w:wordWrap/>
              <w:overflowPunct/>
              <w:topLinePunct w:val="0"/>
              <w:bidi w:val="0"/>
              <w:spacing w:line="480" w:lineRule="exact"/>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小写+大写）</w:t>
            </w:r>
          </w:p>
        </w:tc>
      </w:tr>
      <w:tr w14:paraId="104EB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683" w:type="dxa"/>
            <w:noWrap w:val="0"/>
            <w:vAlign w:val="center"/>
          </w:tcPr>
          <w:p w14:paraId="5DAB762D">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2562" w:type="dxa"/>
            <w:noWrap w:val="0"/>
            <w:vAlign w:val="center"/>
          </w:tcPr>
          <w:p w14:paraId="65925459">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合同履行期限</w:t>
            </w:r>
          </w:p>
        </w:tc>
        <w:tc>
          <w:tcPr>
            <w:tcW w:w="5473" w:type="dxa"/>
            <w:noWrap w:val="0"/>
            <w:vAlign w:val="center"/>
          </w:tcPr>
          <w:p w14:paraId="08670B2D">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p>
        </w:tc>
      </w:tr>
      <w:tr w14:paraId="616C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683" w:type="dxa"/>
            <w:noWrap w:val="0"/>
            <w:vAlign w:val="center"/>
          </w:tcPr>
          <w:p w14:paraId="6F7B6208">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2562" w:type="dxa"/>
            <w:noWrap w:val="0"/>
            <w:vAlign w:val="center"/>
          </w:tcPr>
          <w:p w14:paraId="5A3A868A">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质量标准</w:t>
            </w:r>
          </w:p>
        </w:tc>
        <w:tc>
          <w:tcPr>
            <w:tcW w:w="5473" w:type="dxa"/>
            <w:noWrap w:val="0"/>
            <w:vAlign w:val="center"/>
          </w:tcPr>
          <w:p w14:paraId="6FC81A8A">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p>
        </w:tc>
      </w:tr>
      <w:tr w14:paraId="1340A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683" w:type="dxa"/>
            <w:noWrap w:val="0"/>
            <w:vAlign w:val="center"/>
          </w:tcPr>
          <w:p w14:paraId="51761E5F">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2562" w:type="dxa"/>
            <w:noWrap w:val="0"/>
            <w:vAlign w:val="center"/>
          </w:tcPr>
          <w:p w14:paraId="2F6CF46A">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服务地点</w:t>
            </w:r>
          </w:p>
        </w:tc>
        <w:tc>
          <w:tcPr>
            <w:tcW w:w="5473" w:type="dxa"/>
            <w:noWrap w:val="0"/>
            <w:vAlign w:val="center"/>
          </w:tcPr>
          <w:p w14:paraId="133177BA">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p>
        </w:tc>
      </w:tr>
      <w:tr w14:paraId="301D2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683" w:type="dxa"/>
            <w:noWrap w:val="0"/>
            <w:vAlign w:val="center"/>
          </w:tcPr>
          <w:p w14:paraId="71A0A2B8">
            <w:pPr>
              <w:keepLines w:val="0"/>
              <w:pageBreakBefore w:val="0"/>
              <w:shd w:val="clear" w:color="auto" w:fill="auto"/>
              <w:kinsoku/>
              <w:wordWrap/>
              <w:overflowPunct/>
              <w:topLinePunct w:val="0"/>
              <w:bidi w:val="0"/>
              <w:spacing w:line="480" w:lineRule="exact"/>
              <w:ind w:left="0" w:leftChars="0" w:firstLine="0" w:firstLineChars="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2562" w:type="dxa"/>
            <w:noWrap w:val="0"/>
            <w:vAlign w:val="center"/>
          </w:tcPr>
          <w:p w14:paraId="0C5D9F2A">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c>
          <w:tcPr>
            <w:tcW w:w="5473" w:type="dxa"/>
            <w:noWrap w:val="0"/>
            <w:vAlign w:val="center"/>
          </w:tcPr>
          <w:p w14:paraId="6139A745">
            <w:pPr>
              <w:keepLines w:val="0"/>
              <w:pageBreakBefore w:val="0"/>
              <w:shd w:val="clear" w:color="auto" w:fill="auto"/>
              <w:kinsoku/>
              <w:wordWrap/>
              <w:overflowPunct/>
              <w:topLinePunct w:val="0"/>
              <w:bidi w:val="0"/>
              <w:spacing w:line="480" w:lineRule="exact"/>
              <w:jc w:val="center"/>
              <w:rPr>
                <w:rFonts w:hint="eastAsia" w:ascii="仿宋" w:hAnsi="仿宋" w:eastAsia="仿宋" w:cs="仿宋"/>
                <w:color w:val="auto"/>
                <w:sz w:val="24"/>
                <w:szCs w:val="24"/>
                <w:highlight w:val="none"/>
              </w:rPr>
            </w:pPr>
          </w:p>
        </w:tc>
      </w:tr>
    </w:tbl>
    <w:p w14:paraId="116E9ABD">
      <w:pPr>
        <w:keepLines w:val="0"/>
        <w:pageBreakBefore w:val="0"/>
        <w:shd w:val="clear" w:color="auto" w:fill="auto"/>
        <w:wordWrap/>
        <w:topLinePunct w:val="0"/>
        <w:bidi w:val="0"/>
        <w:snapToGrid w:val="0"/>
        <w:spacing w:line="480" w:lineRule="exact"/>
        <w:ind w:firstLine="120" w:firstLineChars="50"/>
        <w:jc w:val="left"/>
        <w:rPr>
          <w:rFonts w:hint="eastAsia" w:ascii="仿宋" w:hAnsi="仿宋" w:eastAsia="仿宋" w:cs="仿宋"/>
          <w:color w:val="auto"/>
          <w:sz w:val="24"/>
          <w:szCs w:val="24"/>
          <w:highlight w:val="none"/>
        </w:rPr>
      </w:pPr>
    </w:p>
    <w:p w14:paraId="5A579E9C">
      <w:pPr>
        <w:keepLines w:val="0"/>
        <w:pageBreakBefore w:val="0"/>
        <w:shd w:val="clear" w:color="auto" w:fill="auto"/>
        <w:wordWrap/>
        <w:topLinePunct w:val="0"/>
        <w:bidi w:val="0"/>
        <w:snapToGrid w:val="0"/>
        <w:spacing w:line="480" w:lineRule="exact"/>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 1、报价一经涂改，应在涂改处加盖单位公章或者由法定代表人或授权委托人签字或盖章，否则其投标作无效标处理。</w:t>
      </w:r>
    </w:p>
    <w:p w14:paraId="7B7D2E78">
      <w:pPr>
        <w:keepLines w:val="0"/>
        <w:pageBreakBefore w:val="0"/>
        <w:shd w:val="clear" w:color="auto" w:fill="auto"/>
        <w:wordWrap/>
        <w:topLinePunct w:val="0"/>
        <w:bidi w:val="0"/>
        <w:snapToGrid w:val="0"/>
        <w:spacing w:line="480" w:lineRule="exact"/>
        <w:ind w:firstLine="360" w:firstLineChars="1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2、报价应与投标函一致。</w:t>
      </w:r>
    </w:p>
    <w:p w14:paraId="30B6A452">
      <w:pPr>
        <w:keepLines w:val="0"/>
        <w:pageBreakBefore w:val="0"/>
        <w:shd w:val="clear" w:color="auto" w:fill="auto"/>
        <w:wordWrap/>
        <w:topLinePunct w:val="0"/>
        <w:bidi w:val="0"/>
        <w:spacing w:line="480" w:lineRule="exact"/>
        <w:ind w:firstLine="5280" w:firstLineChars="220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p>
    <w:p w14:paraId="57782206">
      <w:pPr>
        <w:keepLines w:val="0"/>
        <w:pageBreakBefore w:val="0"/>
        <w:shd w:val="clear" w:color="auto" w:fill="auto"/>
        <w:wordWrap/>
        <w:topLinePunct w:val="0"/>
        <w:bidi w:val="0"/>
        <w:spacing w:line="480" w:lineRule="exact"/>
        <w:ind w:firstLine="5280" w:firstLineChars="2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供应商名称（盖章）：                            </w:t>
      </w:r>
    </w:p>
    <w:p w14:paraId="7A03A765">
      <w:pPr>
        <w:keepLines w:val="0"/>
        <w:pageBreakBefore w:val="0"/>
        <w:shd w:val="clear" w:color="auto" w:fill="auto"/>
        <w:wordWrap/>
        <w:topLinePunct w:val="0"/>
        <w:bidi w:val="0"/>
        <w:spacing w:line="480" w:lineRule="exact"/>
        <w:jc w:val="left"/>
        <w:rPr>
          <w:rFonts w:hint="eastAsia" w:ascii="仿宋" w:hAnsi="仿宋" w:eastAsia="仿宋" w:cs="仿宋"/>
          <w:color w:val="auto"/>
          <w:sz w:val="24"/>
          <w:szCs w:val="24"/>
          <w:highlight w:val="none"/>
        </w:rPr>
      </w:pPr>
    </w:p>
    <w:p w14:paraId="232430E0">
      <w:pPr>
        <w:keepLines w:val="0"/>
        <w:pageBreakBefore w:val="0"/>
        <w:shd w:val="clear" w:color="auto" w:fill="auto"/>
        <w:wordWrap/>
        <w:topLinePunct w:val="0"/>
        <w:bidi w:val="0"/>
        <w:spacing w:line="480" w:lineRule="exact"/>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法定代表人或授权代表（签字或盖章）：</w:t>
      </w:r>
    </w:p>
    <w:p w14:paraId="0122E564">
      <w:pPr>
        <w:keepLines w:val="0"/>
        <w:pageBreakBefore w:val="0"/>
        <w:shd w:val="clear" w:color="auto" w:fill="auto"/>
        <w:wordWrap/>
        <w:topLinePunct w:val="0"/>
        <w:bidi w:val="0"/>
        <w:snapToGrid w:val="0"/>
        <w:spacing w:before="50" w:after="50" w:line="480" w:lineRule="exact"/>
        <w:ind w:left="5855" w:leftChars="331" w:right="-817" w:rightChars="-389" w:hanging="5160" w:hangingChars="2150"/>
        <w:jc w:val="left"/>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p>
    <w:p w14:paraId="775895C0">
      <w:pPr>
        <w:keepLines w:val="0"/>
        <w:pageBreakBefore w:val="0"/>
        <w:shd w:val="clear" w:color="auto" w:fill="auto"/>
        <w:wordWrap/>
        <w:topLinePunct w:val="0"/>
        <w:bidi w:val="0"/>
        <w:spacing w:line="480" w:lineRule="exact"/>
        <w:ind w:left="0" w:leftChars="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br w:type="page"/>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磋商保证金</w:t>
      </w:r>
    </w:p>
    <w:p w14:paraId="335A4F33">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310575A4">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2B239BB9">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说明：可提供付款凭证或金融机构、担保机构出具的保函。</w:t>
      </w:r>
    </w:p>
    <w:p w14:paraId="144AEA35">
      <w:pPr>
        <w:pageBreakBefore w:val="0"/>
        <w:shd w:val="clear"/>
        <w:wordWrap/>
        <w:topLinePunct w:val="0"/>
        <w:bidi w:val="0"/>
        <w:spacing w:line="48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保证金汇款声明函(适用银行转账)</w:t>
      </w:r>
    </w:p>
    <w:p w14:paraId="79774672">
      <w:pPr>
        <w:pageBreakBefore w:val="0"/>
        <w:shd w:val="clear"/>
        <w:wordWrap/>
        <w:topLinePunct w:val="0"/>
        <w:bidi w:val="0"/>
        <w:spacing w:line="48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致：______(采购人)</w:t>
      </w:r>
    </w:p>
    <w:p w14:paraId="27219E2C">
      <w:pPr>
        <w:pageBreakBefore w:val="0"/>
        <w:shd w:val="clear"/>
        <w:wordWrap/>
        <w:topLinePunct w:val="0"/>
        <w:bidi w:val="0"/>
        <w:spacing w:line="48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我方为</w:t>
      </w:r>
      <w:r>
        <w:rPr>
          <w:rFonts w:hint="eastAsia" w:ascii="仿宋" w:hAnsi="仿宋" w:eastAsia="仿宋" w:cs="仿宋"/>
          <w:color w:val="auto"/>
          <w:sz w:val="24"/>
          <w:szCs w:val="24"/>
          <w:highlight w:val="none"/>
          <w:u w:val="single"/>
          <w:lang w:eastAsia="zh-CN"/>
        </w:rPr>
        <w:t>(项目名称)</w:t>
      </w:r>
      <w:r>
        <w:rPr>
          <w:rFonts w:hint="eastAsia" w:ascii="仿宋" w:hAnsi="仿宋" w:eastAsia="仿宋" w:cs="仿宋"/>
          <w:color w:val="auto"/>
          <w:sz w:val="24"/>
          <w:szCs w:val="24"/>
          <w:highlight w:val="none"/>
          <w:lang w:eastAsia="zh-CN"/>
        </w:rPr>
        <w:t>(项目编号：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eastAsia="zh-CN"/>
        </w:rPr>
        <w:t>)递交保证金人民币</w:t>
      </w:r>
      <w:r>
        <w:rPr>
          <w:rFonts w:hint="eastAsia" w:ascii="仿宋" w:hAnsi="仿宋" w:eastAsia="仿宋" w:cs="仿宋"/>
          <w:color w:val="auto"/>
          <w:sz w:val="24"/>
          <w:szCs w:val="24"/>
          <w:highlight w:val="none"/>
          <w:u w:val="single"/>
          <w:lang w:eastAsia="zh-CN"/>
        </w:rPr>
        <w:t>（</w:t>
      </w:r>
      <w:r>
        <w:rPr>
          <w:rFonts w:hint="eastAsia" w:ascii="仿宋" w:hAnsi="仿宋" w:eastAsia="仿宋" w:cs="仿宋"/>
          <w:color w:val="auto"/>
          <w:sz w:val="24"/>
          <w:szCs w:val="24"/>
          <w:highlight w:val="none"/>
          <w:u w:val="single"/>
          <w:lang w:val="en-US" w:eastAsia="zh-CN"/>
        </w:rPr>
        <w:t>小写+大写）</w:t>
      </w:r>
      <w:r>
        <w:rPr>
          <w:rFonts w:hint="eastAsia" w:ascii="仿宋" w:hAnsi="仿宋" w:eastAsia="仿宋" w:cs="仿宋"/>
          <w:color w:val="auto"/>
          <w:sz w:val="24"/>
          <w:szCs w:val="24"/>
          <w:highlight w:val="none"/>
          <w:lang w:eastAsia="zh-CN"/>
        </w:rPr>
        <w:t>已于_____年____月____日以银行主动划账方式划入你方账户。</w:t>
      </w:r>
    </w:p>
    <w:p w14:paraId="7A7E9D0B">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详见附件：银行出具的汇款单或转账凭证复印件。</w:t>
      </w:r>
    </w:p>
    <w:p w14:paraId="1DE1EE65">
      <w:pPr>
        <w:pageBreakBefore w:val="0"/>
        <w:shd w:val="clear"/>
        <w:wordWrap/>
        <w:topLinePunct w:val="0"/>
        <w:bidi w:val="0"/>
        <w:spacing w:line="48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退还保证金时请按以下内容划入我方账户。若因内容不全、错误、字迹潦草模糊导致该项目保证金未能及时退还或退还过程中发生错误，我方将承担全部责任和损失。</w:t>
      </w:r>
    </w:p>
    <w:p w14:paraId="3867578C">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单位全称：</w:t>
      </w:r>
    </w:p>
    <w:p w14:paraId="38CCD093">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开户银行：</w:t>
      </w:r>
    </w:p>
    <w:p w14:paraId="3BE49DCB">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开户账号：</w:t>
      </w:r>
    </w:p>
    <w:p w14:paraId="78DE4AF3">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　</w:t>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　</w:t>
      </w:r>
    </w:p>
    <w:p w14:paraId="5F1DDD5B">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地址：　</w:t>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　</w:t>
      </w:r>
    </w:p>
    <w:p w14:paraId="371AE977">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项目联系人：</w:t>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　　</w:t>
      </w:r>
    </w:p>
    <w:p w14:paraId="3064F5C0">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电话(手机)：　　</w:t>
      </w:r>
      <w:r>
        <w:rPr>
          <w:rFonts w:hint="eastAsia" w:ascii="仿宋" w:hAnsi="仿宋" w:eastAsia="仿宋" w:cs="仿宋"/>
          <w:color w:val="auto"/>
          <w:sz w:val="24"/>
          <w:szCs w:val="24"/>
          <w:highlight w:val="none"/>
          <w:lang w:eastAsia="zh-CN"/>
        </w:rPr>
        <w:tab/>
      </w:r>
      <w:r>
        <w:rPr>
          <w:rFonts w:hint="eastAsia" w:ascii="仿宋" w:hAnsi="仿宋" w:eastAsia="仿宋" w:cs="仿宋"/>
          <w:color w:val="auto"/>
          <w:sz w:val="24"/>
          <w:szCs w:val="24"/>
          <w:highlight w:val="none"/>
          <w:lang w:eastAsia="zh-CN"/>
        </w:rPr>
        <w:tab/>
      </w:r>
    </w:p>
    <w:p w14:paraId="338E685C">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p>
    <w:tbl>
      <w:tblPr>
        <w:tblStyle w:val="19"/>
        <w:tblW w:w="591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14:paraId="7E8AA5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1" w:hRule="atLeast"/>
          <w:jc w:val="center"/>
        </w:trPr>
        <w:tc>
          <w:tcPr>
            <w:tcW w:w="5913" w:type="dxa"/>
            <w:tcBorders>
              <w:top w:val="single" w:color="auto" w:sz="4" w:space="0"/>
              <w:bottom w:val="single" w:color="auto" w:sz="4" w:space="0"/>
            </w:tcBorders>
            <w:vAlign w:val="center"/>
          </w:tcPr>
          <w:p w14:paraId="596290BE">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汇款单或转账凭证复印件</w:t>
            </w:r>
          </w:p>
        </w:tc>
      </w:tr>
    </w:tbl>
    <w:p w14:paraId="41DCDE95">
      <w:pPr>
        <w:pageBreakBefore w:val="0"/>
        <w:shd w:val="clear"/>
        <w:wordWrap/>
        <w:topLinePunct w:val="0"/>
        <w:bidi w:val="0"/>
        <w:spacing w:line="480" w:lineRule="exact"/>
        <w:rPr>
          <w:rFonts w:hint="eastAsia" w:ascii="仿宋" w:hAnsi="仿宋" w:eastAsia="仿宋" w:cs="仿宋"/>
          <w:color w:val="auto"/>
          <w:sz w:val="24"/>
          <w:szCs w:val="24"/>
          <w:highlight w:val="none"/>
          <w:lang w:eastAsia="zh-CN"/>
        </w:rPr>
      </w:pPr>
    </w:p>
    <w:tbl>
      <w:tblPr>
        <w:tblStyle w:val="19"/>
        <w:tblW w:w="591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14:paraId="05C059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61" w:hRule="atLeast"/>
          <w:jc w:val="center"/>
        </w:trPr>
        <w:tc>
          <w:tcPr>
            <w:tcW w:w="5913" w:type="dxa"/>
            <w:tcBorders>
              <w:top w:val="single" w:color="auto" w:sz="4" w:space="0"/>
              <w:bottom w:val="single" w:color="auto" w:sz="4" w:space="0"/>
            </w:tcBorders>
            <w:vAlign w:val="center"/>
          </w:tcPr>
          <w:p w14:paraId="18D78859">
            <w:pPr>
              <w:pageBreakBefore w:val="0"/>
              <w:shd w:val="clear"/>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开户行许可证复印件</w:t>
            </w:r>
          </w:p>
        </w:tc>
      </w:tr>
    </w:tbl>
    <w:p w14:paraId="442467D0">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sectPr>
          <w:headerReference r:id="rId18" w:type="default"/>
          <w:footerReference r:id="rId19" w:type="default"/>
          <w:pgSz w:w="11906" w:h="16838"/>
          <w:pgMar w:top="1417" w:right="1418" w:bottom="1417" w:left="1418" w:header="851" w:footer="850" w:gutter="0"/>
          <w:pgNumType w:fmt="decimal"/>
          <w:cols w:space="720" w:num="1"/>
          <w:rtlGutter w:val="0"/>
          <w:docGrid w:type="lines" w:linePitch="312" w:charSpace="0"/>
        </w:sectPr>
      </w:pPr>
    </w:p>
    <w:p w14:paraId="13C5CB55">
      <w:pPr>
        <w:keepLines w:val="0"/>
        <w:pageBreakBefore w:val="0"/>
        <w:shd w:val="clear" w:color="auto" w:fill="auto"/>
        <w:wordWrap/>
        <w:topLinePunct w:val="0"/>
        <w:bidi w:val="0"/>
        <w:spacing w:line="48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rPr>
        <w:t>、供应商符合资格条件的证明文件</w:t>
      </w:r>
    </w:p>
    <w:p w14:paraId="69DB218B">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bookmarkStart w:id="1393" w:name="_Toc8222"/>
      <w:bookmarkStart w:id="1394" w:name="_Toc498343986"/>
      <w:r>
        <w:rPr>
          <w:rFonts w:hint="eastAsia" w:ascii="仿宋" w:hAnsi="仿宋" w:eastAsia="仿宋" w:cs="仿宋"/>
          <w:color w:val="auto"/>
          <w:sz w:val="24"/>
          <w:szCs w:val="24"/>
          <w:highlight w:val="none"/>
          <w:lang w:eastAsia="zh-CN"/>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－1 供应商基本情况表</w:t>
      </w:r>
    </w:p>
    <w:p w14:paraId="72752CDC">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供应商基本情况表</w:t>
      </w:r>
    </w:p>
    <w:p w14:paraId="49679BFD">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bl>
      <w:tblPr>
        <w:tblStyle w:val="1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70"/>
        <w:gridCol w:w="2281"/>
        <w:gridCol w:w="2468"/>
        <w:gridCol w:w="1750"/>
      </w:tblGrid>
      <w:tr w14:paraId="5E1F7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73292AA4">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p>
        </w:tc>
        <w:tc>
          <w:tcPr>
            <w:tcW w:w="1991" w:type="dxa"/>
            <w:vAlign w:val="center"/>
          </w:tcPr>
          <w:p w14:paraId="6CAF1D4F">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326C72DB">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1528" w:type="dxa"/>
            <w:vAlign w:val="center"/>
          </w:tcPr>
          <w:p w14:paraId="67EC0E44">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61478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08E5A712">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991" w:type="dxa"/>
            <w:vAlign w:val="center"/>
          </w:tcPr>
          <w:p w14:paraId="41028B46">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0E44E44B">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528" w:type="dxa"/>
            <w:vAlign w:val="center"/>
          </w:tcPr>
          <w:p w14:paraId="557893D8">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3CFE3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515E8677">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w:t>
            </w:r>
          </w:p>
        </w:tc>
        <w:tc>
          <w:tcPr>
            <w:tcW w:w="1991" w:type="dxa"/>
            <w:vAlign w:val="center"/>
          </w:tcPr>
          <w:p w14:paraId="4D79070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727CA89B">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528" w:type="dxa"/>
            <w:vAlign w:val="center"/>
          </w:tcPr>
          <w:p w14:paraId="68E1F63F">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42220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290ACD4E">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991" w:type="dxa"/>
            <w:vAlign w:val="center"/>
          </w:tcPr>
          <w:p w14:paraId="6019A71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611101B0">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tc>
        <w:tc>
          <w:tcPr>
            <w:tcW w:w="1528" w:type="dxa"/>
            <w:vAlign w:val="center"/>
          </w:tcPr>
          <w:p w14:paraId="63488CC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7F6CD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5B50EF58">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上年营业收入</w:t>
            </w:r>
          </w:p>
        </w:tc>
        <w:tc>
          <w:tcPr>
            <w:tcW w:w="1991" w:type="dxa"/>
            <w:vAlign w:val="center"/>
          </w:tcPr>
          <w:p w14:paraId="394B046A">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2A5BF8EB">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员工总人数</w:t>
            </w:r>
          </w:p>
        </w:tc>
        <w:tc>
          <w:tcPr>
            <w:tcW w:w="1528" w:type="dxa"/>
            <w:vAlign w:val="center"/>
          </w:tcPr>
          <w:p w14:paraId="31CF8166">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29160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46B12DED">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基本账户开户行及账号</w:t>
            </w:r>
          </w:p>
        </w:tc>
        <w:tc>
          <w:tcPr>
            <w:tcW w:w="1991" w:type="dxa"/>
            <w:vAlign w:val="center"/>
          </w:tcPr>
          <w:p w14:paraId="0FE0F9B8">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tc>
        <w:tc>
          <w:tcPr>
            <w:tcW w:w="2154" w:type="dxa"/>
            <w:vAlign w:val="center"/>
          </w:tcPr>
          <w:p w14:paraId="6505879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tc>
        <w:tc>
          <w:tcPr>
            <w:tcW w:w="1528" w:type="dxa"/>
            <w:vAlign w:val="center"/>
          </w:tcPr>
          <w:p w14:paraId="7048B2B3">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tc>
      </w:tr>
      <w:tr w14:paraId="3833F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5430E1EE">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税务登记机关</w:t>
            </w:r>
          </w:p>
        </w:tc>
        <w:tc>
          <w:tcPr>
            <w:tcW w:w="1991" w:type="dxa"/>
            <w:vAlign w:val="center"/>
          </w:tcPr>
          <w:p w14:paraId="19D9CD7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6E70B0A7">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1528" w:type="dxa"/>
            <w:vAlign w:val="center"/>
          </w:tcPr>
          <w:p w14:paraId="158AD618">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348DA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115D6823">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资质名称</w:t>
            </w:r>
          </w:p>
        </w:tc>
        <w:tc>
          <w:tcPr>
            <w:tcW w:w="1991" w:type="dxa"/>
            <w:vAlign w:val="center"/>
          </w:tcPr>
          <w:p w14:paraId="3ACB0E9E">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等级</w:t>
            </w:r>
          </w:p>
        </w:tc>
        <w:tc>
          <w:tcPr>
            <w:tcW w:w="2154" w:type="dxa"/>
            <w:vAlign w:val="center"/>
          </w:tcPr>
          <w:p w14:paraId="1DCA0258">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1528" w:type="dxa"/>
            <w:vAlign w:val="center"/>
          </w:tcPr>
          <w:p w14:paraId="7E65E3B2">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有效期</w:t>
            </w:r>
          </w:p>
        </w:tc>
      </w:tr>
      <w:tr w14:paraId="08449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2636FAD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1991" w:type="dxa"/>
            <w:vAlign w:val="center"/>
          </w:tcPr>
          <w:p w14:paraId="00AACDE9">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77090148">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1528" w:type="dxa"/>
            <w:vAlign w:val="center"/>
          </w:tcPr>
          <w:p w14:paraId="2002CC7C">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38876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58E09718">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1991" w:type="dxa"/>
            <w:vAlign w:val="center"/>
          </w:tcPr>
          <w:p w14:paraId="604914C9">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1B2BFC7C">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1528" w:type="dxa"/>
            <w:vAlign w:val="center"/>
          </w:tcPr>
          <w:p w14:paraId="1FC86B19">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r w14:paraId="4597B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43" w:type="dxa"/>
            <w:vAlign w:val="center"/>
          </w:tcPr>
          <w:p w14:paraId="03A89C27">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c>
          <w:tcPr>
            <w:tcW w:w="1991" w:type="dxa"/>
            <w:vAlign w:val="center"/>
          </w:tcPr>
          <w:p w14:paraId="5B13EFD0">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2154" w:type="dxa"/>
            <w:vAlign w:val="center"/>
          </w:tcPr>
          <w:p w14:paraId="005DA62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c>
          <w:tcPr>
            <w:tcW w:w="1528" w:type="dxa"/>
            <w:vAlign w:val="center"/>
          </w:tcPr>
          <w:p w14:paraId="0E056A86">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tc>
      </w:tr>
    </w:tbl>
    <w:p w14:paraId="51E9769D">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备注：本表后应附企业法人营业执照、企业资质证书副本、安全生产许可证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供应商上一年度（2023年或2024年）</w:t>
      </w:r>
      <w:r>
        <w:rPr>
          <w:rFonts w:hint="eastAsia" w:ascii="仿宋" w:hAnsi="仿宋" w:eastAsia="仿宋" w:cs="仿宋"/>
          <w:color w:val="auto"/>
          <w:sz w:val="24"/>
          <w:szCs w:val="24"/>
          <w:highlight w:val="none"/>
          <w:lang w:eastAsia="zh-CN"/>
        </w:rPr>
        <w:t>经审计的财务报告（</w:t>
      </w:r>
      <w:r>
        <w:rPr>
          <w:rFonts w:hint="eastAsia" w:ascii="仿宋" w:hAnsi="仿宋" w:eastAsia="仿宋" w:cs="仿宋"/>
          <w:color w:val="auto"/>
          <w:sz w:val="24"/>
          <w:szCs w:val="24"/>
          <w:highlight w:val="none"/>
          <w:lang w:val="en-US" w:eastAsia="zh-CN"/>
        </w:rPr>
        <w:t>至少包含包括资产负债表、现金流量表、利润表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等材料。</w:t>
      </w:r>
    </w:p>
    <w:p w14:paraId="2C503C57">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2BB5C97A">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70550C76">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盖章</w:t>
      </w:r>
      <w:r>
        <w:rPr>
          <w:rFonts w:hint="eastAsia" w:ascii="仿宋" w:hAnsi="仿宋" w:eastAsia="仿宋" w:cs="仿宋"/>
          <w:color w:val="auto"/>
          <w:sz w:val="24"/>
          <w:szCs w:val="24"/>
          <w:highlight w:val="none"/>
        </w:rPr>
        <w:t>)：</w:t>
      </w:r>
    </w:p>
    <w:p w14:paraId="771B8E93">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p>
    <w:p w14:paraId="27F3443D">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6FA9977">
      <w:pPr>
        <w:pageBreakBefore w:val="0"/>
        <w:kinsoku/>
        <w:wordWrap/>
        <w:overflowPunct/>
        <w:topLinePunct w:val="0"/>
        <w:bidi w:val="0"/>
        <w:spacing w:line="48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p>
    <w:p w14:paraId="1C1CBFDE">
      <w:pPr>
        <w:pageBreakBefore w:val="0"/>
        <w:kinsoku/>
        <w:wordWrap/>
        <w:overflowPunct/>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val="en-US" w:eastAsia="zh-CN"/>
        </w:rPr>
        <w:t>负责人</w:t>
      </w:r>
      <w:r>
        <w:rPr>
          <w:rFonts w:hint="eastAsia" w:ascii="仿宋" w:hAnsi="仿宋" w:eastAsia="仿宋" w:cs="仿宋"/>
          <w:color w:val="auto"/>
          <w:sz w:val="24"/>
          <w:szCs w:val="24"/>
          <w:highlight w:val="none"/>
        </w:rPr>
        <w:t>简历表</w:t>
      </w:r>
    </w:p>
    <w:p w14:paraId="15E62827">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r>
        <w:rPr>
          <w:rFonts w:hint="eastAsia" w:ascii="仿宋" w:hAnsi="仿宋" w:eastAsia="仿宋" w:cs="仿宋"/>
          <w:color w:val="auto"/>
          <w:sz w:val="24"/>
          <w:szCs w:val="24"/>
          <w:highlight w:val="none"/>
          <w:lang w:val="en-US" w:eastAsia="zh-CN"/>
        </w:rPr>
        <w:t>负责人</w:t>
      </w:r>
      <w:r>
        <w:rPr>
          <w:rFonts w:hint="eastAsia" w:ascii="仿宋" w:hAnsi="仿宋" w:eastAsia="仿宋" w:cs="仿宋"/>
          <w:color w:val="auto"/>
          <w:sz w:val="24"/>
          <w:szCs w:val="24"/>
          <w:highlight w:val="none"/>
        </w:rPr>
        <w:t>应附建造师注册证书、安全生产考核合格证书、身份证、职称证、学历证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未担任其他在施建设工程项目项目经理的承诺书，管理过的项目业绩须附</w:t>
      </w:r>
      <w:r>
        <w:rPr>
          <w:rFonts w:hint="eastAsia" w:ascii="仿宋" w:hAnsi="仿宋" w:eastAsia="仿宋" w:cs="仿宋"/>
          <w:color w:val="auto"/>
          <w:sz w:val="24"/>
          <w:szCs w:val="24"/>
          <w:highlight w:val="none"/>
          <w:lang w:val="en-US" w:eastAsia="zh-CN"/>
        </w:rPr>
        <w:t>中标（成交）通知书和</w:t>
      </w:r>
      <w:r>
        <w:rPr>
          <w:rFonts w:hint="eastAsia" w:ascii="仿宋" w:hAnsi="仿宋" w:eastAsia="仿宋" w:cs="仿宋"/>
          <w:color w:val="auto"/>
          <w:sz w:val="24"/>
          <w:szCs w:val="24"/>
          <w:highlight w:val="none"/>
        </w:rPr>
        <w:t>合同协议书复印件。</w:t>
      </w:r>
    </w:p>
    <w:p w14:paraId="1277E97C">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2"/>
        <w:gridCol w:w="1035"/>
        <w:gridCol w:w="1134"/>
        <w:gridCol w:w="1275"/>
        <w:gridCol w:w="1843"/>
        <w:gridCol w:w="2126"/>
      </w:tblGrid>
      <w:tr w14:paraId="343C4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643238B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p>
        </w:tc>
        <w:tc>
          <w:tcPr>
            <w:tcW w:w="1035" w:type="dxa"/>
            <w:noWrap w:val="0"/>
            <w:vAlign w:val="center"/>
          </w:tcPr>
          <w:p w14:paraId="1F6DE16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134" w:type="dxa"/>
            <w:noWrap w:val="0"/>
            <w:vAlign w:val="center"/>
          </w:tcPr>
          <w:p w14:paraId="2B71B14B">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龄</w:t>
            </w:r>
          </w:p>
        </w:tc>
        <w:tc>
          <w:tcPr>
            <w:tcW w:w="1275" w:type="dxa"/>
            <w:noWrap w:val="0"/>
            <w:vAlign w:val="center"/>
          </w:tcPr>
          <w:p w14:paraId="0CDE6B58">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696E72B2">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学历</w:t>
            </w:r>
          </w:p>
        </w:tc>
        <w:tc>
          <w:tcPr>
            <w:tcW w:w="2126" w:type="dxa"/>
            <w:noWrap w:val="0"/>
            <w:vAlign w:val="center"/>
          </w:tcPr>
          <w:p w14:paraId="3D8DC052">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0C405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500F05BD">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  称</w:t>
            </w:r>
          </w:p>
        </w:tc>
        <w:tc>
          <w:tcPr>
            <w:tcW w:w="1035" w:type="dxa"/>
            <w:noWrap w:val="0"/>
            <w:vAlign w:val="center"/>
          </w:tcPr>
          <w:p w14:paraId="6C4FC88D">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134" w:type="dxa"/>
            <w:noWrap w:val="0"/>
            <w:vAlign w:val="center"/>
          </w:tcPr>
          <w:p w14:paraId="19B4A9D8">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  务</w:t>
            </w:r>
          </w:p>
        </w:tc>
        <w:tc>
          <w:tcPr>
            <w:tcW w:w="1275" w:type="dxa"/>
            <w:noWrap w:val="0"/>
            <w:vAlign w:val="center"/>
          </w:tcPr>
          <w:p w14:paraId="57875961">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3EEF8F57">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拟在本工程任职</w:t>
            </w:r>
          </w:p>
        </w:tc>
        <w:tc>
          <w:tcPr>
            <w:tcW w:w="2126" w:type="dxa"/>
            <w:noWrap w:val="0"/>
            <w:vAlign w:val="center"/>
          </w:tcPr>
          <w:p w14:paraId="62AFF29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项目经理</w:t>
            </w:r>
          </w:p>
        </w:tc>
      </w:tr>
      <w:tr w14:paraId="4DAAF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3"/>
            <w:noWrap w:val="0"/>
            <w:vAlign w:val="center"/>
          </w:tcPr>
          <w:p w14:paraId="5D895AC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注册建造师执业资格等级</w:t>
            </w:r>
          </w:p>
        </w:tc>
        <w:tc>
          <w:tcPr>
            <w:tcW w:w="1275" w:type="dxa"/>
            <w:noWrap w:val="0"/>
            <w:vAlign w:val="center"/>
          </w:tcPr>
          <w:p w14:paraId="41F15163">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级</w:t>
            </w:r>
          </w:p>
        </w:tc>
        <w:tc>
          <w:tcPr>
            <w:tcW w:w="1843" w:type="dxa"/>
            <w:noWrap w:val="0"/>
            <w:vAlign w:val="center"/>
          </w:tcPr>
          <w:p w14:paraId="5E47702A">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建造师专业</w:t>
            </w:r>
          </w:p>
        </w:tc>
        <w:tc>
          <w:tcPr>
            <w:tcW w:w="2126" w:type="dxa"/>
            <w:noWrap w:val="0"/>
            <w:vAlign w:val="center"/>
          </w:tcPr>
          <w:p w14:paraId="50B85E1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7C1DE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3"/>
            <w:noWrap w:val="0"/>
            <w:vAlign w:val="center"/>
          </w:tcPr>
          <w:p w14:paraId="5DB791CA">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安全生产考核合格证书</w:t>
            </w:r>
          </w:p>
        </w:tc>
        <w:tc>
          <w:tcPr>
            <w:tcW w:w="5244" w:type="dxa"/>
            <w:gridSpan w:val="3"/>
            <w:noWrap w:val="0"/>
            <w:vAlign w:val="center"/>
          </w:tcPr>
          <w:p w14:paraId="59BF308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6313C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4ED84BE7">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毕业学校</w:t>
            </w:r>
          </w:p>
        </w:tc>
        <w:tc>
          <w:tcPr>
            <w:tcW w:w="7413" w:type="dxa"/>
            <w:gridSpan w:val="5"/>
            <w:noWrap w:val="0"/>
            <w:vAlign w:val="center"/>
          </w:tcPr>
          <w:p w14:paraId="3865A70D">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年毕业于                  学校            专业</w:t>
            </w:r>
          </w:p>
        </w:tc>
      </w:tr>
      <w:tr w14:paraId="7F63E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05" w:type="dxa"/>
            <w:gridSpan w:val="6"/>
            <w:noWrap w:val="0"/>
            <w:vAlign w:val="center"/>
          </w:tcPr>
          <w:p w14:paraId="18739BDC">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主要工作经历</w:t>
            </w:r>
          </w:p>
        </w:tc>
      </w:tr>
      <w:tr w14:paraId="16534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540522F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  间</w:t>
            </w:r>
          </w:p>
        </w:tc>
        <w:tc>
          <w:tcPr>
            <w:tcW w:w="3444" w:type="dxa"/>
            <w:gridSpan w:val="3"/>
            <w:noWrap w:val="0"/>
            <w:vAlign w:val="center"/>
          </w:tcPr>
          <w:p w14:paraId="5FC18CDC">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参加过的类似项目名称</w:t>
            </w:r>
          </w:p>
        </w:tc>
        <w:tc>
          <w:tcPr>
            <w:tcW w:w="1843" w:type="dxa"/>
            <w:noWrap w:val="0"/>
            <w:vAlign w:val="center"/>
          </w:tcPr>
          <w:p w14:paraId="6123A1F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工程概况说明</w:t>
            </w:r>
          </w:p>
        </w:tc>
        <w:tc>
          <w:tcPr>
            <w:tcW w:w="2126" w:type="dxa"/>
            <w:noWrap w:val="0"/>
            <w:vAlign w:val="center"/>
          </w:tcPr>
          <w:p w14:paraId="287A1C4E">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发包人及联系电话</w:t>
            </w:r>
          </w:p>
        </w:tc>
      </w:tr>
      <w:tr w14:paraId="37CD5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164D9BF9">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12CFC195">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7A98AB48">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17C6FA78">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5CAD1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39718A53">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589480D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5DE5760C">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76C106C2">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777F3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41CE43A">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01E9C9B9">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746C331C">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1408C587">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56BBE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08BB598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46F9D4D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50D96DE1">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35E21C41">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69A3A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5AB52323">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64FF5F76">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4B127785">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0F9E478B">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44F14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38768F7C">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3D16CC3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550F4B00">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1910EA49">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r w14:paraId="02F5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691728C1">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3444" w:type="dxa"/>
            <w:gridSpan w:val="3"/>
            <w:noWrap w:val="0"/>
            <w:vAlign w:val="center"/>
          </w:tcPr>
          <w:p w14:paraId="763C589F">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1843" w:type="dxa"/>
            <w:noWrap w:val="0"/>
            <w:vAlign w:val="center"/>
          </w:tcPr>
          <w:p w14:paraId="44A3E0D9">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c>
          <w:tcPr>
            <w:tcW w:w="2126" w:type="dxa"/>
            <w:noWrap w:val="0"/>
            <w:vAlign w:val="center"/>
          </w:tcPr>
          <w:p w14:paraId="0450DDE5">
            <w:pPr>
              <w:keepNext w:val="0"/>
              <w:keepLines w:val="0"/>
              <w:pageBreakBefore w:val="0"/>
              <w:widowControl w:val="0"/>
              <w:suppressLineNumbers w:val="0"/>
              <w:kinsoku/>
              <w:wordWrap/>
              <w:overflowPunct/>
              <w:topLinePunct w:val="0"/>
              <w:bidi w:val="0"/>
              <w:spacing w:before="0" w:beforeAutospacing="0" w:after="0" w:afterAutospacing="0" w:line="480" w:lineRule="exact"/>
              <w:ind w:left="0" w:right="0"/>
              <w:jc w:val="center"/>
              <w:rPr>
                <w:rFonts w:hint="eastAsia" w:ascii="仿宋" w:hAnsi="仿宋" w:eastAsia="仿宋" w:cs="仿宋"/>
                <w:color w:val="auto"/>
                <w:sz w:val="24"/>
                <w:szCs w:val="24"/>
                <w:highlight w:val="none"/>
              </w:rPr>
            </w:pPr>
          </w:p>
        </w:tc>
      </w:tr>
    </w:tbl>
    <w:p w14:paraId="2504BC80">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7266841B">
      <w:pPr>
        <w:pageBreakBefore w:val="0"/>
        <w:widowControl/>
        <w:kinsoku/>
        <w:wordWrap/>
        <w:overflowPunct/>
        <w:topLinePunct w:val="0"/>
        <w:bidi w:val="0"/>
        <w:spacing w:line="48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p>
    <w:p w14:paraId="2252D15C">
      <w:pPr>
        <w:pageBreakBefore w:val="0"/>
        <w:kinsoku/>
        <w:wordWrap/>
        <w:overflowPunct/>
        <w:topLinePunct w:val="0"/>
        <w:bidi w:val="0"/>
        <w:spacing w:beforeLines="100" w:afterLines="100"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承诺书</w:t>
      </w:r>
    </w:p>
    <w:p w14:paraId="522B5B79">
      <w:pPr>
        <w:pageBreakBefore w:val="0"/>
        <w:kinsoku/>
        <w:wordWrap/>
        <w:overflowPunct/>
        <w:topLinePunct w:val="0"/>
        <w:bidi w:val="0"/>
        <w:spacing w:afterLines="100" w:line="480" w:lineRule="exact"/>
        <w:rPr>
          <w:rFonts w:hint="eastAsia" w:ascii="仿宋" w:hAnsi="仿宋" w:eastAsia="仿宋" w:cs="仿宋"/>
          <w:color w:val="auto"/>
          <w:sz w:val="24"/>
          <w:szCs w:val="24"/>
          <w:highlight w:val="none"/>
        </w:rPr>
      </w:pPr>
      <w:r>
        <w:rPr>
          <w:rFonts w:hint="eastAsia" w:ascii="仿宋" w:hAnsi="仿宋" w:eastAsia="仿宋" w:cs="仿宋"/>
          <w:color w:val="auto"/>
          <w:position w:val="-7"/>
          <w:sz w:val="24"/>
          <w:szCs w:val="24"/>
          <w:highlight w:val="none"/>
          <w:u w:val="single"/>
          <w:lang w:val="en-US" w:eastAsia="zh-CN"/>
        </w:rPr>
        <w:t xml:space="preserve">              </w:t>
      </w:r>
      <w:r>
        <w:rPr>
          <w:rFonts w:hint="eastAsia" w:ascii="仿宋" w:hAnsi="仿宋" w:eastAsia="仿宋" w:cs="仿宋"/>
          <w:color w:val="auto"/>
          <w:sz w:val="24"/>
          <w:szCs w:val="24"/>
          <w:highlight w:val="none"/>
        </w:rPr>
        <w:t>（采购人名称）：</w:t>
      </w:r>
    </w:p>
    <w:p w14:paraId="0A069433">
      <w:pPr>
        <w:pageBreakBefore w:val="0"/>
        <w:kinsoku/>
        <w:wordWrap/>
        <w:overflowPunct/>
        <w:topLinePunct w:val="0"/>
        <w:bidi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我方在此声明，我方拟派往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（项目名称）（以下简称“本工程”）的项目经理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（项目经理姓名）现阶段没有担任任何在施建设工程项目的项目经理。</w:t>
      </w:r>
    </w:p>
    <w:p w14:paraId="0BA5EBD8">
      <w:pPr>
        <w:pageBreakBefore w:val="0"/>
        <w:kinsoku/>
        <w:wordWrap/>
        <w:overflowPunct/>
        <w:topLinePunct w:val="0"/>
        <w:bidi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我方保证上述信息的真实和准确，并愿意承担因我方就此弄虚作假所引起的一切法律后果。</w:t>
      </w:r>
    </w:p>
    <w:p w14:paraId="38FFC67C">
      <w:pPr>
        <w:pageBreakBefore w:val="0"/>
        <w:tabs>
          <w:tab w:val="left" w:pos="568"/>
        </w:tabs>
        <w:kinsoku/>
        <w:wordWrap/>
        <w:overflowPunct/>
        <w:topLinePunct w:val="0"/>
        <w:bidi w:val="0"/>
        <w:spacing w:line="480" w:lineRule="exact"/>
        <w:rPr>
          <w:rFonts w:hint="eastAsia" w:ascii="仿宋" w:hAnsi="仿宋" w:eastAsia="仿宋" w:cs="仿宋"/>
          <w:color w:val="auto"/>
          <w:sz w:val="24"/>
          <w:szCs w:val="24"/>
          <w:highlight w:val="none"/>
          <w:lang w:eastAsia="zh-CN"/>
        </w:rPr>
      </w:pPr>
    </w:p>
    <w:p w14:paraId="0FEE1827">
      <w:pPr>
        <w:pageBreakBefore w:val="0"/>
        <w:kinsoku/>
        <w:wordWrap/>
        <w:overflowPunct/>
        <w:topLinePunct w:val="0"/>
        <w:bidi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538D54DF">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盖章</w:t>
      </w:r>
      <w:r>
        <w:rPr>
          <w:rFonts w:hint="eastAsia" w:ascii="仿宋" w:hAnsi="仿宋" w:eastAsia="仿宋" w:cs="仿宋"/>
          <w:color w:val="auto"/>
          <w:sz w:val="24"/>
          <w:szCs w:val="24"/>
          <w:highlight w:val="none"/>
        </w:rPr>
        <w:t>)：</w:t>
      </w:r>
    </w:p>
    <w:p w14:paraId="5C49807E">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p>
    <w:p w14:paraId="7F2BCF41">
      <w:pPr>
        <w:pStyle w:val="2"/>
        <w:pageBreakBefore w:val="0"/>
        <w:kinsoku/>
        <w:wordWrap/>
        <w:overflowPunct/>
        <w:topLinePunct w:val="0"/>
        <w:bidi w:val="0"/>
        <w:spacing w:line="480" w:lineRule="exact"/>
        <w:rPr>
          <w:rFonts w:hint="eastAsia" w:ascii="仿宋" w:hAnsi="仿宋" w:eastAsia="仿宋" w:cs="仿宋"/>
          <w:color w:val="auto"/>
          <w:sz w:val="24"/>
          <w:szCs w:val="24"/>
        </w:rPr>
      </w:pPr>
    </w:p>
    <w:p w14:paraId="01720319">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19184A4C">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w:t>
      </w:r>
      <w:r>
        <w:rPr>
          <w:rFonts w:hint="eastAsia" w:ascii="仿宋" w:hAnsi="仿宋" w:eastAsia="仿宋" w:cs="仿宋"/>
          <w:color w:val="auto"/>
          <w:sz w:val="24"/>
          <w:szCs w:val="24"/>
          <w:highlight w:val="none"/>
          <w:lang w:val="en-US" w:eastAsia="zh-CN"/>
        </w:rPr>
        <w:t>具有履行合同所必需的设备和专业技术能力(声明函格式自拟)即具有完成本项目采购能力</w:t>
      </w:r>
      <w:r>
        <w:rPr>
          <w:rFonts w:hint="eastAsia" w:ascii="仿宋" w:hAnsi="仿宋" w:eastAsia="仿宋" w:cs="仿宋"/>
          <w:color w:val="auto"/>
          <w:sz w:val="24"/>
          <w:szCs w:val="24"/>
          <w:highlight w:val="none"/>
        </w:rPr>
        <w:t>；</w:t>
      </w:r>
    </w:p>
    <w:p w14:paraId="60B6742F">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0240AF99">
      <w:pPr>
        <w:pStyle w:val="2"/>
        <w:pageBreakBefore w:val="0"/>
        <w:kinsoku/>
        <w:wordWrap/>
        <w:overflowPunct/>
        <w:topLinePunct w:val="0"/>
        <w:bidi w:val="0"/>
        <w:spacing w:line="480" w:lineRule="exact"/>
        <w:rPr>
          <w:rFonts w:hint="eastAsia" w:ascii="仿宋" w:hAnsi="仿宋" w:eastAsia="仿宋" w:cs="仿宋"/>
          <w:color w:val="auto"/>
          <w:sz w:val="24"/>
          <w:szCs w:val="24"/>
        </w:rPr>
      </w:pPr>
    </w:p>
    <w:p w14:paraId="120FB41E">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09BE13BD">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  具有依法缴纳税收和社会保障资金的良好记录(提供相应证明材料或声明函格式自拟)</w:t>
      </w:r>
      <w:r>
        <w:rPr>
          <w:rFonts w:hint="eastAsia" w:ascii="仿宋" w:hAnsi="仿宋" w:eastAsia="仿宋" w:cs="仿宋"/>
          <w:color w:val="auto"/>
          <w:sz w:val="24"/>
          <w:szCs w:val="24"/>
          <w:highlight w:val="none"/>
        </w:rPr>
        <w:t>；</w:t>
      </w:r>
    </w:p>
    <w:p w14:paraId="7CDA888A">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3DE94EC5">
      <w:pPr>
        <w:pStyle w:val="2"/>
        <w:pageBreakBefore w:val="0"/>
        <w:kinsoku/>
        <w:wordWrap/>
        <w:overflowPunct/>
        <w:topLinePunct w:val="0"/>
        <w:bidi w:val="0"/>
        <w:spacing w:line="480" w:lineRule="exact"/>
        <w:rPr>
          <w:rFonts w:hint="eastAsia" w:ascii="仿宋" w:hAnsi="仿宋" w:eastAsia="仿宋" w:cs="仿宋"/>
          <w:color w:val="auto"/>
          <w:sz w:val="24"/>
          <w:szCs w:val="24"/>
        </w:rPr>
      </w:pPr>
    </w:p>
    <w:p w14:paraId="5F61FC66">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1B6A6676">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w:t>
      </w:r>
      <w:r>
        <w:rPr>
          <w:rFonts w:hint="eastAsia" w:ascii="仿宋" w:hAnsi="仿宋" w:eastAsia="仿宋" w:cs="仿宋"/>
          <w:color w:val="auto"/>
          <w:sz w:val="24"/>
          <w:szCs w:val="24"/>
          <w:highlight w:val="none"/>
          <w:lang w:val="en-US" w:eastAsia="zh-CN"/>
        </w:rPr>
        <w:t>单位负责人为同一人或者存在直接控股、管理关系的不同供应商，不得参加同一合同项下的政府采购活动(提供声明函格式自拟)；</w:t>
      </w:r>
    </w:p>
    <w:p w14:paraId="06814255">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586FAC58">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1DEBFD1B">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4E5E3724">
      <w:pPr>
        <w:pageBreakBefore w:val="0"/>
        <w:kinsoku/>
        <w:wordWrap/>
        <w:overflowPunct/>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p>
    <w:p w14:paraId="122DCB8C">
      <w:pPr>
        <w:pageBreakBefore w:val="0"/>
        <w:kinsoku/>
        <w:wordWrap/>
        <w:overflowPunct/>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参加政府采购活动前三年内在经营活动中</w:t>
      </w:r>
    </w:p>
    <w:p w14:paraId="0F2E5FAB">
      <w:pPr>
        <w:pageBreakBefore w:val="0"/>
        <w:kinsoku/>
        <w:wordWrap/>
        <w:overflowPunct/>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没有重大违法记录的书面声明</w:t>
      </w:r>
    </w:p>
    <w:p w14:paraId="02FE8E67">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w:t>
      </w:r>
    </w:p>
    <w:p w14:paraId="78B2A69F">
      <w:pPr>
        <w:pageBreakBefore w:val="0"/>
        <w:kinsoku/>
        <w:wordWrap/>
        <w:overflowPunct/>
        <w:topLinePunct w:val="0"/>
        <w:bidi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我单位在参加采购活动前三年内在经营活动中没有《政府采购法》第二十二条第一款第(五)项所称重大违法记录，包括：</w:t>
      </w:r>
    </w:p>
    <w:p w14:paraId="19B56DB0">
      <w:pPr>
        <w:pageBreakBefore w:val="0"/>
        <w:kinsoku/>
        <w:wordWrap/>
        <w:overflowPunct/>
        <w:topLinePunct w:val="0"/>
        <w:bidi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我单位或者其法定代表人、董事、监事、高级管理人员未因经营活动中的违法行为受到刑事处罚或者责令停产停业、吊销许可证或者执照、较大数额罚款等行政处罚。</w:t>
      </w:r>
    </w:p>
    <w:p w14:paraId="301700DC">
      <w:pPr>
        <w:pageBreakBefore w:val="0"/>
        <w:kinsoku/>
        <w:wordWrap/>
        <w:overflowPunct/>
        <w:topLinePunct w:val="0"/>
        <w:bidi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特此声明！</w:t>
      </w:r>
    </w:p>
    <w:p w14:paraId="75D5709E">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54D89FF0">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盖章</w:t>
      </w:r>
      <w:r>
        <w:rPr>
          <w:rFonts w:hint="eastAsia" w:ascii="仿宋" w:hAnsi="仿宋" w:eastAsia="仿宋" w:cs="仿宋"/>
          <w:color w:val="auto"/>
          <w:sz w:val="24"/>
          <w:szCs w:val="24"/>
          <w:highlight w:val="none"/>
        </w:rPr>
        <w:t>)：</w:t>
      </w:r>
    </w:p>
    <w:p w14:paraId="193D8B29">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日期：_____年____月____日</w:t>
      </w:r>
    </w:p>
    <w:p w14:paraId="6E51022C">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p>
    <w:p w14:paraId="4F1C414B">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8 </w:t>
      </w:r>
      <w:r>
        <w:rPr>
          <w:rFonts w:hint="eastAsia" w:ascii="仿宋" w:hAnsi="仿宋" w:eastAsia="仿宋" w:cs="仿宋"/>
          <w:color w:val="auto"/>
          <w:sz w:val="24"/>
          <w:szCs w:val="24"/>
          <w:highlight w:val="none"/>
        </w:rPr>
        <w:t>无不良信用记录承诺函</w:t>
      </w:r>
    </w:p>
    <w:p w14:paraId="2EB5ABCE">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致____________(采购人或采购代理机构)：</w:t>
      </w:r>
    </w:p>
    <w:p w14:paraId="184963FE">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本单位郑重承诺，我单位无以下不良信用记录情形：</w:t>
      </w:r>
    </w:p>
    <w:p w14:paraId="30A24358">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1.被人民法院列入失信被执行人；</w:t>
      </w:r>
    </w:p>
    <w:p w14:paraId="287A4C45">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2.被税务部门列入</w:t>
      </w:r>
      <w:r>
        <w:rPr>
          <w:rFonts w:hint="eastAsia" w:ascii="仿宋" w:hAnsi="仿宋" w:eastAsia="仿宋" w:cs="仿宋"/>
          <w:color w:val="auto"/>
          <w:sz w:val="24"/>
          <w:szCs w:val="24"/>
          <w:highlight w:val="none"/>
          <w:lang w:eastAsia="zh-CN"/>
        </w:rPr>
        <w:t>重大税收违法失信主体名单</w:t>
      </w:r>
      <w:r>
        <w:rPr>
          <w:rFonts w:hint="eastAsia" w:ascii="仿宋" w:hAnsi="仿宋" w:eastAsia="仿宋" w:cs="仿宋"/>
          <w:color w:val="auto"/>
          <w:sz w:val="24"/>
          <w:szCs w:val="24"/>
          <w:highlight w:val="none"/>
        </w:rPr>
        <w:t>；</w:t>
      </w:r>
    </w:p>
    <w:p w14:paraId="04D1ACFD">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3.被政府采购监管部门列入政府采购严重违法失信行为记录名单；</w:t>
      </w:r>
    </w:p>
    <w:p w14:paraId="40097A18">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4.不符合《政府采购法》第二十二条规定的条件。</w:t>
      </w:r>
    </w:p>
    <w:p w14:paraId="3FC9555A">
      <w:pPr>
        <w:pageBreakBefore w:val="0"/>
        <w:kinsoku/>
        <w:wordWrap/>
        <w:overflowPunct/>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我单位已就上述不良信用行为按照招标文件中供应商须知前附表规定进行了查询。我单位承诺：合同签订前，若我单位具有不良信用记录情形，贵方可取消我单位</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资格或者不授予合同，所有责任由我单位自行承担。同时，我单位愿意无条件接受监管部门的调查处理。</w:t>
      </w:r>
    </w:p>
    <w:p w14:paraId="0ED6A8A9">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468090E3">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盖章</w:t>
      </w:r>
      <w:r>
        <w:rPr>
          <w:rFonts w:hint="eastAsia" w:ascii="仿宋" w:hAnsi="仿宋" w:eastAsia="仿宋" w:cs="仿宋"/>
          <w:color w:val="auto"/>
          <w:sz w:val="24"/>
          <w:szCs w:val="24"/>
          <w:highlight w:val="none"/>
        </w:rPr>
        <w:t>)：</w:t>
      </w:r>
    </w:p>
    <w:p w14:paraId="30B7F131">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日期：_____年____月____日</w:t>
      </w:r>
    </w:p>
    <w:p w14:paraId="6ACE404C">
      <w:pPr>
        <w:pStyle w:val="8"/>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343E9301">
      <w:pPr>
        <w:pageBreakBefore w:val="0"/>
        <w:kinsoku/>
        <w:wordWrap/>
        <w:overflowPunct/>
        <w:topLinePunct w:val="0"/>
        <w:bidi w:val="0"/>
        <w:spacing w:line="480" w:lineRule="exact"/>
        <w:rPr>
          <w:rFonts w:hint="eastAsia" w:ascii="仿宋" w:hAnsi="仿宋" w:eastAsia="仿宋" w:cs="仿宋"/>
          <w:color w:val="auto"/>
          <w:sz w:val="24"/>
          <w:szCs w:val="24"/>
          <w:highlight w:val="none"/>
        </w:rPr>
      </w:pPr>
    </w:p>
    <w:p w14:paraId="396CD268">
      <w:pPr>
        <w:pageBreakBefore w:val="0"/>
        <w:kinsoku/>
        <w:wordWrap/>
        <w:overflowPunct/>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9  供应商参加政府采购活动前三年内，在经营活动中没有重大违法记录，在“信用中国”网站（www.creditchina.gov.cn）、中国政府采购网（www.ccgp.gov.cn）没有被列入失信被执行人、重大税收违法失信主体名单、政府采购严重违法失信行为记录名单及其他不符合规定条件。</w:t>
      </w:r>
      <w:r>
        <w:rPr>
          <w:rFonts w:hint="eastAsia" w:ascii="仿宋" w:hAnsi="仿宋" w:eastAsia="仿宋" w:cs="仿宋"/>
          <w:color w:val="auto"/>
          <w:sz w:val="24"/>
          <w:szCs w:val="24"/>
          <w:highlight w:val="none"/>
          <w:lang w:eastAsia="zh-CN"/>
        </w:rPr>
        <w:t>（提供查询结果网页截图并加盖供应商公章）。</w:t>
      </w:r>
    </w:p>
    <w:p w14:paraId="54F0B448">
      <w:pPr>
        <w:pageBreakBefore w:val="0"/>
        <w:kinsoku/>
        <w:wordWrap/>
        <w:overflowPunct/>
        <w:topLinePunct w:val="0"/>
        <w:bidi w:val="0"/>
        <w:spacing w:line="480" w:lineRule="exact"/>
        <w:rPr>
          <w:rFonts w:hint="eastAsia" w:ascii="仿宋" w:hAnsi="仿宋" w:eastAsia="仿宋" w:cs="仿宋"/>
          <w:color w:val="auto"/>
          <w:sz w:val="24"/>
          <w:szCs w:val="24"/>
          <w:highlight w:val="none"/>
          <w:lang w:eastAsia="zh-CN"/>
        </w:rPr>
      </w:pPr>
    </w:p>
    <w:p w14:paraId="5FBDFCD9">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40FF0F8C">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092B1336">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77787598">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11DE6A5D">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26CFF134">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47412A4A">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70E84E37">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0E71812A">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p>
    <w:p w14:paraId="2554D396">
      <w:pPr>
        <w:pageBreakBefore w:val="0"/>
        <w:kinsoku/>
        <w:wordWrap/>
        <w:overflowPunct/>
        <w:topLinePunct w:val="0"/>
        <w:bidi w:val="0"/>
        <w:spacing w:line="4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附件6-10  声明函</w:t>
      </w:r>
    </w:p>
    <w:p w14:paraId="5AB8D664">
      <w:pPr>
        <w:pStyle w:val="13"/>
        <w:keepNext w:val="0"/>
        <w:keepLines w:val="0"/>
        <w:pageBreakBefore w:val="0"/>
        <w:widowControl/>
        <w:suppressLineNumbers w:val="0"/>
        <w:kinsoku/>
        <w:wordWrap/>
        <w:overflowPunct/>
        <w:topLinePunct w:val="0"/>
        <w:bidi w:val="0"/>
        <w:spacing w:before="75" w:beforeAutospacing="0" w:after="75" w:afterAutospacing="0" w:line="480" w:lineRule="exact"/>
        <w:ind w:right="0"/>
        <w:jc w:val="center"/>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中小企业声明函（工程）</w:t>
      </w:r>
    </w:p>
    <w:p w14:paraId="6E257CD6">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本公司郑重声明，根据《政府采购促进中小企业发展管理办法》（财库〔2020〕46号）的规定，本公司</w:t>
      </w:r>
      <w:bookmarkStart w:id="1404" w:name="_GoBack"/>
      <w:bookmarkEnd w:id="1404"/>
      <w:r>
        <w:rPr>
          <w:rFonts w:hint="eastAsia" w:ascii="仿宋" w:hAnsi="仿宋" w:eastAsia="仿宋" w:cs="仿宋"/>
          <w:i w:val="0"/>
          <w:iCs w:val="0"/>
          <w:caps w:val="0"/>
          <w:color w:val="000000"/>
          <w:spacing w:val="0"/>
          <w:sz w:val="24"/>
          <w:szCs w:val="24"/>
        </w:rPr>
        <w:t>参加</w:t>
      </w:r>
      <w:r>
        <w:rPr>
          <w:rStyle w:val="22"/>
          <w:rFonts w:hint="eastAsia" w:ascii="仿宋" w:hAnsi="仿宋" w:eastAsia="仿宋" w:cs="仿宋"/>
          <w:i w:val="0"/>
          <w:iCs w:val="0"/>
          <w:caps w:val="0"/>
          <w:color w:val="000000"/>
          <w:spacing w:val="0"/>
          <w:sz w:val="24"/>
          <w:szCs w:val="24"/>
          <w:u w:val="single"/>
        </w:rPr>
        <w:t>（单位名称）</w:t>
      </w:r>
      <w:r>
        <w:rPr>
          <w:rFonts w:hint="eastAsia" w:ascii="仿宋" w:hAnsi="仿宋" w:eastAsia="仿宋" w:cs="仿宋"/>
          <w:i w:val="0"/>
          <w:iCs w:val="0"/>
          <w:caps w:val="0"/>
          <w:color w:val="000000"/>
          <w:spacing w:val="0"/>
          <w:sz w:val="24"/>
          <w:szCs w:val="24"/>
        </w:rPr>
        <w:t>的</w:t>
      </w:r>
      <w:r>
        <w:rPr>
          <w:rStyle w:val="22"/>
          <w:rFonts w:hint="eastAsia" w:ascii="仿宋" w:hAnsi="仿宋" w:eastAsia="仿宋" w:cs="仿宋"/>
          <w:i w:val="0"/>
          <w:iCs w:val="0"/>
          <w:caps w:val="0"/>
          <w:color w:val="000000"/>
          <w:spacing w:val="0"/>
          <w:sz w:val="24"/>
          <w:szCs w:val="24"/>
          <w:u w:val="single"/>
        </w:rPr>
        <w:t>（项目名称）</w:t>
      </w:r>
      <w:r>
        <w:rPr>
          <w:rFonts w:hint="eastAsia" w:ascii="仿宋" w:hAnsi="仿宋" w:eastAsia="仿宋" w:cs="仿宋"/>
          <w:i w:val="0"/>
          <w:iCs w:val="0"/>
          <w:caps w:val="0"/>
          <w:color w:val="000000"/>
          <w:spacing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78441ED7">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1.</w:t>
      </w:r>
      <w:r>
        <w:rPr>
          <w:rStyle w:val="22"/>
          <w:rFonts w:hint="eastAsia" w:ascii="仿宋" w:hAnsi="仿宋" w:eastAsia="仿宋" w:cs="仿宋"/>
          <w:i w:val="0"/>
          <w:iCs w:val="0"/>
          <w:caps w:val="0"/>
          <w:color w:val="000000"/>
          <w:spacing w:val="0"/>
          <w:sz w:val="24"/>
          <w:szCs w:val="24"/>
          <w:u w:val="single"/>
        </w:rPr>
        <w:t>（标的名称）</w:t>
      </w:r>
      <w:r>
        <w:rPr>
          <w:rFonts w:hint="eastAsia" w:ascii="仿宋" w:hAnsi="仿宋" w:eastAsia="仿宋" w:cs="仿宋"/>
          <w:i w:val="0"/>
          <w:iCs w:val="0"/>
          <w:caps w:val="0"/>
          <w:color w:val="000000"/>
          <w:spacing w:val="0"/>
          <w:sz w:val="24"/>
          <w:szCs w:val="24"/>
        </w:rPr>
        <w:t>，属于</w:t>
      </w:r>
      <w:r>
        <w:rPr>
          <w:rFonts w:hint="eastAsia" w:ascii="仿宋" w:hAnsi="仿宋" w:eastAsia="仿宋" w:cs="仿宋"/>
          <w:b/>
          <w:bCs/>
          <w:i w:val="0"/>
          <w:iCs w:val="0"/>
          <w:caps w:val="0"/>
          <w:color w:val="000000"/>
          <w:spacing w:val="0"/>
          <w:sz w:val="24"/>
          <w:szCs w:val="24"/>
          <w:u w:val="single"/>
          <w:lang w:val="en-US" w:eastAsia="zh-CN"/>
        </w:rPr>
        <w:t>建筑业</w:t>
      </w:r>
      <w:r>
        <w:rPr>
          <w:rFonts w:hint="eastAsia" w:ascii="仿宋" w:hAnsi="仿宋" w:eastAsia="仿宋" w:cs="仿宋"/>
          <w:i w:val="0"/>
          <w:iCs w:val="0"/>
          <w:caps w:val="0"/>
          <w:color w:val="000000"/>
          <w:spacing w:val="0"/>
          <w:sz w:val="24"/>
          <w:szCs w:val="24"/>
        </w:rPr>
        <w:t>；承建（承接）企业为</w:t>
      </w:r>
      <w:r>
        <w:rPr>
          <w:rStyle w:val="22"/>
          <w:rFonts w:hint="eastAsia" w:ascii="仿宋" w:hAnsi="仿宋" w:eastAsia="仿宋" w:cs="仿宋"/>
          <w:i w:val="0"/>
          <w:iCs w:val="0"/>
          <w:caps w:val="0"/>
          <w:color w:val="000000"/>
          <w:spacing w:val="0"/>
          <w:sz w:val="24"/>
          <w:szCs w:val="24"/>
          <w:u w:val="single"/>
        </w:rPr>
        <w:t>（企业名称）</w:t>
      </w:r>
      <w:r>
        <w:rPr>
          <w:rFonts w:hint="eastAsia" w:ascii="仿宋" w:hAnsi="仿宋" w:eastAsia="仿宋" w:cs="仿宋"/>
          <w:i w:val="0"/>
          <w:iCs w:val="0"/>
          <w:caps w:val="0"/>
          <w:color w:val="000000"/>
          <w:spacing w:val="0"/>
          <w:sz w:val="24"/>
          <w:szCs w:val="24"/>
        </w:rPr>
        <w:t>，从业人员</w:t>
      </w:r>
      <w:r>
        <w:rPr>
          <w:rFonts w:hint="eastAsia" w:ascii="仿宋" w:hAnsi="仿宋" w:eastAsia="仿宋" w:cs="仿宋"/>
          <w:i w:val="0"/>
          <w:iCs w:val="0"/>
          <w:caps w:val="0"/>
          <w:color w:val="000000"/>
          <w:spacing w:val="0"/>
          <w:sz w:val="24"/>
          <w:szCs w:val="24"/>
          <w:u w:val="single"/>
        </w:rPr>
        <w:t>  </w:t>
      </w:r>
      <w:r>
        <w:rPr>
          <w:rFonts w:hint="eastAsia" w:ascii="仿宋" w:hAnsi="仿宋" w:eastAsia="仿宋" w:cs="仿宋"/>
          <w:i w:val="0"/>
          <w:iCs w:val="0"/>
          <w:caps w:val="0"/>
          <w:color w:val="000000"/>
          <w:spacing w:val="0"/>
          <w:sz w:val="24"/>
          <w:szCs w:val="24"/>
        </w:rPr>
        <w:t>人，营业收入为</w:t>
      </w:r>
      <w:r>
        <w:rPr>
          <w:rFonts w:hint="eastAsia" w:ascii="仿宋" w:hAnsi="仿宋" w:eastAsia="仿宋" w:cs="仿宋"/>
          <w:i w:val="0"/>
          <w:iCs w:val="0"/>
          <w:caps w:val="0"/>
          <w:color w:val="000000"/>
          <w:spacing w:val="0"/>
          <w:sz w:val="24"/>
          <w:szCs w:val="24"/>
          <w:u w:val="single"/>
        </w:rPr>
        <w:t>  </w:t>
      </w:r>
      <w:r>
        <w:rPr>
          <w:rFonts w:hint="eastAsia" w:ascii="仿宋" w:hAnsi="仿宋" w:eastAsia="仿宋" w:cs="仿宋"/>
          <w:i w:val="0"/>
          <w:iCs w:val="0"/>
          <w:caps w:val="0"/>
          <w:color w:val="000000"/>
          <w:spacing w:val="0"/>
          <w:sz w:val="24"/>
          <w:szCs w:val="24"/>
        </w:rPr>
        <w:t>万元，资产总额为</w:t>
      </w:r>
      <w:r>
        <w:rPr>
          <w:rFonts w:hint="eastAsia" w:ascii="仿宋" w:hAnsi="仿宋" w:eastAsia="仿宋" w:cs="仿宋"/>
          <w:i w:val="0"/>
          <w:iCs w:val="0"/>
          <w:caps w:val="0"/>
          <w:color w:val="000000"/>
          <w:spacing w:val="0"/>
          <w:sz w:val="24"/>
          <w:szCs w:val="24"/>
          <w:u w:val="single"/>
        </w:rPr>
        <w:t>  </w:t>
      </w:r>
      <w:r>
        <w:rPr>
          <w:rFonts w:hint="eastAsia" w:ascii="仿宋" w:hAnsi="仿宋" w:eastAsia="仿宋" w:cs="仿宋"/>
          <w:i w:val="0"/>
          <w:iCs w:val="0"/>
          <w:caps w:val="0"/>
          <w:color w:val="000000"/>
          <w:spacing w:val="0"/>
          <w:sz w:val="24"/>
          <w:szCs w:val="24"/>
        </w:rPr>
        <w:t>万元，属于</w:t>
      </w:r>
      <w:r>
        <w:rPr>
          <w:rStyle w:val="22"/>
          <w:rFonts w:hint="eastAsia" w:ascii="仿宋" w:hAnsi="仿宋" w:eastAsia="仿宋" w:cs="仿宋"/>
          <w:i w:val="0"/>
          <w:iCs w:val="0"/>
          <w:caps w:val="0"/>
          <w:color w:val="000000"/>
          <w:spacing w:val="0"/>
          <w:sz w:val="24"/>
          <w:szCs w:val="24"/>
          <w:u w:val="single"/>
        </w:rPr>
        <w:t>（中型企业、小型企业、微型企业）</w:t>
      </w:r>
      <w:r>
        <w:rPr>
          <w:rFonts w:hint="eastAsia" w:ascii="仿宋" w:hAnsi="仿宋" w:eastAsia="仿宋" w:cs="仿宋"/>
          <w:i w:val="0"/>
          <w:iCs w:val="0"/>
          <w:caps w:val="0"/>
          <w:color w:val="000000"/>
          <w:spacing w:val="0"/>
          <w:sz w:val="24"/>
          <w:szCs w:val="24"/>
        </w:rPr>
        <w:t>；</w:t>
      </w:r>
    </w:p>
    <w:p w14:paraId="3495DDB9">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2.</w:t>
      </w:r>
      <w:r>
        <w:rPr>
          <w:rStyle w:val="22"/>
          <w:rFonts w:hint="eastAsia" w:ascii="仿宋" w:hAnsi="仿宋" w:eastAsia="仿宋" w:cs="仿宋"/>
          <w:i w:val="0"/>
          <w:iCs w:val="0"/>
          <w:caps w:val="0"/>
          <w:color w:val="000000"/>
          <w:spacing w:val="0"/>
          <w:sz w:val="24"/>
          <w:szCs w:val="24"/>
          <w:u w:val="single"/>
        </w:rPr>
        <w:t>（标的名称）</w:t>
      </w:r>
      <w:r>
        <w:rPr>
          <w:rFonts w:hint="eastAsia" w:ascii="仿宋" w:hAnsi="仿宋" w:eastAsia="仿宋" w:cs="仿宋"/>
          <w:i w:val="0"/>
          <w:iCs w:val="0"/>
          <w:caps w:val="0"/>
          <w:color w:val="000000"/>
          <w:spacing w:val="0"/>
          <w:sz w:val="24"/>
          <w:szCs w:val="24"/>
        </w:rPr>
        <w:t>，属于</w:t>
      </w:r>
      <w:r>
        <w:rPr>
          <w:rFonts w:hint="eastAsia" w:ascii="仿宋" w:hAnsi="仿宋" w:eastAsia="仿宋" w:cs="仿宋"/>
          <w:b/>
          <w:bCs/>
          <w:i w:val="0"/>
          <w:iCs w:val="0"/>
          <w:caps w:val="0"/>
          <w:color w:val="000000"/>
          <w:spacing w:val="0"/>
          <w:sz w:val="24"/>
          <w:szCs w:val="24"/>
          <w:u w:val="single"/>
          <w:lang w:val="en-US" w:eastAsia="zh-CN"/>
        </w:rPr>
        <w:t>建筑业</w:t>
      </w:r>
      <w:r>
        <w:rPr>
          <w:rFonts w:hint="eastAsia" w:ascii="仿宋" w:hAnsi="仿宋" w:eastAsia="仿宋" w:cs="仿宋"/>
          <w:i w:val="0"/>
          <w:iCs w:val="0"/>
          <w:caps w:val="0"/>
          <w:color w:val="000000"/>
          <w:spacing w:val="0"/>
          <w:sz w:val="24"/>
          <w:szCs w:val="24"/>
        </w:rPr>
        <w:t>；承建（承接）企业为</w:t>
      </w:r>
      <w:r>
        <w:rPr>
          <w:rStyle w:val="22"/>
          <w:rFonts w:hint="eastAsia" w:ascii="仿宋" w:hAnsi="仿宋" w:eastAsia="仿宋" w:cs="仿宋"/>
          <w:i w:val="0"/>
          <w:iCs w:val="0"/>
          <w:caps w:val="0"/>
          <w:color w:val="000000"/>
          <w:spacing w:val="0"/>
          <w:sz w:val="24"/>
          <w:szCs w:val="24"/>
          <w:u w:val="single"/>
        </w:rPr>
        <w:t>（企业名称）</w:t>
      </w:r>
      <w:r>
        <w:rPr>
          <w:rFonts w:hint="eastAsia" w:ascii="仿宋" w:hAnsi="仿宋" w:eastAsia="仿宋" w:cs="仿宋"/>
          <w:i w:val="0"/>
          <w:iCs w:val="0"/>
          <w:caps w:val="0"/>
          <w:color w:val="000000"/>
          <w:spacing w:val="0"/>
          <w:sz w:val="24"/>
          <w:szCs w:val="24"/>
        </w:rPr>
        <w:t>，从业人员</w:t>
      </w:r>
      <w:r>
        <w:rPr>
          <w:rFonts w:hint="eastAsia" w:ascii="仿宋" w:hAnsi="仿宋" w:eastAsia="仿宋" w:cs="仿宋"/>
          <w:i w:val="0"/>
          <w:iCs w:val="0"/>
          <w:caps w:val="0"/>
          <w:color w:val="000000"/>
          <w:spacing w:val="0"/>
          <w:sz w:val="24"/>
          <w:szCs w:val="24"/>
          <w:u w:val="single"/>
        </w:rPr>
        <w:t>  </w:t>
      </w:r>
      <w:r>
        <w:rPr>
          <w:rFonts w:hint="eastAsia" w:ascii="仿宋" w:hAnsi="仿宋" w:eastAsia="仿宋" w:cs="仿宋"/>
          <w:i w:val="0"/>
          <w:iCs w:val="0"/>
          <w:caps w:val="0"/>
          <w:color w:val="000000"/>
          <w:spacing w:val="0"/>
          <w:sz w:val="24"/>
          <w:szCs w:val="24"/>
        </w:rPr>
        <w:t>人，营业收入为</w:t>
      </w:r>
      <w:r>
        <w:rPr>
          <w:rFonts w:hint="eastAsia" w:ascii="仿宋" w:hAnsi="仿宋" w:eastAsia="仿宋" w:cs="仿宋"/>
          <w:i w:val="0"/>
          <w:iCs w:val="0"/>
          <w:caps w:val="0"/>
          <w:color w:val="000000"/>
          <w:spacing w:val="0"/>
          <w:sz w:val="24"/>
          <w:szCs w:val="24"/>
          <w:u w:val="single"/>
        </w:rPr>
        <w:t>  </w:t>
      </w:r>
      <w:r>
        <w:rPr>
          <w:rFonts w:hint="eastAsia" w:ascii="仿宋" w:hAnsi="仿宋" w:eastAsia="仿宋" w:cs="仿宋"/>
          <w:i w:val="0"/>
          <w:iCs w:val="0"/>
          <w:caps w:val="0"/>
          <w:color w:val="000000"/>
          <w:spacing w:val="0"/>
          <w:sz w:val="24"/>
          <w:szCs w:val="24"/>
        </w:rPr>
        <w:t>万元，资产总额为</w:t>
      </w:r>
      <w:r>
        <w:rPr>
          <w:rFonts w:hint="eastAsia" w:ascii="仿宋" w:hAnsi="仿宋" w:eastAsia="仿宋" w:cs="仿宋"/>
          <w:i w:val="0"/>
          <w:iCs w:val="0"/>
          <w:caps w:val="0"/>
          <w:color w:val="000000"/>
          <w:spacing w:val="0"/>
          <w:sz w:val="24"/>
          <w:szCs w:val="24"/>
          <w:u w:val="single"/>
        </w:rPr>
        <w:t>  </w:t>
      </w:r>
      <w:r>
        <w:rPr>
          <w:rFonts w:hint="eastAsia" w:ascii="仿宋" w:hAnsi="仿宋" w:eastAsia="仿宋" w:cs="仿宋"/>
          <w:i w:val="0"/>
          <w:iCs w:val="0"/>
          <w:caps w:val="0"/>
          <w:color w:val="000000"/>
          <w:spacing w:val="0"/>
          <w:sz w:val="24"/>
          <w:szCs w:val="24"/>
        </w:rPr>
        <w:t>万元，属于</w:t>
      </w:r>
      <w:r>
        <w:rPr>
          <w:rStyle w:val="22"/>
          <w:rFonts w:hint="eastAsia" w:ascii="仿宋" w:hAnsi="仿宋" w:eastAsia="仿宋" w:cs="仿宋"/>
          <w:i w:val="0"/>
          <w:iCs w:val="0"/>
          <w:caps w:val="0"/>
          <w:color w:val="000000"/>
          <w:spacing w:val="0"/>
          <w:sz w:val="24"/>
          <w:szCs w:val="24"/>
          <w:u w:val="single"/>
        </w:rPr>
        <w:t>（中型企业、小型企业、微型企业）</w:t>
      </w:r>
      <w:r>
        <w:rPr>
          <w:rFonts w:hint="eastAsia" w:ascii="仿宋" w:hAnsi="仿宋" w:eastAsia="仿宋" w:cs="仿宋"/>
          <w:i w:val="0"/>
          <w:iCs w:val="0"/>
          <w:caps w:val="0"/>
          <w:color w:val="000000"/>
          <w:spacing w:val="0"/>
          <w:sz w:val="24"/>
          <w:szCs w:val="24"/>
        </w:rPr>
        <w:t>；</w:t>
      </w:r>
    </w:p>
    <w:p w14:paraId="5C44709D">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w:t>
      </w:r>
    </w:p>
    <w:p w14:paraId="3A0E74D7">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以上企业，不属于大企业的分支机构，不存在控股股东为大企业的情形，也不存在与大企业的负责人为同一人的情形。</w:t>
      </w:r>
    </w:p>
    <w:p w14:paraId="7053A970">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本企业对上述声明内容的真实性负责。如有虚假，将依法承担相应责任。</w:t>
      </w:r>
    </w:p>
    <w:p w14:paraId="766B8083">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 </w:t>
      </w:r>
    </w:p>
    <w:p w14:paraId="5D20A045">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                      企业名称（盖章）：</w:t>
      </w:r>
    </w:p>
    <w:p w14:paraId="27E467FD">
      <w:pPr>
        <w:pStyle w:val="1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eastAsia" w:ascii="仿宋" w:hAnsi="仿宋" w:eastAsia="仿宋" w:cs="仿宋"/>
          <w:i w:val="0"/>
          <w:iCs w:val="0"/>
          <w:caps w:val="0"/>
          <w:color w:val="000000"/>
          <w:spacing w:val="0"/>
          <w:sz w:val="24"/>
          <w:szCs w:val="24"/>
        </w:rPr>
      </w:pPr>
      <w:r>
        <w:rPr>
          <w:rFonts w:hint="eastAsia" w:ascii="仿宋" w:hAnsi="仿宋" w:eastAsia="仿宋" w:cs="仿宋"/>
          <w:i w:val="0"/>
          <w:iCs w:val="0"/>
          <w:caps w:val="0"/>
          <w:color w:val="000000"/>
          <w:spacing w:val="0"/>
          <w:sz w:val="24"/>
          <w:szCs w:val="24"/>
        </w:rPr>
        <w:t>                      日期：</w:t>
      </w:r>
    </w:p>
    <w:p w14:paraId="1CA1CF1C">
      <w:pPr>
        <w:pStyle w:val="9"/>
        <w:pageBreakBefore w:val="0"/>
        <w:kinsoku/>
        <w:wordWrap/>
        <w:overflowPunct/>
        <w:topLinePunct w:val="0"/>
        <w:bidi w:val="0"/>
        <w:spacing w:line="480" w:lineRule="exact"/>
        <w:rPr>
          <w:rFonts w:hint="eastAsia" w:ascii="仿宋" w:hAnsi="仿宋" w:eastAsia="仿宋" w:cs="仿宋"/>
          <w:b w:val="0"/>
          <w:bCs/>
          <w:i w:val="0"/>
          <w:iCs w:val="0"/>
          <w:color w:val="auto"/>
          <w:sz w:val="24"/>
          <w:szCs w:val="24"/>
          <w:highlight w:val="none"/>
        </w:rPr>
      </w:pPr>
    </w:p>
    <w:p w14:paraId="62964FBA">
      <w:pPr>
        <w:pageBreakBefore w:val="0"/>
        <w:kinsoku/>
        <w:wordWrap/>
        <w:overflowPunct/>
        <w:topLinePunct w:val="0"/>
        <w:bidi w:val="0"/>
        <w:spacing w:line="480" w:lineRule="exact"/>
        <w:rPr>
          <w:rFonts w:hint="eastAsia" w:ascii="仿宋" w:hAnsi="仿宋" w:eastAsia="仿宋" w:cs="仿宋"/>
          <w:b w:val="0"/>
          <w:bCs/>
          <w:i w:val="0"/>
          <w:iCs w:val="0"/>
          <w:color w:val="auto"/>
          <w:sz w:val="24"/>
          <w:szCs w:val="24"/>
          <w:highlight w:val="none"/>
        </w:rPr>
      </w:pPr>
    </w:p>
    <w:p w14:paraId="315CBAB1">
      <w:pPr>
        <w:pageBreakBefore w:val="0"/>
        <w:widowControl/>
        <w:kinsoku/>
        <w:wordWrap/>
        <w:overflowPunct/>
        <w:topLinePunct w:val="0"/>
        <w:bidi w:val="0"/>
        <w:spacing w:line="480" w:lineRule="exact"/>
        <w:rPr>
          <w:rFonts w:hint="eastAsia" w:ascii="仿宋" w:hAnsi="仿宋" w:eastAsia="仿宋" w:cs="仿宋"/>
          <w:b w:val="0"/>
          <w:bCs/>
          <w:i w:val="0"/>
          <w:iCs w:val="0"/>
          <w:color w:val="auto"/>
          <w:sz w:val="24"/>
          <w:szCs w:val="24"/>
          <w:highlight w:val="none"/>
        </w:rPr>
      </w:pPr>
      <w:r>
        <w:rPr>
          <w:rFonts w:hint="eastAsia" w:ascii="仿宋" w:hAnsi="仿宋" w:eastAsia="仿宋" w:cs="仿宋"/>
          <w:b w:val="0"/>
          <w:bCs/>
          <w:i w:val="0"/>
          <w:iCs w:val="0"/>
          <w:color w:val="auto"/>
          <w:sz w:val="24"/>
          <w:szCs w:val="24"/>
          <w:highlight w:val="none"/>
        </w:rPr>
        <w:t>备注：1、从业人员、营业收入、资产总额填报上一年度数据，无上一年度数据的新成立企业可不填报。</w:t>
      </w:r>
    </w:p>
    <w:p w14:paraId="69E89F1F">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12747602">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1C010C02">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70710251">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4DE4FA89">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1186C616">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4430C35B">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1B971F1E">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694E2369">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附件</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 xml:space="preserve"> 供应商关联企业情况</w:t>
      </w:r>
    </w:p>
    <w:p w14:paraId="2EE739CC">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2F9C3F4E">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致____(采购人)：</w:t>
      </w:r>
    </w:p>
    <w:p w14:paraId="1854A074">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与我方的法定代表人（单位负责人）为同一人的企业如下：</w:t>
      </w:r>
    </w:p>
    <w:p w14:paraId="17FFE9FE">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5159C992">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我方的控股股东如下：</w:t>
      </w:r>
    </w:p>
    <w:p w14:paraId="6B0630BD">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51C13984">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我方直接控股的企业如下：</w:t>
      </w:r>
    </w:p>
    <w:p w14:paraId="23E0345C">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69EA58DF">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与我方存在管理、被管理关系的单位名称如下：</w:t>
      </w:r>
    </w:p>
    <w:p w14:paraId="5703F428">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lang w:eastAsia="zh-CN"/>
        </w:rPr>
      </w:pPr>
    </w:p>
    <w:p w14:paraId="75247D98">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如发现我单位提供的上述信息不实时，我单位将按照《政府采购法》有关提供虚假材料的规定，接受处罚。</w:t>
      </w:r>
    </w:p>
    <w:p w14:paraId="522F6E9E">
      <w:pPr>
        <w:pStyle w:val="26"/>
        <w:keepLines w:val="0"/>
        <w:pageBreakBefore w:val="0"/>
        <w:shd w:val="clear" w:color="auto" w:fill="auto"/>
        <w:wordWrap/>
        <w:topLinePunct w:val="0"/>
        <w:bidi w:val="0"/>
        <w:spacing w:line="480" w:lineRule="exac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特此声明。</w:t>
      </w:r>
    </w:p>
    <w:p w14:paraId="493687CC">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7EF3A40A">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r>
        <w:rPr>
          <w:rFonts w:hint="eastAsia" w:ascii="仿宋" w:hAnsi="仿宋" w:eastAsia="仿宋" w:cs="仿宋"/>
          <w:color w:val="auto"/>
          <w:sz w:val="24"/>
          <w:szCs w:val="24"/>
          <w:highlight w:val="none"/>
          <w:lang w:eastAsia="zh-CN"/>
        </w:rPr>
        <w:t>盖章</w:t>
      </w:r>
      <w:r>
        <w:rPr>
          <w:rFonts w:hint="eastAsia" w:ascii="仿宋" w:hAnsi="仿宋" w:eastAsia="仿宋" w:cs="仿宋"/>
          <w:color w:val="auto"/>
          <w:sz w:val="24"/>
          <w:szCs w:val="24"/>
          <w:highlight w:val="none"/>
        </w:rPr>
        <w:t>)：</w:t>
      </w:r>
    </w:p>
    <w:p w14:paraId="4F1ED47A">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日期：_____年____月____日</w:t>
      </w:r>
    </w:p>
    <w:p w14:paraId="0F22392A">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5DD01DFC">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480FF045">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244AD60A">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15FA549E">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5597ADC9">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5978EAE5">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6D92F4F9">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4F72178E">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6C6A2F1F">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701B4870">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2F78E5C5">
      <w:pPr>
        <w:pStyle w:val="26"/>
        <w:keepLines w:val="0"/>
        <w:pageBreakBefore w:val="0"/>
        <w:shd w:val="clear" w:color="auto" w:fill="auto"/>
        <w:wordWrap/>
        <w:topLinePunct w:val="0"/>
        <w:bidi w:val="0"/>
        <w:spacing w:line="480" w:lineRule="exact"/>
        <w:outlineLvl w:val="9"/>
        <w:rPr>
          <w:rFonts w:hint="eastAsia" w:ascii="仿宋" w:hAnsi="仿宋" w:eastAsia="仿宋" w:cs="仿宋"/>
          <w:color w:val="auto"/>
          <w:sz w:val="24"/>
          <w:szCs w:val="24"/>
          <w:highlight w:val="none"/>
        </w:rPr>
      </w:pPr>
    </w:p>
    <w:p w14:paraId="2F62DF8F">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7、商务条款偏离表</w:t>
      </w:r>
    </w:p>
    <w:p w14:paraId="311CEAA1">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w:t>
      </w:r>
    </w:p>
    <w:p w14:paraId="28A17CFF">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p w14:paraId="0F8E65D4">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供应商名称：　　　　　　　　                         项目编号：　　　　　　　</w:t>
      </w:r>
    </w:p>
    <w:tbl>
      <w:tblPr>
        <w:tblStyle w:val="19"/>
        <w:tblW w:w="887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59"/>
        <w:gridCol w:w="1832"/>
        <w:gridCol w:w="2268"/>
        <w:gridCol w:w="2136"/>
        <w:gridCol w:w="1030"/>
        <w:gridCol w:w="851"/>
      </w:tblGrid>
      <w:tr w14:paraId="172DC6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4FEA5C6F">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序号</w:t>
            </w:r>
          </w:p>
        </w:tc>
        <w:tc>
          <w:tcPr>
            <w:tcW w:w="1832" w:type="dxa"/>
            <w:tcBorders>
              <w:top w:val="single" w:color="auto" w:sz="4" w:space="0"/>
              <w:left w:val="single" w:color="auto" w:sz="4" w:space="0"/>
              <w:bottom w:val="single" w:color="auto" w:sz="4" w:space="0"/>
              <w:right w:val="single" w:color="auto" w:sz="4" w:space="0"/>
            </w:tcBorders>
            <w:vAlign w:val="center"/>
          </w:tcPr>
          <w:p w14:paraId="04F817AC">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磋商文件条目号</w:t>
            </w:r>
          </w:p>
        </w:tc>
        <w:tc>
          <w:tcPr>
            <w:tcW w:w="2268" w:type="dxa"/>
            <w:tcBorders>
              <w:top w:val="single" w:color="auto" w:sz="4" w:space="0"/>
              <w:left w:val="single" w:color="auto" w:sz="4" w:space="0"/>
              <w:bottom w:val="single" w:color="auto" w:sz="4" w:space="0"/>
              <w:right w:val="single" w:color="auto" w:sz="4" w:space="0"/>
            </w:tcBorders>
            <w:vAlign w:val="center"/>
          </w:tcPr>
          <w:p w14:paraId="039D7024">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磋商文件的商务条款</w:t>
            </w:r>
          </w:p>
        </w:tc>
        <w:tc>
          <w:tcPr>
            <w:tcW w:w="2136" w:type="dxa"/>
            <w:tcBorders>
              <w:top w:val="single" w:color="auto" w:sz="4" w:space="0"/>
              <w:left w:val="single" w:color="auto" w:sz="4" w:space="0"/>
              <w:bottom w:val="single" w:color="auto" w:sz="4" w:space="0"/>
              <w:right w:val="single" w:color="auto" w:sz="4" w:space="0"/>
            </w:tcBorders>
            <w:vAlign w:val="center"/>
          </w:tcPr>
          <w:p w14:paraId="31F3F59F">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响应文件的商务条款</w:t>
            </w:r>
          </w:p>
        </w:tc>
        <w:tc>
          <w:tcPr>
            <w:tcW w:w="1030" w:type="dxa"/>
            <w:tcBorders>
              <w:top w:val="single" w:color="auto" w:sz="4" w:space="0"/>
              <w:left w:val="single" w:color="auto" w:sz="4" w:space="0"/>
              <w:bottom w:val="single" w:color="auto" w:sz="4" w:space="0"/>
              <w:right w:val="single" w:color="auto" w:sz="4" w:space="0"/>
            </w:tcBorders>
            <w:vAlign w:val="center"/>
          </w:tcPr>
          <w:p w14:paraId="4AB5BABD">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响应/偏离</w:t>
            </w:r>
          </w:p>
        </w:tc>
        <w:tc>
          <w:tcPr>
            <w:tcW w:w="851" w:type="dxa"/>
            <w:tcBorders>
              <w:top w:val="single" w:color="auto" w:sz="4" w:space="0"/>
              <w:left w:val="single" w:color="auto" w:sz="4" w:space="0"/>
              <w:bottom w:val="single" w:color="auto" w:sz="4" w:space="0"/>
              <w:right w:val="single" w:color="auto" w:sz="4" w:space="0"/>
            </w:tcBorders>
            <w:vAlign w:val="center"/>
          </w:tcPr>
          <w:p w14:paraId="182F6851">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说明</w:t>
            </w:r>
          </w:p>
        </w:tc>
      </w:tr>
      <w:tr w14:paraId="340AF2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0BCBF7FD">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1C21C4B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19B021E9">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0CA7D703">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57FF77C9">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0607F312">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54A838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2076FB33">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04AB8BEB">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6BC69CAD">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11FB9EF2">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79D732C0">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3DE7A967">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226B22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01289B87">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7DE92B83">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10E01A76">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56C420B5">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3D4480FC">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7B2B74E5">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442C7C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32587140">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4EB191BA">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21F16866">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59CB8141">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6B621FB0">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65D4686D">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44DDDC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4CF28E2C">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4D89964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17ACCC86">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1C96EFE1">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431FE934">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4BAC80C4">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51DDC6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373DDECA">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379E4040">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5D688257">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4AFABC8B">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4C1D61C4">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18351D67">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66EA04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0341CCA4">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6D0B9B1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1A585E0E">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1EA91E16">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79449C0A">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08BC7AF9">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4B8C0D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79D9AD7E">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66E4111E">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7B3F26C9">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70482C5B">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2303F5C0">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666BC070">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r w14:paraId="42CE69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759" w:type="dxa"/>
            <w:tcBorders>
              <w:top w:val="single" w:color="auto" w:sz="4" w:space="0"/>
              <w:left w:val="single" w:color="auto" w:sz="4" w:space="0"/>
              <w:bottom w:val="single" w:color="auto" w:sz="4" w:space="0"/>
              <w:right w:val="single" w:color="auto" w:sz="4" w:space="0"/>
            </w:tcBorders>
            <w:vAlign w:val="center"/>
          </w:tcPr>
          <w:p w14:paraId="4A55C92B">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832" w:type="dxa"/>
            <w:tcBorders>
              <w:top w:val="single" w:color="auto" w:sz="4" w:space="0"/>
              <w:left w:val="single" w:color="auto" w:sz="4" w:space="0"/>
              <w:bottom w:val="single" w:color="auto" w:sz="4" w:space="0"/>
              <w:right w:val="single" w:color="auto" w:sz="4" w:space="0"/>
            </w:tcBorders>
            <w:vAlign w:val="center"/>
          </w:tcPr>
          <w:p w14:paraId="5D40CBAB">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268" w:type="dxa"/>
            <w:tcBorders>
              <w:top w:val="single" w:color="auto" w:sz="4" w:space="0"/>
              <w:left w:val="single" w:color="auto" w:sz="4" w:space="0"/>
              <w:bottom w:val="single" w:color="auto" w:sz="4" w:space="0"/>
              <w:right w:val="single" w:color="auto" w:sz="4" w:space="0"/>
            </w:tcBorders>
            <w:vAlign w:val="center"/>
          </w:tcPr>
          <w:p w14:paraId="78C77099">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2136" w:type="dxa"/>
            <w:tcBorders>
              <w:top w:val="single" w:color="auto" w:sz="4" w:space="0"/>
              <w:left w:val="single" w:color="auto" w:sz="4" w:space="0"/>
              <w:bottom w:val="single" w:color="auto" w:sz="4" w:space="0"/>
              <w:right w:val="single" w:color="auto" w:sz="4" w:space="0"/>
            </w:tcBorders>
            <w:vAlign w:val="center"/>
          </w:tcPr>
          <w:p w14:paraId="3C5BF754">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1030" w:type="dxa"/>
            <w:tcBorders>
              <w:top w:val="single" w:color="auto" w:sz="4" w:space="0"/>
              <w:left w:val="single" w:color="auto" w:sz="4" w:space="0"/>
              <w:bottom w:val="single" w:color="auto" w:sz="4" w:space="0"/>
              <w:right w:val="single" w:color="auto" w:sz="4" w:space="0"/>
            </w:tcBorders>
            <w:vAlign w:val="center"/>
          </w:tcPr>
          <w:p w14:paraId="19C838F3">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c>
          <w:tcPr>
            <w:tcW w:w="851" w:type="dxa"/>
            <w:tcBorders>
              <w:top w:val="single" w:color="auto" w:sz="4" w:space="0"/>
              <w:left w:val="single" w:color="auto" w:sz="4" w:space="0"/>
              <w:bottom w:val="single" w:color="auto" w:sz="4" w:space="0"/>
              <w:right w:val="single" w:color="auto" w:sz="4" w:space="0"/>
            </w:tcBorders>
          </w:tcPr>
          <w:p w14:paraId="2E34CD0C">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tc>
      </w:tr>
    </w:tbl>
    <w:p w14:paraId="59F8ED81">
      <w:pPr>
        <w:pStyle w:val="26"/>
        <w:keepLines w:val="0"/>
        <w:pageBreakBefore w:val="0"/>
        <w:shd w:val="clear" w:color="auto" w:fill="auto"/>
        <w:wordWrap/>
        <w:topLinePunct w:val="0"/>
        <w:bidi w:val="0"/>
        <w:spacing w:line="480" w:lineRule="exact"/>
        <w:jc w:val="left"/>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注：投标人应表明响应文件实质上响应了磋商文件中的关键条款。在偏差表中注明相应偏差在响应文件中的具体页码。如有偏离，则必须注明“偏离”；未注明偏离的，视为完全响应。</w:t>
      </w:r>
    </w:p>
    <w:p w14:paraId="61F56C8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val="0"/>
          <w:bCs w:val="0"/>
          <w:color w:val="auto"/>
          <w:sz w:val="24"/>
          <w:szCs w:val="24"/>
          <w:highlight w:val="none"/>
          <w:lang w:val="en-US" w:eastAsia="zh-CN"/>
        </w:rPr>
      </w:pPr>
    </w:p>
    <w:p w14:paraId="1B6453EC">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供应商名称(盖章)：</w:t>
      </w:r>
    </w:p>
    <w:p w14:paraId="78A16429">
      <w:pPr>
        <w:pStyle w:val="26"/>
        <w:keepLines w:val="0"/>
        <w:pageBreakBefore w:val="0"/>
        <w:shd w:val="clear" w:color="auto" w:fill="auto"/>
        <w:wordWrap/>
        <w:topLinePunct w:val="0"/>
        <w:bidi w:val="0"/>
        <w:spacing w:line="480" w:lineRule="exact"/>
        <w:jc w:val="right"/>
        <w:outlineLvl w:val="1"/>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日期：____年____月____日</w:t>
      </w:r>
    </w:p>
    <w:p w14:paraId="0B5F4095">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4AD76D7C">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0995F4D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5382CC7E">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46D0CF16">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1DD55113">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4E913097">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4DD3B873">
      <w:pPr>
        <w:pStyle w:val="2"/>
        <w:pageBreakBefore w:val="0"/>
        <w:wordWrap/>
        <w:topLinePunct w:val="0"/>
        <w:bidi w:val="0"/>
        <w:spacing w:line="480" w:lineRule="exact"/>
        <w:rPr>
          <w:rFonts w:hint="eastAsia" w:ascii="仿宋" w:hAnsi="仿宋" w:eastAsia="仿宋" w:cs="仿宋"/>
          <w:b/>
          <w:bCs/>
          <w:lang w:val="en-US" w:eastAsia="zh-CN"/>
        </w:rPr>
      </w:pPr>
    </w:p>
    <w:p w14:paraId="5DB59F03">
      <w:pPr>
        <w:pStyle w:val="2"/>
        <w:pageBreakBefore w:val="0"/>
        <w:wordWrap/>
        <w:topLinePunct w:val="0"/>
        <w:bidi w:val="0"/>
        <w:spacing w:line="480" w:lineRule="exact"/>
        <w:jc w:val="center"/>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8、项目管理机构</w:t>
      </w:r>
    </w:p>
    <w:p w14:paraId="79EB418E">
      <w:pPr>
        <w:pStyle w:val="2"/>
        <w:pageBreakBefore w:val="0"/>
        <w:wordWrap/>
        <w:topLinePunct w:val="0"/>
        <w:bidi w:val="0"/>
        <w:spacing w:line="480" w:lineRule="exact"/>
        <w:rPr>
          <w:rFonts w:hint="eastAsia" w:ascii="仿宋" w:hAnsi="仿宋" w:eastAsia="仿宋" w:cs="仿宋"/>
          <w:sz w:val="24"/>
          <w:szCs w:val="24"/>
          <w:lang w:val="en-US" w:eastAsia="zh-CN"/>
        </w:rPr>
      </w:pPr>
    </w:p>
    <w:p w14:paraId="7279F758">
      <w:pPr>
        <w:pStyle w:val="10"/>
        <w:keepNext w:val="0"/>
        <w:keepLines w:val="0"/>
        <w:pageBreakBefore w:val="0"/>
        <w:widowControl/>
        <w:shd w:val="clear"/>
        <w:kinsoku w:val="0"/>
        <w:wordWrap/>
        <w:overflowPunct/>
        <w:topLinePunct w:val="0"/>
        <w:autoSpaceDE w:val="0"/>
        <w:autoSpaceDN w:val="0"/>
        <w:bidi w:val="0"/>
        <w:adjustRightInd w:val="0"/>
        <w:snapToGrid w:val="0"/>
        <w:spacing w:before="65" w:line="480" w:lineRule="exact"/>
        <w:ind w:left="3911"/>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（现场技术力量配备）</w:t>
      </w:r>
    </w:p>
    <w:p w14:paraId="3655E281">
      <w:pPr>
        <w:pStyle w:val="10"/>
        <w:keepNext w:val="0"/>
        <w:keepLines w:val="0"/>
        <w:pageBreakBefore w:val="0"/>
        <w:widowControl/>
        <w:shd w:val="clear"/>
        <w:kinsoku w:val="0"/>
        <w:wordWrap/>
        <w:overflowPunct/>
        <w:topLinePunct w:val="0"/>
        <w:autoSpaceDE w:val="0"/>
        <w:autoSpaceDN w:val="0"/>
        <w:bidi w:val="0"/>
        <w:adjustRightInd w:val="0"/>
        <w:snapToGrid w:val="0"/>
        <w:spacing w:before="134" w:line="480" w:lineRule="exact"/>
        <w:ind w:left="133"/>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（一）项目管理机构人员组成表</w:t>
      </w:r>
    </w:p>
    <w:p w14:paraId="2196C8BB">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bl>
      <w:tblPr>
        <w:tblStyle w:val="25"/>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4"/>
        <w:gridCol w:w="906"/>
        <w:gridCol w:w="1250"/>
        <w:gridCol w:w="1431"/>
        <w:gridCol w:w="1540"/>
        <w:gridCol w:w="1503"/>
        <w:gridCol w:w="728"/>
      </w:tblGrid>
      <w:tr w14:paraId="5DDBA0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Merge w:val="restart"/>
            <w:tcBorders>
              <w:bottom w:val="nil"/>
            </w:tcBorders>
            <w:vAlign w:val="top"/>
          </w:tcPr>
          <w:p w14:paraId="15047C6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p w14:paraId="251D0533">
            <w:pPr>
              <w:pStyle w:val="24"/>
              <w:keepNext w:val="0"/>
              <w:keepLines w:val="0"/>
              <w:pageBreakBefore w:val="0"/>
              <w:widowControl/>
              <w:shd w:val="clear"/>
              <w:kinsoku w:val="0"/>
              <w:wordWrap/>
              <w:overflowPunct/>
              <w:topLinePunct w:val="0"/>
              <w:autoSpaceDE w:val="0"/>
              <w:autoSpaceDN w:val="0"/>
              <w:bidi w:val="0"/>
              <w:adjustRightInd w:val="0"/>
              <w:snapToGrid w:val="0"/>
              <w:spacing w:before="65" w:line="480" w:lineRule="exact"/>
              <w:ind w:left="515"/>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职务</w:t>
            </w:r>
          </w:p>
        </w:tc>
        <w:tc>
          <w:tcPr>
            <w:tcW w:w="1124" w:type="dxa"/>
            <w:vMerge w:val="restart"/>
            <w:tcBorders>
              <w:bottom w:val="nil"/>
            </w:tcBorders>
            <w:vAlign w:val="top"/>
          </w:tcPr>
          <w:p w14:paraId="1BCAA6E9">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p w14:paraId="6A55B3A2">
            <w:pPr>
              <w:pStyle w:val="24"/>
              <w:keepNext w:val="0"/>
              <w:keepLines w:val="0"/>
              <w:pageBreakBefore w:val="0"/>
              <w:widowControl/>
              <w:shd w:val="clear"/>
              <w:kinsoku w:val="0"/>
              <w:wordWrap/>
              <w:overflowPunct/>
              <w:topLinePunct w:val="0"/>
              <w:autoSpaceDE w:val="0"/>
              <w:autoSpaceDN w:val="0"/>
              <w:bidi w:val="0"/>
              <w:adjustRightInd w:val="0"/>
              <w:snapToGrid w:val="0"/>
              <w:spacing w:before="65" w:line="480" w:lineRule="exact"/>
              <w:ind w:left="356"/>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姓名</w:t>
            </w:r>
          </w:p>
        </w:tc>
        <w:tc>
          <w:tcPr>
            <w:tcW w:w="906" w:type="dxa"/>
            <w:vMerge w:val="restart"/>
            <w:tcBorders>
              <w:bottom w:val="nil"/>
            </w:tcBorders>
            <w:vAlign w:val="top"/>
          </w:tcPr>
          <w:p w14:paraId="13B17CD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p w14:paraId="48EC5FF3">
            <w:pPr>
              <w:pStyle w:val="24"/>
              <w:keepNext w:val="0"/>
              <w:keepLines w:val="0"/>
              <w:pageBreakBefore w:val="0"/>
              <w:widowControl/>
              <w:shd w:val="clear"/>
              <w:kinsoku w:val="0"/>
              <w:wordWrap/>
              <w:overflowPunct/>
              <w:topLinePunct w:val="0"/>
              <w:autoSpaceDE w:val="0"/>
              <w:autoSpaceDN w:val="0"/>
              <w:bidi w:val="0"/>
              <w:adjustRightInd w:val="0"/>
              <w:snapToGrid w:val="0"/>
              <w:spacing w:before="65" w:line="480" w:lineRule="exact"/>
              <w:ind w:left="248"/>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职称</w:t>
            </w:r>
          </w:p>
        </w:tc>
        <w:tc>
          <w:tcPr>
            <w:tcW w:w="5724" w:type="dxa"/>
            <w:gridSpan w:val="4"/>
            <w:vAlign w:val="top"/>
          </w:tcPr>
          <w:p w14:paraId="3A4C9568">
            <w:pPr>
              <w:pStyle w:val="24"/>
              <w:keepNext w:val="0"/>
              <w:keepLines w:val="0"/>
              <w:pageBreakBefore w:val="0"/>
              <w:widowControl/>
              <w:shd w:val="clear"/>
              <w:kinsoku w:val="0"/>
              <w:wordWrap/>
              <w:overflowPunct/>
              <w:topLinePunct w:val="0"/>
              <w:autoSpaceDE w:val="0"/>
              <w:autoSpaceDN w:val="0"/>
              <w:bidi w:val="0"/>
              <w:adjustRightInd w:val="0"/>
              <w:snapToGrid w:val="0"/>
              <w:spacing w:before="177" w:line="480" w:lineRule="exact"/>
              <w:ind w:left="1921"/>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执业或职业资格证明</w:t>
            </w:r>
          </w:p>
        </w:tc>
        <w:tc>
          <w:tcPr>
            <w:tcW w:w="728" w:type="dxa"/>
            <w:vAlign w:val="top"/>
          </w:tcPr>
          <w:p w14:paraId="09857AC4">
            <w:pPr>
              <w:pStyle w:val="24"/>
              <w:keepNext w:val="0"/>
              <w:keepLines w:val="0"/>
              <w:pageBreakBefore w:val="0"/>
              <w:widowControl/>
              <w:shd w:val="clear"/>
              <w:kinsoku w:val="0"/>
              <w:wordWrap/>
              <w:overflowPunct/>
              <w:topLinePunct w:val="0"/>
              <w:autoSpaceDE w:val="0"/>
              <w:autoSpaceDN w:val="0"/>
              <w:bidi w:val="0"/>
              <w:adjustRightInd w:val="0"/>
              <w:snapToGrid w:val="0"/>
              <w:spacing w:before="178" w:line="480" w:lineRule="exact"/>
              <w:ind w:left="162"/>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备注</w:t>
            </w:r>
          </w:p>
        </w:tc>
      </w:tr>
      <w:tr w14:paraId="56EEE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14:paraId="7D458E3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Merge w:val="continue"/>
            <w:tcBorders>
              <w:top w:val="nil"/>
            </w:tcBorders>
            <w:vAlign w:val="top"/>
          </w:tcPr>
          <w:p w14:paraId="485E405F">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Merge w:val="continue"/>
            <w:tcBorders>
              <w:top w:val="nil"/>
            </w:tcBorders>
            <w:vAlign w:val="top"/>
          </w:tcPr>
          <w:p w14:paraId="15B4272F">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6744473F">
            <w:pPr>
              <w:pStyle w:val="24"/>
              <w:keepNext w:val="0"/>
              <w:keepLines w:val="0"/>
              <w:pageBreakBefore w:val="0"/>
              <w:widowControl/>
              <w:shd w:val="clear"/>
              <w:kinsoku w:val="0"/>
              <w:wordWrap/>
              <w:overflowPunct/>
              <w:topLinePunct w:val="0"/>
              <w:autoSpaceDE w:val="0"/>
              <w:autoSpaceDN w:val="0"/>
              <w:bidi w:val="0"/>
              <w:adjustRightInd w:val="0"/>
              <w:snapToGrid w:val="0"/>
              <w:spacing w:before="172" w:line="480" w:lineRule="exact"/>
              <w:ind w:left="208"/>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证书名称</w:t>
            </w:r>
          </w:p>
        </w:tc>
        <w:tc>
          <w:tcPr>
            <w:tcW w:w="1431" w:type="dxa"/>
            <w:vAlign w:val="top"/>
          </w:tcPr>
          <w:p w14:paraId="6B8B528E">
            <w:pPr>
              <w:pStyle w:val="24"/>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left="514"/>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级别</w:t>
            </w:r>
          </w:p>
        </w:tc>
        <w:tc>
          <w:tcPr>
            <w:tcW w:w="1540" w:type="dxa"/>
            <w:vAlign w:val="top"/>
          </w:tcPr>
          <w:p w14:paraId="5A98FFED">
            <w:pPr>
              <w:pStyle w:val="24"/>
              <w:keepNext w:val="0"/>
              <w:keepLines w:val="0"/>
              <w:pageBreakBefore w:val="0"/>
              <w:widowControl/>
              <w:shd w:val="clear"/>
              <w:kinsoku w:val="0"/>
              <w:wordWrap/>
              <w:overflowPunct/>
              <w:topLinePunct w:val="0"/>
              <w:autoSpaceDE w:val="0"/>
              <w:autoSpaceDN w:val="0"/>
              <w:bidi w:val="0"/>
              <w:adjustRightInd w:val="0"/>
              <w:snapToGrid w:val="0"/>
              <w:spacing w:before="172" w:line="480" w:lineRule="exact"/>
              <w:ind w:left="565"/>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证号</w:t>
            </w:r>
          </w:p>
        </w:tc>
        <w:tc>
          <w:tcPr>
            <w:tcW w:w="1503" w:type="dxa"/>
            <w:vAlign w:val="top"/>
          </w:tcPr>
          <w:p w14:paraId="2DD05C8D">
            <w:pPr>
              <w:pStyle w:val="24"/>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left="550"/>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专业</w:t>
            </w:r>
          </w:p>
        </w:tc>
        <w:tc>
          <w:tcPr>
            <w:tcW w:w="728" w:type="dxa"/>
            <w:vAlign w:val="top"/>
          </w:tcPr>
          <w:p w14:paraId="412D598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624136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1A40BD9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6E3DD80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50AFA70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40805B2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21A9F8E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7F2C22A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3E7D1A71">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3146CE9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27A50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0A85C8B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3395FAE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6A10475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2DDF528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000FAE89">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17216B1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18CE030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626CFB3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009A99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Align w:val="top"/>
          </w:tcPr>
          <w:p w14:paraId="647C56B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333DE6F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6B0F4F1B">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4B53E43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0C39173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61C6184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0F0616E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49327BE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2DC4B8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545099A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5E0A7F1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2B9FDF6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6D43E3C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2E99800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2B5CEE01">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2192BE2F">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54DC689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5ED095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00FBC4A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2033A5C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1F3FECD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446C488F">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5DBD2AB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6283D5A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455CF3C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33CDF95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46DB61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7D73088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31424DFB">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652BC8A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5BA0E6C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21359C9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221B804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72DB1A8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6B7CDF3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4F153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52F9793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6D812FD8">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66C9D62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6614B889">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5CFF70B8">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5A54ECE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2B3C81C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0157D95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FB9CE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37" w:type="dxa"/>
            <w:vAlign w:val="top"/>
          </w:tcPr>
          <w:p w14:paraId="5CFD0CD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7190477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5BC50ED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4EBEE13F">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7036A0B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296930A8">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32C5C23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596DDF1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D207A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37" w:type="dxa"/>
            <w:vAlign w:val="top"/>
          </w:tcPr>
          <w:p w14:paraId="4247623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124" w:type="dxa"/>
            <w:vAlign w:val="top"/>
          </w:tcPr>
          <w:p w14:paraId="46F95ED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906" w:type="dxa"/>
            <w:vAlign w:val="top"/>
          </w:tcPr>
          <w:p w14:paraId="3A6D0221">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50" w:type="dxa"/>
            <w:vAlign w:val="top"/>
          </w:tcPr>
          <w:p w14:paraId="15C1B1C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431" w:type="dxa"/>
            <w:vAlign w:val="top"/>
          </w:tcPr>
          <w:p w14:paraId="2A7456E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40" w:type="dxa"/>
            <w:vAlign w:val="top"/>
          </w:tcPr>
          <w:p w14:paraId="2286955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503" w:type="dxa"/>
            <w:vAlign w:val="top"/>
          </w:tcPr>
          <w:p w14:paraId="3062D78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728" w:type="dxa"/>
            <w:vAlign w:val="top"/>
          </w:tcPr>
          <w:p w14:paraId="7E0CC278">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bl>
    <w:p w14:paraId="7E2FCB1F">
      <w:pPr>
        <w:pStyle w:val="10"/>
        <w:keepNext w:val="0"/>
        <w:keepLines w:val="0"/>
        <w:pageBreakBefore w:val="0"/>
        <w:widowControl/>
        <w:shd w:val="clear"/>
        <w:kinsoku w:val="0"/>
        <w:wordWrap/>
        <w:overflowPunct/>
        <w:topLinePunct w:val="0"/>
        <w:autoSpaceDE w:val="0"/>
        <w:autoSpaceDN w:val="0"/>
        <w:bidi w:val="0"/>
        <w:adjustRightInd w:val="0"/>
        <w:snapToGrid w:val="0"/>
        <w:spacing w:before="172" w:line="480" w:lineRule="exact"/>
        <w:ind w:left="329"/>
        <w:textAlignment w:val="baseline"/>
        <w:outlineLvl w:val="9"/>
        <w:rPr>
          <w:rFonts w:hint="eastAsia" w:ascii="仿宋" w:hAnsi="仿宋" w:eastAsia="仿宋" w:cs="仿宋"/>
          <w:color w:val="auto"/>
          <w:spacing w:val="8"/>
          <w:position w:val="18"/>
          <w:sz w:val="24"/>
          <w:szCs w:val="24"/>
          <w:highlight w:val="none"/>
        </w:rPr>
      </w:pPr>
      <w:r>
        <w:rPr>
          <w:rFonts w:hint="eastAsia" w:ascii="仿宋" w:hAnsi="仿宋" w:eastAsia="仿宋" w:cs="仿宋"/>
          <w:color w:val="auto"/>
          <w:spacing w:val="8"/>
          <w:position w:val="18"/>
          <w:sz w:val="24"/>
          <w:szCs w:val="24"/>
          <w:highlight w:val="none"/>
        </w:rPr>
        <w:t>注：本工程一旦我单位</w:t>
      </w:r>
      <w:r>
        <w:rPr>
          <w:rFonts w:hint="eastAsia" w:ascii="仿宋" w:hAnsi="仿宋" w:eastAsia="仿宋" w:cs="仿宋"/>
          <w:color w:val="auto"/>
          <w:spacing w:val="8"/>
          <w:position w:val="18"/>
          <w:sz w:val="24"/>
          <w:szCs w:val="24"/>
          <w:highlight w:val="none"/>
          <w:lang w:eastAsia="zh-CN"/>
        </w:rPr>
        <w:t>成交</w:t>
      </w:r>
      <w:r>
        <w:rPr>
          <w:rFonts w:hint="eastAsia" w:ascii="仿宋" w:hAnsi="仿宋" w:eastAsia="仿宋" w:cs="仿宋"/>
          <w:color w:val="auto"/>
          <w:spacing w:val="8"/>
          <w:position w:val="18"/>
          <w:sz w:val="24"/>
          <w:szCs w:val="24"/>
          <w:highlight w:val="none"/>
        </w:rPr>
        <w:t>，将配备上述项目管理人员。上述填报内容真实，如不真实，将按照有关规定接受处理。</w:t>
      </w:r>
    </w:p>
    <w:p w14:paraId="27E77B9E">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pacing w:val="7"/>
          <w:sz w:val="24"/>
          <w:szCs w:val="24"/>
          <w:highlight w:val="none"/>
        </w:rPr>
      </w:pPr>
    </w:p>
    <w:p w14:paraId="6DF10AA9">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pacing w:val="7"/>
          <w:sz w:val="24"/>
          <w:szCs w:val="24"/>
          <w:highlight w:val="none"/>
        </w:rPr>
      </w:pPr>
    </w:p>
    <w:p w14:paraId="193BCA64">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pacing w:val="7"/>
          <w:sz w:val="24"/>
          <w:szCs w:val="24"/>
          <w:highlight w:val="none"/>
        </w:rPr>
      </w:pPr>
    </w:p>
    <w:p w14:paraId="6EFDF2FD">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pacing w:val="7"/>
          <w:sz w:val="24"/>
          <w:szCs w:val="24"/>
          <w:highlight w:val="none"/>
        </w:rPr>
      </w:pPr>
    </w:p>
    <w:p w14:paraId="283B1618">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pacing w:val="7"/>
          <w:sz w:val="24"/>
          <w:szCs w:val="24"/>
          <w:highlight w:val="none"/>
        </w:rPr>
      </w:pPr>
    </w:p>
    <w:p w14:paraId="4F701BC8">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pacing w:val="7"/>
          <w:sz w:val="24"/>
          <w:szCs w:val="24"/>
          <w:highlight w:val="none"/>
        </w:rPr>
      </w:pPr>
    </w:p>
    <w:p w14:paraId="25CEE36B">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both"/>
        <w:textAlignment w:val="baseline"/>
        <w:outlineLvl w:val="9"/>
        <w:rPr>
          <w:rFonts w:hint="eastAsia" w:ascii="仿宋" w:hAnsi="仿宋" w:eastAsia="仿宋" w:cs="仿宋"/>
          <w:color w:val="auto"/>
          <w:spacing w:val="7"/>
          <w:sz w:val="24"/>
          <w:szCs w:val="24"/>
          <w:highlight w:val="none"/>
        </w:rPr>
      </w:pPr>
    </w:p>
    <w:p w14:paraId="2B643761">
      <w:pPr>
        <w:pStyle w:val="10"/>
        <w:keepNext w:val="0"/>
        <w:keepLines w:val="0"/>
        <w:pageBreakBefore w:val="0"/>
        <w:widowControl/>
        <w:shd w:val="clear"/>
        <w:kinsoku w:val="0"/>
        <w:wordWrap/>
        <w:overflowPunct/>
        <w:topLinePunct w:val="0"/>
        <w:autoSpaceDE w:val="0"/>
        <w:autoSpaceDN w:val="0"/>
        <w:bidi w:val="0"/>
        <w:adjustRightInd w:val="0"/>
        <w:snapToGrid w:val="0"/>
        <w:spacing w:before="180" w:line="480" w:lineRule="exact"/>
        <w:jc w:val="center"/>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（二）主要人员简历表</w:t>
      </w:r>
    </w:p>
    <w:p w14:paraId="332D9946">
      <w:pPr>
        <w:pStyle w:val="10"/>
        <w:keepNext w:val="0"/>
        <w:keepLines w:val="0"/>
        <w:pageBreakBefore w:val="0"/>
        <w:widowControl/>
        <w:shd w:val="clear"/>
        <w:kinsoku w:val="0"/>
        <w:wordWrap/>
        <w:overflowPunct/>
        <w:topLinePunct w:val="0"/>
        <w:autoSpaceDE w:val="0"/>
        <w:autoSpaceDN w:val="0"/>
        <w:bidi w:val="0"/>
        <w:adjustRightInd w:val="0"/>
        <w:snapToGrid w:val="0"/>
        <w:spacing w:before="178" w:line="480" w:lineRule="exact"/>
        <w:ind w:left="1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附</w:t>
      </w:r>
      <w:r>
        <w:rPr>
          <w:rFonts w:hint="eastAsia" w:ascii="仿宋" w:hAnsi="仿宋" w:eastAsia="仿宋" w:cs="仿宋"/>
          <w:color w:val="auto"/>
          <w:spacing w:val="-21"/>
          <w:sz w:val="24"/>
          <w:szCs w:val="24"/>
          <w:highlight w:val="none"/>
          <w:lang w:val="en-US" w:eastAsia="zh-CN"/>
        </w:rPr>
        <w:t>件</w:t>
      </w:r>
      <w:r>
        <w:rPr>
          <w:rFonts w:hint="eastAsia" w:ascii="仿宋" w:hAnsi="仿宋" w:eastAsia="仿宋" w:cs="仿宋"/>
          <w:color w:val="auto"/>
          <w:spacing w:val="4"/>
          <w:sz w:val="24"/>
          <w:szCs w:val="24"/>
          <w:highlight w:val="none"/>
        </w:rPr>
        <w:t>1：项目经理简历表</w:t>
      </w:r>
    </w:p>
    <w:p w14:paraId="06FC3247">
      <w:pPr>
        <w:pStyle w:val="10"/>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firstLine="424"/>
        <w:jc w:val="both"/>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10"/>
          <w:sz w:val="24"/>
          <w:szCs w:val="24"/>
          <w:highlight w:val="none"/>
        </w:rPr>
        <w:t>项目经理应附建造师注册证书、安全生产考核证书、身份证、职称</w:t>
      </w:r>
      <w:r>
        <w:rPr>
          <w:rFonts w:hint="eastAsia" w:ascii="仿宋" w:hAnsi="仿宋" w:eastAsia="仿宋" w:cs="仿宋"/>
          <w:color w:val="auto"/>
          <w:spacing w:val="9"/>
          <w:sz w:val="24"/>
          <w:szCs w:val="24"/>
          <w:highlight w:val="none"/>
        </w:rPr>
        <w:t>证（如有）、学历证等资料复印件</w:t>
      </w:r>
      <w:r>
        <w:rPr>
          <w:rFonts w:hint="eastAsia" w:ascii="仿宋" w:hAnsi="仿宋" w:eastAsia="仿宋" w:cs="仿宋"/>
          <w:color w:val="auto"/>
          <w:spacing w:val="10"/>
          <w:sz w:val="24"/>
          <w:szCs w:val="24"/>
          <w:highlight w:val="none"/>
        </w:rPr>
        <w:t>及未担任其他在施建设工程项目经理的承诺书，管理过的项目业绩须附</w:t>
      </w:r>
      <w:r>
        <w:rPr>
          <w:rFonts w:hint="eastAsia" w:ascii="仿宋" w:hAnsi="仿宋" w:eastAsia="仿宋" w:cs="仿宋"/>
          <w:color w:val="auto"/>
          <w:spacing w:val="10"/>
          <w:sz w:val="24"/>
          <w:szCs w:val="24"/>
          <w:highlight w:val="none"/>
          <w:lang w:eastAsia="zh-CN"/>
        </w:rPr>
        <w:t>成交</w:t>
      </w:r>
      <w:r>
        <w:rPr>
          <w:rFonts w:hint="eastAsia" w:ascii="仿宋" w:hAnsi="仿宋" w:eastAsia="仿宋" w:cs="仿宋"/>
          <w:color w:val="auto"/>
          <w:spacing w:val="10"/>
          <w:sz w:val="24"/>
          <w:szCs w:val="24"/>
          <w:highlight w:val="none"/>
        </w:rPr>
        <w:t>通知</w:t>
      </w:r>
      <w:r>
        <w:rPr>
          <w:rFonts w:hint="eastAsia" w:ascii="仿宋" w:hAnsi="仿宋" w:eastAsia="仿宋" w:cs="仿宋"/>
          <w:color w:val="auto"/>
          <w:spacing w:val="9"/>
          <w:sz w:val="24"/>
          <w:szCs w:val="24"/>
          <w:highlight w:val="none"/>
        </w:rPr>
        <w:t>书、合同协议书复印件。</w:t>
      </w:r>
    </w:p>
    <w:tbl>
      <w:tblPr>
        <w:tblStyle w:val="25"/>
        <w:tblW w:w="985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4"/>
        <w:gridCol w:w="1155"/>
        <w:gridCol w:w="1266"/>
        <w:gridCol w:w="1423"/>
        <w:gridCol w:w="2058"/>
        <w:gridCol w:w="2732"/>
      </w:tblGrid>
      <w:tr w14:paraId="2E2633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jc w:val="center"/>
        </w:trPr>
        <w:tc>
          <w:tcPr>
            <w:tcW w:w="1224" w:type="dxa"/>
            <w:vAlign w:val="top"/>
          </w:tcPr>
          <w:p w14:paraId="740CE313">
            <w:pPr>
              <w:pStyle w:val="24"/>
              <w:keepNext w:val="0"/>
              <w:keepLines w:val="0"/>
              <w:pageBreakBefore w:val="0"/>
              <w:widowControl/>
              <w:shd w:val="clear"/>
              <w:kinsoku w:val="0"/>
              <w:wordWrap/>
              <w:overflowPunct/>
              <w:topLinePunct w:val="0"/>
              <w:autoSpaceDE w:val="0"/>
              <w:autoSpaceDN w:val="0"/>
              <w:bidi w:val="0"/>
              <w:adjustRightInd w:val="0"/>
              <w:snapToGrid w:val="0"/>
              <w:spacing w:before="127" w:line="480" w:lineRule="exact"/>
              <w:ind w:left="238"/>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w:t>
            </w:r>
            <w:r>
              <w:rPr>
                <w:rFonts w:hint="eastAsia" w:ascii="仿宋" w:hAnsi="仿宋" w:eastAsia="仿宋" w:cs="仿宋"/>
                <w:color w:val="auto"/>
                <w:spacing w:val="10"/>
                <w:sz w:val="24"/>
                <w:szCs w:val="24"/>
                <w:highlight w:val="none"/>
              </w:rPr>
              <w:t xml:space="preserve">  </w:t>
            </w:r>
            <w:r>
              <w:rPr>
                <w:rFonts w:hint="eastAsia" w:ascii="仿宋" w:hAnsi="仿宋" w:eastAsia="仿宋" w:cs="仿宋"/>
                <w:color w:val="auto"/>
                <w:sz w:val="24"/>
                <w:szCs w:val="24"/>
                <w:highlight w:val="none"/>
              </w:rPr>
              <w:t>名</w:t>
            </w:r>
          </w:p>
        </w:tc>
        <w:tc>
          <w:tcPr>
            <w:tcW w:w="1155" w:type="dxa"/>
            <w:vAlign w:val="top"/>
          </w:tcPr>
          <w:p w14:paraId="52CC306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66" w:type="dxa"/>
            <w:vAlign w:val="top"/>
          </w:tcPr>
          <w:p w14:paraId="21235218">
            <w:pPr>
              <w:pStyle w:val="24"/>
              <w:keepNext w:val="0"/>
              <w:keepLines w:val="0"/>
              <w:pageBreakBefore w:val="0"/>
              <w:widowControl/>
              <w:shd w:val="clear"/>
              <w:kinsoku w:val="0"/>
              <w:wordWrap/>
              <w:overflowPunct/>
              <w:topLinePunct w:val="0"/>
              <w:autoSpaceDE w:val="0"/>
              <w:autoSpaceDN w:val="0"/>
              <w:bidi w:val="0"/>
              <w:adjustRightInd w:val="0"/>
              <w:snapToGrid w:val="0"/>
              <w:spacing w:before="127" w:line="480" w:lineRule="exact"/>
              <w:ind w:left="25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w:t>
            </w:r>
            <w:r>
              <w:rPr>
                <w:rFonts w:hint="eastAsia" w:ascii="仿宋" w:hAnsi="仿宋" w:eastAsia="仿宋" w:cs="仿宋"/>
                <w:color w:val="auto"/>
                <w:spacing w:val="9"/>
                <w:sz w:val="24"/>
                <w:szCs w:val="24"/>
                <w:highlight w:val="none"/>
              </w:rPr>
              <w:t xml:space="preserve">  </w:t>
            </w:r>
            <w:r>
              <w:rPr>
                <w:rFonts w:hint="eastAsia" w:ascii="仿宋" w:hAnsi="仿宋" w:eastAsia="仿宋" w:cs="仿宋"/>
                <w:color w:val="auto"/>
                <w:sz w:val="24"/>
                <w:szCs w:val="24"/>
                <w:highlight w:val="none"/>
              </w:rPr>
              <w:t>龄</w:t>
            </w:r>
          </w:p>
        </w:tc>
        <w:tc>
          <w:tcPr>
            <w:tcW w:w="1423" w:type="dxa"/>
            <w:vAlign w:val="top"/>
          </w:tcPr>
          <w:p w14:paraId="6806792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334B7C65">
            <w:pPr>
              <w:pStyle w:val="24"/>
              <w:keepNext w:val="0"/>
              <w:keepLines w:val="0"/>
              <w:pageBreakBefore w:val="0"/>
              <w:widowControl/>
              <w:shd w:val="clear"/>
              <w:kinsoku w:val="0"/>
              <w:wordWrap/>
              <w:overflowPunct/>
              <w:topLinePunct w:val="0"/>
              <w:autoSpaceDE w:val="0"/>
              <w:autoSpaceDN w:val="0"/>
              <w:bidi w:val="0"/>
              <w:adjustRightInd w:val="0"/>
              <w:snapToGrid w:val="0"/>
              <w:spacing w:before="127" w:line="480" w:lineRule="exact"/>
              <w:ind w:left="721"/>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学历</w:t>
            </w:r>
          </w:p>
        </w:tc>
        <w:tc>
          <w:tcPr>
            <w:tcW w:w="2732" w:type="dxa"/>
            <w:vAlign w:val="top"/>
          </w:tcPr>
          <w:p w14:paraId="558EB96B">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67C41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jc w:val="center"/>
        </w:trPr>
        <w:tc>
          <w:tcPr>
            <w:tcW w:w="1224" w:type="dxa"/>
            <w:vAlign w:val="top"/>
          </w:tcPr>
          <w:p w14:paraId="79A6BC95">
            <w:pPr>
              <w:pStyle w:val="24"/>
              <w:keepNext w:val="0"/>
              <w:keepLines w:val="0"/>
              <w:pageBreakBefore w:val="0"/>
              <w:widowControl/>
              <w:shd w:val="clear"/>
              <w:kinsoku w:val="0"/>
              <w:wordWrap/>
              <w:overflowPunct/>
              <w:topLinePunct w:val="0"/>
              <w:autoSpaceDE w:val="0"/>
              <w:autoSpaceDN w:val="0"/>
              <w:bidi w:val="0"/>
              <w:adjustRightInd w:val="0"/>
              <w:snapToGrid w:val="0"/>
              <w:spacing w:before="122" w:line="480" w:lineRule="exact"/>
              <w:ind w:left="239"/>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w:t>
            </w:r>
            <w:r>
              <w:rPr>
                <w:rFonts w:hint="eastAsia" w:ascii="仿宋" w:hAnsi="仿宋" w:eastAsia="仿宋" w:cs="仿宋"/>
                <w:color w:val="auto"/>
                <w:spacing w:val="9"/>
                <w:sz w:val="24"/>
                <w:szCs w:val="24"/>
                <w:highlight w:val="none"/>
              </w:rPr>
              <w:t xml:space="preserve">  </w:t>
            </w:r>
            <w:r>
              <w:rPr>
                <w:rFonts w:hint="eastAsia" w:ascii="仿宋" w:hAnsi="仿宋" w:eastAsia="仿宋" w:cs="仿宋"/>
                <w:color w:val="auto"/>
                <w:sz w:val="24"/>
                <w:szCs w:val="24"/>
                <w:highlight w:val="none"/>
              </w:rPr>
              <w:t>称</w:t>
            </w:r>
          </w:p>
        </w:tc>
        <w:tc>
          <w:tcPr>
            <w:tcW w:w="1155" w:type="dxa"/>
            <w:vAlign w:val="top"/>
          </w:tcPr>
          <w:p w14:paraId="21094EE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66" w:type="dxa"/>
            <w:vAlign w:val="top"/>
          </w:tcPr>
          <w:p w14:paraId="4EB5F363">
            <w:pPr>
              <w:pStyle w:val="24"/>
              <w:keepNext w:val="0"/>
              <w:keepLines w:val="0"/>
              <w:pageBreakBefore w:val="0"/>
              <w:widowControl/>
              <w:shd w:val="clear"/>
              <w:kinsoku w:val="0"/>
              <w:wordWrap/>
              <w:overflowPunct/>
              <w:topLinePunct w:val="0"/>
              <w:autoSpaceDE w:val="0"/>
              <w:autoSpaceDN w:val="0"/>
              <w:bidi w:val="0"/>
              <w:adjustRightInd w:val="0"/>
              <w:snapToGrid w:val="0"/>
              <w:spacing w:before="122" w:line="480" w:lineRule="exact"/>
              <w:ind w:left="25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w:t>
            </w:r>
            <w:r>
              <w:rPr>
                <w:rFonts w:hint="eastAsia" w:ascii="仿宋" w:hAnsi="仿宋" w:eastAsia="仿宋" w:cs="仿宋"/>
                <w:color w:val="auto"/>
                <w:spacing w:val="10"/>
                <w:sz w:val="24"/>
                <w:szCs w:val="24"/>
                <w:highlight w:val="none"/>
              </w:rPr>
              <w:t xml:space="preserve">  </w:t>
            </w:r>
            <w:r>
              <w:rPr>
                <w:rFonts w:hint="eastAsia" w:ascii="仿宋" w:hAnsi="仿宋" w:eastAsia="仿宋" w:cs="仿宋"/>
                <w:color w:val="auto"/>
                <w:sz w:val="24"/>
                <w:szCs w:val="24"/>
                <w:highlight w:val="none"/>
              </w:rPr>
              <w:t>务</w:t>
            </w:r>
          </w:p>
        </w:tc>
        <w:tc>
          <w:tcPr>
            <w:tcW w:w="1423" w:type="dxa"/>
            <w:vAlign w:val="top"/>
          </w:tcPr>
          <w:p w14:paraId="323A33E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30BBB50A">
            <w:pPr>
              <w:pStyle w:val="24"/>
              <w:keepNext w:val="0"/>
              <w:keepLines w:val="0"/>
              <w:pageBreakBefore w:val="0"/>
              <w:widowControl/>
              <w:shd w:val="clear"/>
              <w:kinsoku w:val="0"/>
              <w:wordWrap/>
              <w:overflowPunct/>
              <w:topLinePunct w:val="0"/>
              <w:autoSpaceDE w:val="0"/>
              <w:autoSpaceDN w:val="0"/>
              <w:bidi w:val="0"/>
              <w:adjustRightInd w:val="0"/>
              <w:snapToGrid w:val="0"/>
              <w:spacing w:before="122" w:line="480" w:lineRule="exact"/>
              <w:ind w:left="191"/>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拟在本工程任职</w:t>
            </w:r>
          </w:p>
        </w:tc>
        <w:tc>
          <w:tcPr>
            <w:tcW w:w="2732" w:type="dxa"/>
            <w:vAlign w:val="top"/>
          </w:tcPr>
          <w:p w14:paraId="293F81DE">
            <w:pPr>
              <w:pStyle w:val="24"/>
              <w:keepNext w:val="0"/>
              <w:keepLines w:val="0"/>
              <w:pageBreakBefore w:val="0"/>
              <w:widowControl/>
              <w:shd w:val="clear"/>
              <w:kinsoku w:val="0"/>
              <w:wordWrap/>
              <w:overflowPunct/>
              <w:topLinePunct w:val="0"/>
              <w:autoSpaceDE w:val="0"/>
              <w:autoSpaceDN w:val="0"/>
              <w:bidi w:val="0"/>
              <w:adjustRightInd w:val="0"/>
              <w:snapToGrid w:val="0"/>
              <w:spacing w:before="123" w:line="480" w:lineRule="exact"/>
              <w:ind w:left="810"/>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项目经理</w:t>
            </w:r>
          </w:p>
        </w:tc>
      </w:tr>
      <w:tr w14:paraId="64149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jc w:val="center"/>
        </w:trPr>
        <w:tc>
          <w:tcPr>
            <w:tcW w:w="3645" w:type="dxa"/>
            <w:gridSpan w:val="3"/>
            <w:vAlign w:val="top"/>
          </w:tcPr>
          <w:p w14:paraId="7876D92A">
            <w:pPr>
              <w:pStyle w:val="24"/>
              <w:keepNext w:val="0"/>
              <w:keepLines w:val="0"/>
              <w:pageBreakBefore w:val="0"/>
              <w:widowControl/>
              <w:shd w:val="clear"/>
              <w:kinsoku w:val="0"/>
              <w:wordWrap/>
              <w:overflowPunct/>
              <w:topLinePunct w:val="0"/>
              <w:autoSpaceDE w:val="0"/>
              <w:autoSpaceDN w:val="0"/>
              <w:bidi w:val="0"/>
              <w:adjustRightInd w:val="0"/>
              <w:snapToGrid w:val="0"/>
              <w:spacing w:before="124" w:line="480" w:lineRule="exact"/>
              <w:ind w:left="483"/>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9"/>
                <w:sz w:val="24"/>
                <w:szCs w:val="24"/>
                <w:highlight w:val="none"/>
              </w:rPr>
              <w:t>注册建造师执业资格等级</w:t>
            </w:r>
          </w:p>
        </w:tc>
        <w:tc>
          <w:tcPr>
            <w:tcW w:w="1423" w:type="dxa"/>
            <w:vAlign w:val="top"/>
          </w:tcPr>
          <w:p w14:paraId="53BF116C">
            <w:pPr>
              <w:pStyle w:val="24"/>
              <w:keepNext w:val="0"/>
              <w:keepLines w:val="0"/>
              <w:pageBreakBefore w:val="0"/>
              <w:widowControl/>
              <w:shd w:val="clear"/>
              <w:kinsoku w:val="0"/>
              <w:wordWrap/>
              <w:overflowPunct/>
              <w:topLinePunct w:val="0"/>
              <w:autoSpaceDE w:val="0"/>
              <w:autoSpaceDN w:val="0"/>
              <w:bidi w:val="0"/>
              <w:adjustRightInd w:val="0"/>
              <w:snapToGrid w:val="0"/>
              <w:spacing w:before="124" w:line="480" w:lineRule="exact"/>
              <w:ind w:left="85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级</w:t>
            </w:r>
          </w:p>
        </w:tc>
        <w:tc>
          <w:tcPr>
            <w:tcW w:w="2058" w:type="dxa"/>
            <w:vAlign w:val="top"/>
          </w:tcPr>
          <w:p w14:paraId="6573E9CF">
            <w:pPr>
              <w:pStyle w:val="24"/>
              <w:keepNext w:val="0"/>
              <w:keepLines w:val="0"/>
              <w:pageBreakBefore w:val="0"/>
              <w:widowControl/>
              <w:shd w:val="clear"/>
              <w:kinsoku w:val="0"/>
              <w:wordWrap/>
              <w:overflowPunct/>
              <w:topLinePunct w:val="0"/>
              <w:autoSpaceDE w:val="0"/>
              <w:autoSpaceDN w:val="0"/>
              <w:bidi w:val="0"/>
              <w:adjustRightInd w:val="0"/>
              <w:snapToGrid w:val="0"/>
              <w:spacing w:before="124" w:line="480" w:lineRule="exact"/>
              <w:ind w:left="405"/>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建造师专业</w:t>
            </w:r>
          </w:p>
        </w:tc>
        <w:tc>
          <w:tcPr>
            <w:tcW w:w="2732" w:type="dxa"/>
            <w:vAlign w:val="top"/>
          </w:tcPr>
          <w:p w14:paraId="2922315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13653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3645" w:type="dxa"/>
            <w:gridSpan w:val="3"/>
            <w:vAlign w:val="top"/>
          </w:tcPr>
          <w:p w14:paraId="39EFE23F">
            <w:pPr>
              <w:pStyle w:val="24"/>
              <w:keepNext w:val="0"/>
              <w:keepLines w:val="0"/>
              <w:pageBreakBefore w:val="0"/>
              <w:widowControl/>
              <w:shd w:val="clear"/>
              <w:kinsoku w:val="0"/>
              <w:wordWrap/>
              <w:overflowPunct/>
              <w:topLinePunct w:val="0"/>
              <w:autoSpaceDE w:val="0"/>
              <w:autoSpaceDN w:val="0"/>
              <w:bidi w:val="0"/>
              <w:adjustRightInd w:val="0"/>
              <w:snapToGrid w:val="0"/>
              <w:spacing w:before="123" w:line="480" w:lineRule="exact"/>
              <w:ind w:left="593"/>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安全生产考核合格证书</w:t>
            </w:r>
          </w:p>
        </w:tc>
        <w:tc>
          <w:tcPr>
            <w:tcW w:w="6213" w:type="dxa"/>
            <w:gridSpan w:val="3"/>
            <w:vAlign w:val="top"/>
          </w:tcPr>
          <w:p w14:paraId="5E5803F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1537DA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8" w:hRule="atLeast"/>
          <w:jc w:val="center"/>
        </w:trPr>
        <w:tc>
          <w:tcPr>
            <w:tcW w:w="1224" w:type="dxa"/>
            <w:vAlign w:val="top"/>
          </w:tcPr>
          <w:p w14:paraId="5F4A47C7">
            <w:pPr>
              <w:pStyle w:val="24"/>
              <w:keepNext w:val="0"/>
              <w:keepLines w:val="0"/>
              <w:pageBreakBefore w:val="0"/>
              <w:widowControl/>
              <w:shd w:val="clear"/>
              <w:kinsoku w:val="0"/>
              <w:wordWrap/>
              <w:overflowPunct/>
              <w:topLinePunct w:val="0"/>
              <w:autoSpaceDE w:val="0"/>
              <w:autoSpaceDN w:val="0"/>
              <w:bidi w:val="0"/>
              <w:adjustRightInd w:val="0"/>
              <w:snapToGrid w:val="0"/>
              <w:spacing w:before="122" w:line="480" w:lineRule="exact"/>
              <w:ind w:left="13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毕业学校</w:t>
            </w:r>
          </w:p>
        </w:tc>
        <w:tc>
          <w:tcPr>
            <w:tcW w:w="8634" w:type="dxa"/>
            <w:gridSpan w:val="5"/>
            <w:vAlign w:val="top"/>
          </w:tcPr>
          <w:p w14:paraId="11AA65C1">
            <w:pPr>
              <w:pStyle w:val="24"/>
              <w:keepNext w:val="0"/>
              <w:keepLines w:val="0"/>
              <w:pageBreakBefore w:val="0"/>
              <w:widowControl/>
              <w:shd w:val="clear"/>
              <w:kinsoku w:val="0"/>
              <w:wordWrap/>
              <w:overflowPunct/>
              <w:topLinePunct w:val="0"/>
              <w:autoSpaceDE w:val="0"/>
              <w:autoSpaceDN w:val="0"/>
              <w:bidi w:val="0"/>
              <w:adjustRightInd w:val="0"/>
              <w:snapToGrid w:val="0"/>
              <w:spacing w:before="122" w:line="480" w:lineRule="exact"/>
              <w:ind w:left="952"/>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年毕业于</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5"/>
                <w:sz w:val="24"/>
                <w:szCs w:val="24"/>
                <w:highlight w:val="none"/>
              </w:rPr>
              <w:t>学校</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pacing w:val="5"/>
                <w:sz w:val="24"/>
                <w:szCs w:val="24"/>
                <w:highlight w:val="none"/>
              </w:rPr>
              <w:t>专业</w:t>
            </w:r>
          </w:p>
        </w:tc>
      </w:tr>
      <w:tr w14:paraId="6F81D7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9858" w:type="dxa"/>
            <w:gridSpan w:val="6"/>
            <w:vAlign w:val="top"/>
          </w:tcPr>
          <w:p w14:paraId="0B5378AA">
            <w:pPr>
              <w:pStyle w:val="24"/>
              <w:keepNext w:val="0"/>
              <w:keepLines w:val="0"/>
              <w:pageBreakBefore w:val="0"/>
              <w:widowControl/>
              <w:shd w:val="clear"/>
              <w:kinsoku w:val="0"/>
              <w:wordWrap/>
              <w:overflowPunct/>
              <w:topLinePunct w:val="0"/>
              <w:autoSpaceDE w:val="0"/>
              <w:autoSpaceDN w:val="0"/>
              <w:bidi w:val="0"/>
              <w:adjustRightInd w:val="0"/>
              <w:snapToGrid w:val="0"/>
              <w:spacing w:before="124" w:line="480" w:lineRule="exact"/>
              <w:ind w:left="3789"/>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主要工作经历</w:t>
            </w:r>
          </w:p>
        </w:tc>
      </w:tr>
      <w:tr w14:paraId="21FCBF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jc w:val="center"/>
        </w:trPr>
        <w:tc>
          <w:tcPr>
            <w:tcW w:w="1224" w:type="dxa"/>
            <w:vAlign w:val="top"/>
          </w:tcPr>
          <w:p w14:paraId="15144564">
            <w:pPr>
              <w:pStyle w:val="24"/>
              <w:keepNext w:val="0"/>
              <w:keepLines w:val="0"/>
              <w:pageBreakBefore w:val="0"/>
              <w:widowControl/>
              <w:shd w:val="clear"/>
              <w:kinsoku w:val="0"/>
              <w:wordWrap/>
              <w:overflowPunct/>
              <w:topLinePunct w:val="0"/>
              <w:autoSpaceDE w:val="0"/>
              <w:autoSpaceDN w:val="0"/>
              <w:bidi w:val="0"/>
              <w:adjustRightInd w:val="0"/>
              <w:snapToGrid w:val="0"/>
              <w:spacing w:before="123" w:line="480" w:lineRule="exact"/>
              <w:ind w:left="248"/>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5"/>
                <w:sz w:val="24"/>
                <w:szCs w:val="24"/>
                <w:highlight w:val="none"/>
              </w:rPr>
              <w:t>时</w:t>
            </w:r>
            <w:r>
              <w:rPr>
                <w:rFonts w:hint="eastAsia" w:ascii="仿宋" w:hAnsi="仿宋" w:eastAsia="仿宋" w:cs="仿宋"/>
                <w:color w:val="auto"/>
                <w:spacing w:val="17"/>
                <w:sz w:val="24"/>
                <w:szCs w:val="24"/>
                <w:highlight w:val="none"/>
              </w:rPr>
              <w:t xml:space="preserve">  </w:t>
            </w:r>
            <w:r>
              <w:rPr>
                <w:rFonts w:hint="eastAsia" w:ascii="仿宋" w:hAnsi="仿宋" w:eastAsia="仿宋" w:cs="仿宋"/>
                <w:color w:val="auto"/>
                <w:spacing w:val="-5"/>
                <w:sz w:val="24"/>
                <w:szCs w:val="24"/>
                <w:highlight w:val="none"/>
              </w:rPr>
              <w:t>间</w:t>
            </w:r>
          </w:p>
        </w:tc>
        <w:tc>
          <w:tcPr>
            <w:tcW w:w="3844" w:type="dxa"/>
            <w:gridSpan w:val="3"/>
            <w:vAlign w:val="top"/>
          </w:tcPr>
          <w:p w14:paraId="4A0594A0">
            <w:pPr>
              <w:pStyle w:val="24"/>
              <w:keepNext w:val="0"/>
              <w:keepLines w:val="0"/>
              <w:pageBreakBefore w:val="0"/>
              <w:widowControl/>
              <w:shd w:val="clear"/>
              <w:kinsoku w:val="0"/>
              <w:wordWrap/>
              <w:overflowPunct/>
              <w:topLinePunct w:val="0"/>
              <w:autoSpaceDE w:val="0"/>
              <w:autoSpaceDN w:val="0"/>
              <w:bidi w:val="0"/>
              <w:adjustRightInd w:val="0"/>
              <w:snapToGrid w:val="0"/>
              <w:spacing w:before="123" w:line="480" w:lineRule="exact"/>
              <w:ind w:left="67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参加过的类似项目名称</w:t>
            </w:r>
          </w:p>
        </w:tc>
        <w:tc>
          <w:tcPr>
            <w:tcW w:w="2058" w:type="dxa"/>
            <w:vAlign w:val="top"/>
          </w:tcPr>
          <w:p w14:paraId="05AFB245">
            <w:pPr>
              <w:pStyle w:val="24"/>
              <w:keepNext w:val="0"/>
              <w:keepLines w:val="0"/>
              <w:pageBreakBefore w:val="0"/>
              <w:widowControl/>
              <w:shd w:val="clear"/>
              <w:kinsoku w:val="0"/>
              <w:wordWrap/>
              <w:overflowPunct/>
              <w:topLinePunct w:val="0"/>
              <w:autoSpaceDE w:val="0"/>
              <w:autoSpaceDN w:val="0"/>
              <w:bidi w:val="0"/>
              <w:adjustRightInd w:val="0"/>
              <w:snapToGrid w:val="0"/>
              <w:spacing w:before="123" w:line="480" w:lineRule="exact"/>
              <w:ind w:left="300"/>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工程概况说明</w:t>
            </w:r>
          </w:p>
        </w:tc>
        <w:tc>
          <w:tcPr>
            <w:tcW w:w="2732" w:type="dxa"/>
            <w:vAlign w:val="top"/>
          </w:tcPr>
          <w:p w14:paraId="26A285E6">
            <w:pPr>
              <w:pStyle w:val="24"/>
              <w:keepNext w:val="0"/>
              <w:keepLines w:val="0"/>
              <w:pageBreakBefore w:val="0"/>
              <w:widowControl/>
              <w:shd w:val="clear"/>
              <w:kinsoku w:val="0"/>
              <w:wordWrap/>
              <w:overflowPunct/>
              <w:topLinePunct w:val="0"/>
              <w:autoSpaceDE w:val="0"/>
              <w:autoSpaceDN w:val="0"/>
              <w:bidi w:val="0"/>
              <w:adjustRightInd w:val="0"/>
              <w:snapToGrid w:val="0"/>
              <w:spacing w:before="124" w:line="480" w:lineRule="exact"/>
              <w:ind w:left="390"/>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发包人及联系电话</w:t>
            </w:r>
          </w:p>
        </w:tc>
      </w:tr>
      <w:tr w14:paraId="737231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224" w:type="dxa"/>
            <w:vAlign w:val="top"/>
          </w:tcPr>
          <w:p w14:paraId="6A0B81F7">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175F60EB">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3D84F9A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79426FA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7ED880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224" w:type="dxa"/>
            <w:vAlign w:val="top"/>
          </w:tcPr>
          <w:p w14:paraId="4F1BAC3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4C6B83A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0621B9B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34B40111">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538B96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224" w:type="dxa"/>
            <w:vAlign w:val="top"/>
          </w:tcPr>
          <w:p w14:paraId="2A1DEE7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04477A48">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6EF9056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4C05BABF">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2EAB1E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224" w:type="dxa"/>
            <w:vAlign w:val="top"/>
          </w:tcPr>
          <w:p w14:paraId="17A6AEF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2176D4E0">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0B21BD4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4D53A78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2746F7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224" w:type="dxa"/>
            <w:vAlign w:val="top"/>
          </w:tcPr>
          <w:p w14:paraId="42BE49B1">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383FDD9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4A35B7F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643DB39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83CA3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224" w:type="dxa"/>
            <w:vAlign w:val="top"/>
          </w:tcPr>
          <w:p w14:paraId="049C467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79539AA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0348FF2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7874E49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4D3487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jc w:val="center"/>
        </w:trPr>
        <w:tc>
          <w:tcPr>
            <w:tcW w:w="1224" w:type="dxa"/>
            <w:vAlign w:val="top"/>
          </w:tcPr>
          <w:p w14:paraId="44F8B80E">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3844" w:type="dxa"/>
            <w:gridSpan w:val="3"/>
            <w:vAlign w:val="top"/>
          </w:tcPr>
          <w:p w14:paraId="5F578CBC">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058" w:type="dxa"/>
            <w:vAlign w:val="top"/>
          </w:tcPr>
          <w:p w14:paraId="7D60040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2732" w:type="dxa"/>
            <w:vAlign w:val="top"/>
          </w:tcPr>
          <w:p w14:paraId="3548995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bl>
    <w:p w14:paraId="13F6853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p w14:paraId="0FFCC9FC">
      <w:pPr>
        <w:pStyle w:val="10"/>
        <w:keepNext w:val="0"/>
        <w:keepLines w:val="0"/>
        <w:pageBreakBefore w:val="0"/>
        <w:widowControl/>
        <w:shd w:val="clear"/>
        <w:kinsoku w:val="0"/>
        <w:wordWrap/>
        <w:overflowPunct/>
        <w:topLinePunct w:val="0"/>
        <w:autoSpaceDE w:val="0"/>
        <w:autoSpaceDN w:val="0"/>
        <w:bidi w:val="0"/>
        <w:adjustRightInd w:val="0"/>
        <w:snapToGrid w:val="0"/>
        <w:spacing w:before="66" w:line="480" w:lineRule="exact"/>
        <w:ind w:right="16"/>
        <w:jc w:val="left"/>
        <w:textAlignment w:val="baseline"/>
        <w:outlineLvl w:val="9"/>
        <w:rPr>
          <w:rFonts w:hint="eastAsia" w:ascii="仿宋" w:hAnsi="仿宋" w:eastAsia="仿宋" w:cs="仿宋"/>
          <w:b/>
          <w:bCs/>
          <w:color w:val="auto"/>
          <w:spacing w:val="10"/>
          <w:position w:val="14"/>
          <w:sz w:val="24"/>
          <w:szCs w:val="24"/>
          <w:highlight w:val="none"/>
        </w:rPr>
      </w:pPr>
      <w:r>
        <w:rPr>
          <w:rFonts w:hint="eastAsia" w:ascii="仿宋" w:hAnsi="仿宋" w:eastAsia="仿宋" w:cs="仿宋"/>
          <w:b/>
          <w:bCs/>
          <w:color w:val="auto"/>
          <w:spacing w:val="10"/>
          <w:position w:val="14"/>
          <w:sz w:val="24"/>
          <w:szCs w:val="24"/>
          <w:highlight w:val="none"/>
        </w:rPr>
        <w:t>注：</w:t>
      </w:r>
      <w:r>
        <w:rPr>
          <w:rFonts w:hint="eastAsia" w:ascii="仿宋" w:hAnsi="仿宋" w:eastAsia="仿宋" w:cs="仿宋"/>
          <w:color w:val="auto"/>
          <w:spacing w:val="10"/>
          <w:position w:val="14"/>
          <w:sz w:val="24"/>
          <w:szCs w:val="24"/>
          <w:highlight w:val="none"/>
        </w:rPr>
        <w:t xml:space="preserve"> </w:t>
      </w:r>
      <w:r>
        <w:rPr>
          <w:rFonts w:hint="eastAsia" w:ascii="仿宋" w:hAnsi="仿宋" w:eastAsia="仿宋" w:cs="仿宋"/>
          <w:b/>
          <w:bCs/>
          <w:color w:val="auto"/>
          <w:spacing w:val="10"/>
          <w:position w:val="14"/>
          <w:sz w:val="24"/>
          <w:szCs w:val="24"/>
          <w:highlight w:val="none"/>
        </w:rPr>
        <w:t>承包人若需要更换本工程响应文件中原有建造师及人员时须经发包人同意。未经发包人同意，承包人更换人员应承担违约责任。</w:t>
      </w:r>
    </w:p>
    <w:p w14:paraId="33E00A32">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sectPr>
          <w:footerReference r:id="rId20" w:type="default"/>
          <w:pgSz w:w="11906" w:h="16839"/>
          <w:pgMar w:top="1431" w:right="1166" w:bottom="1166" w:left="1087" w:header="0" w:footer="987" w:gutter="0"/>
          <w:pgNumType w:fmt="decimal"/>
          <w:cols w:space="720" w:num="1"/>
        </w:sectPr>
      </w:pPr>
    </w:p>
    <w:p w14:paraId="4D062D4C">
      <w:pPr>
        <w:pStyle w:val="10"/>
        <w:keepNext w:val="0"/>
        <w:keepLines w:val="0"/>
        <w:pageBreakBefore w:val="0"/>
        <w:widowControl/>
        <w:shd w:val="clear"/>
        <w:kinsoku w:val="0"/>
        <w:wordWrap/>
        <w:overflowPunct/>
        <w:topLinePunct w:val="0"/>
        <w:autoSpaceDE w:val="0"/>
        <w:autoSpaceDN w:val="0"/>
        <w:bidi w:val="0"/>
        <w:adjustRightInd w:val="0"/>
        <w:snapToGrid w:val="0"/>
        <w:spacing w:before="166" w:line="480" w:lineRule="exact"/>
        <w:ind w:left="3401"/>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附</w:t>
      </w:r>
      <w:r>
        <w:rPr>
          <w:rFonts w:hint="eastAsia" w:ascii="仿宋" w:hAnsi="仿宋" w:eastAsia="仿宋" w:cs="仿宋"/>
          <w:color w:val="auto"/>
          <w:spacing w:val="-25"/>
          <w:sz w:val="24"/>
          <w:szCs w:val="24"/>
          <w:highlight w:val="none"/>
          <w:lang w:val="en-US" w:eastAsia="zh-CN"/>
        </w:rPr>
        <w:t>件</w:t>
      </w:r>
      <w:r>
        <w:rPr>
          <w:rFonts w:hint="eastAsia" w:ascii="仿宋" w:hAnsi="仿宋" w:eastAsia="仿宋" w:cs="仿宋"/>
          <w:color w:val="auto"/>
          <w:spacing w:val="6"/>
          <w:sz w:val="24"/>
          <w:szCs w:val="24"/>
          <w:highlight w:val="none"/>
        </w:rPr>
        <w:t>2：主要项目管理人员简历表</w:t>
      </w:r>
    </w:p>
    <w:p w14:paraId="6B373CF3">
      <w:pPr>
        <w:pStyle w:val="10"/>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left="9" w:firstLine="411"/>
        <w:jc w:val="both"/>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主要项目管理人员指项目副经理</w:t>
      </w:r>
      <w:r>
        <w:rPr>
          <w:rFonts w:hint="eastAsia" w:ascii="仿宋" w:hAnsi="仿宋" w:eastAsia="仿宋" w:cs="仿宋"/>
          <w:color w:val="auto"/>
          <w:spacing w:val="8"/>
          <w:sz w:val="24"/>
          <w:szCs w:val="24"/>
          <w:highlight w:val="none"/>
          <w:lang w:eastAsia="zh-CN"/>
        </w:rPr>
        <w:t>（</w:t>
      </w:r>
      <w:r>
        <w:rPr>
          <w:rFonts w:hint="eastAsia" w:ascii="仿宋" w:hAnsi="仿宋" w:eastAsia="仿宋" w:cs="仿宋"/>
          <w:color w:val="auto"/>
          <w:spacing w:val="8"/>
          <w:sz w:val="24"/>
          <w:szCs w:val="24"/>
          <w:highlight w:val="none"/>
          <w:lang w:val="en-US" w:eastAsia="zh-CN"/>
        </w:rPr>
        <w:t>如有</w:t>
      </w:r>
      <w:r>
        <w:rPr>
          <w:rFonts w:hint="eastAsia" w:ascii="仿宋" w:hAnsi="仿宋" w:eastAsia="仿宋" w:cs="仿宋"/>
          <w:color w:val="auto"/>
          <w:spacing w:val="8"/>
          <w:sz w:val="24"/>
          <w:szCs w:val="24"/>
          <w:highlight w:val="none"/>
          <w:lang w:eastAsia="zh-CN"/>
        </w:rPr>
        <w:t>）</w:t>
      </w:r>
      <w:r>
        <w:rPr>
          <w:rFonts w:hint="eastAsia" w:ascii="仿宋" w:hAnsi="仿宋" w:eastAsia="仿宋" w:cs="仿宋"/>
          <w:color w:val="auto"/>
          <w:spacing w:val="8"/>
          <w:sz w:val="24"/>
          <w:szCs w:val="24"/>
          <w:highlight w:val="none"/>
        </w:rPr>
        <w:t>、技术负责人、专职安全生产管理人员等岗位人员。应附人员</w:t>
      </w:r>
      <w:r>
        <w:rPr>
          <w:rFonts w:hint="eastAsia" w:ascii="仿宋" w:hAnsi="仿宋" w:eastAsia="仿宋" w:cs="仿宋"/>
          <w:color w:val="auto"/>
          <w:spacing w:val="8"/>
          <w:sz w:val="24"/>
          <w:szCs w:val="24"/>
          <w:highlight w:val="none"/>
          <w:lang w:val="en-US" w:eastAsia="zh-CN"/>
        </w:rPr>
        <w:t>证件扫描件</w:t>
      </w:r>
      <w:r>
        <w:rPr>
          <w:rFonts w:hint="eastAsia" w:ascii="仿宋" w:hAnsi="仿宋" w:eastAsia="仿宋" w:cs="仿宋"/>
          <w:color w:val="auto"/>
          <w:spacing w:val="8"/>
          <w:sz w:val="24"/>
          <w:szCs w:val="24"/>
          <w:highlight w:val="none"/>
        </w:rPr>
        <w:t>。</w:t>
      </w:r>
    </w:p>
    <w:tbl>
      <w:tblPr>
        <w:tblStyle w:val="25"/>
        <w:tblW w:w="898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42"/>
        <w:gridCol w:w="3447"/>
        <w:gridCol w:w="1270"/>
        <w:gridCol w:w="2321"/>
      </w:tblGrid>
      <w:tr w14:paraId="614447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jc w:val="center"/>
        </w:trPr>
        <w:tc>
          <w:tcPr>
            <w:tcW w:w="8980" w:type="dxa"/>
            <w:gridSpan w:val="4"/>
            <w:vAlign w:val="top"/>
          </w:tcPr>
          <w:p w14:paraId="445C5318">
            <w:pPr>
              <w:pStyle w:val="24"/>
              <w:keepNext w:val="0"/>
              <w:keepLines w:val="0"/>
              <w:pageBreakBefore w:val="0"/>
              <w:widowControl/>
              <w:shd w:val="clear"/>
              <w:kinsoku w:val="0"/>
              <w:wordWrap/>
              <w:overflowPunct/>
              <w:topLinePunct w:val="0"/>
              <w:autoSpaceDE w:val="0"/>
              <w:autoSpaceDN w:val="0"/>
              <w:bidi w:val="0"/>
              <w:adjustRightInd w:val="0"/>
              <w:snapToGrid w:val="0"/>
              <w:spacing w:before="190" w:line="480" w:lineRule="exact"/>
              <w:ind w:left="138"/>
              <w:textAlignment w:val="baseline"/>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rPr>
              <w:t>岗位名称</w:t>
            </w:r>
            <w:r>
              <w:rPr>
                <w:rFonts w:hint="eastAsia" w:ascii="仿宋" w:hAnsi="仿宋" w:eastAsia="仿宋" w:cs="仿宋"/>
                <w:color w:val="auto"/>
                <w:spacing w:val="1"/>
                <w:sz w:val="24"/>
                <w:szCs w:val="24"/>
                <w:highlight w:val="none"/>
                <w:lang w:eastAsia="zh-CN"/>
              </w:rPr>
              <w:t>：</w:t>
            </w:r>
          </w:p>
        </w:tc>
      </w:tr>
      <w:tr w14:paraId="012D5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jc w:val="center"/>
        </w:trPr>
        <w:tc>
          <w:tcPr>
            <w:tcW w:w="1942" w:type="dxa"/>
            <w:vAlign w:val="top"/>
          </w:tcPr>
          <w:p w14:paraId="7F295053">
            <w:pPr>
              <w:pStyle w:val="24"/>
              <w:keepNext w:val="0"/>
              <w:keepLines w:val="0"/>
              <w:pageBreakBefore w:val="0"/>
              <w:widowControl/>
              <w:shd w:val="clear"/>
              <w:kinsoku w:val="0"/>
              <w:wordWrap/>
              <w:overflowPunct/>
              <w:topLinePunct w:val="0"/>
              <w:autoSpaceDE w:val="0"/>
              <w:autoSpaceDN w:val="0"/>
              <w:bidi w:val="0"/>
              <w:adjustRightInd w:val="0"/>
              <w:snapToGrid w:val="0"/>
              <w:spacing w:before="185" w:line="480" w:lineRule="exact"/>
              <w:ind w:left="115"/>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姓名</w:t>
            </w:r>
          </w:p>
        </w:tc>
        <w:tc>
          <w:tcPr>
            <w:tcW w:w="3447" w:type="dxa"/>
            <w:vAlign w:val="top"/>
          </w:tcPr>
          <w:p w14:paraId="21429243">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70" w:type="dxa"/>
            <w:vAlign w:val="top"/>
          </w:tcPr>
          <w:p w14:paraId="69B3C196">
            <w:pPr>
              <w:pStyle w:val="24"/>
              <w:keepNext w:val="0"/>
              <w:keepLines w:val="0"/>
              <w:pageBreakBefore w:val="0"/>
              <w:widowControl/>
              <w:shd w:val="clear"/>
              <w:kinsoku w:val="0"/>
              <w:wordWrap/>
              <w:overflowPunct/>
              <w:topLinePunct w:val="0"/>
              <w:autoSpaceDE w:val="0"/>
              <w:autoSpaceDN w:val="0"/>
              <w:bidi w:val="0"/>
              <w:adjustRightInd w:val="0"/>
              <w:snapToGrid w:val="0"/>
              <w:spacing w:before="185" w:line="480" w:lineRule="exact"/>
              <w:ind w:left="114"/>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年龄</w:t>
            </w:r>
          </w:p>
        </w:tc>
        <w:tc>
          <w:tcPr>
            <w:tcW w:w="2321" w:type="dxa"/>
            <w:vAlign w:val="top"/>
          </w:tcPr>
          <w:p w14:paraId="5FC9F786">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D12B3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1942" w:type="dxa"/>
            <w:vAlign w:val="top"/>
          </w:tcPr>
          <w:p w14:paraId="0D4111CD">
            <w:pPr>
              <w:pStyle w:val="24"/>
              <w:keepNext w:val="0"/>
              <w:keepLines w:val="0"/>
              <w:pageBreakBefore w:val="0"/>
              <w:widowControl/>
              <w:shd w:val="clear"/>
              <w:kinsoku w:val="0"/>
              <w:wordWrap/>
              <w:overflowPunct/>
              <w:topLinePunct w:val="0"/>
              <w:autoSpaceDE w:val="0"/>
              <w:autoSpaceDN w:val="0"/>
              <w:bidi w:val="0"/>
              <w:adjustRightInd w:val="0"/>
              <w:snapToGrid w:val="0"/>
              <w:spacing w:before="175" w:line="480" w:lineRule="exact"/>
              <w:ind w:left="11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性别</w:t>
            </w:r>
          </w:p>
        </w:tc>
        <w:tc>
          <w:tcPr>
            <w:tcW w:w="3447" w:type="dxa"/>
            <w:vAlign w:val="top"/>
          </w:tcPr>
          <w:p w14:paraId="1ED8DAA8">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70" w:type="dxa"/>
            <w:vAlign w:val="top"/>
          </w:tcPr>
          <w:p w14:paraId="7AD0880A">
            <w:pPr>
              <w:pStyle w:val="24"/>
              <w:keepNext w:val="0"/>
              <w:keepLines w:val="0"/>
              <w:pageBreakBefore w:val="0"/>
              <w:widowControl/>
              <w:shd w:val="clear"/>
              <w:kinsoku w:val="0"/>
              <w:wordWrap/>
              <w:overflowPunct/>
              <w:topLinePunct w:val="0"/>
              <w:autoSpaceDE w:val="0"/>
              <w:autoSpaceDN w:val="0"/>
              <w:bidi w:val="0"/>
              <w:adjustRightInd w:val="0"/>
              <w:snapToGrid w:val="0"/>
              <w:spacing w:before="175" w:line="480" w:lineRule="exact"/>
              <w:ind w:left="11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毕业学校</w:t>
            </w:r>
          </w:p>
        </w:tc>
        <w:tc>
          <w:tcPr>
            <w:tcW w:w="2321" w:type="dxa"/>
            <w:vAlign w:val="top"/>
          </w:tcPr>
          <w:p w14:paraId="2226B44D">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60E0FF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jc w:val="center"/>
        </w:trPr>
        <w:tc>
          <w:tcPr>
            <w:tcW w:w="1942" w:type="dxa"/>
            <w:vAlign w:val="top"/>
          </w:tcPr>
          <w:p w14:paraId="4D0358E1">
            <w:pPr>
              <w:pStyle w:val="24"/>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left="119"/>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学历和专业</w:t>
            </w:r>
          </w:p>
        </w:tc>
        <w:tc>
          <w:tcPr>
            <w:tcW w:w="3447" w:type="dxa"/>
            <w:vAlign w:val="top"/>
          </w:tcPr>
          <w:p w14:paraId="1989CD54">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70" w:type="dxa"/>
            <w:vAlign w:val="top"/>
          </w:tcPr>
          <w:p w14:paraId="739AC88F">
            <w:pPr>
              <w:pStyle w:val="24"/>
              <w:keepNext w:val="0"/>
              <w:keepLines w:val="0"/>
              <w:pageBreakBefore w:val="0"/>
              <w:widowControl/>
              <w:shd w:val="clear"/>
              <w:kinsoku w:val="0"/>
              <w:wordWrap/>
              <w:overflowPunct/>
              <w:topLinePunct w:val="0"/>
              <w:autoSpaceDE w:val="0"/>
              <w:autoSpaceDN w:val="0"/>
              <w:bidi w:val="0"/>
              <w:adjustRightInd w:val="0"/>
              <w:snapToGrid w:val="0"/>
              <w:spacing w:before="172" w:line="480" w:lineRule="exact"/>
              <w:ind w:left="117"/>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毕业时间</w:t>
            </w:r>
          </w:p>
        </w:tc>
        <w:tc>
          <w:tcPr>
            <w:tcW w:w="2321" w:type="dxa"/>
            <w:vAlign w:val="top"/>
          </w:tcPr>
          <w:p w14:paraId="2B0CDA09">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A767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jc w:val="center"/>
        </w:trPr>
        <w:tc>
          <w:tcPr>
            <w:tcW w:w="1942" w:type="dxa"/>
            <w:vAlign w:val="top"/>
          </w:tcPr>
          <w:p w14:paraId="6AC23652">
            <w:pPr>
              <w:pStyle w:val="24"/>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left="115"/>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拥有的执业资格</w:t>
            </w:r>
          </w:p>
        </w:tc>
        <w:tc>
          <w:tcPr>
            <w:tcW w:w="3447" w:type="dxa"/>
            <w:vAlign w:val="top"/>
          </w:tcPr>
          <w:p w14:paraId="71E3CCD1">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70" w:type="dxa"/>
            <w:vAlign w:val="top"/>
          </w:tcPr>
          <w:p w14:paraId="1D10EE59">
            <w:pPr>
              <w:pStyle w:val="24"/>
              <w:keepNext w:val="0"/>
              <w:keepLines w:val="0"/>
              <w:pageBreakBefore w:val="0"/>
              <w:widowControl/>
              <w:shd w:val="clear"/>
              <w:kinsoku w:val="0"/>
              <w:wordWrap/>
              <w:overflowPunct/>
              <w:topLinePunct w:val="0"/>
              <w:autoSpaceDE w:val="0"/>
              <w:autoSpaceDN w:val="0"/>
              <w:bidi w:val="0"/>
              <w:adjustRightInd w:val="0"/>
              <w:snapToGrid w:val="0"/>
              <w:spacing w:before="173" w:line="480" w:lineRule="exact"/>
              <w:ind w:left="114"/>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专业职称</w:t>
            </w:r>
          </w:p>
        </w:tc>
        <w:tc>
          <w:tcPr>
            <w:tcW w:w="2321" w:type="dxa"/>
            <w:vAlign w:val="top"/>
          </w:tcPr>
          <w:p w14:paraId="1CEC65F9">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3140B1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7" w:hRule="atLeast"/>
          <w:jc w:val="center"/>
        </w:trPr>
        <w:tc>
          <w:tcPr>
            <w:tcW w:w="1942" w:type="dxa"/>
            <w:vAlign w:val="top"/>
          </w:tcPr>
          <w:p w14:paraId="3420B832">
            <w:pPr>
              <w:pStyle w:val="24"/>
              <w:keepNext w:val="0"/>
              <w:keepLines w:val="0"/>
              <w:pageBreakBefore w:val="0"/>
              <w:widowControl/>
              <w:shd w:val="clear"/>
              <w:kinsoku w:val="0"/>
              <w:wordWrap/>
              <w:overflowPunct/>
              <w:topLinePunct w:val="0"/>
              <w:autoSpaceDE w:val="0"/>
              <w:autoSpaceDN w:val="0"/>
              <w:bidi w:val="0"/>
              <w:adjustRightInd w:val="0"/>
              <w:snapToGrid w:val="0"/>
              <w:spacing w:before="185" w:line="480" w:lineRule="exact"/>
              <w:ind w:left="115"/>
              <w:jc w:val="center"/>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8"/>
                <w:sz w:val="24"/>
                <w:szCs w:val="24"/>
                <w:highlight w:val="none"/>
              </w:rPr>
              <w:t>执业资格证书编号</w:t>
            </w:r>
          </w:p>
        </w:tc>
        <w:tc>
          <w:tcPr>
            <w:tcW w:w="3447" w:type="dxa"/>
            <w:vAlign w:val="top"/>
          </w:tcPr>
          <w:p w14:paraId="42D07B0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c>
          <w:tcPr>
            <w:tcW w:w="1270" w:type="dxa"/>
            <w:vAlign w:val="top"/>
          </w:tcPr>
          <w:p w14:paraId="5F920754">
            <w:pPr>
              <w:pStyle w:val="24"/>
              <w:keepNext w:val="0"/>
              <w:keepLines w:val="0"/>
              <w:pageBreakBefore w:val="0"/>
              <w:widowControl/>
              <w:shd w:val="clear"/>
              <w:kinsoku w:val="0"/>
              <w:wordWrap/>
              <w:overflowPunct/>
              <w:topLinePunct w:val="0"/>
              <w:autoSpaceDE w:val="0"/>
              <w:autoSpaceDN w:val="0"/>
              <w:bidi w:val="0"/>
              <w:adjustRightInd w:val="0"/>
              <w:snapToGrid w:val="0"/>
              <w:spacing w:before="185" w:line="480" w:lineRule="exact"/>
              <w:ind w:left="116"/>
              <w:textAlignment w:val="baseline"/>
              <w:outlineLvl w:val="9"/>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工作年限</w:t>
            </w:r>
          </w:p>
        </w:tc>
        <w:tc>
          <w:tcPr>
            <w:tcW w:w="2321" w:type="dxa"/>
            <w:vAlign w:val="top"/>
          </w:tcPr>
          <w:p w14:paraId="7C5F58D5">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rPr>
            </w:pPr>
          </w:p>
        </w:tc>
      </w:tr>
      <w:tr w14:paraId="63FF49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6" w:hRule="atLeast"/>
          <w:jc w:val="center"/>
        </w:trPr>
        <w:tc>
          <w:tcPr>
            <w:tcW w:w="8980" w:type="dxa"/>
            <w:gridSpan w:val="4"/>
            <w:vAlign w:val="top"/>
          </w:tcPr>
          <w:p w14:paraId="54BBA13A">
            <w:pPr>
              <w:keepNext w:val="0"/>
              <w:keepLines w:val="0"/>
              <w:pageBreakBefore w:val="0"/>
              <w:widowControl/>
              <w:shd w:val="clear"/>
              <w:kinsoku w:val="0"/>
              <w:wordWrap/>
              <w:overflowPunct/>
              <w:topLinePunct w:val="0"/>
              <w:autoSpaceDE w:val="0"/>
              <w:autoSpaceDN w:val="0"/>
              <w:bidi w:val="0"/>
              <w:adjustRightInd w:val="0"/>
              <w:snapToGrid w:val="0"/>
              <w:spacing w:line="480" w:lineRule="exact"/>
              <w:textAlignment w:val="baseline"/>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主要工作业绩及担任的主要工作：</w:t>
            </w:r>
          </w:p>
        </w:tc>
      </w:tr>
    </w:tbl>
    <w:p w14:paraId="7368B592">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1FAA16E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0D7258A8">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297EA64D">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01D44014">
      <w:pPr>
        <w:pStyle w:val="26"/>
        <w:keepLines w:val="0"/>
        <w:pageBreakBefore w:val="0"/>
        <w:shd w:val="clear" w:color="auto" w:fill="auto"/>
        <w:wordWrap/>
        <w:topLinePunct w:val="0"/>
        <w:bidi w:val="0"/>
        <w:spacing w:line="480" w:lineRule="exact"/>
        <w:jc w:val="center"/>
        <w:outlineLvl w:val="9"/>
        <w:rPr>
          <w:rFonts w:hint="eastAsia" w:ascii="仿宋" w:hAnsi="仿宋" w:eastAsia="仿宋" w:cs="仿宋"/>
          <w:b/>
          <w:bCs/>
          <w:color w:val="auto"/>
          <w:sz w:val="24"/>
          <w:szCs w:val="24"/>
          <w:highlight w:val="none"/>
          <w:lang w:val="en-US" w:eastAsia="zh-CN"/>
        </w:rPr>
      </w:pPr>
    </w:p>
    <w:p w14:paraId="10DD91CA">
      <w:pPr>
        <w:pStyle w:val="26"/>
        <w:keepLines w:val="0"/>
        <w:pageBreakBefore w:val="0"/>
        <w:shd w:val="clear" w:color="auto" w:fill="auto"/>
        <w:wordWrap/>
        <w:topLinePunct w:val="0"/>
        <w:bidi w:val="0"/>
        <w:spacing w:line="480" w:lineRule="exact"/>
        <w:jc w:val="center"/>
        <w:outlineLvl w:val="1"/>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技术部分</w:t>
      </w:r>
    </w:p>
    <w:p w14:paraId="1796CE76">
      <w:pPr>
        <w:pStyle w:val="26"/>
        <w:keepLines w:val="0"/>
        <w:pageBreakBefore w:val="0"/>
        <w:shd w:val="clear" w:color="auto" w:fill="auto"/>
        <w:wordWrap/>
        <w:topLinePunct w:val="0"/>
        <w:bidi w:val="0"/>
        <w:spacing w:line="480" w:lineRule="exac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1、企业</w:t>
      </w:r>
      <w:r>
        <w:rPr>
          <w:rFonts w:hint="eastAsia" w:ascii="仿宋" w:hAnsi="仿宋" w:eastAsia="仿宋" w:cs="仿宋"/>
          <w:b/>
          <w:color w:val="auto"/>
          <w:sz w:val="24"/>
          <w:szCs w:val="24"/>
          <w:highlight w:val="none"/>
        </w:rPr>
        <w:t>项目业绩表</w:t>
      </w:r>
      <w:bookmarkEnd w:id="1393"/>
      <w:bookmarkEnd w:id="1394"/>
    </w:p>
    <w:p w14:paraId="5E0AEED3">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rPr>
      </w:pPr>
    </w:p>
    <w:p w14:paraId="2066C970">
      <w:pPr>
        <w:pStyle w:val="26"/>
        <w:keepLines w:val="0"/>
        <w:pageBreakBefore w:val="0"/>
        <w:shd w:val="clear" w:color="auto" w:fill="auto"/>
        <w:wordWrap/>
        <w:topLinePunct w:val="0"/>
        <w:bidi w:val="0"/>
        <w:spacing w:line="480" w:lineRule="exact"/>
        <w:ind w:left="239" w:leftChars="114" w:firstLine="931" w:firstLineChars="38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项目名称：                         </w:t>
      </w:r>
      <w:r>
        <w:rPr>
          <w:rFonts w:hint="eastAsia" w:ascii="仿宋" w:hAnsi="仿宋" w:eastAsia="仿宋" w:cs="仿宋"/>
          <w:color w:val="auto"/>
          <w:sz w:val="24"/>
          <w:szCs w:val="24"/>
          <w:highlight w:val="none"/>
        </w:rPr>
        <w:t xml:space="preserve">                                                          </w:t>
      </w:r>
    </w:p>
    <w:tbl>
      <w:tblPr>
        <w:tblStyle w:val="19"/>
        <w:tblW w:w="920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1815"/>
        <w:gridCol w:w="1920"/>
        <w:gridCol w:w="2070"/>
        <w:gridCol w:w="1335"/>
        <w:gridCol w:w="1485"/>
      </w:tblGrid>
      <w:tr w14:paraId="4391C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578" w:type="dxa"/>
            <w:noWrap w:val="0"/>
            <w:vAlign w:val="center"/>
          </w:tcPr>
          <w:p w14:paraId="34751EEB">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815" w:type="dxa"/>
            <w:noWrap w:val="0"/>
            <w:vAlign w:val="center"/>
          </w:tcPr>
          <w:p w14:paraId="452B01E8">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1920" w:type="dxa"/>
            <w:noWrap w:val="0"/>
            <w:vAlign w:val="center"/>
          </w:tcPr>
          <w:p w14:paraId="3B33BB14">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项目简介</w:t>
            </w:r>
          </w:p>
        </w:tc>
        <w:tc>
          <w:tcPr>
            <w:tcW w:w="2070" w:type="dxa"/>
            <w:noWrap w:val="0"/>
            <w:vAlign w:val="center"/>
          </w:tcPr>
          <w:p w14:paraId="31C2E599">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合同金额（元）</w:t>
            </w:r>
          </w:p>
        </w:tc>
        <w:tc>
          <w:tcPr>
            <w:tcW w:w="1335" w:type="dxa"/>
            <w:noWrap w:val="0"/>
            <w:vAlign w:val="center"/>
          </w:tcPr>
          <w:p w14:paraId="40485DB0">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目前状态</w:t>
            </w:r>
          </w:p>
        </w:tc>
        <w:tc>
          <w:tcPr>
            <w:tcW w:w="1485" w:type="dxa"/>
            <w:noWrap w:val="0"/>
            <w:vAlign w:val="center"/>
          </w:tcPr>
          <w:p w14:paraId="01C2ECDC">
            <w:pPr>
              <w:pStyle w:val="26"/>
              <w:keepLines w:val="0"/>
              <w:pageBreakBefore w:val="0"/>
              <w:shd w:val="clear" w:color="auto" w:fill="auto"/>
              <w:wordWrap/>
              <w:topLinePunct w:val="0"/>
              <w:bidi w:val="0"/>
              <w:spacing w:line="48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项目时间</w:t>
            </w:r>
          </w:p>
        </w:tc>
      </w:tr>
      <w:tr w14:paraId="56C3A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20F9990B">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2ECF8067">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178EE955">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11363B0D">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0BF2C661">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3F4C3469">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72346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2005DEA8">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1BAEBA90">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3B3A6FE7">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7B514DE9">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4AC2E06D">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59E47EE7">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61391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3E869C98">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2395B4DE">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3640F498">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0CAF6EEA">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044F70CE">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54DB09E3">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088AF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38E2ACFF">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58ED49DF">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5E6DEE6F">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1857F3C6">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207342BC">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27A84F71">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2BCFB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291D5E10">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50D1E2CE">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6ABA575B">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4565AF85">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090F8458">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62335FC1">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3A55F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68A75B5C">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24F736D7">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178720B0">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47BBA482">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2CB4F8F6">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5B9E0B29">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4F167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78" w:type="dxa"/>
            <w:noWrap w:val="0"/>
            <w:vAlign w:val="top"/>
          </w:tcPr>
          <w:p w14:paraId="5DFBF052">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138F54A0">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5E936146">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177FCE3D">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4D58FB51">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76A197B2">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r w14:paraId="54B5C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578" w:type="dxa"/>
            <w:noWrap w:val="0"/>
            <w:vAlign w:val="top"/>
          </w:tcPr>
          <w:p w14:paraId="69BF51D4">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815" w:type="dxa"/>
            <w:noWrap w:val="0"/>
            <w:vAlign w:val="top"/>
          </w:tcPr>
          <w:p w14:paraId="0CC3AD69">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920" w:type="dxa"/>
            <w:noWrap w:val="0"/>
            <w:vAlign w:val="top"/>
          </w:tcPr>
          <w:p w14:paraId="3707B6AC">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2070" w:type="dxa"/>
            <w:noWrap w:val="0"/>
            <w:vAlign w:val="top"/>
          </w:tcPr>
          <w:p w14:paraId="12A22FF2">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335" w:type="dxa"/>
            <w:noWrap w:val="0"/>
            <w:vAlign w:val="top"/>
          </w:tcPr>
          <w:p w14:paraId="6848286B">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c>
          <w:tcPr>
            <w:tcW w:w="1485" w:type="dxa"/>
            <w:noWrap w:val="0"/>
            <w:vAlign w:val="top"/>
          </w:tcPr>
          <w:p w14:paraId="5E90E2C2">
            <w:pPr>
              <w:pStyle w:val="26"/>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tc>
      </w:tr>
    </w:tbl>
    <w:p w14:paraId="605FB091">
      <w:pPr>
        <w:pStyle w:val="10"/>
        <w:keepLines w:val="0"/>
        <w:pageBreakBefore w:val="0"/>
        <w:shd w:val="clear" w:color="auto" w:fill="auto"/>
        <w:wordWrap/>
        <w:topLinePunct w:val="0"/>
        <w:bidi w:val="0"/>
        <w:spacing w:line="48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val="0"/>
          <w:bCs w:val="0"/>
          <w:color w:val="auto"/>
          <w:sz w:val="24"/>
          <w:szCs w:val="24"/>
          <w:highlight w:val="none"/>
        </w:rPr>
        <w:t xml:space="preserve"> 注：</w:t>
      </w:r>
      <w:r>
        <w:rPr>
          <w:rFonts w:hint="eastAsia" w:ascii="仿宋" w:hAnsi="仿宋" w:eastAsia="仿宋" w:cs="仿宋"/>
          <w:b w:val="0"/>
          <w:bCs w:val="0"/>
          <w:color w:val="auto"/>
          <w:sz w:val="24"/>
          <w:szCs w:val="24"/>
          <w:highlight w:val="none"/>
          <w:lang w:val="en-US" w:eastAsia="zh-CN"/>
        </w:rPr>
        <w:t>供应商企业近三年(2022年3月-至今)(须提供中标（成交）通知书和合同协议书等业绩证明材料复印件)。</w:t>
      </w:r>
    </w:p>
    <w:p w14:paraId="0E2FE456">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2D4C3E07">
      <w:pPr>
        <w:keepLines w:val="0"/>
        <w:pageBreakBefore w:val="0"/>
        <w:shd w:val="clear" w:color="auto" w:fill="auto"/>
        <w:wordWrap/>
        <w:topLinePunct w:val="0"/>
        <w:bidi w:val="0"/>
        <w:spacing w:line="480" w:lineRule="exact"/>
        <w:ind w:firstLine="5760" w:firstLineChars="24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供应商名称（盖章）：                            </w:t>
      </w:r>
    </w:p>
    <w:p w14:paraId="32922CE4">
      <w:pPr>
        <w:keepLines w:val="0"/>
        <w:pageBreakBefore w:val="0"/>
        <w:shd w:val="clear" w:color="auto" w:fill="auto"/>
        <w:wordWrap/>
        <w:topLinePunct w:val="0"/>
        <w:bidi w:val="0"/>
        <w:snapToGrid w:val="0"/>
        <w:spacing w:before="50" w:after="50" w:line="480" w:lineRule="exact"/>
        <w:ind w:left="6335" w:leftChars="331" w:right="-817" w:rightChars="-389" w:hanging="5640" w:hangingChars="235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p>
    <w:p w14:paraId="49D4E71D">
      <w:pPr>
        <w:keepLines w:val="0"/>
        <w:pageBreakBefore w:val="0"/>
        <w:shd w:val="clear" w:color="auto" w:fill="auto"/>
        <w:wordWrap/>
        <w:topLinePunct w:val="0"/>
        <w:bidi w:val="0"/>
        <w:spacing w:line="480" w:lineRule="exact"/>
        <w:ind w:firstLine="482" w:firstLineChars="200"/>
        <w:rPr>
          <w:rFonts w:hint="eastAsia" w:ascii="仿宋" w:hAnsi="仿宋" w:eastAsia="仿宋" w:cs="仿宋"/>
          <w:b/>
          <w:color w:val="auto"/>
          <w:kern w:val="0"/>
          <w:sz w:val="24"/>
          <w:szCs w:val="24"/>
          <w:highlight w:val="none"/>
        </w:rPr>
      </w:pPr>
    </w:p>
    <w:p w14:paraId="3AE0F175">
      <w:pPr>
        <w:keepLines w:val="0"/>
        <w:pageBreakBefore w:val="0"/>
        <w:shd w:val="clear" w:color="auto" w:fill="auto"/>
        <w:wordWrap/>
        <w:topLinePunct w:val="0"/>
        <w:bidi w:val="0"/>
        <w:spacing w:line="480" w:lineRule="exact"/>
        <w:ind w:firstLine="482" w:firstLineChars="200"/>
        <w:rPr>
          <w:rFonts w:hint="eastAsia" w:ascii="仿宋" w:hAnsi="仿宋" w:eastAsia="仿宋" w:cs="仿宋"/>
          <w:b/>
          <w:color w:val="auto"/>
          <w:kern w:val="0"/>
          <w:sz w:val="24"/>
          <w:szCs w:val="24"/>
          <w:highlight w:val="none"/>
        </w:rPr>
      </w:pPr>
    </w:p>
    <w:p w14:paraId="5D6866E3">
      <w:pPr>
        <w:keepLines w:val="0"/>
        <w:pageBreakBefore w:val="0"/>
        <w:shd w:val="clear" w:color="auto" w:fill="auto"/>
        <w:wordWrap/>
        <w:topLinePunct w:val="0"/>
        <w:bidi w:val="0"/>
        <w:spacing w:line="480" w:lineRule="exact"/>
        <w:ind w:firstLine="482" w:firstLineChars="200"/>
        <w:rPr>
          <w:rFonts w:hint="eastAsia" w:ascii="仿宋" w:hAnsi="仿宋" w:eastAsia="仿宋" w:cs="仿宋"/>
          <w:b/>
          <w:color w:val="auto"/>
          <w:kern w:val="0"/>
          <w:sz w:val="24"/>
          <w:szCs w:val="24"/>
          <w:highlight w:val="none"/>
        </w:rPr>
      </w:pPr>
    </w:p>
    <w:p w14:paraId="2481B36B">
      <w:pPr>
        <w:keepLines w:val="0"/>
        <w:pageBreakBefore w:val="0"/>
        <w:shd w:val="clear" w:color="auto" w:fill="auto"/>
        <w:wordWrap/>
        <w:topLinePunct w:val="0"/>
        <w:bidi w:val="0"/>
        <w:spacing w:line="480" w:lineRule="exact"/>
        <w:ind w:firstLine="482" w:firstLineChars="200"/>
        <w:rPr>
          <w:rFonts w:hint="eastAsia" w:ascii="仿宋" w:hAnsi="仿宋" w:eastAsia="仿宋" w:cs="仿宋"/>
          <w:b/>
          <w:color w:val="auto"/>
          <w:kern w:val="0"/>
          <w:sz w:val="24"/>
          <w:szCs w:val="24"/>
          <w:highlight w:val="none"/>
        </w:rPr>
      </w:pPr>
    </w:p>
    <w:p w14:paraId="0EF6C92F">
      <w:pPr>
        <w:keepLines w:val="0"/>
        <w:pageBreakBefore w:val="0"/>
        <w:shd w:val="clear" w:color="auto" w:fill="auto"/>
        <w:wordWrap/>
        <w:topLinePunct w:val="0"/>
        <w:bidi w:val="0"/>
        <w:spacing w:line="480" w:lineRule="exact"/>
        <w:ind w:firstLine="482" w:firstLineChars="200"/>
        <w:rPr>
          <w:rFonts w:hint="eastAsia" w:ascii="仿宋" w:hAnsi="仿宋" w:eastAsia="仿宋" w:cs="仿宋"/>
          <w:b/>
          <w:color w:val="auto"/>
          <w:kern w:val="0"/>
          <w:sz w:val="24"/>
          <w:szCs w:val="24"/>
          <w:highlight w:val="none"/>
        </w:rPr>
      </w:pPr>
    </w:p>
    <w:p w14:paraId="055FAD5A">
      <w:pPr>
        <w:pStyle w:val="26"/>
        <w:keepLines w:val="0"/>
        <w:pageBreakBefore w:val="0"/>
        <w:shd w:val="clear" w:color="auto" w:fill="auto"/>
        <w:wordWrap/>
        <w:topLinePunct w:val="0"/>
        <w:bidi w:val="0"/>
        <w:spacing w:line="480" w:lineRule="exact"/>
        <w:rPr>
          <w:rFonts w:hint="eastAsia" w:ascii="仿宋" w:hAnsi="仿宋" w:eastAsia="仿宋" w:cs="仿宋"/>
          <w:bCs/>
          <w:color w:val="auto"/>
          <w:sz w:val="24"/>
          <w:szCs w:val="24"/>
          <w:highlight w:val="none"/>
        </w:rPr>
      </w:pPr>
    </w:p>
    <w:p w14:paraId="5F87A803">
      <w:pPr>
        <w:pStyle w:val="26"/>
        <w:keepLines w:val="0"/>
        <w:pageBreakBefore w:val="0"/>
        <w:shd w:val="clear" w:color="auto" w:fill="auto"/>
        <w:wordWrap/>
        <w:topLinePunct w:val="0"/>
        <w:bidi w:val="0"/>
        <w:spacing w:line="480" w:lineRule="exact"/>
        <w:rPr>
          <w:rFonts w:hint="eastAsia" w:ascii="仿宋" w:hAnsi="仿宋" w:eastAsia="仿宋" w:cs="仿宋"/>
          <w:bCs/>
          <w:color w:val="auto"/>
          <w:sz w:val="24"/>
          <w:szCs w:val="24"/>
          <w:highlight w:val="none"/>
        </w:rPr>
      </w:pPr>
    </w:p>
    <w:p w14:paraId="3F0724A0">
      <w:pPr>
        <w:pStyle w:val="26"/>
        <w:keepLines w:val="0"/>
        <w:pageBreakBefore w:val="0"/>
        <w:shd w:val="clear" w:color="auto" w:fill="auto"/>
        <w:wordWrap/>
        <w:topLinePunct w:val="0"/>
        <w:bidi w:val="0"/>
        <w:spacing w:line="480" w:lineRule="exact"/>
        <w:rPr>
          <w:rFonts w:hint="eastAsia" w:ascii="仿宋" w:hAnsi="仿宋" w:eastAsia="仿宋" w:cs="仿宋"/>
          <w:bCs/>
          <w:color w:val="auto"/>
          <w:sz w:val="24"/>
          <w:szCs w:val="24"/>
          <w:highlight w:val="none"/>
        </w:rPr>
      </w:pPr>
    </w:p>
    <w:p w14:paraId="14B09C5B">
      <w:pPr>
        <w:pStyle w:val="26"/>
        <w:keepLines w:val="0"/>
        <w:pageBreakBefore w:val="0"/>
        <w:shd w:val="clear" w:color="auto" w:fill="auto"/>
        <w:wordWrap/>
        <w:topLinePunct w:val="0"/>
        <w:bidi w:val="0"/>
        <w:spacing w:line="480" w:lineRule="exact"/>
        <w:rPr>
          <w:rFonts w:hint="eastAsia" w:ascii="仿宋" w:hAnsi="仿宋" w:eastAsia="仿宋" w:cs="仿宋"/>
          <w:bCs/>
          <w:color w:val="auto"/>
          <w:sz w:val="24"/>
          <w:szCs w:val="24"/>
          <w:highlight w:val="none"/>
        </w:rPr>
      </w:pPr>
    </w:p>
    <w:p w14:paraId="679E15D5">
      <w:pPr>
        <w:pStyle w:val="30"/>
        <w:keepLines w:val="0"/>
        <w:pageBreakBefore w:val="0"/>
        <w:numPr>
          <w:ilvl w:val="0"/>
          <w:numId w:val="0"/>
        </w:numPr>
        <w:shd w:val="clear" w:color="auto" w:fill="auto"/>
        <w:wordWrap/>
        <w:topLinePunct w:val="0"/>
        <w:bidi w:val="0"/>
        <w:spacing w:line="480" w:lineRule="exact"/>
        <w:jc w:val="both"/>
        <w:outlineLvl w:val="0"/>
        <w:rPr>
          <w:rFonts w:hint="eastAsia" w:ascii="仿宋" w:hAnsi="仿宋" w:eastAsia="仿宋" w:cs="仿宋"/>
          <w:b/>
          <w:bCs w:val="0"/>
          <w:color w:val="auto"/>
          <w:sz w:val="24"/>
          <w:szCs w:val="24"/>
          <w:highlight w:val="none"/>
        </w:rPr>
      </w:pPr>
      <w:bookmarkStart w:id="1395" w:name="_Toc18551"/>
      <w:bookmarkStart w:id="1396" w:name="_Toc9396"/>
      <w:r>
        <w:rPr>
          <w:rFonts w:hint="eastAsia" w:ascii="仿宋" w:hAnsi="仿宋" w:eastAsia="仿宋" w:cs="仿宋"/>
          <w:b/>
          <w:color w:val="auto"/>
          <w:sz w:val="24"/>
          <w:szCs w:val="24"/>
          <w:highlight w:val="none"/>
          <w:lang w:val="en-US" w:eastAsia="zh-CN"/>
        </w:rPr>
        <w:t>2</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技术</w:t>
      </w:r>
      <w:r>
        <w:rPr>
          <w:rFonts w:hint="eastAsia" w:ascii="仿宋" w:hAnsi="仿宋" w:eastAsia="仿宋" w:cs="仿宋"/>
          <w:b/>
          <w:bCs w:val="0"/>
          <w:color w:val="auto"/>
          <w:sz w:val="24"/>
          <w:szCs w:val="24"/>
          <w:highlight w:val="none"/>
          <w:lang w:val="en-US" w:eastAsia="zh-CN"/>
        </w:rPr>
        <w:t>服务</w:t>
      </w:r>
      <w:r>
        <w:rPr>
          <w:rFonts w:hint="eastAsia" w:ascii="仿宋" w:hAnsi="仿宋" w:eastAsia="仿宋" w:cs="仿宋"/>
          <w:b/>
          <w:bCs w:val="0"/>
          <w:color w:val="auto"/>
          <w:sz w:val="24"/>
          <w:szCs w:val="24"/>
          <w:highlight w:val="none"/>
        </w:rPr>
        <w:t>方案及保障措施</w:t>
      </w:r>
      <w:bookmarkEnd w:id="1395"/>
      <w:bookmarkEnd w:id="1396"/>
    </w:p>
    <w:p w14:paraId="26A96AAE">
      <w:pPr>
        <w:keepLines w:val="0"/>
        <w:pageBreakBefore w:val="0"/>
        <w:shd w:val="clear" w:color="auto" w:fill="auto"/>
        <w:wordWrap/>
        <w:topLinePunct w:val="0"/>
        <w:bidi w:val="0"/>
        <w:spacing w:before="120" w:beforeLines="50" w:line="48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根据自身情况在</w:t>
      </w:r>
      <w:r>
        <w:rPr>
          <w:rFonts w:hint="eastAsia" w:ascii="仿宋" w:hAnsi="仿宋" w:eastAsia="仿宋" w:cs="仿宋"/>
          <w:color w:val="auto"/>
          <w:kern w:val="0"/>
          <w:sz w:val="24"/>
          <w:szCs w:val="24"/>
          <w:highlight w:val="none"/>
          <w:lang w:val="en-US" w:eastAsia="zh-CN"/>
        </w:rPr>
        <w:t>响应</w:t>
      </w:r>
      <w:r>
        <w:rPr>
          <w:rFonts w:hint="eastAsia" w:ascii="仿宋" w:hAnsi="仿宋" w:eastAsia="仿宋" w:cs="仿宋"/>
          <w:color w:val="auto"/>
          <w:kern w:val="0"/>
          <w:sz w:val="24"/>
          <w:szCs w:val="24"/>
          <w:highlight w:val="none"/>
        </w:rPr>
        <w:t>文件中提供针对本项目的</w:t>
      </w:r>
      <w:r>
        <w:rPr>
          <w:rFonts w:hint="eastAsia" w:ascii="仿宋" w:hAnsi="仿宋" w:eastAsia="仿宋" w:cs="仿宋"/>
          <w:color w:val="auto"/>
          <w:kern w:val="0"/>
          <w:sz w:val="24"/>
          <w:szCs w:val="24"/>
          <w:highlight w:val="none"/>
          <w:lang w:val="en-US" w:eastAsia="zh-CN"/>
        </w:rPr>
        <w:t>实施</w:t>
      </w:r>
      <w:r>
        <w:rPr>
          <w:rFonts w:hint="eastAsia" w:ascii="仿宋" w:hAnsi="仿宋" w:eastAsia="仿宋" w:cs="仿宋"/>
          <w:color w:val="auto"/>
          <w:kern w:val="0"/>
          <w:sz w:val="24"/>
          <w:szCs w:val="24"/>
          <w:highlight w:val="none"/>
        </w:rPr>
        <w:t>方案。</w:t>
      </w:r>
      <w:r>
        <w:rPr>
          <w:rFonts w:hint="eastAsia" w:ascii="仿宋" w:hAnsi="仿宋" w:eastAsia="仿宋" w:cs="仿宋"/>
          <w:color w:val="auto"/>
          <w:kern w:val="0"/>
          <w:sz w:val="24"/>
          <w:szCs w:val="24"/>
          <w:highlight w:val="none"/>
          <w:lang w:val="en-US" w:eastAsia="zh-CN"/>
        </w:rPr>
        <w:t>实施</w:t>
      </w:r>
      <w:r>
        <w:rPr>
          <w:rFonts w:hint="eastAsia" w:ascii="仿宋" w:hAnsi="仿宋" w:eastAsia="仿宋" w:cs="仿宋"/>
          <w:color w:val="auto"/>
          <w:kern w:val="0"/>
          <w:sz w:val="24"/>
          <w:szCs w:val="24"/>
          <w:highlight w:val="none"/>
        </w:rPr>
        <w:t>方案应包括但不限于以下内容：</w:t>
      </w:r>
    </w:p>
    <w:p w14:paraId="31E8409C">
      <w:pPr>
        <w:keepLines w:val="0"/>
        <w:pageBreakBefore w:val="0"/>
        <w:shd w:val="clear" w:color="auto" w:fill="auto"/>
        <w:wordWrap/>
        <w:topLinePunct w:val="0"/>
        <w:bidi w:val="0"/>
        <w:spacing w:before="120" w:beforeLines="50" w:line="480" w:lineRule="exact"/>
        <w:ind w:firstLine="480" w:firstLineChars="200"/>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lang w:val="en-US" w:eastAsia="zh-CN"/>
        </w:rPr>
        <w:t>施工方案</w:t>
      </w:r>
    </w:p>
    <w:p w14:paraId="0BCE8516">
      <w:pPr>
        <w:keepLines w:val="0"/>
        <w:pageBreakBefore w:val="0"/>
        <w:shd w:val="clear" w:color="auto" w:fill="auto"/>
        <w:wordWrap/>
        <w:topLinePunct w:val="0"/>
        <w:bidi w:val="0"/>
        <w:spacing w:before="120" w:beforeLines="50" w:line="48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color w:val="auto"/>
          <w:sz w:val="24"/>
          <w:szCs w:val="24"/>
          <w:highlight w:val="none"/>
        </w:rPr>
        <w:t>质量及安全保证措施</w:t>
      </w:r>
    </w:p>
    <w:p w14:paraId="2AA30A9C">
      <w:pPr>
        <w:keepLines w:val="0"/>
        <w:pageBreakBefore w:val="0"/>
        <w:shd w:val="clear" w:color="auto" w:fill="auto"/>
        <w:wordWrap/>
        <w:topLinePunct w:val="0"/>
        <w:bidi w:val="0"/>
        <w:spacing w:before="120" w:beforeLines="50" w:line="48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color w:val="auto"/>
          <w:sz w:val="24"/>
          <w:szCs w:val="24"/>
          <w:highlight w:val="none"/>
          <w:lang w:eastAsia="zh-CN"/>
        </w:rPr>
        <w:t>环境保护管理体系与措施</w:t>
      </w:r>
    </w:p>
    <w:p w14:paraId="22852DC7">
      <w:pPr>
        <w:keepLines w:val="0"/>
        <w:pageBreakBefore w:val="0"/>
        <w:shd w:val="clear" w:color="auto" w:fill="auto"/>
        <w:wordWrap/>
        <w:topLinePunct w:val="0"/>
        <w:bidi w:val="0"/>
        <w:spacing w:before="120" w:beforeLines="50" w:line="48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r>
        <w:rPr>
          <w:rFonts w:hint="eastAsia" w:ascii="仿宋" w:hAnsi="仿宋" w:eastAsia="仿宋" w:cs="仿宋"/>
          <w:color w:val="auto"/>
          <w:sz w:val="24"/>
          <w:szCs w:val="24"/>
          <w:highlight w:val="none"/>
        </w:rPr>
        <w:t>工程进度计划与措施</w:t>
      </w:r>
    </w:p>
    <w:p w14:paraId="601300EE">
      <w:pPr>
        <w:keepLines w:val="0"/>
        <w:pageBreakBefore w:val="0"/>
        <w:shd w:val="clear" w:color="auto" w:fill="auto"/>
        <w:wordWrap/>
        <w:topLinePunct w:val="0"/>
        <w:bidi w:val="0"/>
        <w:spacing w:before="120" w:beforeLines="50" w:line="480" w:lineRule="exact"/>
        <w:ind w:firstLine="480" w:firstLineChars="200"/>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5、</w:t>
      </w:r>
      <w:r>
        <w:rPr>
          <w:rFonts w:hint="eastAsia" w:ascii="仿宋" w:hAnsi="仿宋" w:eastAsia="仿宋" w:cs="仿宋"/>
          <w:color w:val="auto"/>
          <w:sz w:val="24"/>
          <w:szCs w:val="24"/>
          <w:highlight w:val="none"/>
        </w:rPr>
        <w:t>资源配备计划</w:t>
      </w:r>
    </w:p>
    <w:p w14:paraId="38FDB055">
      <w:pPr>
        <w:keepLines w:val="0"/>
        <w:pageBreakBefore w:val="0"/>
        <w:shd w:val="clear" w:color="auto" w:fill="auto"/>
        <w:wordWrap/>
        <w:topLinePunct w:val="0"/>
        <w:bidi w:val="0"/>
        <w:spacing w:before="120" w:beforeLines="50" w:line="48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w:t>
      </w:r>
      <w:r>
        <w:rPr>
          <w:rFonts w:hint="eastAsia" w:ascii="仿宋" w:hAnsi="仿宋" w:eastAsia="仿宋" w:cs="仿宋"/>
          <w:color w:val="auto"/>
          <w:sz w:val="24"/>
          <w:szCs w:val="24"/>
          <w:highlight w:val="none"/>
          <w:lang w:eastAsia="zh-CN"/>
        </w:rPr>
        <w:t>工作重点、难点分析及合理化建议</w:t>
      </w:r>
    </w:p>
    <w:p w14:paraId="2343DEBE">
      <w:pPr>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b/>
          <w:color w:val="auto"/>
          <w:sz w:val="24"/>
          <w:szCs w:val="24"/>
          <w:highlight w:val="none"/>
          <w:lang w:val="en-US" w:eastAsia="zh-CN"/>
        </w:rPr>
      </w:pPr>
    </w:p>
    <w:p w14:paraId="1A97309A">
      <w:pPr>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b/>
          <w:color w:val="auto"/>
          <w:sz w:val="24"/>
          <w:szCs w:val="24"/>
          <w:highlight w:val="none"/>
          <w:lang w:val="en-US" w:eastAsia="zh-CN"/>
        </w:rPr>
      </w:pPr>
    </w:p>
    <w:p w14:paraId="55B11431">
      <w:pPr>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b/>
          <w:color w:val="auto"/>
          <w:sz w:val="24"/>
          <w:szCs w:val="24"/>
          <w:highlight w:val="none"/>
          <w:lang w:val="en-US" w:eastAsia="zh-CN"/>
        </w:rPr>
      </w:pPr>
    </w:p>
    <w:p w14:paraId="6EC1E89B">
      <w:pPr>
        <w:pStyle w:val="15"/>
        <w:pageBreakBefore w:val="0"/>
        <w:wordWrap/>
        <w:topLinePunct w:val="0"/>
        <w:bidi w:val="0"/>
        <w:spacing w:line="480" w:lineRule="exact"/>
        <w:rPr>
          <w:rFonts w:hint="eastAsia" w:ascii="仿宋" w:hAnsi="仿宋" w:eastAsia="仿宋" w:cs="仿宋"/>
          <w:b/>
          <w:color w:val="auto"/>
          <w:sz w:val="24"/>
          <w:szCs w:val="24"/>
          <w:highlight w:val="none"/>
          <w:lang w:val="en-US" w:eastAsia="zh-CN"/>
        </w:rPr>
      </w:pPr>
    </w:p>
    <w:p w14:paraId="35350121">
      <w:pPr>
        <w:keepLines w:val="0"/>
        <w:pageBreakBefore w:val="0"/>
        <w:shd w:val="clear" w:color="auto" w:fill="auto"/>
        <w:wordWrap/>
        <w:topLinePunct w:val="0"/>
        <w:bidi w:val="0"/>
        <w:spacing w:line="480" w:lineRule="exact"/>
        <w:ind w:left="0" w:leftChars="0" w:firstLine="0" w:firstLineChars="0"/>
        <w:outlineLvl w:val="0"/>
        <w:rPr>
          <w:rFonts w:hint="eastAsia" w:ascii="仿宋" w:hAnsi="仿宋" w:eastAsia="仿宋" w:cs="仿宋"/>
          <w:b w:val="0"/>
          <w:bCs/>
          <w:color w:val="auto"/>
          <w:sz w:val="24"/>
          <w:szCs w:val="24"/>
          <w:highlight w:val="none"/>
          <w:lang w:val="en-US" w:eastAsia="zh-CN"/>
        </w:rPr>
      </w:pPr>
      <w:bookmarkStart w:id="1397" w:name="_Toc14539"/>
      <w:bookmarkStart w:id="1398" w:name="_Toc12451"/>
      <w:r>
        <w:rPr>
          <w:rFonts w:hint="eastAsia" w:ascii="仿宋" w:hAnsi="仿宋" w:eastAsia="仿宋" w:cs="仿宋"/>
          <w:b/>
          <w:color w:val="auto"/>
          <w:sz w:val="24"/>
          <w:szCs w:val="24"/>
          <w:highlight w:val="none"/>
          <w:lang w:val="en-US" w:eastAsia="zh-CN"/>
        </w:rPr>
        <w:t>3、其他服务承诺</w:t>
      </w:r>
      <w:bookmarkEnd w:id="1397"/>
      <w:bookmarkEnd w:id="1398"/>
    </w:p>
    <w:p w14:paraId="051D9685">
      <w:pPr>
        <w:pStyle w:val="7"/>
        <w:keepLines w:val="0"/>
        <w:pageBreakBefore w:val="0"/>
        <w:shd w:val="clear" w:color="auto" w:fill="auto"/>
        <w:wordWrap/>
        <w:topLinePunct w:val="0"/>
        <w:bidi w:val="0"/>
        <w:spacing w:line="480" w:lineRule="exact"/>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（格式自拟）</w:t>
      </w:r>
    </w:p>
    <w:p w14:paraId="0FB231C9">
      <w:pPr>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b/>
          <w:color w:val="auto"/>
          <w:sz w:val="24"/>
          <w:szCs w:val="24"/>
          <w:highlight w:val="none"/>
          <w:lang w:val="en-US" w:eastAsia="zh-CN"/>
        </w:rPr>
      </w:pPr>
    </w:p>
    <w:p w14:paraId="51FA0565">
      <w:pPr>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b/>
          <w:color w:val="auto"/>
          <w:sz w:val="24"/>
          <w:szCs w:val="24"/>
          <w:highlight w:val="none"/>
          <w:lang w:val="en-US" w:eastAsia="zh-CN"/>
        </w:rPr>
      </w:pPr>
    </w:p>
    <w:p w14:paraId="67507C94">
      <w:pPr>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b/>
          <w:color w:val="auto"/>
          <w:sz w:val="24"/>
          <w:szCs w:val="24"/>
          <w:highlight w:val="none"/>
          <w:lang w:val="en-US" w:eastAsia="zh-CN"/>
        </w:rPr>
      </w:pPr>
    </w:p>
    <w:p w14:paraId="026DBD90">
      <w:pPr>
        <w:keepLines w:val="0"/>
        <w:pageBreakBefore w:val="0"/>
        <w:shd w:val="clear" w:color="auto" w:fill="auto"/>
        <w:wordWrap/>
        <w:topLinePunct w:val="0"/>
        <w:bidi w:val="0"/>
        <w:spacing w:line="480" w:lineRule="exact"/>
        <w:ind w:left="0" w:leftChars="0" w:firstLine="0" w:firstLineChars="0"/>
        <w:outlineLvl w:val="0"/>
        <w:rPr>
          <w:rFonts w:hint="eastAsia" w:ascii="仿宋" w:hAnsi="仿宋" w:eastAsia="仿宋" w:cs="仿宋"/>
          <w:b/>
          <w:color w:val="auto"/>
          <w:sz w:val="24"/>
          <w:szCs w:val="24"/>
          <w:highlight w:val="none"/>
          <w:lang w:val="en-US" w:eastAsia="zh-CN"/>
        </w:rPr>
      </w:pPr>
      <w:bookmarkStart w:id="1399" w:name="_Toc19745"/>
      <w:bookmarkStart w:id="1400" w:name="_Toc770"/>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lang w:eastAsia="zh-CN"/>
        </w:rPr>
        <w:t>供应商</w:t>
      </w:r>
      <w:r>
        <w:rPr>
          <w:rFonts w:hint="eastAsia" w:ascii="仿宋" w:hAnsi="仿宋" w:eastAsia="仿宋" w:cs="仿宋"/>
          <w:b/>
          <w:color w:val="auto"/>
          <w:sz w:val="24"/>
          <w:szCs w:val="24"/>
          <w:highlight w:val="none"/>
        </w:rPr>
        <w:t>认为</w:t>
      </w:r>
      <w:r>
        <w:rPr>
          <w:rFonts w:hint="eastAsia" w:ascii="仿宋" w:hAnsi="仿宋" w:eastAsia="仿宋" w:cs="仿宋"/>
          <w:b/>
          <w:color w:val="auto"/>
          <w:sz w:val="24"/>
          <w:szCs w:val="24"/>
          <w:highlight w:val="none"/>
          <w:lang w:val="en-US" w:eastAsia="zh-CN"/>
        </w:rPr>
        <w:t>需要提供的其他材料</w:t>
      </w:r>
      <w:bookmarkEnd w:id="1399"/>
      <w:bookmarkEnd w:id="1400"/>
    </w:p>
    <w:p w14:paraId="27BE7188">
      <w:pPr>
        <w:pStyle w:val="7"/>
        <w:keepLines w:val="0"/>
        <w:pageBreakBefore w:val="0"/>
        <w:shd w:val="clear" w:color="auto" w:fill="auto"/>
        <w:wordWrap/>
        <w:topLinePunct w:val="0"/>
        <w:bidi w:val="0"/>
        <w:spacing w:line="480" w:lineRule="exact"/>
        <w:outlineLvl w:val="0"/>
        <w:rPr>
          <w:rFonts w:hint="eastAsia" w:ascii="仿宋" w:hAnsi="仿宋" w:eastAsia="仿宋" w:cs="仿宋"/>
          <w:color w:val="auto"/>
          <w:sz w:val="24"/>
          <w:szCs w:val="24"/>
          <w:highlight w:val="none"/>
        </w:rPr>
      </w:pPr>
      <w:bookmarkStart w:id="1401" w:name="_Toc12275"/>
      <w:r>
        <w:rPr>
          <w:rFonts w:hint="eastAsia" w:ascii="仿宋" w:hAnsi="仿宋" w:eastAsia="仿宋" w:cs="仿宋"/>
          <w:b w:val="0"/>
          <w:bCs/>
          <w:color w:val="auto"/>
          <w:sz w:val="24"/>
          <w:szCs w:val="24"/>
          <w:highlight w:val="none"/>
          <w:lang w:val="en-US" w:eastAsia="zh-CN"/>
        </w:rPr>
        <w:t>（格式自拟）</w:t>
      </w:r>
      <w:bookmarkEnd w:id="1401"/>
    </w:p>
    <w:p w14:paraId="79E175C6">
      <w:pPr>
        <w:pStyle w:val="8"/>
        <w:keepLines w:val="0"/>
        <w:pageBreakBefore w:val="0"/>
        <w:shd w:val="clear" w:color="auto" w:fill="auto"/>
        <w:wordWrap/>
        <w:topLinePunct w:val="0"/>
        <w:bidi w:val="0"/>
        <w:spacing w:line="480" w:lineRule="exact"/>
        <w:ind w:left="0" w:leftChars="0" w:firstLine="0" w:firstLineChars="0"/>
        <w:rPr>
          <w:rFonts w:hint="eastAsia" w:ascii="仿宋" w:hAnsi="仿宋" w:eastAsia="仿宋" w:cs="仿宋"/>
          <w:color w:val="auto"/>
          <w:sz w:val="24"/>
          <w:szCs w:val="24"/>
          <w:highlight w:val="none"/>
        </w:rPr>
      </w:pPr>
    </w:p>
    <w:p w14:paraId="2882188C">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14CE0108">
      <w:pPr>
        <w:pStyle w:val="8"/>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5BD3B4D0">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16902D7F">
      <w:pPr>
        <w:pStyle w:val="8"/>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7A3BE4C7">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641E0557">
      <w:pPr>
        <w:pStyle w:val="10"/>
        <w:keepLines w:val="0"/>
        <w:pageBreakBefore w:val="0"/>
        <w:shd w:val="clear" w:color="auto" w:fill="auto"/>
        <w:wordWrap/>
        <w:topLinePunct w:val="0"/>
        <w:bidi w:val="0"/>
        <w:spacing w:line="480" w:lineRule="exact"/>
        <w:jc w:val="center"/>
        <w:outlineLvl w:val="0"/>
        <w:rPr>
          <w:rFonts w:hint="eastAsia" w:ascii="仿宋" w:hAnsi="仿宋" w:eastAsia="仿宋" w:cs="仿宋"/>
          <w:color w:val="auto"/>
          <w:sz w:val="24"/>
          <w:szCs w:val="24"/>
          <w:highlight w:val="none"/>
        </w:rPr>
      </w:pPr>
      <w:bookmarkStart w:id="1402" w:name="_Toc26934"/>
      <w:bookmarkStart w:id="1403" w:name="_Toc13070"/>
      <w:r>
        <w:rPr>
          <w:rFonts w:hint="eastAsia" w:ascii="仿宋" w:hAnsi="仿宋" w:eastAsia="仿宋" w:cs="仿宋"/>
          <w:b/>
          <w:bCs/>
          <w:color w:val="auto"/>
          <w:sz w:val="24"/>
          <w:szCs w:val="24"/>
          <w:highlight w:val="none"/>
        </w:rPr>
        <w:t>竞争性</w:t>
      </w:r>
      <w:r>
        <w:rPr>
          <w:rFonts w:hint="eastAsia" w:ascii="仿宋" w:hAnsi="仿宋" w:eastAsia="仿宋" w:cs="仿宋"/>
          <w:b/>
          <w:bCs/>
          <w:color w:val="auto"/>
          <w:sz w:val="24"/>
          <w:szCs w:val="24"/>
          <w:highlight w:val="none"/>
          <w:lang w:val="en-US" w:eastAsia="zh-CN"/>
        </w:rPr>
        <w:t>磋商</w:t>
      </w:r>
      <w:r>
        <w:rPr>
          <w:rFonts w:hint="eastAsia" w:ascii="仿宋" w:hAnsi="仿宋" w:eastAsia="仿宋" w:cs="仿宋"/>
          <w:b/>
          <w:bCs/>
          <w:color w:val="auto"/>
          <w:sz w:val="24"/>
          <w:szCs w:val="24"/>
          <w:highlight w:val="none"/>
        </w:rPr>
        <w:t>第</w:t>
      </w:r>
      <w:r>
        <w:rPr>
          <w:rFonts w:hint="eastAsia" w:ascii="仿宋" w:hAnsi="仿宋" w:eastAsia="仿宋" w:cs="仿宋"/>
          <w:b/>
          <w:bCs/>
          <w:color w:val="auto"/>
          <w:sz w:val="24"/>
          <w:szCs w:val="24"/>
          <w:highlight w:val="none"/>
          <w:u w:val="single"/>
          <w:lang w:val="en-US" w:eastAsia="zh-CN"/>
        </w:rPr>
        <w:t>（ ）</w:t>
      </w:r>
      <w:r>
        <w:rPr>
          <w:rFonts w:hint="eastAsia" w:ascii="仿宋" w:hAnsi="仿宋" w:eastAsia="仿宋" w:cs="仿宋"/>
          <w:b/>
          <w:bCs/>
          <w:color w:val="auto"/>
          <w:sz w:val="24"/>
          <w:szCs w:val="24"/>
          <w:highlight w:val="none"/>
          <w:lang w:val="en-US" w:eastAsia="zh-CN"/>
        </w:rPr>
        <w:t>轮</w:t>
      </w:r>
      <w:r>
        <w:rPr>
          <w:rFonts w:hint="eastAsia" w:ascii="仿宋" w:hAnsi="仿宋" w:eastAsia="仿宋" w:cs="仿宋"/>
          <w:b/>
          <w:bCs/>
          <w:color w:val="auto"/>
          <w:sz w:val="24"/>
          <w:szCs w:val="24"/>
          <w:highlight w:val="none"/>
        </w:rPr>
        <w:t>报价单（单独提供）</w:t>
      </w:r>
      <w:bookmarkEnd w:id="1402"/>
      <w:bookmarkEnd w:id="1403"/>
    </w:p>
    <w:p w14:paraId="63D470E8">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lang w:val="en-US" w:eastAsia="zh-CN"/>
        </w:rPr>
      </w:pPr>
    </w:p>
    <w:p w14:paraId="664E42CB">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u w:val="single"/>
          <w:lang w:val="en-US" w:eastAsia="zh-CN"/>
        </w:rPr>
      </w:pPr>
      <w:r>
        <w:rPr>
          <w:rFonts w:hint="eastAsia" w:ascii="仿宋" w:hAnsi="仿宋" w:eastAsia="仿宋" w:cs="仿宋"/>
          <w:b/>
          <w:bCs/>
          <w:color w:val="auto"/>
          <w:sz w:val="24"/>
          <w:szCs w:val="24"/>
          <w:highlight w:val="none"/>
          <w:u w:val="single"/>
          <w:lang w:val="en-US" w:eastAsia="zh-CN"/>
        </w:rPr>
        <w:t>昌吉市园林绿化管理中心：</w:t>
      </w:r>
    </w:p>
    <w:p w14:paraId="314D1806">
      <w:pPr>
        <w:pStyle w:val="10"/>
        <w:keepNext w:val="0"/>
        <w:keepLines w:val="0"/>
        <w:pageBreakBefore w:val="0"/>
        <w:widowControl w:val="0"/>
        <w:shd w:val="clear" w:color="auto" w:fill="auto"/>
        <w:kinsoku/>
        <w:wordWrap/>
        <w:overflowPunct/>
        <w:topLinePunct w:val="0"/>
        <w:autoSpaceDE/>
        <w:autoSpaceDN/>
        <w:bidi w:val="0"/>
        <w:adjustRightInd/>
        <w:snapToGrid/>
        <w:spacing w:line="4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val="en-US" w:eastAsia="zh-CN"/>
        </w:rPr>
        <w:t>竞争性磋商文件</w:t>
      </w:r>
      <w:r>
        <w:rPr>
          <w:rFonts w:hint="eastAsia" w:ascii="仿宋" w:hAnsi="仿宋" w:eastAsia="仿宋" w:cs="仿宋"/>
          <w:color w:val="auto"/>
          <w:sz w:val="24"/>
          <w:szCs w:val="24"/>
          <w:highlight w:val="none"/>
        </w:rPr>
        <w:t>上明确的各项要求，本人经请示公司领导同意并代表本公司对</w:t>
      </w:r>
      <w:r>
        <w:rPr>
          <w:rFonts w:hint="eastAsia" w:ascii="仿宋" w:hAnsi="仿宋" w:eastAsia="仿宋" w:cs="仿宋"/>
          <w:color w:val="auto"/>
          <w:sz w:val="24"/>
          <w:szCs w:val="24"/>
          <w:highlight w:val="none"/>
          <w:u w:val="single"/>
          <w:lang w:val="en-US" w:eastAsia="zh-CN"/>
        </w:rPr>
        <w:t xml:space="preserve">         2025年城区花卉景观布置工程</w:t>
      </w:r>
      <w:r>
        <w:rPr>
          <w:rFonts w:hint="eastAsia" w:ascii="仿宋" w:hAnsi="仿宋" w:eastAsia="仿宋" w:cs="仿宋"/>
          <w:color w:val="auto"/>
          <w:sz w:val="24"/>
          <w:szCs w:val="24"/>
          <w:highlight w:val="none"/>
        </w:rPr>
        <w:t>竞争性</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rPr>
        <w:t>做出最终报价（人民币）如下：</w:t>
      </w:r>
    </w:p>
    <w:p w14:paraId="67F0168C">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13F11DAE">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报价：  </w:t>
      </w:r>
      <w:r>
        <w:rPr>
          <w:rFonts w:hint="eastAsia" w:ascii="仿宋" w:hAnsi="仿宋" w:eastAsia="仿宋" w:cs="仿宋"/>
          <w:color w:val="auto"/>
          <w:sz w:val="24"/>
          <w:szCs w:val="24"/>
          <w:highlight w:val="none"/>
          <w:lang w:val="en-US" w:eastAsia="zh-CN"/>
        </w:rPr>
        <w:t xml:space="preserve">                    （小写）</w:t>
      </w:r>
      <w:r>
        <w:rPr>
          <w:rFonts w:hint="eastAsia" w:ascii="仿宋" w:hAnsi="仿宋" w:eastAsia="仿宋" w:cs="仿宋"/>
          <w:color w:val="auto"/>
          <w:sz w:val="24"/>
          <w:szCs w:val="24"/>
          <w:highlight w:val="none"/>
        </w:rPr>
        <w:t xml:space="preserve">     </w:t>
      </w:r>
    </w:p>
    <w:p w14:paraId="54B1077B">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（大写）</w:t>
      </w:r>
      <w:r>
        <w:rPr>
          <w:rFonts w:hint="eastAsia" w:ascii="仿宋" w:hAnsi="仿宋" w:eastAsia="仿宋" w:cs="仿宋"/>
          <w:color w:val="auto"/>
          <w:sz w:val="24"/>
          <w:szCs w:val="24"/>
          <w:highlight w:val="none"/>
        </w:rPr>
        <w:t xml:space="preserve">            </w:t>
      </w:r>
    </w:p>
    <w:p w14:paraId="03F7A758">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相关补充说明：</w:t>
      </w:r>
    </w:p>
    <w:p w14:paraId="3F823205">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0271030B">
      <w:pPr>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rPr>
      </w:pPr>
    </w:p>
    <w:p w14:paraId="09F6B268">
      <w:pPr>
        <w:keepLines w:val="0"/>
        <w:pageBreakBefore w:val="0"/>
        <w:shd w:val="clear" w:color="auto" w:fill="auto"/>
        <w:wordWrap/>
        <w:topLinePunct w:val="0"/>
        <w:bidi w:val="0"/>
        <w:spacing w:line="480" w:lineRule="exact"/>
        <w:ind w:firstLine="5280" w:firstLineChars="2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供应商名称（盖章）：                            </w:t>
      </w:r>
    </w:p>
    <w:p w14:paraId="1FA9EE33">
      <w:pPr>
        <w:keepLines w:val="0"/>
        <w:pageBreakBefore w:val="0"/>
        <w:shd w:val="clear" w:color="auto" w:fill="auto"/>
        <w:wordWrap/>
        <w:topLinePunct w:val="0"/>
        <w:bidi w:val="0"/>
        <w:spacing w:line="480" w:lineRule="exact"/>
        <w:jc w:val="left"/>
        <w:rPr>
          <w:rFonts w:hint="eastAsia" w:ascii="仿宋" w:hAnsi="仿宋" w:eastAsia="仿宋" w:cs="仿宋"/>
          <w:color w:val="auto"/>
          <w:sz w:val="24"/>
          <w:szCs w:val="24"/>
          <w:highlight w:val="none"/>
        </w:rPr>
      </w:pPr>
    </w:p>
    <w:p w14:paraId="1200DA2F">
      <w:pPr>
        <w:keepLines w:val="0"/>
        <w:pageBreakBefore w:val="0"/>
        <w:shd w:val="clear" w:color="auto" w:fill="auto"/>
        <w:wordWrap/>
        <w:topLinePunct w:val="0"/>
        <w:bidi w:val="0"/>
        <w:spacing w:line="480" w:lineRule="exact"/>
        <w:ind w:firstLine="4560" w:firstLineChars="19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法定代表人或授权代表（签字或盖章）：</w:t>
      </w:r>
    </w:p>
    <w:p w14:paraId="4DE00605">
      <w:pPr>
        <w:keepLines w:val="0"/>
        <w:pageBreakBefore w:val="0"/>
        <w:shd w:val="clear" w:color="auto" w:fill="auto"/>
        <w:wordWrap/>
        <w:topLinePunct w:val="0"/>
        <w:bidi w:val="0"/>
        <w:snapToGrid w:val="0"/>
        <w:spacing w:before="50" w:after="50" w:line="480" w:lineRule="exact"/>
        <w:ind w:left="5615" w:leftChars="331" w:right="-817" w:rightChars="-389" w:hanging="4920" w:hangingChars="20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val="en-US" w:eastAsia="zh-CN"/>
        </w:rPr>
        <w:t>日</w:t>
      </w:r>
    </w:p>
    <w:p w14:paraId="6D9D9D41">
      <w:pPr>
        <w:pStyle w:val="10"/>
        <w:keepLines w:val="0"/>
        <w:pageBreakBefore w:val="0"/>
        <w:shd w:val="clear" w:color="auto" w:fill="auto"/>
        <w:wordWrap/>
        <w:topLinePunct w:val="0"/>
        <w:bidi w:val="0"/>
        <w:spacing w:line="480" w:lineRule="exact"/>
        <w:rPr>
          <w:rFonts w:hint="eastAsia" w:ascii="仿宋" w:hAnsi="仿宋" w:eastAsia="仿宋" w:cs="仿宋"/>
          <w:b/>
          <w:bCs/>
          <w:color w:val="auto"/>
          <w:sz w:val="24"/>
          <w:szCs w:val="24"/>
          <w:highlight w:val="none"/>
          <w:u w:val="single"/>
          <w:lang w:eastAsia="zh-CN"/>
        </w:rPr>
      </w:pPr>
    </w:p>
    <w:p w14:paraId="381E730F">
      <w:pPr>
        <w:pStyle w:val="10"/>
        <w:keepLines w:val="0"/>
        <w:pageBreakBefore w:val="0"/>
        <w:shd w:val="clear" w:color="auto" w:fill="auto"/>
        <w:wordWrap/>
        <w:topLinePunct w:val="0"/>
        <w:bidi w:val="0"/>
        <w:spacing w:line="480" w:lineRule="exact"/>
        <w:rPr>
          <w:rFonts w:hint="eastAsia" w:ascii="仿宋" w:hAnsi="仿宋" w:eastAsia="仿宋" w:cs="仿宋"/>
          <w:b/>
          <w:bCs/>
          <w:color w:val="auto"/>
          <w:sz w:val="24"/>
          <w:szCs w:val="24"/>
          <w:highlight w:val="none"/>
          <w:u w:val="single"/>
          <w:lang w:eastAsia="zh-CN"/>
        </w:rPr>
      </w:pPr>
    </w:p>
    <w:p w14:paraId="6FF7F65C">
      <w:pPr>
        <w:pStyle w:val="10"/>
        <w:keepLines w:val="0"/>
        <w:pageBreakBefore w:val="0"/>
        <w:shd w:val="clear" w:color="auto" w:fill="auto"/>
        <w:wordWrap/>
        <w:topLinePunct w:val="0"/>
        <w:bidi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u w:val="single"/>
          <w:lang w:eastAsia="zh-CN"/>
        </w:rPr>
        <w:t>（</w:t>
      </w:r>
      <w:r>
        <w:rPr>
          <w:rFonts w:hint="eastAsia" w:ascii="仿宋" w:hAnsi="仿宋" w:eastAsia="仿宋" w:cs="仿宋"/>
          <w:b/>
          <w:bCs/>
          <w:color w:val="auto"/>
          <w:sz w:val="24"/>
          <w:szCs w:val="24"/>
          <w:highlight w:val="none"/>
          <w:u w:val="single"/>
        </w:rPr>
        <w:t>说明：本页《报价</w:t>
      </w:r>
      <w:r>
        <w:rPr>
          <w:rFonts w:hint="eastAsia" w:ascii="仿宋" w:hAnsi="仿宋" w:eastAsia="仿宋" w:cs="仿宋"/>
          <w:b/>
          <w:bCs/>
          <w:color w:val="auto"/>
          <w:sz w:val="24"/>
          <w:szCs w:val="24"/>
          <w:highlight w:val="none"/>
          <w:u w:val="single"/>
          <w:lang w:val="en-US" w:eastAsia="zh-CN"/>
        </w:rPr>
        <w:t>单</w:t>
      </w:r>
      <w:r>
        <w:rPr>
          <w:rFonts w:hint="eastAsia" w:ascii="仿宋" w:hAnsi="仿宋" w:eastAsia="仿宋" w:cs="仿宋"/>
          <w:b/>
          <w:bCs/>
          <w:color w:val="auto"/>
          <w:sz w:val="24"/>
          <w:szCs w:val="24"/>
          <w:highlight w:val="none"/>
          <w:u w:val="single"/>
        </w:rPr>
        <w:t>》由供应商在磋商现场依磋商情况填写</w:t>
      </w:r>
      <w:r>
        <w:rPr>
          <w:rFonts w:hint="eastAsia" w:ascii="仿宋" w:hAnsi="仿宋" w:eastAsia="仿宋" w:cs="仿宋"/>
          <w:b/>
          <w:bCs/>
          <w:color w:val="auto"/>
          <w:sz w:val="24"/>
          <w:szCs w:val="24"/>
          <w:highlight w:val="none"/>
          <w:u w:val="single"/>
          <w:lang w:eastAsia="zh-CN"/>
        </w:rPr>
        <w:t>，</w:t>
      </w:r>
      <w:r>
        <w:rPr>
          <w:rFonts w:hint="eastAsia" w:ascii="仿宋" w:hAnsi="仿宋" w:eastAsia="仿宋" w:cs="仿宋"/>
          <w:b/>
          <w:bCs/>
          <w:color w:val="auto"/>
          <w:sz w:val="24"/>
          <w:szCs w:val="24"/>
          <w:highlight w:val="none"/>
          <w:u w:val="single"/>
        </w:rPr>
        <w:t>现场备填</w:t>
      </w:r>
      <w:r>
        <w:rPr>
          <w:rFonts w:hint="eastAsia" w:ascii="仿宋" w:hAnsi="仿宋" w:eastAsia="仿宋" w:cs="仿宋"/>
          <w:b/>
          <w:bCs/>
          <w:color w:val="auto"/>
          <w:sz w:val="24"/>
          <w:szCs w:val="24"/>
          <w:highlight w:val="none"/>
          <w:u w:val="single"/>
          <w:lang w:eastAsia="zh-CN"/>
        </w:rPr>
        <w:t>，</w:t>
      </w:r>
      <w:r>
        <w:rPr>
          <w:rFonts w:hint="eastAsia" w:ascii="仿宋" w:hAnsi="仿宋" w:eastAsia="仿宋" w:cs="仿宋"/>
          <w:b/>
          <w:bCs/>
          <w:color w:val="auto"/>
          <w:sz w:val="24"/>
          <w:szCs w:val="24"/>
          <w:highlight w:val="none"/>
          <w:u w:val="single"/>
        </w:rPr>
        <w:t>用于</w:t>
      </w:r>
      <w:r>
        <w:rPr>
          <w:rFonts w:hint="eastAsia" w:ascii="仿宋" w:hAnsi="仿宋" w:eastAsia="仿宋" w:cs="仿宋"/>
          <w:b/>
          <w:bCs/>
          <w:color w:val="auto"/>
          <w:sz w:val="24"/>
          <w:szCs w:val="24"/>
          <w:highlight w:val="none"/>
          <w:u w:val="single"/>
          <w:lang w:val="en-US" w:eastAsia="zh-CN"/>
        </w:rPr>
        <w:t>磋商供应商</w:t>
      </w:r>
      <w:r>
        <w:rPr>
          <w:rFonts w:hint="eastAsia" w:ascii="仿宋" w:hAnsi="仿宋" w:eastAsia="仿宋" w:cs="仿宋"/>
          <w:b/>
          <w:bCs/>
          <w:color w:val="auto"/>
          <w:sz w:val="24"/>
          <w:szCs w:val="24"/>
          <w:highlight w:val="none"/>
          <w:u w:val="single"/>
        </w:rPr>
        <w:t>进行最后报价(不需装订在</w:t>
      </w:r>
      <w:r>
        <w:rPr>
          <w:rFonts w:hint="eastAsia" w:ascii="仿宋" w:hAnsi="仿宋" w:eastAsia="仿宋" w:cs="仿宋"/>
          <w:b/>
          <w:bCs/>
          <w:color w:val="auto"/>
          <w:sz w:val="24"/>
          <w:szCs w:val="24"/>
          <w:highlight w:val="none"/>
          <w:u w:val="single"/>
          <w:lang w:val="en-US" w:eastAsia="zh-CN"/>
        </w:rPr>
        <w:t>投标</w:t>
      </w:r>
      <w:r>
        <w:rPr>
          <w:rFonts w:hint="eastAsia" w:ascii="仿宋" w:hAnsi="仿宋" w:eastAsia="仿宋" w:cs="仿宋"/>
          <w:b/>
          <w:bCs/>
          <w:color w:val="auto"/>
          <w:sz w:val="24"/>
          <w:szCs w:val="24"/>
          <w:highlight w:val="none"/>
          <w:u w:val="single"/>
        </w:rPr>
        <w:t>文</w:t>
      </w:r>
      <w:r>
        <w:rPr>
          <w:rFonts w:hint="eastAsia" w:ascii="仿宋" w:hAnsi="仿宋" w:eastAsia="仿宋" w:cs="仿宋"/>
          <w:b/>
          <w:bCs/>
          <w:color w:val="auto"/>
          <w:sz w:val="24"/>
          <w:szCs w:val="24"/>
          <w:highlight w:val="none"/>
          <w:u w:val="single"/>
          <w:lang w:val="en-US" w:eastAsia="zh-CN"/>
        </w:rPr>
        <w:t>件内</w:t>
      </w:r>
      <w:r>
        <w:rPr>
          <w:rFonts w:hint="eastAsia" w:ascii="仿宋" w:hAnsi="仿宋" w:eastAsia="仿宋" w:cs="仿宋"/>
          <w:b/>
          <w:bCs/>
          <w:color w:val="auto"/>
          <w:sz w:val="24"/>
          <w:szCs w:val="24"/>
          <w:highlight w:val="none"/>
          <w:u w:val="single"/>
        </w:rPr>
        <w:t>)。</w:t>
      </w:r>
    </w:p>
    <w:p w14:paraId="0F70440B">
      <w:pPr>
        <w:keepLines w:val="0"/>
        <w:pageBreakBefore w:val="0"/>
        <w:wordWrap/>
        <w:topLinePunct w:val="0"/>
        <w:bidi w:val="0"/>
        <w:spacing w:line="480" w:lineRule="exact"/>
        <w:rPr>
          <w:rFonts w:hint="eastAsia" w:ascii="仿宋" w:hAnsi="仿宋" w:eastAsia="仿宋" w:cs="仿宋"/>
          <w:sz w:val="24"/>
          <w:szCs w:val="24"/>
        </w:rPr>
      </w:pPr>
    </w:p>
    <w:p w14:paraId="78B9206E">
      <w:pPr>
        <w:keepNext w:val="0"/>
        <w:keepLines w:val="0"/>
        <w:pageBreakBefore w:val="0"/>
        <w:widowControl/>
        <w:kinsoku w:val="0"/>
        <w:wordWrap/>
        <w:overflowPunct/>
        <w:topLinePunct w:val="0"/>
        <w:autoSpaceDE w:val="0"/>
        <w:autoSpaceDN w:val="0"/>
        <w:bidi w:val="0"/>
        <w:adjustRightInd w:val="0"/>
        <w:snapToGrid w:val="0"/>
        <w:spacing w:line="480" w:lineRule="exact"/>
        <w:ind w:firstLine="480" w:firstLineChars="200"/>
        <w:textAlignment w:val="baseline"/>
        <w:rPr>
          <w:rFonts w:hint="eastAsia" w:ascii="仿宋" w:hAnsi="仿宋" w:eastAsia="仿宋" w:cs="仿宋"/>
          <w:sz w:val="24"/>
          <w:szCs w:val="24"/>
        </w:rPr>
      </w:pPr>
    </w:p>
    <w:sectPr>
      <w:headerReference r:id="rId21" w:type="default"/>
      <w:footerReference r:id="rId22" w:type="default"/>
      <w:pgSz w:w="11906" w:h="16838"/>
      <w:pgMar w:top="1417" w:right="1418" w:bottom="1417" w:left="1418" w:header="851" w:footer="850" w:gutter="0"/>
      <w:pgNumType w:fmt="decimal"/>
      <w:cols w:space="72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宋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1F07B">
    <w:pPr>
      <w:pStyle w:val="10"/>
      <w:spacing w:line="238" w:lineRule="auto"/>
      <w:ind w:left="4680"/>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93822">
    <w:pPr>
      <w:pStyle w:val="10"/>
      <w:spacing w:line="238" w:lineRule="auto"/>
      <w:ind w:left="4680"/>
      <w:rPr>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C9530">
    <w:pPr>
      <w:pStyle w:val="10"/>
      <w:spacing w:line="238" w:lineRule="auto"/>
      <w:ind w:left="4680"/>
      <w:rPr>
        <w:sz w:val="20"/>
        <w:szCs w:val="20"/>
      </w:rPr>
    </w:pPr>
    <w:r>
      <w:rPr>
        <w:sz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527136">
                          <w:pPr>
                            <w:pStyle w:val="16"/>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9527136">
                    <w:pPr>
                      <w:pStyle w:val="16"/>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C07501">
    <w:pPr>
      <w:pStyle w:val="10"/>
      <w:spacing w:line="238" w:lineRule="auto"/>
      <w:ind w:left="4365"/>
      <w:rPr>
        <w:sz w:val="20"/>
        <w:szCs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472C68">
                          <w:pPr>
                            <w:pStyle w:val="1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C472C68">
                    <w:pPr>
                      <w:pStyle w:val="1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3E31B8">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974042">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4974042">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5311E">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1F0568">
                          <w:pPr>
                            <w:pStyle w:val="16"/>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0E1F0568">
                    <w:pPr>
                      <w:pStyle w:val="16"/>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03B4A">
    <w:pPr>
      <w:pStyle w:val="16"/>
      <w:jc w:val="center"/>
      <w:rPr>
        <w:rFonts w:ascii="Times New Roman" w:hAnsi="Times New Roman" w:eastAsia="仿宋_GB2312"/>
        <w:sz w:val="24"/>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D6E0C0">
                          <w:pPr>
                            <w:pStyle w:val="16"/>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3D6E0C0">
                    <w:pPr>
                      <w:pStyle w:val="16"/>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C6C27">
    <w:pPr>
      <w:pStyle w:val="16"/>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CAFA7A">
                          <w:pPr>
                            <w:pStyle w:val="16"/>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66CAFA7A">
                    <w:pPr>
                      <w:pStyle w:val="16"/>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5742C">
    <w:pPr>
      <w:pStyle w:val="10"/>
      <w:spacing w:line="238" w:lineRule="auto"/>
      <w:ind w:left="3985"/>
      <w:rPr>
        <w:sz w:val="20"/>
        <w:szCs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435C86">
                          <w:pPr>
                            <w:pStyle w:val="16"/>
                          </w:pPr>
                          <w:r>
                            <w:fldChar w:fldCharType="begin"/>
                          </w:r>
                          <w:r>
                            <w:instrText xml:space="preserve"> PAGE  \* MERGEFORMAT </w:instrText>
                          </w:r>
                          <w:r>
                            <w:fldChar w:fldCharType="separate"/>
                          </w:r>
                          <w:r>
                            <w:t>135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D435C86">
                    <w:pPr>
                      <w:pStyle w:val="16"/>
                    </w:pPr>
                    <w:r>
                      <w:fldChar w:fldCharType="begin"/>
                    </w:r>
                    <w:r>
                      <w:instrText xml:space="preserve"> PAGE  \* MERGEFORMAT </w:instrText>
                    </w:r>
                    <w:r>
                      <w:fldChar w:fldCharType="separate"/>
                    </w:r>
                    <w:r>
                      <w:t>135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B6EB7">
    <w:pPr>
      <w:pStyle w:val="16"/>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962C76">
                          <w:pPr>
                            <w:pStyle w:val="16"/>
                          </w:pPr>
                          <w:r>
                            <w:fldChar w:fldCharType="begin"/>
                          </w:r>
                          <w:r>
                            <w:instrText xml:space="preserve"> PAGE  \* MERGEFORMAT </w:instrText>
                          </w:r>
                          <w:r>
                            <w:fldChar w:fldCharType="separate"/>
                          </w:r>
                          <w:r>
                            <w:t>154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E962C76">
                    <w:pPr>
                      <w:pStyle w:val="16"/>
                    </w:pPr>
                    <w:r>
                      <w:fldChar w:fldCharType="begin"/>
                    </w:r>
                    <w:r>
                      <w:instrText xml:space="preserve"> PAGE  \* MERGEFORMAT </w:instrText>
                    </w:r>
                    <w:r>
                      <w:fldChar w:fldCharType="separate"/>
                    </w:r>
                    <w:r>
                      <w:t>154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1C9AD">
    <w:pPr>
      <w:pStyle w:val="16"/>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99F530">
                          <w:pPr>
                            <w:pStyle w:val="16"/>
                          </w:pPr>
                          <w:r>
                            <w:fldChar w:fldCharType="begin"/>
                          </w:r>
                          <w:r>
                            <w:instrText xml:space="preserve"> PAGE  \* MERGEFORMAT </w:instrText>
                          </w:r>
                          <w:r>
                            <w:fldChar w:fldCharType="separate"/>
                          </w:r>
                          <w:r>
                            <w:t>156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B99F530">
                    <w:pPr>
                      <w:pStyle w:val="16"/>
                    </w:pPr>
                    <w:r>
                      <w:fldChar w:fldCharType="begin"/>
                    </w:r>
                    <w:r>
                      <w:instrText xml:space="preserve"> PAGE  \* MERGEFORMAT </w:instrText>
                    </w:r>
                    <w:r>
                      <w:fldChar w:fldCharType="separate"/>
                    </w:r>
                    <w:r>
                      <w:t>156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DCB72">
    <w:pPr>
      <w:pStyle w:val="16"/>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3C3BBB">
                          <w:pPr>
                            <w:pStyle w:val="16"/>
                          </w:pPr>
                          <w:r>
                            <w:fldChar w:fldCharType="begin"/>
                          </w:r>
                          <w:r>
                            <w:instrText xml:space="preserve"> PAGE  \* MERGEFORMAT </w:instrText>
                          </w:r>
                          <w:r>
                            <w:fldChar w:fldCharType="separate"/>
                          </w:r>
                          <w:r>
                            <w:t>166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B3C3BBB">
                    <w:pPr>
                      <w:pStyle w:val="16"/>
                    </w:pPr>
                    <w:r>
                      <w:fldChar w:fldCharType="begin"/>
                    </w:r>
                    <w:r>
                      <w:instrText xml:space="preserve"> PAGE  \* MERGEFORMAT </w:instrText>
                    </w:r>
                    <w:r>
                      <w:fldChar w:fldCharType="separate"/>
                    </w:r>
                    <w:r>
                      <w:t>166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E8DEF">
    <w:pPr>
      <w:pStyle w:val="17"/>
      <w:jc w:val="right"/>
    </w:pPr>
    <w:r>
      <w:rPr>
        <w:rFonts w:hint="eastAsia"/>
        <w:lang w:eastAsia="zh-CN"/>
      </w:rPr>
      <w:drawing>
        <wp:inline distT="0" distB="0" distL="114300" distR="114300">
          <wp:extent cx="2664460" cy="278765"/>
          <wp:effectExtent l="0" t="0" r="0" b="6985"/>
          <wp:docPr id="1" name="图片 1"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97FD8">
    <w:pPr>
      <w:pStyle w:val="17"/>
      <w:jc w:val="right"/>
    </w:pPr>
    <w:r>
      <w:rPr>
        <w:rFonts w:hint="eastAsia"/>
        <w:lang w:eastAsia="zh-CN"/>
      </w:rPr>
      <w:drawing>
        <wp:inline distT="0" distB="0" distL="114300" distR="114300">
          <wp:extent cx="2664460" cy="278765"/>
          <wp:effectExtent l="0" t="0" r="0" b="6985"/>
          <wp:docPr id="6"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8EB80">
    <w:pPr>
      <w:pStyle w:val="17"/>
      <w:jc w:val="right"/>
    </w:pPr>
    <w:r>
      <w:rPr>
        <w:rFonts w:hint="eastAsia"/>
        <w:lang w:eastAsia="zh-CN"/>
      </w:rPr>
      <w:drawing>
        <wp:inline distT="0" distB="0" distL="114300" distR="114300">
          <wp:extent cx="2664460" cy="278765"/>
          <wp:effectExtent l="0" t="0" r="0" b="6985"/>
          <wp:docPr id="5" name="图片 5"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9B0D1">
    <w:pPr>
      <w:pStyle w:val="17"/>
      <w:jc w:val="right"/>
    </w:pPr>
    <w:r>
      <w:rPr>
        <w:rFonts w:hint="eastAsia"/>
        <w:lang w:eastAsia="zh-CN"/>
      </w:rPr>
      <w:drawing>
        <wp:inline distT="0" distB="0" distL="114300" distR="114300">
          <wp:extent cx="2664460" cy="278765"/>
          <wp:effectExtent l="0" t="0" r="0" b="6985"/>
          <wp:docPr id="8" name="图片 8"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77BA0">
    <w:pPr>
      <w:pStyle w:val="17"/>
      <w:pBdr>
        <w:bottom w:val="none" w:color="auto" w:sz="0" w:space="1"/>
      </w:pBdr>
      <w:jc w:val="right"/>
      <w:rPr>
        <w:rFonts w:hint="eastAsia"/>
      </w:rPr>
    </w:pPr>
    <w:r>
      <w:rPr>
        <w:rFonts w:hint="eastAsia"/>
        <w:lang w:eastAsia="zh-CN"/>
      </w:rPr>
      <w:drawing>
        <wp:inline distT="0" distB="0" distL="114300" distR="114300">
          <wp:extent cx="2664460" cy="278765"/>
          <wp:effectExtent l="0" t="0" r="0" b="6985"/>
          <wp:docPr id="3" name="图片 1"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ACDAC">
    <w:pPr>
      <w:pStyle w:val="17"/>
      <w:pBdr>
        <w:bottom w:val="none" w:color="auto" w:sz="0" w:space="1"/>
      </w:pBdr>
      <w:jc w:val="right"/>
      <w:rPr>
        <w:rFonts w:hint="eastAsia"/>
      </w:rPr>
    </w:pPr>
    <w:r>
      <w:rPr>
        <w:rFonts w:hint="eastAsia"/>
        <w:lang w:eastAsia="zh-CN"/>
      </w:rPr>
      <w:drawing>
        <wp:inline distT="0" distB="0" distL="114300" distR="114300">
          <wp:extent cx="2664460" cy="278765"/>
          <wp:effectExtent l="0" t="0" r="0" b="6985"/>
          <wp:docPr id="2" name="图片 2"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3DA793"/>
    <w:multiLevelType w:val="singleLevel"/>
    <w:tmpl w:val="973DA793"/>
    <w:lvl w:ilvl="0" w:tentative="0">
      <w:start w:val="2"/>
      <w:numFmt w:val="decimal"/>
      <w:suff w:val="nothing"/>
      <w:lvlText w:val="%1、"/>
      <w:lvlJc w:val="left"/>
    </w:lvl>
  </w:abstractNum>
  <w:abstractNum w:abstractNumId="1">
    <w:nsid w:val="00000006"/>
    <w:multiLevelType w:val="singleLevel"/>
    <w:tmpl w:val="00000006"/>
    <w:lvl w:ilvl="0" w:tentative="0">
      <w:start w:val="1"/>
      <w:numFmt w:val="decimal"/>
      <w:suff w:val="nothing"/>
      <w:lvlText w:val="（%1）"/>
      <w:lvlJc w:val="left"/>
    </w:lvl>
  </w:abstractNum>
  <w:abstractNum w:abstractNumId="2">
    <w:nsid w:val="0000000B"/>
    <w:multiLevelType w:val="singleLevel"/>
    <w:tmpl w:val="0000000B"/>
    <w:lvl w:ilvl="0" w:tentative="0">
      <w:start w:val="1"/>
      <w:numFmt w:val="upperLetter"/>
      <w:pStyle w:val="4"/>
      <w:lvlText w:val="%1."/>
      <w:lvlJc w:val="left"/>
      <w:pPr>
        <w:tabs>
          <w:tab w:val="left" w:pos="420"/>
        </w:tabs>
        <w:ind w:left="420" w:hanging="330"/>
      </w:pPr>
    </w:lvl>
  </w:abstractNum>
  <w:abstractNum w:abstractNumId="3">
    <w:nsid w:val="110A591B"/>
    <w:multiLevelType w:val="multilevel"/>
    <w:tmpl w:val="110A591B"/>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pStyle w:val="6"/>
      <w:lvlText w:val="5.2.%4"/>
      <w:lvlJc w:val="left"/>
      <w:pPr>
        <w:tabs>
          <w:tab w:val="left" w:pos="1080"/>
        </w:tabs>
        <w:ind w:left="1620"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38FFF10A"/>
    <w:multiLevelType w:val="singleLevel"/>
    <w:tmpl w:val="38FFF10A"/>
    <w:lvl w:ilvl="0" w:tentative="0">
      <w:start w:val="3"/>
      <w:numFmt w:val="chineseCounting"/>
      <w:suff w:val="space"/>
      <w:lvlText w:val="第%1部分"/>
      <w:lvlJc w:val="left"/>
      <w:rPr>
        <w:rFonts w:hint="eastAsia"/>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2B3E5E"/>
    <w:rsid w:val="00FC206D"/>
    <w:rsid w:val="014B08FF"/>
    <w:rsid w:val="01B800CA"/>
    <w:rsid w:val="01EA0118"/>
    <w:rsid w:val="021128BE"/>
    <w:rsid w:val="02781BC8"/>
    <w:rsid w:val="03B53475"/>
    <w:rsid w:val="03D36D49"/>
    <w:rsid w:val="04A47A17"/>
    <w:rsid w:val="057D431F"/>
    <w:rsid w:val="063A3B6C"/>
    <w:rsid w:val="080F2686"/>
    <w:rsid w:val="082D70C9"/>
    <w:rsid w:val="08F42EB0"/>
    <w:rsid w:val="099F1FFD"/>
    <w:rsid w:val="0A0239D6"/>
    <w:rsid w:val="0B52270F"/>
    <w:rsid w:val="0B5605CC"/>
    <w:rsid w:val="0BD22349"/>
    <w:rsid w:val="0BEB340A"/>
    <w:rsid w:val="0D4C3E39"/>
    <w:rsid w:val="0DA65ED1"/>
    <w:rsid w:val="0F821719"/>
    <w:rsid w:val="119836EC"/>
    <w:rsid w:val="12260CF8"/>
    <w:rsid w:val="12521AED"/>
    <w:rsid w:val="12B26558"/>
    <w:rsid w:val="12D1335A"/>
    <w:rsid w:val="135D2127"/>
    <w:rsid w:val="146D0DFF"/>
    <w:rsid w:val="159B7450"/>
    <w:rsid w:val="15D3486C"/>
    <w:rsid w:val="183323C1"/>
    <w:rsid w:val="198C4155"/>
    <w:rsid w:val="1A367BB6"/>
    <w:rsid w:val="1D4E2316"/>
    <w:rsid w:val="1E5E6B54"/>
    <w:rsid w:val="1E827DD3"/>
    <w:rsid w:val="1F43113D"/>
    <w:rsid w:val="212925B3"/>
    <w:rsid w:val="21AB4667"/>
    <w:rsid w:val="22683964"/>
    <w:rsid w:val="22B83BEE"/>
    <w:rsid w:val="23A91789"/>
    <w:rsid w:val="246156FE"/>
    <w:rsid w:val="252C2B95"/>
    <w:rsid w:val="258254F2"/>
    <w:rsid w:val="262B3E5E"/>
    <w:rsid w:val="26D151AA"/>
    <w:rsid w:val="26F07CA0"/>
    <w:rsid w:val="270F0990"/>
    <w:rsid w:val="271E5FEA"/>
    <w:rsid w:val="27E049CE"/>
    <w:rsid w:val="284162CF"/>
    <w:rsid w:val="29491A44"/>
    <w:rsid w:val="298C36DF"/>
    <w:rsid w:val="29B13146"/>
    <w:rsid w:val="2ADC0696"/>
    <w:rsid w:val="2B8F395A"/>
    <w:rsid w:val="2BA03472"/>
    <w:rsid w:val="2C1125C1"/>
    <w:rsid w:val="2C3D33B6"/>
    <w:rsid w:val="2C5223C6"/>
    <w:rsid w:val="2C6B1F6C"/>
    <w:rsid w:val="2D99286E"/>
    <w:rsid w:val="2DDB2E87"/>
    <w:rsid w:val="2EDC6EB7"/>
    <w:rsid w:val="30F304E8"/>
    <w:rsid w:val="32690A61"/>
    <w:rsid w:val="32A444AB"/>
    <w:rsid w:val="332638F5"/>
    <w:rsid w:val="33D353CB"/>
    <w:rsid w:val="34312E17"/>
    <w:rsid w:val="36376D1A"/>
    <w:rsid w:val="36F909D9"/>
    <w:rsid w:val="376E32E0"/>
    <w:rsid w:val="38C31D8F"/>
    <w:rsid w:val="38FB752D"/>
    <w:rsid w:val="397A79F8"/>
    <w:rsid w:val="3A484D03"/>
    <w:rsid w:val="3AF17846"/>
    <w:rsid w:val="3D2D0B07"/>
    <w:rsid w:val="3F4323FA"/>
    <w:rsid w:val="3FC574F3"/>
    <w:rsid w:val="419B49AF"/>
    <w:rsid w:val="41AE46E3"/>
    <w:rsid w:val="43ED79B4"/>
    <w:rsid w:val="4471704C"/>
    <w:rsid w:val="449E2EEB"/>
    <w:rsid w:val="44A41DCD"/>
    <w:rsid w:val="483E1699"/>
    <w:rsid w:val="487D096B"/>
    <w:rsid w:val="48D013E2"/>
    <w:rsid w:val="4A6A13C3"/>
    <w:rsid w:val="4B6202EC"/>
    <w:rsid w:val="4E8B1381"/>
    <w:rsid w:val="4F0F3A8F"/>
    <w:rsid w:val="50B05655"/>
    <w:rsid w:val="51BD44CE"/>
    <w:rsid w:val="529B4AB4"/>
    <w:rsid w:val="55621614"/>
    <w:rsid w:val="558F1CDD"/>
    <w:rsid w:val="562A59E7"/>
    <w:rsid w:val="56534B15"/>
    <w:rsid w:val="57D955CD"/>
    <w:rsid w:val="597865A7"/>
    <w:rsid w:val="5A590C06"/>
    <w:rsid w:val="5AA224B3"/>
    <w:rsid w:val="5BC07095"/>
    <w:rsid w:val="5C6E4D42"/>
    <w:rsid w:val="5E5166CA"/>
    <w:rsid w:val="5E8F2D4E"/>
    <w:rsid w:val="5EAB6A71"/>
    <w:rsid w:val="5FB30897"/>
    <w:rsid w:val="610C4B2A"/>
    <w:rsid w:val="61B440C1"/>
    <w:rsid w:val="61E61E2E"/>
    <w:rsid w:val="624B51DE"/>
    <w:rsid w:val="62D04D7C"/>
    <w:rsid w:val="62EB41D6"/>
    <w:rsid w:val="63784C49"/>
    <w:rsid w:val="645667E8"/>
    <w:rsid w:val="647924D6"/>
    <w:rsid w:val="65034937"/>
    <w:rsid w:val="65206DF6"/>
    <w:rsid w:val="674768BC"/>
    <w:rsid w:val="6B4D1FC7"/>
    <w:rsid w:val="6B6B47CD"/>
    <w:rsid w:val="6C643A6C"/>
    <w:rsid w:val="6C994ADE"/>
    <w:rsid w:val="6D750E76"/>
    <w:rsid w:val="6E9A07B7"/>
    <w:rsid w:val="6F0B4673"/>
    <w:rsid w:val="6F354F36"/>
    <w:rsid w:val="71542301"/>
    <w:rsid w:val="71F47640"/>
    <w:rsid w:val="72273572"/>
    <w:rsid w:val="727C2B53"/>
    <w:rsid w:val="72847876"/>
    <w:rsid w:val="738F5872"/>
    <w:rsid w:val="73C6500C"/>
    <w:rsid w:val="7447614D"/>
    <w:rsid w:val="79116D2A"/>
    <w:rsid w:val="79C67B14"/>
    <w:rsid w:val="7A4D10D5"/>
    <w:rsid w:val="7AE71AF0"/>
    <w:rsid w:val="7B9E7125"/>
    <w:rsid w:val="7C695EE4"/>
    <w:rsid w:val="7D2D3A06"/>
    <w:rsid w:val="7DED1B13"/>
    <w:rsid w:val="7F906B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qFormat/>
    <w:uiPriority w:val="0"/>
    <w:pPr>
      <w:keepNext/>
      <w:numPr>
        <w:ilvl w:val="0"/>
        <w:numId w:val="1"/>
      </w:numPr>
      <w:spacing w:line="360" w:lineRule="auto"/>
      <w:outlineLvl w:val="1"/>
    </w:pPr>
    <w:rPr>
      <w:b/>
      <w:sz w:val="24"/>
      <w:szCs w:val="24"/>
    </w:rPr>
  </w:style>
  <w:style w:type="paragraph" w:styleId="5">
    <w:name w:val="heading 3"/>
    <w:basedOn w:val="1"/>
    <w:next w:val="1"/>
    <w:qFormat/>
    <w:uiPriority w:val="99"/>
    <w:pPr>
      <w:keepNext/>
      <w:keepLines/>
      <w:spacing w:before="260" w:after="260" w:line="413" w:lineRule="auto"/>
      <w:outlineLvl w:val="2"/>
    </w:pPr>
    <w:rPr>
      <w:b/>
      <w:sz w:val="32"/>
    </w:rPr>
  </w:style>
  <w:style w:type="paragraph" w:styleId="6">
    <w:name w:val="heading 4"/>
    <w:basedOn w:val="1"/>
    <w:next w:val="1"/>
    <w:qFormat/>
    <w:uiPriority w:val="0"/>
    <w:pPr>
      <w:widowControl/>
      <w:numPr>
        <w:ilvl w:val="3"/>
        <w:numId w:val="2"/>
      </w:numPr>
      <w:spacing w:before="120" w:after="120" w:line="360" w:lineRule="auto"/>
      <w:outlineLvl w:val="3"/>
    </w:pPr>
    <w:rPr>
      <w:rFonts w:ascii="华文宋体" w:hAnsi="华文宋体" w:eastAsia="华文宋体"/>
      <w:kern w:val="0"/>
      <w:sz w:val="24"/>
      <w:szCs w:val="20"/>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customStyle="1" w:styleId="2">
    <w:name w:val="Char"/>
    <w:basedOn w:val="1"/>
    <w:qFormat/>
    <w:uiPriority w:val="0"/>
  </w:style>
  <w:style w:type="paragraph" w:styleId="7">
    <w:name w:val="Normal Indent"/>
    <w:basedOn w:val="1"/>
    <w:qFormat/>
    <w:uiPriority w:val="0"/>
    <w:pPr>
      <w:ind w:firstLine="420" w:firstLineChars="200"/>
    </w:pPr>
    <w:rPr>
      <w:szCs w:val="24"/>
    </w:rPr>
  </w:style>
  <w:style w:type="paragraph" w:styleId="8">
    <w:name w:val="toa heading"/>
    <w:basedOn w:val="1"/>
    <w:next w:val="1"/>
    <w:qFormat/>
    <w:uiPriority w:val="0"/>
    <w:pPr>
      <w:spacing w:before="120"/>
    </w:pPr>
    <w:rPr>
      <w:rFonts w:ascii="Cambria" w:hAnsi="Cambria" w:cs="Times New Roman"/>
      <w:sz w:val="24"/>
    </w:rPr>
  </w:style>
  <w:style w:type="paragraph" w:styleId="9">
    <w:name w:val="index 6"/>
    <w:basedOn w:val="1"/>
    <w:next w:val="1"/>
    <w:qFormat/>
    <w:uiPriority w:val="99"/>
    <w:pPr>
      <w:ind w:left="2100"/>
    </w:pPr>
  </w:style>
  <w:style w:type="paragraph" w:styleId="10">
    <w:name w:val="Body Text"/>
    <w:basedOn w:val="1"/>
    <w:next w:val="11"/>
    <w:semiHidden/>
    <w:qFormat/>
    <w:uiPriority w:val="0"/>
    <w:rPr>
      <w:rFonts w:ascii="宋体" w:hAnsi="宋体" w:eastAsia="宋体" w:cs="宋体"/>
      <w:sz w:val="35"/>
      <w:szCs w:val="35"/>
      <w:lang w:val="en-US" w:eastAsia="en-US" w:bidi="ar-SA"/>
    </w:rPr>
  </w:style>
  <w:style w:type="paragraph" w:styleId="11">
    <w:name w:val="toc 4"/>
    <w:basedOn w:val="1"/>
    <w:next w:val="1"/>
    <w:qFormat/>
    <w:uiPriority w:val="0"/>
    <w:pPr>
      <w:ind w:left="1260" w:leftChars="600"/>
    </w:pPr>
  </w:style>
  <w:style w:type="paragraph" w:styleId="12">
    <w:name w:val="Body Text Indent"/>
    <w:basedOn w:val="1"/>
    <w:next w:val="13"/>
    <w:qFormat/>
    <w:uiPriority w:val="0"/>
    <w:pPr>
      <w:spacing w:after="120"/>
      <w:ind w:left="200" w:leftChars="200"/>
    </w:pPr>
  </w:style>
  <w:style w:type="paragraph" w:styleId="13">
    <w:name w:val="Normal (Web)"/>
    <w:basedOn w:val="1"/>
    <w:qFormat/>
    <w:uiPriority w:val="0"/>
    <w:pPr>
      <w:widowControl/>
      <w:spacing w:before="100" w:beforeLines="0" w:beforeAutospacing="1" w:after="100" w:afterLines="0" w:afterAutospacing="1"/>
      <w:jc w:val="left"/>
    </w:pPr>
    <w:rPr>
      <w:rFonts w:ascii="宋体" w:hAnsi="宋体"/>
      <w:kern w:val="0"/>
      <w:sz w:val="24"/>
      <w:szCs w:val="24"/>
    </w:rPr>
  </w:style>
  <w:style w:type="paragraph" w:styleId="14">
    <w:name w:val="Plain Text"/>
    <w:basedOn w:val="1"/>
    <w:qFormat/>
    <w:uiPriority w:val="0"/>
    <w:rPr>
      <w:rFonts w:ascii="宋体" w:hAnsi="Courier New"/>
      <w:szCs w:val="20"/>
    </w:rPr>
  </w:style>
  <w:style w:type="paragraph" w:styleId="15">
    <w:name w:val="Body Text Indent 2"/>
    <w:basedOn w:val="1"/>
    <w:qFormat/>
    <w:uiPriority w:val="0"/>
    <w:pPr>
      <w:ind w:firstLine="1040" w:firstLineChars="200"/>
      <w:jc w:val="center"/>
    </w:pPr>
    <w:rPr>
      <w:rFonts w:ascii="黑体" w:hAnsi="黑体" w:eastAsia="黑体"/>
      <w:sz w:val="36"/>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Body Text First Indent 2"/>
    <w:basedOn w:val="12"/>
    <w:semiHidden/>
    <w:unhideWhenUsed/>
    <w:qFormat/>
    <w:uiPriority w:val="99"/>
    <w:pPr>
      <w:widowControl w:val="0"/>
      <w:spacing w:after="120"/>
      <w:ind w:left="420" w:leftChars="200" w:firstLine="420" w:firstLineChars="200"/>
    </w:pPr>
    <w:rPr>
      <w:rFonts w:hint="eastAsia" w:ascii="宋体" w:hAnsi="宋体" w:eastAsia="Calibri" w:cs="Times New Roman"/>
      <w:kern w:val="2"/>
      <w:sz w:val="21"/>
      <w:szCs w:val="21"/>
      <w:lang w:val="en-US" w:eastAsia="zh-CN" w:bidi="ar-SA"/>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Emphasis"/>
    <w:basedOn w:val="21"/>
    <w:qFormat/>
    <w:uiPriority w:val="0"/>
    <w:rPr>
      <w:i/>
    </w:rPr>
  </w:style>
  <w:style w:type="character" w:styleId="23">
    <w:name w:val="Hyperlink"/>
    <w:basedOn w:val="21"/>
    <w:qFormat/>
    <w:uiPriority w:val="0"/>
    <w:rPr>
      <w:color w:val="262626"/>
      <w:u w:val="none"/>
    </w:rPr>
  </w:style>
  <w:style w:type="paragraph" w:customStyle="1" w:styleId="24">
    <w:name w:val="Table Text"/>
    <w:basedOn w:val="1"/>
    <w:semiHidden/>
    <w:qFormat/>
    <w:uiPriority w:val="0"/>
    <w:rPr>
      <w:rFonts w:ascii="宋体" w:hAnsi="宋体" w:eastAsia="宋体" w:cs="宋体"/>
      <w:sz w:val="24"/>
      <w:szCs w:val="24"/>
      <w:lang w:val="en-US" w:eastAsia="en-US" w:bidi="ar-SA"/>
    </w:rPr>
  </w:style>
  <w:style w:type="table" w:customStyle="1" w:styleId="25">
    <w:name w:val="Table Normal"/>
    <w:semiHidden/>
    <w:unhideWhenUsed/>
    <w:qFormat/>
    <w:uiPriority w:val="0"/>
    <w:tblPr>
      <w:tblCellMar>
        <w:top w:w="0" w:type="dxa"/>
        <w:left w:w="0" w:type="dxa"/>
        <w:bottom w:w="0" w:type="dxa"/>
        <w:right w:w="0" w:type="dxa"/>
      </w:tblCellMar>
    </w:tblPr>
  </w:style>
  <w:style w:type="paragraph" w:customStyle="1" w:styleId="26">
    <w:name w:val="Default Text"/>
    <w:qFormat/>
    <w:uiPriority w:val="0"/>
    <w:pPr>
      <w:widowControl w:val="0"/>
      <w:autoSpaceDE w:val="0"/>
      <w:autoSpaceDN w:val="0"/>
      <w:adjustRightInd w:val="0"/>
    </w:pPr>
    <w:rPr>
      <w:rFonts w:ascii="Calibri" w:hAnsi="Calibri" w:eastAsia="宋体" w:cs="宋体"/>
      <w:color w:val="000000"/>
      <w:sz w:val="24"/>
      <w:szCs w:val="24"/>
      <w:lang w:val="en-US" w:eastAsia="zh-CN" w:bidi="ar-SA"/>
    </w:rPr>
  </w:style>
  <w:style w:type="paragraph" w:customStyle="1" w:styleId="27">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28">
    <w:name w:val="È±Ê¡ÎÄ±¾"/>
    <w:basedOn w:val="1"/>
    <w:qFormat/>
    <w:uiPriority w:val="0"/>
    <w:pPr>
      <w:widowControl/>
      <w:overflowPunct w:val="0"/>
      <w:autoSpaceDE w:val="0"/>
      <w:autoSpaceDN w:val="0"/>
      <w:adjustRightInd w:val="0"/>
      <w:jc w:val="left"/>
    </w:pPr>
    <w:rPr>
      <w:kern w:val="0"/>
      <w:sz w:val="24"/>
    </w:rPr>
  </w:style>
  <w:style w:type="paragraph" w:customStyle="1" w:styleId="29">
    <w:name w:val="正文3"/>
    <w:qFormat/>
    <w:uiPriority w:val="0"/>
    <w:pPr>
      <w:widowControl w:val="0"/>
      <w:adjustRightInd w:val="0"/>
      <w:spacing w:line="312" w:lineRule="atLeast"/>
      <w:jc w:val="both"/>
    </w:pPr>
    <w:rPr>
      <w:rFonts w:ascii="宋体" w:hAnsi="Calibri" w:eastAsia="宋体" w:cs="Times New Roman"/>
      <w:sz w:val="24"/>
      <w:lang w:val="en-US" w:eastAsia="zh-CN" w:bidi="ar-SA"/>
    </w:rPr>
  </w:style>
  <w:style w:type="paragraph" w:customStyle="1" w:styleId="30">
    <w:name w:val="样式 标题 2 + Times New Roman 四号 非加粗 段前: 5 磅 段后: 0 磅 行距: 固定值 20..."/>
    <w:basedOn w:val="4"/>
    <w:qFormat/>
    <w:uiPriority w:val="0"/>
    <w:pPr>
      <w:autoSpaceDE/>
      <w:autoSpaceDN/>
      <w:adjustRightInd/>
      <w:spacing w:before="100" w:line="400" w:lineRule="exact"/>
      <w:jc w:val="both"/>
    </w:pPr>
    <w:rPr>
      <w:rFonts w:ascii="Times New Roman" w:hAnsi="Times New Roman" w:cs="宋体"/>
      <w:b w:val="0"/>
      <w:kern w:val="2"/>
      <w:sz w:val="28"/>
    </w:rPr>
  </w:style>
  <w:style w:type="paragraph" w:customStyle="1" w:styleId="31">
    <w:name w:val="_Style 6"/>
    <w:basedOn w:val="3"/>
    <w:next w:val="1"/>
    <w:qFormat/>
    <w:uiPriority w:val="0"/>
    <w:pPr>
      <w:tabs>
        <w:tab w:val="left" w:pos="360"/>
      </w:tabs>
      <w:outlineLvl w:val="9"/>
    </w:pPr>
  </w:style>
  <w:style w:type="paragraph" w:customStyle="1" w:styleId="32">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7.wmf"/><Relationship Id="rId32" Type="http://schemas.openxmlformats.org/officeDocument/2006/relationships/oleObject" Target="embeddings/oleObject5.bin"/><Relationship Id="rId31" Type="http://schemas.openxmlformats.org/officeDocument/2006/relationships/image" Target="media/image6.wmf"/><Relationship Id="rId30" Type="http://schemas.openxmlformats.org/officeDocument/2006/relationships/oleObject" Target="embeddings/oleObject4.bin"/><Relationship Id="rId3" Type="http://schemas.openxmlformats.org/officeDocument/2006/relationships/footnotes" Target="footnotes.xml"/><Relationship Id="rId29" Type="http://schemas.openxmlformats.org/officeDocument/2006/relationships/image" Target="media/image5.wmf"/><Relationship Id="rId28" Type="http://schemas.openxmlformats.org/officeDocument/2006/relationships/oleObject" Target="embeddings/oleObject3.bin"/><Relationship Id="rId27" Type="http://schemas.openxmlformats.org/officeDocument/2006/relationships/image" Target="media/image4.wmf"/><Relationship Id="rId26" Type="http://schemas.openxmlformats.org/officeDocument/2006/relationships/oleObject" Target="embeddings/oleObject2.bin"/><Relationship Id="rId25" Type="http://schemas.openxmlformats.org/officeDocument/2006/relationships/image" Target="media/image3.wmf"/><Relationship Id="rId24" Type="http://schemas.openxmlformats.org/officeDocument/2006/relationships/oleObject" Target="embeddings/oleObject1.bin"/><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header" Target="header6.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5.xml"/><Relationship Id="rId17" Type="http://schemas.openxmlformats.org/officeDocument/2006/relationships/footer" Target="footer9.xml"/><Relationship Id="rId16" Type="http://schemas.openxmlformats.org/officeDocument/2006/relationships/header" Target="header4.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172</Pages>
  <Words>29103</Words>
  <Characters>31133</Characters>
  <Lines>0</Lines>
  <Paragraphs>0</Paragraphs>
  <TotalTime>9</TotalTime>
  <ScaleCrop>false</ScaleCrop>
  <LinksUpToDate>false</LinksUpToDate>
  <CharactersWithSpaces>31203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2025-03-28T12:43:00Z</dcterms:created>
  <dc:creator>Nurjáz</dc:creator>
  <cp:lastModifiedBy>Nurjáz</cp:lastModifiedBy>
  <dcterms:modified xsi:type="dcterms:W3CDTF">2025-04-08T08:17:44Z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28DC8176F62B43F5BF1FED42558062E5_11</vt:lpwstr>
  </property>
  <property fmtid="{D5CDD505-2E9C-101B-9397-08002B2CF9AE}" pid="4" name="KSOTemplateDocerSaveRecord">
    <vt:lpwstr>eyJoZGlkIjoiYTQ3ZWI1N2IwYjczOGVkNmZiYjMzYWMxMzU5Y2Q2NmYiLCJ1c2VySWQiOiI2ODUyOTMwMDgifQ==</vt:lpwstr>
  </property>
</Properties>
</file>