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DA8FA0">
      <w:pPr>
        <w:pStyle w:val="28"/>
        <w:ind w:left="400" w:hanging="400"/>
        <w:jc w:val="center"/>
        <w:rPr>
          <w:rFonts w:hint="eastAsia" w:ascii="宋体" w:hAnsi="宋体" w:cs="宋体"/>
          <w:b/>
          <w:bCs/>
          <w:color w:val="000000"/>
          <w:kern w:val="0"/>
          <w:sz w:val="52"/>
          <w:szCs w:val="52"/>
          <w:lang w:eastAsia="zh-CN" w:bidi="ar"/>
        </w:rPr>
      </w:pPr>
      <w:r>
        <w:rPr>
          <w:rFonts w:hint="eastAsia" w:ascii="宋体" w:hAnsi="宋体" w:cs="宋体"/>
          <w:b/>
          <w:bCs/>
          <w:color w:val="000000"/>
          <w:kern w:val="0"/>
          <w:sz w:val="52"/>
          <w:szCs w:val="52"/>
          <w:lang w:eastAsia="zh-CN" w:bidi="ar"/>
        </w:rPr>
        <w:t>哈密市伊吾县2025年水利信息化运行</w:t>
      </w:r>
    </w:p>
    <w:p w14:paraId="0A931212">
      <w:pPr>
        <w:pStyle w:val="28"/>
        <w:ind w:left="400" w:hanging="400"/>
        <w:jc w:val="center"/>
        <w:rPr>
          <w:rFonts w:hint="eastAsia" w:ascii="宋体" w:hAnsi="宋体" w:cs="宋体"/>
          <w:color w:val="000080"/>
          <w:sz w:val="20"/>
        </w:rPr>
      </w:pPr>
      <w:r>
        <w:rPr>
          <w:rFonts w:hint="eastAsia" w:ascii="宋体" w:hAnsi="宋体" w:cs="宋体"/>
          <w:b/>
          <w:bCs/>
          <w:color w:val="000000"/>
          <w:kern w:val="0"/>
          <w:sz w:val="52"/>
          <w:szCs w:val="52"/>
          <w:lang w:eastAsia="zh-CN" w:bidi="ar"/>
        </w:rPr>
        <w:t>维护项目</w:t>
      </w:r>
    </w:p>
    <w:p w14:paraId="59399814">
      <w:pPr>
        <w:pStyle w:val="28"/>
        <w:ind w:left="400" w:hanging="400"/>
        <w:rPr>
          <w:rFonts w:hint="eastAsia" w:ascii="宋体" w:hAnsi="宋体" w:cs="宋体"/>
          <w:color w:val="000080"/>
          <w:sz w:val="20"/>
        </w:rPr>
      </w:pPr>
    </w:p>
    <w:p w14:paraId="16AA62EE">
      <w:pPr>
        <w:pStyle w:val="28"/>
        <w:ind w:left="400" w:hanging="400"/>
        <w:rPr>
          <w:rFonts w:hint="eastAsia" w:ascii="宋体" w:hAnsi="宋体" w:cs="宋体"/>
          <w:color w:val="000080"/>
          <w:sz w:val="20"/>
        </w:rPr>
      </w:pPr>
    </w:p>
    <w:p w14:paraId="46221885">
      <w:pPr>
        <w:pStyle w:val="28"/>
        <w:ind w:left="400" w:hanging="400"/>
        <w:rPr>
          <w:rFonts w:hint="eastAsia" w:ascii="宋体" w:hAnsi="宋体" w:cs="宋体"/>
          <w:color w:val="000080"/>
          <w:sz w:val="20"/>
        </w:rPr>
      </w:pPr>
    </w:p>
    <w:p w14:paraId="6A7D1F87">
      <w:pPr>
        <w:pStyle w:val="28"/>
        <w:ind w:left="400" w:hanging="400"/>
        <w:rPr>
          <w:rFonts w:hint="eastAsia" w:ascii="宋体" w:hAnsi="宋体" w:cs="宋体"/>
          <w:color w:val="000080"/>
          <w:sz w:val="20"/>
        </w:rPr>
      </w:pPr>
    </w:p>
    <w:p w14:paraId="0AD44655">
      <w:pPr>
        <w:pStyle w:val="28"/>
        <w:ind w:left="420" w:hanging="420"/>
        <w:rPr>
          <w:rFonts w:hint="eastAsia" w:ascii="宋体" w:hAnsi="宋体" w:cs="宋体"/>
        </w:rPr>
      </w:pPr>
    </w:p>
    <w:p w14:paraId="2597057E">
      <w:pPr>
        <w:pStyle w:val="28"/>
        <w:ind w:left="420" w:hanging="420"/>
        <w:rPr>
          <w:rFonts w:hint="eastAsia" w:ascii="宋体" w:hAnsi="宋体" w:cs="宋体"/>
        </w:rPr>
      </w:pPr>
    </w:p>
    <w:p w14:paraId="02CAD094">
      <w:pPr>
        <w:pStyle w:val="21"/>
        <w:keepNext/>
        <w:jc w:val="center"/>
        <w:rPr>
          <w:rFonts w:hint="eastAsia" w:hAnsi="宋体" w:cs="宋体"/>
          <w:b/>
          <w:sz w:val="36"/>
          <w:szCs w:val="22"/>
        </w:rPr>
      </w:pPr>
      <w:r>
        <w:rPr>
          <w:rFonts w:hint="eastAsia" w:hAnsi="宋体" w:cs="宋体"/>
          <w:b/>
          <w:sz w:val="96"/>
          <w:szCs w:val="96"/>
        </w:rPr>
        <w:t>竞争性磋商文件</w:t>
      </w:r>
    </w:p>
    <w:p w14:paraId="2D8BD3B0">
      <w:pPr>
        <w:pStyle w:val="21"/>
        <w:keepNext/>
        <w:jc w:val="center"/>
        <w:rPr>
          <w:rFonts w:hint="eastAsia" w:hAnsi="宋体" w:cs="宋体"/>
          <w:b/>
          <w:sz w:val="52"/>
          <w:szCs w:val="52"/>
          <w:u w:val="single"/>
        </w:rPr>
      </w:pPr>
      <w:r>
        <w:rPr>
          <w:rFonts w:hint="eastAsia" w:hAnsi="宋体" w:cs="宋体"/>
          <w:b/>
          <w:sz w:val="52"/>
          <w:szCs w:val="52"/>
          <w:u w:val="single"/>
        </w:rPr>
        <w:t>（全过程电子化评标）</w:t>
      </w:r>
    </w:p>
    <w:p w14:paraId="1F46B3CB">
      <w:pPr>
        <w:pStyle w:val="21"/>
        <w:keepNext/>
        <w:rPr>
          <w:rFonts w:hint="eastAsia" w:hAnsi="宋体" w:cs="宋体"/>
          <w:b/>
          <w:sz w:val="32"/>
          <w:u w:val="single"/>
        </w:rPr>
      </w:pPr>
    </w:p>
    <w:p w14:paraId="2EA5EE8D">
      <w:pPr>
        <w:pStyle w:val="21"/>
        <w:keepNext/>
        <w:rPr>
          <w:rFonts w:hint="eastAsia" w:hAnsi="宋体" w:cs="宋体"/>
          <w:sz w:val="28"/>
          <w:szCs w:val="28"/>
          <w:u w:val="single"/>
        </w:rPr>
      </w:pPr>
    </w:p>
    <w:p w14:paraId="01D000AF">
      <w:pPr>
        <w:spacing w:line="500" w:lineRule="exact"/>
        <w:ind w:left="1400" w:hanging="1400" w:hangingChars="500"/>
        <w:jc w:val="left"/>
        <w:rPr>
          <w:rFonts w:hint="eastAsia" w:ascii="宋体" w:hAnsi="宋体" w:cs="宋体"/>
          <w:sz w:val="28"/>
          <w:szCs w:val="28"/>
          <w:u w:val="single"/>
        </w:rPr>
      </w:pPr>
      <w:r>
        <w:rPr>
          <w:rFonts w:hint="eastAsia" w:ascii="宋体" w:hAnsi="宋体" w:cs="宋体"/>
          <w:sz w:val="28"/>
          <w:szCs w:val="28"/>
        </w:rPr>
        <w:t xml:space="preserve">     </w:t>
      </w:r>
    </w:p>
    <w:p w14:paraId="0149964C">
      <w:pPr>
        <w:spacing w:line="800" w:lineRule="exact"/>
        <w:ind w:left="2251" w:hanging="2251" w:hangingChars="804"/>
        <w:rPr>
          <w:rFonts w:hint="default" w:ascii="宋体" w:hAnsi="宋体" w:eastAsia="宋体" w:cs="宋体"/>
          <w:sz w:val="28"/>
          <w:szCs w:val="28"/>
          <w:lang w:val="en-US" w:eastAsia="zh-CN"/>
        </w:rPr>
      </w:pPr>
      <w:r>
        <w:rPr>
          <w:rFonts w:hint="eastAsia" w:ascii="宋体" w:hAnsi="宋体" w:cs="宋体"/>
          <w:sz w:val="28"/>
          <w:szCs w:val="28"/>
        </w:rPr>
        <w:t>项目编号：XJHF202</w:t>
      </w:r>
      <w:r>
        <w:rPr>
          <w:rFonts w:hint="eastAsia" w:ascii="宋体" w:hAnsi="宋体" w:cs="宋体"/>
          <w:sz w:val="28"/>
          <w:szCs w:val="28"/>
          <w:lang w:val="en-US" w:eastAsia="zh-CN"/>
        </w:rPr>
        <w:t>5-004</w:t>
      </w:r>
    </w:p>
    <w:p w14:paraId="704AAA8C">
      <w:pPr>
        <w:spacing w:line="800" w:lineRule="exact"/>
        <w:ind w:left="2251" w:hanging="2251" w:hangingChars="804"/>
        <w:rPr>
          <w:rFonts w:hint="eastAsia" w:ascii="宋体" w:hAnsi="宋体" w:cs="宋体"/>
          <w:sz w:val="28"/>
          <w:szCs w:val="28"/>
          <w:u w:val="single"/>
        </w:rPr>
      </w:pPr>
      <w:r>
        <w:rPr>
          <w:rFonts w:hint="eastAsia" w:ascii="宋体" w:hAnsi="宋体" w:cs="宋体"/>
          <w:sz w:val="28"/>
          <w:szCs w:val="28"/>
        </w:rPr>
        <w:t xml:space="preserve">采购单位：伊吾县水利局                      </w:t>
      </w:r>
    </w:p>
    <w:p w14:paraId="4FEB0C35">
      <w:pPr>
        <w:spacing w:line="800" w:lineRule="exact"/>
        <w:ind w:left="2251" w:hanging="2251" w:hangingChars="804"/>
        <w:rPr>
          <w:rFonts w:hint="eastAsia" w:ascii="宋体" w:hAnsi="宋体" w:cs="宋体"/>
          <w:sz w:val="28"/>
          <w:szCs w:val="28"/>
        </w:rPr>
      </w:pPr>
      <w:r>
        <w:rPr>
          <w:rFonts w:hint="eastAsia" w:ascii="宋体" w:hAnsi="宋体" w:cs="宋体"/>
          <w:sz w:val="28"/>
          <w:szCs w:val="28"/>
        </w:rPr>
        <w:t xml:space="preserve">采购代理机构：新疆华飞项目咨询管理有限公司                  </w:t>
      </w:r>
    </w:p>
    <w:p w14:paraId="66055428">
      <w:pPr>
        <w:spacing w:line="800" w:lineRule="exact"/>
        <w:ind w:left="2251" w:hanging="2251" w:hangingChars="804"/>
        <w:rPr>
          <w:rFonts w:hint="eastAsia" w:ascii="宋体" w:hAnsi="宋体" w:cs="宋体"/>
          <w:sz w:val="28"/>
          <w:szCs w:val="28"/>
        </w:rPr>
      </w:pPr>
      <w:r>
        <w:rPr>
          <w:rFonts w:hint="eastAsia" w:ascii="宋体" w:hAnsi="宋体" w:cs="宋体"/>
          <w:sz w:val="28"/>
          <w:szCs w:val="28"/>
          <w:lang w:val="zh-CN"/>
        </w:rPr>
        <w:t>日期：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3</w:t>
      </w:r>
      <w:r>
        <w:rPr>
          <w:rFonts w:hint="eastAsia" w:ascii="宋体" w:hAnsi="宋体" w:cs="宋体"/>
          <w:sz w:val="28"/>
          <w:szCs w:val="28"/>
        </w:rPr>
        <w:t xml:space="preserve">月 </w:t>
      </w:r>
    </w:p>
    <w:p w14:paraId="1D3A6F0F">
      <w:pPr>
        <w:rPr>
          <w:rFonts w:hint="eastAsia" w:ascii="宋体" w:hAnsi="宋体" w:cs="宋体"/>
        </w:rPr>
      </w:pPr>
    </w:p>
    <w:p w14:paraId="32915DFE">
      <w:pPr>
        <w:rPr>
          <w:rFonts w:hint="eastAsia" w:ascii="宋体" w:hAnsi="宋体" w:cs="宋体"/>
          <w:highlight w:val="cyan"/>
        </w:rPr>
      </w:pPr>
      <w:bookmarkStart w:id="0" w:name="EB97aba6455570434e9ad5cf401cdecacc"/>
      <w:r>
        <w:rPr>
          <w:rFonts w:hint="eastAsia" w:ascii="宋体" w:hAnsi="宋体" w:cs="宋体"/>
          <w:color w:val="000080"/>
          <w:sz w:val="20"/>
          <w:highlight w:val="white"/>
        </w:rPr>
        <w:t xml:space="preserve"> </w:t>
      </w:r>
      <w:bookmarkEnd w:id="0"/>
    </w:p>
    <w:p w14:paraId="39FEC5BC">
      <w:pPr>
        <w:pStyle w:val="21"/>
        <w:adjustRightInd w:val="0"/>
        <w:snapToGrid w:val="0"/>
        <w:spacing w:line="360" w:lineRule="auto"/>
        <w:jc w:val="center"/>
        <w:rPr>
          <w:rFonts w:hint="eastAsia" w:hAnsi="宋体" w:cs="宋体"/>
          <w:b/>
          <w:spacing w:val="160"/>
          <w:sz w:val="32"/>
          <w:szCs w:val="32"/>
          <w:highlight w:val="white"/>
        </w:rPr>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pPr>
    </w:p>
    <w:p w14:paraId="723F3E74">
      <w:pPr>
        <w:pStyle w:val="2"/>
        <w:rPr>
          <w:rFonts w:hint="eastAsia" w:ascii="宋体" w:hAnsi="宋体" w:cs="宋体"/>
          <w:b/>
          <w:bCs/>
          <w:kern w:val="2"/>
          <w:sz w:val="24"/>
          <w:szCs w:val="20"/>
          <w:lang w:val="en-US" w:eastAsia="zh-CN" w:bidi="ar-SA"/>
        </w:rPr>
      </w:pPr>
      <w:bookmarkStart w:id="1" w:name="_Toc14583"/>
      <w:r>
        <w:rPr>
          <w:rFonts w:hint="eastAsia" w:hAnsi="宋体" w:cs="宋体"/>
          <w:b/>
          <w:bCs w:val="0"/>
          <w:spacing w:val="160"/>
          <w:sz w:val="32"/>
          <w:szCs w:val="32"/>
          <w:highlight w:val="white"/>
        </w:rPr>
        <w:t>目录</w:t>
      </w:r>
      <w:bookmarkEnd w:id="1"/>
      <w:r>
        <w:rPr>
          <w:rFonts w:hint="eastAsia" w:hAnsi="宋体" w:cs="宋体"/>
          <w:spacing w:val="160"/>
        </w:rPr>
        <w:fldChar w:fldCharType="begin"/>
      </w:r>
      <w:r>
        <w:rPr>
          <w:rFonts w:hint="eastAsia" w:hAnsi="宋体" w:cs="宋体"/>
          <w:spacing w:val="160"/>
          <w:highlight w:val="white"/>
        </w:rPr>
        <w:instrText xml:space="preserve">TOC \o "1-3" \h \u </w:instrText>
      </w:r>
      <w:r>
        <w:rPr>
          <w:rFonts w:hint="eastAsia" w:hAnsi="宋体" w:cs="宋体"/>
          <w:spacing w:val="160"/>
        </w:rPr>
        <w:fldChar w:fldCharType="separate"/>
      </w:r>
    </w:p>
    <w:p w14:paraId="2EF13611">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_Toc18162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第一章 竞争性磋商公告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_Toc18162 \h </w:instrText>
      </w:r>
      <w:r>
        <w:rPr>
          <w:rFonts w:hint="eastAsia" w:ascii="宋体" w:hAnsi="宋体" w:eastAsia="宋体" w:cs="宋体"/>
          <w:sz w:val="28"/>
          <w:szCs w:val="24"/>
        </w:rPr>
        <w:fldChar w:fldCharType="separate"/>
      </w:r>
      <w:r>
        <w:rPr>
          <w:rFonts w:hint="eastAsia" w:ascii="宋体" w:hAnsi="宋体" w:eastAsia="宋体" w:cs="宋体"/>
          <w:sz w:val="28"/>
          <w:szCs w:val="24"/>
        </w:rPr>
        <w:t>1</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05721450">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_Toc2843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第二章 磋商须知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_Toc2843 \h </w:instrText>
      </w:r>
      <w:r>
        <w:rPr>
          <w:rFonts w:hint="eastAsia" w:ascii="宋体" w:hAnsi="宋体" w:eastAsia="宋体" w:cs="宋体"/>
          <w:sz w:val="28"/>
          <w:szCs w:val="24"/>
        </w:rPr>
        <w:fldChar w:fldCharType="separate"/>
      </w:r>
      <w:r>
        <w:rPr>
          <w:rFonts w:hint="eastAsia" w:ascii="宋体" w:hAnsi="宋体" w:eastAsia="宋体" w:cs="宋体"/>
          <w:sz w:val="28"/>
          <w:szCs w:val="24"/>
        </w:rPr>
        <w:t>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E524D1E">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_Toc23422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第三章 评审方法（综合评分法）</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_Toc23422 \h </w:instrText>
      </w:r>
      <w:r>
        <w:rPr>
          <w:rFonts w:hint="eastAsia" w:ascii="宋体" w:hAnsi="宋体" w:eastAsia="宋体" w:cs="宋体"/>
          <w:sz w:val="28"/>
          <w:szCs w:val="24"/>
        </w:rPr>
        <w:fldChar w:fldCharType="separate"/>
      </w:r>
      <w:r>
        <w:rPr>
          <w:rFonts w:hint="eastAsia" w:ascii="宋体" w:hAnsi="宋体" w:eastAsia="宋体" w:cs="宋体"/>
          <w:sz w:val="28"/>
          <w:szCs w:val="24"/>
        </w:rPr>
        <w:t>20</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758EF8A">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_Toc17376 </w:instrText>
      </w:r>
      <w:r>
        <w:rPr>
          <w:rFonts w:hint="eastAsia" w:ascii="宋体" w:hAnsi="宋体" w:eastAsia="宋体" w:cs="宋体"/>
          <w:sz w:val="28"/>
          <w:szCs w:val="24"/>
        </w:rPr>
        <w:fldChar w:fldCharType="separate"/>
      </w:r>
      <w:r>
        <w:rPr>
          <w:rFonts w:hint="eastAsia" w:ascii="宋体" w:hAnsi="宋体" w:eastAsia="宋体" w:cs="宋体"/>
          <w:kern w:val="0"/>
          <w:sz w:val="28"/>
          <w:szCs w:val="40"/>
        </w:rPr>
        <w:t>第四章 合同条款及格式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_Toc17376 \h </w:instrText>
      </w:r>
      <w:r>
        <w:rPr>
          <w:rFonts w:hint="eastAsia" w:ascii="宋体" w:hAnsi="宋体" w:eastAsia="宋体" w:cs="宋体"/>
          <w:sz w:val="28"/>
          <w:szCs w:val="24"/>
        </w:rPr>
        <w:fldChar w:fldCharType="separate"/>
      </w:r>
      <w:r>
        <w:rPr>
          <w:rFonts w:hint="eastAsia" w:ascii="宋体" w:hAnsi="宋体" w:eastAsia="宋体" w:cs="宋体"/>
          <w:sz w:val="28"/>
          <w:szCs w:val="24"/>
        </w:rPr>
        <w:t>24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45392BB2">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_Toc4396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 xml:space="preserve">第五章 </w:t>
      </w:r>
      <w:r>
        <w:rPr>
          <w:rFonts w:hint="eastAsia" w:ascii="宋体" w:hAnsi="宋体" w:eastAsia="宋体" w:cs="宋体"/>
          <w:kern w:val="0"/>
          <w:sz w:val="28"/>
          <w:szCs w:val="40"/>
        </w:rPr>
        <w:t>项目技术要求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_Toc4396 \h </w:instrText>
      </w:r>
      <w:r>
        <w:rPr>
          <w:rFonts w:hint="eastAsia" w:ascii="宋体" w:hAnsi="宋体" w:eastAsia="宋体" w:cs="宋体"/>
          <w:sz w:val="28"/>
          <w:szCs w:val="24"/>
        </w:rPr>
        <w:fldChar w:fldCharType="separate"/>
      </w:r>
      <w:r>
        <w:rPr>
          <w:rFonts w:hint="eastAsia" w:ascii="宋体" w:hAnsi="宋体" w:eastAsia="宋体" w:cs="宋体"/>
          <w:sz w:val="28"/>
          <w:szCs w:val="24"/>
        </w:rPr>
        <w:t>34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1F8B550E">
      <w:pPr>
        <w:pStyle w:val="27"/>
        <w:tabs>
          <w:tab w:val="right" w:leader="dot" w:pos="8844"/>
        </w:tabs>
        <w:rPr>
          <w:rFonts w:hint="eastAsia" w:eastAsia="宋体"/>
          <w:lang w:eastAsia="zh-CN"/>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_Toc16170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第六章 响应文件格式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_Toc16170 \h </w:instrText>
      </w:r>
      <w:r>
        <w:rPr>
          <w:rFonts w:hint="eastAsia" w:ascii="宋体" w:hAnsi="宋体" w:eastAsia="宋体" w:cs="宋体"/>
          <w:sz w:val="28"/>
          <w:szCs w:val="24"/>
        </w:rPr>
        <w:fldChar w:fldCharType="separate"/>
      </w:r>
      <w:r>
        <w:rPr>
          <w:rFonts w:hint="eastAsia" w:ascii="宋体" w:hAnsi="宋体" w:eastAsia="宋体" w:cs="宋体"/>
          <w:sz w:val="28"/>
          <w:szCs w:val="24"/>
        </w:rPr>
        <w:t>37</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FC23C9C"/>
    <w:p w14:paraId="55C4026E"/>
    <w:p w14:paraId="67FC75EC">
      <w:pPr>
        <w:rPr>
          <w:sz w:val="20"/>
          <w:szCs w:val="21"/>
        </w:rPr>
      </w:pPr>
    </w:p>
    <w:p w14:paraId="2DB6ED4B"/>
    <w:p w14:paraId="4D6294E8"/>
    <w:p w14:paraId="02FE8B4C"/>
    <w:p w14:paraId="0A74BDA0"/>
    <w:p w14:paraId="1632825D"/>
    <w:p w14:paraId="46FDC7D4"/>
    <w:p w14:paraId="5578A6C5"/>
    <w:p w14:paraId="21EEFA87"/>
    <w:p w14:paraId="7106A4ED"/>
    <w:p w14:paraId="5BA382F3"/>
    <w:p w14:paraId="136F800A"/>
    <w:p w14:paraId="6F8FAE93"/>
    <w:p w14:paraId="300C68F8"/>
    <w:p w14:paraId="3A72D3D6"/>
    <w:p w14:paraId="0B85317E">
      <w:pPr>
        <w:pStyle w:val="2"/>
        <w:bidi w:val="0"/>
        <w:rPr>
          <w:rFonts w:hint="eastAsia" w:ascii="宋体" w:hAnsi="宋体" w:cs="宋体"/>
        </w:rPr>
        <w:sectPr>
          <w:footerReference r:id="rId7" w:type="default"/>
          <w:pgSz w:w="11906" w:h="16838"/>
          <w:pgMar w:top="1440" w:right="1531" w:bottom="1440" w:left="1531" w:header="851" w:footer="992" w:gutter="0"/>
          <w:pgNumType w:fmt="decimal" w:start="1"/>
          <w:cols w:space="720" w:num="1"/>
          <w:docGrid w:type="lines" w:linePitch="312" w:charSpace="0"/>
        </w:sectPr>
      </w:pPr>
    </w:p>
    <w:p w14:paraId="75EB8B09">
      <w:pPr>
        <w:pStyle w:val="2"/>
        <w:bidi w:val="0"/>
        <w:rPr>
          <w:rFonts w:hint="eastAsia" w:ascii="宋体" w:hAnsi="宋体" w:cs="宋体"/>
        </w:rPr>
      </w:pPr>
      <w:r>
        <w:rPr>
          <w:rFonts w:hint="eastAsia" w:ascii="宋体" w:hAnsi="宋体" w:cs="宋体"/>
        </w:rPr>
        <w:fldChar w:fldCharType="end"/>
      </w:r>
      <w:bookmarkStart w:id="2" w:name="_Toc532543563"/>
      <w:bookmarkStart w:id="3" w:name="_Toc18162"/>
      <w:bookmarkStart w:id="4" w:name="_Toc17923"/>
      <w:bookmarkStart w:id="5" w:name="EBd1a6136fe5144227b12ab2e6f6004aca"/>
      <w:r>
        <w:rPr>
          <w:rFonts w:hint="eastAsia" w:ascii="宋体" w:hAnsi="宋体" w:cs="宋体"/>
          <w:sz w:val="36"/>
          <w:szCs w:val="36"/>
          <w:highlight w:val="white"/>
        </w:rPr>
        <w:t>第一章 竞争性磋商</w:t>
      </w:r>
      <w:bookmarkEnd w:id="2"/>
      <w:r>
        <w:rPr>
          <w:rFonts w:hint="eastAsia" w:ascii="宋体" w:hAnsi="宋体" w:cs="宋体"/>
          <w:sz w:val="36"/>
          <w:szCs w:val="36"/>
          <w:highlight w:val="white"/>
        </w:rPr>
        <w:t>公告</w:t>
      </w:r>
      <w:bookmarkEnd w:id="3"/>
      <w:bookmarkEnd w:id="4"/>
    </w:p>
    <w:bookmarkEnd w:id="5"/>
    <w:p w14:paraId="35FFCAD0">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D3937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哈密市伊吾县2025年水利信息化运行维护项目</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年</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24</w:t>
      </w:r>
      <w:r>
        <w:rPr>
          <w:rFonts w:hint="eastAsia" w:ascii="宋体" w:hAnsi="宋体" w:cs="宋体"/>
          <w:b/>
          <w:bCs/>
          <w:color w:val="000000"/>
          <w:sz w:val="24"/>
          <w:szCs w:val="24"/>
        </w:rPr>
        <w:t>日1</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w:t>
      </w:r>
      <w:r>
        <w:rPr>
          <w:rFonts w:hint="eastAsia" w:ascii="宋体" w:hAnsi="宋体" w:cs="宋体"/>
          <w:sz w:val="24"/>
          <w:szCs w:val="24"/>
        </w:rPr>
        <w:t>（北京时间）前提交投标文件。</w:t>
      </w:r>
    </w:p>
    <w:p w14:paraId="75B202F9">
      <w:pPr>
        <w:pStyle w:val="113"/>
        <w:widowControl/>
        <w:numPr>
          <w:ilvl w:val="0"/>
          <w:numId w:val="2"/>
        </w:numPr>
        <w:spacing w:line="360" w:lineRule="auto"/>
        <w:ind w:firstLineChars="0"/>
        <w:rPr>
          <w:rFonts w:hint="eastAsia" w:ascii="宋体" w:hAnsi="宋体" w:cs="宋体"/>
        </w:rPr>
      </w:pPr>
      <w:r>
        <w:rPr>
          <w:rFonts w:hint="eastAsia" w:ascii="宋体" w:hAnsi="宋体" w:cs="宋体"/>
          <w:b/>
          <w:color w:val="000000"/>
          <w:sz w:val="24"/>
          <w:szCs w:val="24"/>
        </w:rPr>
        <w:t>项目基本情况</w:t>
      </w:r>
    </w:p>
    <w:p w14:paraId="06FDD261">
      <w:pPr>
        <w:pStyle w:val="95"/>
        <w:spacing w:line="360" w:lineRule="auto"/>
        <w:ind w:firstLine="480" w:firstLineChars="200"/>
        <w:rPr>
          <w:rFonts w:hint="default" w:ascii="宋体" w:hAnsi="宋体" w:eastAsia="宋体" w:cs="宋体"/>
          <w:sz w:val="24"/>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XJHF202</w:t>
      </w:r>
      <w:r>
        <w:rPr>
          <w:rFonts w:hint="eastAsia" w:ascii="宋体" w:hAnsi="宋体" w:cs="宋体"/>
          <w:sz w:val="24"/>
          <w:szCs w:val="28"/>
          <w:lang w:val="en-US" w:eastAsia="zh-CN"/>
        </w:rPr>
        <w:t>5</w:t>
      </w:r>
      <w:r>
        <w:rPr>
          <w:rFonts w:hint="eastAsia" w:ascii="宋体" w:hAnsi="宋体" w:eastAsia="宋体" w:cs="宋体"/>
          <w:sz w:val="24"/>
          <w:szCs w:val="28"/>
          <w:lang w:val="en-US" w:eastAsia="zh-CN"/>
        </w:rPr>
        <w:t>-0</w:t>
      </w:r>
      <w:r>
        <w:rPr>
          <w:rFonts w:hint="eastAsia" w:ascii="宋体" w:hAnsi="宋体" w:cs="宋体"/>
          <w:sz w:val="24"/>
          <w:szCs w:val="28"/>
          <w:lang w:val="en-US" w:eastAsia="zh-CN"/>
        </w:rPr>
        <w:t>04</w:t>
      </w:r>
    </w:p>
    <w:p w14:paraId="4C59DEDA">
      <w:pPr>
        <w:pStyle w:val="95"/>
        <w:spacing w:line="360" w:lineRule="auto"/>
        <w:ind w:firstLine="480" w:firstLineChars="20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哈密市伊吾县2025年水利信息化运行维护项目</w:t>
      </w:r>
    </w:p>
    <w:p w14:paraId="3D5D5CE4">
      <w:pPr>
        <w:pStyle w:val="95"/>
        <w:spacing w:line="360" w:lineRule="auto"/>
        <w:ind w:firstLine="480" w:firstLineChars="200"/>
        <w:rPr>
          <w:rFonts w:hint="eastAsia" w:hAnsi="宋体" w:cs="宋体"/>
          <w:sz w:val="24"/>
          <w:szCs w:val="28"/>
        </w:rPr>
      </w:pPr>
      <w:r>
        <w:rPr>
          <w:rFonts w:hint="eastAsia" w:hAnsi="宋体" w:cs="宋体"/>
          <w:sz w:val="24"/>
          <w:szCs w:val="28"/>
        </w:rPr>
        <w:t>采购方式：竞争性磋商</w:t>
      </w:r>
    </w:p>
    <w:p w14:paraId="5B4B0434">
      <w:pPr>
        <w:pStyle w:val="95"/>
        <w:spacing w:line="360" w:lineRule="auto"/>
        <w:ind w:firstLine="480" w:firstLineChars="200"/>
        <w:rPr>
          <w:rFonts w:hint="eastAsia" w:hAnsi="宋体" w:cs="宋体"/>
          <w:sz w:val="24"/>
          <w:szCs w:val="28"/>
        </w:rPr>
      </w:pPr>
      <w:r>
        <w:rPr>
          <w:rFonts w:hint="eastAsia" w:hAnsi="宋体" w:cs="宋体"/>
          <w:sz w:val="24"/>
          <w:szCs w:val="28"/>
        </w:rPr>
        <w:t>预算金额：</w:t>
      </w:r>
      <w:r>
        <w:rPr>
          <w:rFonts w:hint="eastAsia" w:ascii="宋体" w:hAnsi="宋体"/>
          <w:sz w:val="24"/>
          <w:szCs w:val="28"/>
          <w:lang w:val="en-US" w:eastAsia="zh-CN"/>
        </w:rPr>
        <w:t>1010000.00</w:t>
      </w:r>
      <w:r>
        <w:rPr>
          <w:rFonts w:hint="eastAsia" w:hAnsi="宋体" w:cs="宋体"/>
          <w:sz w:val="24"/>
          <w:szCs w:val="28"/>
        </w:rPr>
        <w:t>元</w:t>
      </w:r>
    </w:p>
    <w:p w14:paraId="7AD8419D">
      <w:pPr>
        <w:pStyle w:val="28"/>
        <w:spacing w:line="360" w:lineRule="auto"/>
        <w:ind w:left="479" w:leftChars="228" w:firstLine="0" w:firstLineChars="0"/>
        <w:rPr>
          <w:rFonts w:hint="eastAsia" w:ascii="宋体" w:hAnsi="宋体" w:cs="宋体"/>
          <w:color w:val="000000"/>
          <w:sz w:val="24"/>
          <w:szCs w:val="24"/>
        </w:rPr>
      </w:pPr>
      <w:r>
        <w:rPr>
          <w:rFonts w:hint="eastAsia" w:ascii="宋体" w:hAnsi="宋体" w:cs="宋体"/>
          <w:sz w:val="24"/>
          <w:szCs w:val="24"/>
          <w:lang w:bidi="ar"/>
        </w:rPr>
        <w:t>采购</w:t>
      </w:r>
      <w:r>
        <w:rPr>
          <w:rFonts w:hint="eastAsia" w:ascii="宋体" w:hAnsi="宋体" w:cs="宋体"/>
          <w:sz w:val="24"/>
          <w:szCs w:val="24"/>
          <w:lang w:val="en-US" w:eastAsia="zh-CN" w:bidi="ar"/>
        </w:rPr>
        <w:t>内容</w:t>
      </w:r>
      <w:r>
        <w:rPr>
          <w:rFonts w:hint="eastAsia" w:ascii="宋体" w:hAnsi="宋体" w:cs="宋体"/>
          <w:sz w:val="24"/>
          <w:szCs w:val="24"/>
          <w:lang w:bidi="ar"/>
        </w:rPr>
        <w:t>：</w:t>
      </w:r>
      <w:r>
        <w:rPr>
          <w:rFonts w:hint="eastAsia" w:ascii="宋体" w:hAnsi="宋体"/>
          <w:sz w:val="24"/>
          <w:szCs w:val="28"/>
          <w:lang w:eastAsia="zh-CN"/>
        </w:rPr>
        <w:t>哈密市伊吾县2025年水利信息化运行维护项目，</w:t>
      </w:r>
      <w:r>
        <w:rPr>
          <w:rFonts w:hint="eastAsia" w:ascii="宋体" w:hAnsi="宋体" w:cs="宋体"/>
          <w:color w:val="000000"/>
          <w:sz w:val="24"/>
          <w:szCs w:val="24"/>
        </w:rPr>
        <w:t>具体要求详见</w:t>
      </w:r>
    </w:p>
    <w:p w14:paraId="45F8C287">
      <w:pPr>
        <w:pStyle w:val="28"/>
        <w:spacing w:line="360" w:lineRule="auto"/>
        <w:rPr>
          <w:rFonts w:hint="eastAsia" w:ascii="宋体" w:hAnsi="宋体" w:eastAsia="宋体" w:cs="宋体"/>
          <w:color w:val="000000"/>
          <w:sz w:val="24"/>
          <w:szCs w:val="24"/>
          <w:u w:val="single"/>
          <w:lang w:eastAsia="zh-CN" w:bidi="ar"/>
        </w:rPr>
      </w:pPr>
      <w:r>
        <w:rPr>
          <w:rFonts w:hint="eastAsia" w:ascii="宋体" w:hAnsi="宋体" w:cs="宋体"/>
          <w:color w:val="000000"/>
          <w:sz w:val="24"/>
          <w:szCs w:val="24"/>
        </w:rPr>
        <w:t>竞争性磋商文件</w:t>
      </w:r>
      <w:r>
        <w:rPr>
          <w:rFonts w:hint="eastAsia" w:ascii="宋体" w:hAnsi="宋体" w:cs="宋体"/>
          <w:color w:val="000000"/>
          <w:sz w:val="24"/>
          <w:szCs w:val="24"/>
          <w:lang w:eastAsia="zh-CN"/>
        </w:rPr>
        <w:t>。</w:t>
      </w:r>
    </w:p>
    <w:p w14:paraId="012CAEAE">
      <w:pPr>
        <w:pStyle w:val="95"/>
        <w:spacing w:line="360" w:lineRule="auto"/>
        <w:ind w:firstLine="480" w:firstLineChars="200"/>
        <w:rPr>
          <w:rFonts w:ascii="宋体" w:hAnsi="宋体" w:cs="宋体"/>
          <w:color w:val="auto"/>
          <w:sz w:val="24"/>
          <w:szCs w:val="24"/>
          <w:u w:val="single"/>
          <w:lang w:val="en-US" w:eastAsia="zh-CN"/>
        </w:rPr>
      </w:pPr>
      <w:r>
        <w:rPr>
          <w:rFonts w:hint="eastAsia" w:ascii="宋体" w:hAnsi="宋体" w:cs="宋体"/>
          <w:color w:val="auto"/>
          <w:sz w:val="24"/>
          <w:szCs w:val="24"/>
          <w:lang w:val="en-US" w:eastAsia="zh-CN" w:bidi="ar"/>
        </w:rPr>
        <w:t>服务期</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1年</w:t>
      </w:r>
    </w:p>
    <w:p w14:paraId="2FB48927">
      <w:pPr>
        <w:pStyle w:val="95"/>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117"/>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117"/>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eastAsia="宋体" w:cs="宋体"/>
          <w:kern w:val="0"/>
          <w:sz w:val="24"/>
        </w:rPr>
        <w:t>2023</w:t>
      </w:r>
      <w:r>
        <w:rPr>
          <w:rFonts w:hint="eastAsia"/>
          <w:kern w:val="0"/>
          <w:sz w:val="24"/>
        </w:rPr>
        <w:t>年度经会计师事务所审计的完整财务报告，成立不足一年的提供成立至今的财务报表）；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6592B137">
      <w:pPr>
        <w:spacing w:line="440" w:lineRule="exact"/>
        <w:ind w:firstLine="480" w:firstLineChars="200"/>
        <w:rPr>
          <w:rFonts w:hint="eastAsia"/>
          <w:kern w:val="0"/>
          <w:sz w:val="24"/>
        </w:rPr>
      </w:pPr>
      <w:r>
        <w:rPr>
          <w:rFonts w:hint="eastAsia"/>
          <w:kern w:val="0"/>
          <w:sz w:val="24"/>
          <w:lang w:val="en-US" w:eastAsia="zh-CN"/>
        </w:rPr>
        <w:t>2.</w:t>
      </w:r>
      <w:r>
        <w:rPr>
          <w:rFonts w:hint="eastAsia"/>
          <w:kern w:val="0"/>
          <w:sz w:val="24"/>
        </w:rPr>
        <w:t>其他说明：（1）与</w:t>
      </w:r>
      <w:r>
        <w:rPr>
          <w:rFonts w:hint="eastAsia"/>
          <w:kern w:val="0"/>
          <w:sz w:val="24"/>
          <w:lang w:eastAsia="zh-CN"/>
        </w:rPr>
        <w:t>采购人</w:t>
      </w:r>
      <w:r>
        <w:rPr>
          <w:rFonts w:hint="eastAsia"/>
          <w:kern w:val="0"/>
          <w:sz w:val="24"/>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117"/>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本项目专门面向中小企业</w:t>
      </w:r>
    </w:p>
    <w:p w14:paraId="77FD2839">
      <w:pPr>
        <w:pStyle w:val="186"/>
        <w:spacing w:line="360" w:lineRule="auto"/>
        <w:rPr>
          <w:rFonts w:hint="eastAsia" w:ascii="宋体" w:hAnsi="宋体"/>
          <w:b/>
          <w:bCs/>
          <w:sz w:val="24"/>
          <w:szCs w:val="24"/>
        </w:rPr>
      </w:pPr>
      <w:r>
        <w:rPr>
          <w:rFonts w:hint="eastAsia" w:ascii="宋体" w:hAnsi="宋体"/>
          <w:b/>
          <w:bCs/>
          <w:sz w:val="24"/>
          <w:szCs w:val="24"/>
        </w:rPr>
        <w:t>三、获取采购文件</w:t>
      </w:r>
    </w:p>
    <w:p w14:paraId="0C92F92C">
      <w:pPr>
        <w:pStyle w:val="95"/>
        <w:spacing w:line="360" w:lineRule="auto"/>
        <w:ind w:firstLine="482" w:firstLineChars="200"/>
        <w:rPr>
          <w:rFonts w:hint="eastAsia" w:ascii="宋体" w:hAnsi="宋体" w:cs="宋体"/>
          <w:b/>
          <w:bCs/>
          <w:color w:val="000000"/>
          <w:sz w:val="24"/>
          <w:szCs w:val="24"/>
          <w:u w:val="single"/>
        </w:rPr>
      </w:pPr>
      <w:r>
        <w:rPr>
          <w:rFonts w:hint="eastAsia" w:ascii="宋体" w:hAnsi="宋体" w:cs="宋体"/>
          <w:b/>
          <w:bCs/>
          <w:color w:val="000000"/>
          <w:sz w:val="24"/>
          <w:szCs w:val="24"/>
          <w:lang w:bidi="ar"/>
        </w:rPr>
        <w:t xml:space="preserve">时间: </w:t>
      </w:r>
      <w:r>
        <w:rPr>
          <w:rFonts w:hint="eastAsia" w:ascii="宋体" w:hAnsi="宋体" w:cs="宋体"/>
          <w:b/>
          <w:bCs/>
          <w:color w:val="000000"/>
          <w:sz w:val="24"/>
          <w:szCs w:val="24"/>
          <w:u w:val="single"/>
        </w:rPr>
        <w:t>202</w:t>
      </w:r>
      <w:r>
        <w:rPr>
          <w:rFonts w:hint="eastAsia" w:ascii="宋体" w:hAnsi="宋体" w:cs="宋体"/>
          <w:b/>
          <w:bCs/>
          <w:color w:val="000000"/>
          <w:sz w:val="24"/>
          <w:szCs w:val="24"/>
          <w:u w:val="single"/>
          <w:lang w:val="en-US" w:eastAsia="zh-CN"/>
        </w:rPr>
        <w:t>5</w:t>
      </w:r>
      <w:r>
        <w:rPr>
          <w:rFonts w:hint="eastAsia" w:ascii="宋体" w:hAnsi="宋体" w:cs="宋体"/>
          <w:b/>
          <w:bCs/>
          <w:color w:val="000000"/>
          <w:sz w:val="24"/>
          <w:szCs w:val="24"/>
          <w:u w:val="single"/>
        </w:rPr>
        <w:t>年</w:t>
      </w:r>
      <w:r>
        <w:rPr>
          <w:rFonts w:hint="eastAsia" w:ascii="宋体" w:hAnsi="宋体" w:cs="宋体"/>
          <w:b/>
          <w:bCs/>
          <w:color w:val="000000"/>
          <w:sz w:val="24"/>
          <w:szCs w:val="24"/>
          <w:u w:val="single"/>
          <w:lang w:val="en-US" w:eastAsia="zh-CN"/>
        </w:rPr>
        <w:t>3</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13</w:t>
      </w:r>
      <w:r>
        <w:rPr>
          <w:rFonts w:hint="eastAsia" w:ascii="宋体" w:hAnsi="宋体" w:cs="宋体"/>
          <w:b/>
          <w:bCs/>
          <w:color w:val="000000"/>
          <w:sz w:val="24"/>
          <w:szCs w:val="24"/>
          <w:u w:val="single"/>
        </w:rPr>
        <w:t>日至202</w:t>
      </w:r>
      <w:r>
        <w:rPr>
          <w:rFonts w:hint="eastAsia" w:ascii="宋体" w:hAnsi="宋体" w:cs="宋体"/>
          <w:b/>
          <w:bCs/>
          <w:color w:val="000000"/>
          <w:sz w:val="24"/>
          <w:szCs w:val="24"/>
          <w:u w:val="single"/>
          <w:lang w:val="en-US" w:eastAsia="zh-CN"/>
        </w:rPr>
        <w:t>5</w:t>
      </w:r>
      <w:r>
        <w:rPr>
          <w:rFonts w:hint="eastAsia" w:ascii="宋体" w:hAnsi="宋体" w:cs="宋体"/>
          <w:b/>
          <w:bCs/>
          <w:color w:val="000000"/>
          <w:sz w:val="24"/>
          <w:szCs w:val="24"/>
          <w:u w:val="single"/>
        </w:rPr>
        <w:t>年</w:t>
      </w:r>
      <w:r>
        <w:rPr>
          <w:rFonts w:hint="eastAsia" w:ascii="宋体" w:hAnsi="宋体" w:cs="宋体"/>
          <w:b/>
          <w:bCs/>
          <w:color w:val="000000"/>
          <w:sz w:val="24"/>
          <w:szCs w:val="24"/>
          <w:u w:val="single"/>
          <w:lang w:val="en-US" w:eastAsia="zh-CN"/>
        </w:rPr>
        <w:t>3</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20</w:t>
      </w:r>
      <w:r>
        <w:rPr>
          <w:rFonts w:hint="eastAsia" w:ascii="宋体" w:hAnsi="宋体" w:cs="宋体"/>
          <w:b/>
          <w:bCs/>
          <w:color w:val="000000"/>
          <w:sz w:val="24"/>
          <w:szCs w:val="24"/>
          <w:u w:val="single"/>
        </w:rPr>
        <w:t>日，每日上午0</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0时，下午1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w:t>
      </w:r>
      <w:r>
        <w:rPr>
          <w:rFonts w:hint="eastAsia" w:ascii="宋体" w:hAnsi="宋体" w:cs="宋体"/>
          <w:b/>
          <w:bCs/>
          <w:color w:val="000000"/>
          <w:sz w:val="24"/>
          <w:szCs w:val="24"/>
          <w:u w:val="single"/>
          <w:lang w:val="en-US" w:eastAsia="zh-CN"/>
        </w:rPr>
        <w:t>23</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59</w:t>
      </w:r>
      <w:r>
        <w:rPr>
          <w:rFonts w:hint="eastAsia" w:ascii="宋体" w:hAnsi="宋体" w:cs="宋体"/>
          <w:b/>
          <w:bCs/>
          <w:color w:val="000000"/>
          <w:sz w:val="24"/>
          <w:szCs w:val="24"/>
          <w:u w:val="single"/>
        </w:rPr>
        <w:t xml:space="preserve">时（北京时间，节假日除外） </w:t>
      </w:r>
    </w:p>
    <w:p w14:paraId="0799F63A">
      <w:pPr>
        <w:pStyle w:val="95"/>
        <w:spacing w:line="360" w:lineRule="auto"/>
        <w:ind w:firstLine="480" w:firstLineChars="200"/>
        <w:rPr>
          <w:rFonts w:hint="eastAsia" w:ascii="宋体" w:hAnsi="宋体" w:cs="宋体"/>
          <w:color w:val="000000"/>
          <w:sz w:val="24"/>
          <w:szCs w:val="24"/>
        </w:rPr>
      </w:pPr>
      <w:r>
        <w:rPr>
          <w:rFonts w:hint="eastAsia" w:ascii="宋体" w:hAnsi="宋体" w:cs="宋体"/>
          <w:sz w:val="24"/>
          <w:szCs w:val="24"/>
          <w:lang w:eastAsia="zh-CN"/>
        </w:rPr>
        <w:t>地点：新疆政府采购网（http://www.ccgp-xinjiang.gov.cn）政采云平台线上获取</w:t>
      </w:r>
    </w:p>
    <w:p w14:paraId="5EFD7C80">
      <w:pPr>
        <w:pStyle w:val="95"/>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170F98B2">
      <w:pPr>
        <w:pStyle w:val="117"/>
        <w:spacing w:line="360" w:lineRule="auto"/>
        <w:ind w:right="-307" w:rightChars="-146" w:firstLine="480" w:firstLineChars="200"/>
        <w:rPr>
          <w:rFonts w:hint="eastAsia" w:ascii="宋体" w:hAnsi="宋体" w:cs="宋体"/>
          <w:b/>
          <w:bCs/>
          <w:sz w:val="24"/>
          <w:szCs w:val="24"/>
        </w:rPr>
      </w:pPr>
      <w:r>
        <w:rPr>
          <w:rFonts w:hint="eastAsia" w:ascii="宋体" w:hAnsi="宋体" w:cs="宋体"/>
          <w:color w:val="000000"/>
          <w:sz w:val="24"/>
          <w:szCs w:val="24"/>
        </w:rPr>
        <w:t>售价（元）：0</w:t>
      </w:r>
    </w:p>
    <w:p w14:paraId="0D17CE5B">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响应文件提交</w:t>
      </w:r>
    </w:p>
    <w:p w14:paraId="68914E2A">
      <w:pPr>
        <w:pStyle w:val="34"/>
        <w:spacing w:before="0" w:beforeAutospacing="0" w:after="0" w:afterAutospacing="0" w:line="408" w:lineRule="auto"/>
        <w:ind w:firstLine="480" w:firstLineChars="200"/>
        <w:rPr>
          <w:rFonts w:hint="eastAsia"/>
          <w:szCs w:val="24"/>
        </w:rPr>
      </w:pPr>
      <w:r>
        <w:rPr>
          <w:rFonts w:hint="eastAsia"/>
          <w:szCs w:val="24"/>
        </w:rPr>
        <w:t>截止时间：</w:t>
      </w:r>
      <w:r>
        <w:rPr>
          <w:rFonts w:hint="eastAsia"/>
          <w:b/>
          <w:bCs/>
          <w:color w:val="000000"/>
          <w:szCs w:val="24"/>
          <w:u w:val="single"/>
          <w:lang w:eastAsia="zh-CN"/>
        </w:rPr>
        <w:t>202</w:t>
      </w:r>
      <w:r>
        <w:rPr>
          <w:rFonts w:hint="eastAsia"/>
          <w:b/>
          <w:bCs/>
          <w:color w:val="000000"/>
          <w:szCs w:val="24"/>
          <w:u w:val="single"/>
          <w:lang w:val="en-US" w:eastAsia="zh-CN"/>
        </w:rPr>
        <w:t>5</w:t>
      </w:r>
      <w:r>
        <w:rPr>
          <w:rFonts w:hint="eastAsia"/>
          <w:b/>
          <w:bCs/>
          <w:color w:val="000000"/>
          <w:szCs w:val="24"/>
          <w:u w:val="single"/>
          <w:lang w:eastAsia="zh-CN"/>
        </w:rPr>
        <w:t>年</w:t>
      </w:r>
      <w:r>
        <w:rPr>
          <w:rFonts w:hint="eastAsia"/>
          <w:b/>
          <w:bCs/>
          <w:color w:val="000000"/>
          <w:szCs w:val="24"/>
          <w:u w:val="single"/>
          <w:lang w:val="en-US" w:eastAsia="zh-CN"/>
        </w:rPr>
        <w:t>3</w:t>
      </w:r>
      <w:r>
        <w:rPr>
          <w:rFonts w:hint="eastAsia"/>
          <w:b/>
          <w:bCs/>
          <w:color w:val="000000"/>
          <w:szCs w:val="24"/>
          <w:u w:val="single"/>
          <w:lang w:eastAsia="zh-CN"/>
        </w:rPr>
        <w:t>月</w:t>
      </w:r>
      <w:r>
        <w:rPr>
          <w:rFonts w:hint="eastAsia"/>
          <w:b/>
          <w:bCs/>
          <w:color w:val="000000"/>
          <w:szCs w:val="24"/>
          <w:u w:val="single"/>
          <w:lang w:val="en-US" w:eastAsia="zh-CN"/>
        </w:rPr>
        <w:t>24</w:t>
      </w:r>
      <w:r>
        <w:rPr>
          <w:rFonts w:hint="eastAsia"/>
          <w:b/>
          <w:bCs/>
          <w:color w:val="000000"/>
          <w:szCs w:val="24"/>
          <w:u w:val="single"/>
          <w:lang w:eastAsia="zh-CN"/>
        </w:rPr>
        <w:t>日10时</w:t>
      </w:r>
      <w:r>
        <w:rPr>
          <w:rFonts w:hint="eastAsia"/>
          <w:b/>
          <w:bCs/>
          <w:color w:val="000000"/>
          <w:szCs w:val="24"/>
          <w:u w:val="single"/>
          <w:lang w:val="en-US" w:eastAsia="zh-CN"/>
        </w:rPr>
        <w:t>0</w:t>
      </w:r>
      <w:r>
        <w:rPr>
          <w:rFonts w:hint="eastAsia"/>
          <w:b/>
          <w:bCs/>
          <w:color w:val="000000"/>
          <w:szCs w:val="24"/>
          <w:u w:val="single"/>
          <w:lang w:eastAsia="zh-CN"/>
        </w:rPr>
        <w:t>0分</w:t>
      </w:r>
      <w:r>
        <w:rPr>
          <w:rFonts w:hint="eastAsia"/>
          <w:color w:val="000000"/>
          <w:szCs w:val="24"/>
        </w:rPr>
        <w:t>（</w:t>
      </w:r>
      <w:r>
        <w:rPr>
          <w:rFonts w:hint="eastAsia"/>
          <w:szCs w:val="24"/>
        </w:rPr>
        <w:t>北京时间），</w:t>
      </w:r>
    </w:p>
    <w:p w14:paraId="2D7AFCE5">
      <w:pPr>
        <w:pStyle w:val="34"/>
        <w:spacing w:before="0" w:beforeAutospacing="0" w:after="0" w:afterAutospacing="0" w:line="408" w:lineRule="auto"/>
        <w:ind w:firstLine="480" w:firstLineChars="200"/>
        <w:rPr>
          <w:rFonts w:hint="eastAsia"/>
          <w:szCs w:val="24"/>
        </w:rPr>
      </w:pPr>
      <w:r>
        <w:rPr>
          <w:rFonts w:hint="eastAsia"/>
          <w:szCs w:val="24"/>
        </w:rPr>
        <w:t>地点：新疆政府采购网（http://www.ccgp-xinjiang.gov.cn）政采云平台）（逾期未上传的或不符合规定的投标文件将被拒绝接收）</w:t>
      </w:r>
    </w:p>
    <w:p w14:paraId="45AA4514">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开启</w:t>
      </w:r>
    </w:p>
    <w:p w14:paraId="78B03AE7">
      <w:pPr>
        <w:pStyle w:val="41"/>
        <w:spacing w:line="360" w:lineRule="auto"/>
        <w:ind w:right="-727" w:rightChars="-346" w:firstLine="480" w:firstLineChars="200"/>
        <w:rPr>
          <w:rFonts w:hint="eastAsia" w:ascii="宋体" w:hAnsi="宋体" w:cs="宋体"/>
          <w:sz w:val="24"/>
        </w:rPr>
      </w:pPr>
      <w:r>
        <w:rPr>
          <w:rFonts w:hint="eastAsia" w:ascii="宋体" w:hAnsi="宋体" w:cs="宋体"/>
          <w:sz w:val="24"/>
        </w:rPr>
        <w:t>开标时间：</w:t>
      </w:r>
      <w:r>
        <w:rPr>
          <w:rFonts w:hint="eastAsia" w:ascii="宋体" w:hAnsi="宋体" w:cs="宋体"/>
          <w:b/>
          <w:bCs/>
          <w:color w:val="000000"/>
          <w:sz w:val="24"/>
          <w:u w:val="single"/>
          <w:lang w:eastAsia="zh-CN"/>
        </w:rPr>
        <w:t>202</w:t>
      </w:r>
      <w:r>
        <w:rPr>
          <w:rFonts w:hint="eastAsia" w:ascii="宋体" w:hAnsi="宋体" w:cs="宋体"/>
          <w:b/>
          <w:bCs/>
          <w:color w:val="000000"/>
          <w:sz w:val="24"/>
          <w:u w:val="single"/>
          <w:lang w:val="en-US" w:eastAsia="zh-CN"/>
        </w:rPr>
        <w:t>5</w:t>
      </w:r>
      <w:r>
        <w:rPr>
          <w:rFonts w:hint="eastAsia" w:ascii="宋体" w:hAnsi="宋体" w:cs="宋体"/>
          <w:b/>
          <w:bCs/>
          <w:color w:val="000000"/>
          <w:sz w:val="24"/>
          <w:u w:val="single"/>
          <w:lang w:eastAsia="zh-CN"/>
        </w:rPr>
        <w:t>年</w:t>
      </w:r>
      <w:r>
        <w:rPr>
          <w:rFonts w:hint="eastAsia" w:ascii="宋体" w:hAnsi="宋体" w:cs="宋体"/>
          <w:b/>
          <w:bCs/>
          <w:color w:val="000000"/>
          <w:sz w:val="24"/>
          <w:u w:val="single"/>
          <w:lang w:val="en-US" w:eastAsia="zh-CN"/>
        </w:rPr>
        <w:t>3</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24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Cs/>
          <w:sz w:val="24"/>
        </w:rPr>
        <w:t>（北京时间）</w:t>
      </w:r>
    </w:p>
    <w:p w14:paraId="54840793">
      <w:pPr>
        <w:pStyle w:val="67"/>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67"/>
        <w:tabs>
          <w:tab w:val="left" w:pos="1424"/>
        </w:tabs>
        <w:spacing w:line="408" w:lineRule="auto"/>
        <w:jc w:val="left"/>
        <w:rPr>
          <w:rFonts w:hint="eastAsia" w:ascii="宋体" w:hAnsi="宋体" w:cs="宋体"/>
          <w:b/>
          <w:bCs/>
          <w:sz w:val="24"/>
        </w:rPr>
      </w:pPr>
      <w:r>
        <w:rPr>
          <w:rFonts w:hint="eastAsia" w:ascii="宋体" w:hAnsi="宋体" w:cs="宋体"/>
          <w:b/>
          <w:bCs/>
          <w:sz w:val="24"/>
        </w:rPr>
        <w:t>六、公告期限</w:t>
      </w:r>
    </w:p>
    <w:p w14:paraId="7B9EE271">
      <w:pPr>
        <w:pStyle w:val="117"/>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04A26AD7">
      <w:pPr>
        <w:pStyle w:val="117"/>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7AECFDF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117"/>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A669BE3">
      <w:pPr>
        <w:widowControl/>
        <w:shd w:val="clear" w:color="auto" w:fill="FFFFFF"/>
        <w:spacing w:line="360" w:lineRule="auto"/>
        <w:ind w:firstLine="480" w:firstLineChars="200"/>
        <w:jc w:val="left"/>
        <w:rPr>
          <w:kern w:val="0"/>
          <w:sz w:val="24"/>
        </w:rPr>
      </w:pPr>
      <w:r>
        <w:rPr>
          <w:kern w:val="0"/>
          <w:sz w:val="24"/>
        </w:rPr>
        <w:t>采 购 人：</w:t>
      </w:r>
      <w:r>
        <w:rPr>
          <w:rFonts w:hint="eastAsia"/>
          <w:kern w:val="0"/>
          <w:sz w:val="24"/>
          <w:lang w:val="en-US" w:eastAsia="zh-CN"/>
        </w:rPr>
        <w:t>伊吾县水利局</w:t>
      </w:r>
    </w:p>
    <w:p w14:paraId="0B1F4B83">
      <w:pPr>
        <w:widowControl/>
        <w:shd w:val="clear" w:color="auto" w:fill="FFFFFF"/>
        <w:spacing w:line="360" w:lineRule="auto"/>
        <w:ind w:firstLine="480" w:firstLineChars="200"/>
        <w:jc w:val="left"/>
        <w:rPr>
          <w:kern w:val="0"/>
          <w:sz w:val="24"/>
        </w:rPr>
      </w:pPr>
      <w:r>
        <w:rPr>
          <w:kern w:val="0"/>
          <w:sz w:val="24"/>
        </w:rPr>
        <w:t>地    址：</w:t>
      </w:r>
      <w:r>
        <w:rPr>
          <w:rFonts w:hint="eastAsia"/>
          <w:kern w:val="0"/>
          <w:sz w:val="24"/>
        </w:rPr>
        <w:t>伊吾县</w:t>
      </w:r>
    </w:p>
    <w:p w14:paraId="65770020">
      <w:pPr>
        <w:widowControl/>
        <w:shd w:val="clear" w:color="auto" w:fill="FFFFFF"/>
        <w:spacing w:line="360" w:lineRule="auto"/>
        <w:ind w:firstLine="480" w:firstLineChars="200"/>
        <w:jc w:val="left"/>
        <w:rPr>
          <w:kern w:val="0"/>
          <w:sz w:val="24"/>
        </w:rPr>
      </w:pPr>
      <w:r>
        <w:rPr>
          <w:kern w:val="0"/>
          <w:sz w:val="24"/>
        </w:rPr>
        <w:t>联 系 人：</w:t>
      </w:r>
      <w:r>
        <w:rPr>
          <w:rFonts w:hint="eastAsia"/>
          <w:kern w:val="0"/>
          <w:sz w:val="24"/>
          <w:lang w:val="en-US" w:eastAsia="zh-CN"/>
        </w:rPr>
        <w:t>陈松</w:t>
      </w:r>
      <w:r>
        <w:rPr>
          <w:rFonts w:hint="eastAsia"/>
          <w:kern w:val="0"/>
          <w:sz w:val="24"/>
        </w:rPr>
        <w:t xml:space="preserve"> </w:t>
      </w:r>
    </w:p>
    <w:p w14:paraId="467BD631">
      <w:pPr>
        <w:widowControl/>
        <w:shd w:val="clear" w:color="auto" w:fill="FFFFFF"/>
        <w:spacing w:line="360" w:lineRule="auto"/>
        <w:ind w:firstLine="480" w:firstLineChars="200"/>
        <w:jc w:val="left"/>
        <w:rPr>
          <w:kern w:val="0"/>
          <w:sz w:val="24"/>
        </w:rPr>
      </w:pPr>
      <w:r>
        <w:rPr>
          <w:kern w:val="0"/>
          <w:sz w:val="24"/>
        </w:rPr>
        <w:t>电话：</w:t>
      </w:r>
      <w:r>
        <w:rPr>
          <w:rFonts w:hint="eastAsia" w:ascii="宋体" w:hAnsi="宋体" w:eastAsia="宋体" w:cs="宋体"/>
          <w:kern w:val="0"/>
          <w:sz w:val="24"/>
        </w:rPr>
        <w:t>18199792266</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新疆华飞项目咨询管理有限公司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新疆哈密市伊州区火箭农场玉秀小区B-2幢二单元1号门面</w:t>
      </w:r>
    </w:p>
    <w:p w14:paraId="0ACF0BF0">
      <w:pPr>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采购代理联系人：</w:t>
      </w:r>
      <w:r>
        <w:rPr>
          <w:rFonts w:hint="eastAsia" w:ascii="宋体" w:hAnsi="宋体" w:cs="宋体"/>
          <w:sz w:val="24"/>
          <w:szCs w:val="24"/>
          <w:lang w:val="en-US" w:eastAsia="zh-CN"/>
        </w:rPr>
        <w:t>魏婷</w:t>
      </w:r>
    </w:p>
    <w:p w14:paraId="0EFF110F">
      <w:pPr>
        <w:spacing w:line="360" w:lineRule="auto"/>
        <w:ind w:firstLine="480" w:firstLineChars="200"/>
        <w:rPr>
          <w:rFonts w:hint="default" w:ascii="宋体" w:hAnsi="宋体" w:eastAsia="宋体" w:cs="宋体"/>
          <w:sz w:val="24"/>
          <w:szCs w:val="24"/>
          <w:lang w:val="en-US" w:eastAsia="zh-CN"/>
        </w:rPr>
      </w:pPr>
      <w:r>
        <w:rPr>
          <w:rFonts w:ascii="宋体" w:hAnsi="宋体" w:cs="宋体"/>
          <w:sz w:val="24"/>
          <w:szCs w:val="24"/>
        </w:rPr>
        <w:t>联系电话：</w:t>
      </w:r>
      <w:r>
        <w:rPr>
          <w:rFonts w:hint="eastAsia" w:ascii="宋体" w:hAnsi="宋体" w:cs="Arial"/>
          <w:sz w:val="24"/>
          <w:szCs w:val="24"/>
          <w:lang w:val="en-US" w:eastAsia="zh-CN"/>
        </w:rPr>
        <w:t>15299568895</w:t>
      </w:r>
    </w:p>
    <w:p w14:paraId="7C94A303">
      <w:pPr>
        <w:pStyle w:val="2"/>
        <w:rPr>
          <w:rFonts w:hint="eastAsia" w:ascii="宋体" w:hAnsi="宋体" w:cs="宋体"/>
          <w:highlight w:val="red"/>
        </w:rPr>
      </w:pPr>
      <w:r>
        <w:rPr>
          <w:rFonts w:hint="eastAsia" w:ascii="宋体" w:hAnsi="宋体" w:cs="宋体"/>
          <w:sz w:val="28"/>
          <w:szCs w:val="28"/>
          <w:highlight w:val="white"/>
        </w:rPr>
        <w:br w:type="page"/>
      </w:r>
      <w:bookmarkStart w:id="6" w:name="_Toc2843"/>
      <w:bookmarkStart w:id="7" w:name="_Toc15244"/>
      <w:bookmarkStart w:id="8" w:name="_Toc529952597"/>
      <w:r>
        <w:rPr>
          <w:rFonts w:hint="eastAsia" w:ascii="宋体" w:hAnsi="宋体" w:cs="宋体"/>
          <w:sz w:val="36"/>
          <w:szCs w:val="36"/>
          <w:highlight w:val="white"/>
        </w:rPr>
        <w:t>第二章 磋商须知</w:t>
      </w:r>
      <w:bookmarkEnd w:id="6"/>
      <w:bookmarkEnd w:id="7"/>
      <w:bookmarkEnd w:id="8"/>
      <w:bookmarkStart w:id="9" w:name="EBd5da4144bf5b4dcfa561be372d70f824"/>
    </w:p>
    <w:p w14:paraId="4B4C4622">
      <w:pPr>
        <w:pStyle w:val="77"/>
        <w:spacing w:before="0" w:after="0"/>
        <w:jc w:val="center"/>
        <w:rPr>
          <w:rFonts w:hint="eastAsia" w:ascii="宋体" w:hAnsi="宋体" w:cs="宋体"/>
          <w:b/>
          <w:bCs/>
          <w:sz w:val="28"/>
          <w:szCs w:val="28"/>
        </w:rPr>
      </w:pPr>
      <w:bookmarkStart w:id="10" w:name="_Toc28370"/>
      <w:bookmarkStart w:id="11" w:name="_Toc106276246"/>
      <w:bookmarkStart w:id="12" w:name="_Toc17603"/>
      <w:bookmarkStart w:id="13" w:name="_Toc14242"/>
      <w:bookmarkStart w:id="14" w:name="_Toc256000002"/>
      <w:bookmarkStart w:id="15" w:name="_Toc17069"/>
      <w:r>
        <w:rPr>
          <w:rFonts w:hint="eastAsia" w:ascii="宋体" w:hAnsi="宋体" w:cs="宋体"/>
          <w:b/>
          <w:bCs/>
          <w:sz w:val="28"/>
          <w:szCs w:val="28"/>
        </w:rPr>
        <w:t>磋商须知前附表</w:t>
      </w:r>
      <w:bookmarkEnd w:id="10"/>
      <w:bookmarkEnd w:id="11"/>
      <w:bookmarkEnd w:id="12"/>
      <w:bookmarkEnd w:id="13"/>
      <w:bookmarkEnd w:id="14"/>
      <w:bookmarkEnd w:id="15"/>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67"/>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67"/>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67"/>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67"/>
              <w:spacing w:line="360" w:lineRule="auto"/>
              <w:rPr>
                <w:rFonts w:hint="eastAsia" w:ascii="宋体" w:hAnsi="宋体" w:cs="宋体"/>
                <w:b/>
                <w:bCs/>
                <w:sz w:val="24"/>
              </w:rPr>
            </w:pPr>
            <w:r>
              <w:rPr>
                <w:rFonts w:hint="eastAsia" w:ascii="宋体" w:hAnsi="宋体" w:cs="宋体"/>
                <w:b/>
                <w:bCs/>
                <w:sz w:val="24"/>
              </w:rPr>
              <w:t>1.2.1</w:t>
            </w:r>
          </w:p>
        </w:tc>
        <w:tc>
          <w:tcPr>
            <w:tcW w:w="2400" w:type="dxa"/>
            <w:gridSpan w:val="2"/>
            <w:noWrap w:val="0"/>
            <w:vAlign w:val="center"/>
          </w:tcPr>
          <w:p w14:paraId="44DCD38A">
            <w:pPr>
              <w:pStyle w:val="67"/>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kern w:val="0"/>
                <w:sz w:val="24"/>
                <w:lang w:val="en-US" w:eastAsia="zh-CN"/>
              </w:rPr>
              <w:t>伊吾县水利局</w:t>
            </w:r>
          </w:p>
          <w:p w14:paraId="53105545">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地址：伊吾县</w:t>
            </w:r>
          </w:p>
          <w:p w14:paraId="3FEE222C">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联系人：</w:t>
            </w:r>
            <w:r>
              <w:rPr>
                <w:rFonts w:hint="eastAsia"/>
                <w:kern w:val="0"/>
                <w:sz w:val="24"/>
                <w:lang w:val="en-US" w:eastAsia="zh-CN"/>
              </w:rPr>
              <w:t>陈松</w:t>
            </w:r>
            <w:r>
              <w:rPr>
                <w:rFonts w:hint="eastAsia" w:hAnsi="宋体" w:cs="宋体"/>
                <w:sz w:val="24"/>
                <w:szCs w:val="28"/>
                <w:lang w:val="en-US" w:eastAsia="zh-CN"/>
              </w:rPr>
              <w:t xml:space="preserve"> </w:t>
            </w:r>
          </w:p>
          <w:p w14:paraId="0666375A">
            <w:pPr>
              <w:pStyle w:val="94"/>
              <w:spacing w:line="500" w:lineRule="exact"/>
              <w:rPr>
                <w:rFonts w:hint="default" w:ascii="Calibri" w:hAnsi="宋体" w:cs="宋体"/>
                <w:sz w:val="24"/>
                <w:szCs w:val="28"/>
                <w:lang w:val="en-US"/>
              </w:rPr>
            </w:pPr>
            <w:r>
              <w:rPr>
                <w:rFonts w:hint="eastAsia" w:hAnsi="宋体" w:cs="宋体"/>
                <w:sz w:val="24"/>
                <w:szCs w:val="28"/>
                <w:lang w:val="en-US" w:eastAsia="zh-CN"/>
              </w:rPr>
              <w:t>电话：</w:t>
            </w:r>
            <w:r>
              <w:rPr>
                <w:rFonts w:hint="eastAsia" w:ascii="宋体" w:hAnsi="宋体" w:eastAsia="宋体" w:cs="宋体"/>
                <w:kern w:val="0"/>
                <w:sz w:val="24"/>
              </w:rPr>
              <w:t>18199792266</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67"/>
              <w:spacing w:line="360" w:lineRule="auto"/>
              <w:jc w:val="center"/>
              <w:rPr>
                <w:rFonts w:hint="eastAsia" w:ascii="宋体" w:hAnsi="宋体" w:cs="宋体"/>
                <w:b/>
                <w:bCs/>
                <w:sz w:val="24"/>
              </w:rPr>
            </w:pPr>
            <w:r>
              <w:rPr>
                <w:rFonts w:hint="eastAsia" w:ascii="宋体" w:hAnsi="宋体" w:cs="宋体"/>
                <w:b/>
                <w:bCs/>
                <w:sz w:val="24"/>
              </w:rPr>
              <w:t>1.2.2</w:t>
            </w:r>
          </w:p>
        </w:tc>
        <w:tc>
          <w:tcPr>
            <w:tcW w:w="2400" w:type="dxa"/>
            <w:gridSpan w:val="2"/>
            <w:noWrap w:val="0"/>
            <w:vAlign w:val="center"/>
          </w:tcPr>
          <w:p w14:paraId="33D00C62">
            <w:pPr>
              <w:pStyle w:val="67"/>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名称：新疆华飞项目咨询管理有限公司          </w:t>
            </w:r>
          </w:p>
          <w:p w14:paraId="53274A50">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地址：新疆哈密市伊州区火箭农场玉秀小区B-2幢二单元1号门面                     </w:t>
            </w:r>
          </w:p>
          <w:p w14:paraId="55884D1F">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联系人：魏婷                          </w:t>
            </w:r>
          </w:p>
          <w:p w14:paraId="1ED7EFF5">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eastAsia="宋体" w:cs="宋体"/>
                <w:sz w:val="24"/>
                <w:szCs w:val="28"/>
                <w:lang w:val="en-US" w:eastAsia="zh-CN"/>
              </w:rPr>
              <w:t xml:space="preserve">15299568895  </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67"/>
              <w:spacing w:line="360" w:lineRule="auto"/>
              <w:jc w:val="center"/>
              <w:rPr>
                <w:rFonts w:hint="eastAsia" w:ascii="宋体" w:hAnsi="宋体" w:cs="宋体"/>
                <w:b/>
                <w:bCs/>
                <w:sz w:val="24"/>
              </w:rPr>
            </w:pPr>
            <w:r>
              <w:rPr>
                <w:rFonts w:hint="eastAsia" w:ascii="宋体" w:hAnsi="宋体" w:cs="宋体"/>
                <w:b/>
                <w:bCs/>
                <w:sz w:val="24"/>
              </w:rPr>
              <w:t>1.2.3</w:t>
            </w:r>
          </w:p>
        </w:tc>
        <w:tc>
          <w:tcPr>
            <w:tcW w:w="2400" w:type="dxa"/>
            <w:gridSpan w:val="2"/>
            <w:noWrap w:val="0"/>
            <w:vAlign w:val="center"/>
          </w:tcPr>
          <w:p w14:paraId="70BA83BD">
            <w:pPr>
              <w:pStyle w:val="67"/>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40"/>
              <w:widowControl/>
              <w:snapToGrid w:val="0"/>
              <w:spacing w:line="500" w:lineRule="exact"/>
              <w:jc w:val="left"/>
              <w:rPr>
                <w:rFonts w:hint="eastAsia" w:hAnsi="宋体" w:cs="宋体"/>
                <w:sz w:val="24"/>
                <w:szCs w:val="28"/>
              </w:rPr>
            </w:pPr>
            <w:r>
              <w:rPr>
                <w:rFonts w:hint="eastAsia" w:ascii="宋体" w:hAnsi="宋体"/>
                <w:sz w:val="24"/>
                <w:szCs w:val="28"/>
                <w:lang w:eastAsia="zh-CN"/>
              </w:rPr>
              <w:t>哈密市伊吾县2025年水利信息化运行维护项目</w:t>
            </w:r>
            <w:r>
              <w:rPr>
                <w:rFonts w:hint="eastAsia" w:hAnsi="宋体" w:cs="宋体"/>
                <w:sz w:val="24"/>
                <w:szCs w:val="28"/>
              </w:rPr>
              <w:t xml:space="preserve">  </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67"/>
              <w:spacing w:line="360" w:lineRule="auto"/>
              <w:jc w:val="center"/>
              <w:rPr>
                <w:rFonts w:hint="eastAsia" w:ascii="宋体" w:hAnsi="宋体" w:eastAsia="宋体" w:cs="宋体"/>
                <w:b/>
                <w:bCs/>
                <w:sz w:val="24"/>
                <w:lang w:val="en-US" w:eastAsia="zh-CN"/>
              </w:rPr>
            </w:pPr>
            <w:r>
              <w:rPr>
                <w:rFonts w:hint="eastAsia" w:ascii="宋体" w:hAnsi="宋体" w:cs="宋体"/>
                <w:b/>
                <w:bCs/>
                <w:sz w:val="24"/>
              </w:rPr>
              <w:t>1.2.</w:t>
            </w:r>
            <w:r>
              <w:rPr>
                <w:rFonts w:hint="eastAsia" w:ascii="宋体" w:hAnsi="宋体" w:cs="宋体"/>
                <w:b/>
                <w:bCs/>
                <w:sz w:val="24"/>
                <w:lang w:val="en-US" w:eastAsia="zh-CN"/>
              </w:rPr>
              <w:t>4</w:t>
            </w:r>
          </w:p>
        </w:tc>
        <w:tc>
          <w:tcPr>
            <w:tcW w:w="2400" w:type="dxa"/>
            <w:gridSpan w:val="2"/>
            <w:noWrap w:val="0"/>
            <w:vAlign w:val="center"/>
          </w:tcPr>
          <w:p w14:paraId="6F9CE6A6">
            <w:pPr>
              <w:pStyle w:val="67"/>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服务期</w:t>
            </w:r>
          </w:p>
        </w:tc>
        <w:tc>
          <w:tcPr>
            <w:tcW w:w="6014" w:type="dxa"/>
            <w:noWrap w:val="0"/>
            <w:vAlign w:val="center"/>
          </w:tcPr>
          <w:p w14:paraId="5F24A6B8">
            <w:pPr>
              <w:pStyle w:val="40"/>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1年</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67"/>
              <w:spacing w:line="360" w:lineRule="auto"/>
              <w:jc w:val="center"/>
              <w:rPr>
                <w:rFonts w:hint="eastAsia" w:ascii="宋体" w:hAnsi="宋体" w:cs="宋体"/>
                <w:b/>
                <w:bCs/>
                <w:sz w:val="24"/>
              </w:rPr>
            </w:pPr>
            <w:r>
              <w:rPr>
                <w:rFonts w:hint="eastAsia" w:ascii="宋体" w:hAnsi="宋体" w:cs="宋体"/>
                <w:b/>
                <w:bCs/>
                <w:sz w:val="24"/>
              </w:rPr>
              <w:t>1.3.1</w:t>
            </w:r>
          </w:p>
        </w:tc>
        <w:tc>
          <w:tcPr>
            <w:tcW w:w="2400" w:type="dxa"/>
            <w:gridSpan w:val="2"/>
            <w:noWrap w:val="0"/>
            <w:vAlign w:val="center"/>
          </w:tcPr>
          <w:p w14:paraId="785C7AFB">
            <w:pPr>
              <w:pStyle w:val="67"/>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03623994">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6ACFA9D1">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15A37E69">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w:t>
            </w:r>
            <w:r>
              <w:rPr>
                <w:rFonts w:hint="eastAsia"/>
                <w:kern w:val="0"/>
                <w:sz w:val="24"/>
              </w:rPr>
              <w:t>提供</w:t>
            </w:r>
            <w:r>
              <w:rPr>
                <w:rFonts w:hint="eastAsia" w:ascii="宋体" w:hAnsi="宋体" w:eastAsia="宋体" w:cs="宋体"/>
                <w:kern w:val="0"/>
                <w:sz w:val="24"/>
              </w:rPr>
              <w:t>2023</w:t>
            </w:r>
            <w:r>
              <w:rPr>
                <w:rFonts w:hint="eastAsia"/>
                <w:kern w:val="0"/>
                <w:sz w:val="24"/>
              </w:rPr>
              <w:t>年度经会计师事务所审计的完整财务报告，成立不足一年的提供成立至今的财务报表</w:t>
            </w:r>
            <w:r>
              <w:rPr>
                <w:rFonts w:hint="eastAsia" w:ascii="宋体" w:hAnsi="宋体" w:cs="宋体"/>
                <w:b w:val="0"/>
                <w:bCs w:val="0"/>
                <w:sz w:val="24"/>
                <w:szCs w:val="24"/>
                <w:lang w:val="en-US" w:eastAsia="zh-CN"/>
              </w:rPr>
              <w:t>）；</w:t>
            </w:r>
          </w:p>
          <w:p w14:paraId="60C7437B">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324FFC1D">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4FF5036F">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3FEA2F34">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15FA6FAF">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77BF3C96">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117"/>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67"/>
              <w:spacing w:line="360" w:lineRule="auto"/>
              <w:jc w:val="center"/>
              <w:rPr>
                <w:rFonts w:hint="eastAsia" w:ascii="宋体" w:hAnsi="宋体" w:cs="宋体"/>
                <w:b/>
                <w:bCs/>
                <w:sz w:val="24"/>
              </w:rPr>
            </w:pPr>
            <w:r>
              <w:rPr>
                <w:rFonts w:hint="eastAsia" w:ascii="宋体" w:hAnsi="宋体" w:cs="宋体"/>
                <w:b/>
                <w:bCs/>
                <w:sz w:val="24"/>
              </w:rPr>
              <w:t>2.1.1</w:t>
            </w:r>
          </w:p>
        </w:tc>
        <w:tc>
          <w:tcPr>
            <w:tcW w:w="2400" w:type="dxa"/>
            <w:gridSpan w:val="2"/>
            <w:noWrap w:val="0"/>
            <w:vAlign w:val="center"/>
          </w:tcPr>
          <w:p w14:paraId="6845B0BE">
            <w:pPr>
              <w:pStyle w:val="67"/>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67"/>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67"/>
              <w:spacing w:line="360" w:lineRule="auto"/>
              <w:jc w:val="center"/>
              <w:rPr>
                <w:rFonts w:hint="eastAsia" w:ascii="宋体" w:hAnsi="宋体" w:cs="宋体"/>
                <w:b/>
                <w:bCs/>
                <w:sz w:val="24"/>
              </w:rPr>
            </w:pPr>
            <w:r>
              <w:rPr>
                <w:rFonts w:hint="eastAsia" w:ascii="宋体" w:hAnsi="宋体" w:cs="宋体"/>
                <w:b/>
                <w:bCs/>
                <w:sz w:val="24"/>
              </w:rPr>
              <w:t>3.3.4</w:t>
            </w:r>
          </w:p>
        </w:tc>
        <w:tc>
          <w:tcPr>
            <w:tcW w:w="2400" w:type="dxa"/>
            <w:gridSpan w:val="2"/>
            <w:noWrap w:val="0"/>
            <w:vAlign w:val="center"/>
          </w:tcPr>
          <w:p w14:paraId="45648EAE">
            <w:pPr>
              <w:pStyle w:val="67"/>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94"/>
              <w:spacing w:line="500" w:lineRule="exact"/>
              <w:rPr>
                <w:rFonts w:hint="eastAsia" w:ascii="宋体" w:hAnsi="宋体" w:cs="宋体"/>
                <w:b/>
                <w:bCs/>
                <w:sz w:val="24"/>
                <w:szCs w:val="24"/>
              </w:rPr>
            </w:pPr>
            <w:r>
              <w:rPr>
                <w:rFonts w:hint="eastAsia" w:ascii="宋体" w:hAnsi="宋体"/>
                <w:b/>
                <w:bCs/>
                <w:sz w:val="24"/>
                <w:szCs w:val="28"/>
                <w:u w:val="single"/>
                <w:lang w:val="en-US" w:eastAsia="zh-CN"/>
              </w:rPr>
              <w:t>1010000</w:t>
            </w:r>
            <w:r>
              <w:rPr>
                <w:rFonts w:hint="eastAsia" w:ascii="宋体" w:hAnsi="宋体" w:cs="宋体"/>
                <w:b/>
                <w:bCs/>
                <w:i w:val="0"/>
                <w:iCs w:val="0"/>
                <w:kern w:val="0"/>
                <w:sz w:val="24"/>
                <w:u w:val="single"/>
                <w:lang w:val="en-US" w:eastAsia="zh-CN"/>
              </w:rPr>
              <w:t>.00</w:t>
            </w:r>
            <w:r>
              <w:rPr>
                <w:rFonts w:hint="eastAsia" w:ascii="宋体" w:hAnsi="宋体" w:cs="宋体"/>
                <w:b/>
                <w:bCs/>
                <w:sz w:val="24"/>
                <w:szCs w:val="24"/>
              </w:rPr>
              <w:t>元</w:t>
            </w:r>
          </w:p>
          <w:p w14:paraId="34EA03BB">
            <w:pPr>
              <w:pStyle w:val="94"/>
              <w:spacing w:line="500" w:lineRule="exact"/>
              <w:rPr>
                <w:rFonts w:hint="eastAsia" w:ascii="宋体" w:hAnsi="宋体" w:cs="宋体"/>
                <w:sz w:val="24"/>
                <w:szCs w:val="24"/>
              </w:rPr>
            </w:pPr>
            <w:r>
              <w:rPr>
                <w:rFonts w:hint="eastAsia" w:ascii="宋体" w:hAnsi="宋体" w:cs="宋体"/>
                <w:b/>
                <w:bCs/>
                <w:sz w:val="24"/>
                <w:szCs w:val="24"/>
              </w:rPr>
              <w:t>投标单位在投标报价时，不得超过采购人公布的采购预算，超过采购预算按投标无效处理。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67"/>
              <w:spacing w:line="360" w:lineRule="auto"/>
              <w:rPr>
                <w:rFonts w:hint="eastAsia" w:ascii="宋体" w:hAnsi="宋体" w:cs="宋体"/>
                <w:b/>
                <w:bCs/>
                <w:sz w:val="24"/>
              </w:rPr>
            </w:pPr>
            <w:r>
              <w:rPr>
                <w:rFonts w:hint="eastAsia" w:ascii="宋体" w:hAnsi="宋体" w:cs="宋体"/>
                <w:b/>
                <w:bCs/>
                <w:sz w:val="24"/>
              </w:rPr>
              <w:t>3.5.1</w:t>
            </w:r>
          </w:p>
        </w:tc>
        <w:tc>
          <w:tcPr>
            <w:tcW w:w="2400" w:type="dxa"/>
            <w:gridSpan w:val="2"/>
            <w:vMerge w:val="restart"/>
            <w:noWrap w:val="0"/>
            <w:vAlign w:val="center"/>
          </w:tcPr>
          <w:p w14:paraId="77282C50">
            <w:pPr>
              <w:pStyle w:val="67"/>
              <w:spacing w:line="320" w:lineRule="exact"/>
              <w:rPr>
                <w:rFonts w:hint="eastAsia" w:ascii="宋体" w:hAnsi="宋体" w:cs="宋体"/>
                <w:b/>
                <w:bCs/>
                <w:sz w:val="24"/>
              </w:rPr>
            </w:pPr>
            <w:r>
              <w:rPr>
                <w:rFonts w:hint="eastAsia" w:ascii="宋体" w:hAnsi="宋体" w:cs="宋体"/>
                <w:b/>
                <w:bCs/>
                <w:sz w:val="24"/>
              </w:rPr>
              <w:t>磋商保证金</w:t>
            </w:r>
          </w:p>
        </w:tc>
        <w:tc>
          <w:tcPr>
            <w:tcW w:w="6014" w:type="dxa"/>
            <w:noWrap w:val="0"/>
            <w:vAlign w:val="center"/>
          </w:tcPr>
          <w:p w14:paraId="64CCF218">
            <w:pPr>
              <w:pStyle w:val="94"/>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67"/>
              <w:spacing w:line="320" w:lineRule="exact"/>
              <w:jc w:val="center"/>
              <w:rPr>
                <w:rFonts w:hint="eastAsia" w:ascii="宋体" w:hAnsi="宋体" w:cs="宋体"/>
                <w:b/>
                <w:bCs/>
                <w:sz w:val="24"/>
              </w:rPr>
            </w:pPr>
          </w:p>
        </w:tc>
        <w:tc>
          <w:tcPr>
            <w:tcW w:w="6014" w:type="dxa"/>
            <w:noWrap w:val="0"/>
            <w:vAlign w:val="center"/>
          </w:tcPr>
          <w:p w14:paraId="3C37968E">
            <w:pPr>
              <w:pStyle w:val="40"/>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20000.00</w:t>
            </w:r>
            <w:r>
              <w:rPr>
                <w:rFonts w:hint="eastAsia" w:ascii="宋体" w:hAnsi="宋体" w:cs="宋体"/>
                <w:b/>
                <w:bCs/>
                <w:kern w:val="0"/>
                <w:sz w:val="24"/>
                <w:szCs w:val="24"/>
                <w:u w:val="single"/>
              </w:rPr>
              <w:t xml:space="preserve">元  </w:t>
            </w:r>
          </w:p>
          <w:p w14:paraId="1B0A4FD0">
            <w:pPr>
              <w:pStyle w:val="94"/>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贰万元整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14AC83ED">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67"/>
              <w:spacing w:line="320" w:lineRule="exact"/>
              <w:jc w:val="center"/>
              <w:rPr>
                <w:rFonts w:hint="eastAsia" w:ascii="宋体" w:hAnsi="宋体" w:cs="宋体"/>
                <w:b/>
                <w:bCs/>
                <w:sz w:val="24"/>
              </w:rPr>
            </w:pPr>
          </w:p>
        </w:tc>
        <w:tc>
          <w:tcPr>
            <w:tcW w:w="6014" w:type="dxa"/>
            <w:noWrap w:val="0"/>
            <w:vAlign w:val="center"/>
          </w:tcPr>
          <w:p w14:paraId="1FCDDAE0">
            <w:pPr>
              <w:pStyle w:val="120"/>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单位名称：新疆华飞项目咨询管理有限公司</w:t>
            </w:r>
          </w:p>
          <w:p w14:paraId="1DC543DB">
            <w:pPr>
              <w:pStyle w:val="120"/>
              <w:spacing w:line="500" w:lineRule="exact"/>
              <w:ind w:firstLine="2"/>
              <w:rPr>
                <w:rFonts w:hint="eastAsia" w:ascii="宋体" w:hAnsi="宋体" w:cs="宋体"/>
                <w:b/>
                <w:bCs/>
                <w:color w:val="000000"/>
                <w:sz w:val="24"/>
                <w:szCs w:val="24"/>
              </w:rPr>
            </w:pPr>
            <w:r>
              <w:rPr>
                <w:rFonts w:hint="eastAsia" w:ascii="宋体" w:hAnsi="宋体" w:cs="宋体"/>
                <w:b/>
                <w:bCs/>
                <w:color w:val="000000"/>
                <w:sz w:val="24"/>
                <w:szCs w:val="24"/>
              </w:rPr>
              <w:t>开户银行：哈密市商业银行股份有限公司爱国北路支行</w:t>
            </w:r>
          </w:p>
          <w:p w14:paraId="29830F01">
            <w:pPr>
              <w:pStyle w:val="120"/>
              <w:spacing w:line="500" w:lineRule="exact"/>
              <w:ind w:firstLine="2"/>
              <w:rPr>
                <w:rFonts w:hint="eastAsia" w:ascii="宋体" w:hAnsi="宋体" w:cs="宋体"/>
                <w:sz w:val="24"/>
              </w:rPr>
            </w:pPr>
            <w:r>
              <w:rPr>
                <w:rFonts w:hint="eastAsia" w:ascii="宋体" w:hAnsi="宋体" w:cs="宋体"/>
                <w:b/>
                <w:bCs/>
                <w:color w:val="000000"/>
                <w:sz w:val="24"/>
                <w:szCs w:val="24"/>
              </w:rPr>
              <w:t>账    号：908090100100027838</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67"/>
              <w:spacing w:line="320" w:lineRule="exact"/>
              <w:jc w:val="center"/>
              <w:rPr>
                <w:rFonts w:hint="eastAsia" w:ascii="宋体" w:hAnsi="宋体" w:cs="宋体"/>
                <w:b/>
                <w:bCs/>
                <w:sz w:val="24"/>
              </w:rPr>
            </w:pPr>
          </w:p>
        </w:tc>
        <w:tc>
          <w:tcPr>
            <w:tcW w:w="6014" w:type="dxa"/>
            <w:noWrap w:val="0"/>
            <w:vAlign w:val="center"/>
          </w:tcPr>
          <w:p w14:paraId="3DCA57FC">
            <w:pPr>
              <w:pStyle w:val="145"/>
              <w:spacing w:line="500" w:lineRule="exact"/>
              <w:rPr>
                <w:rFonts w:hint="eastAsia" w:ascii="宋体" w:hAnsi="宋体" w:cs="宋体"/>
                <w:bCs/>
                <w:sz w:val="24"/>
                <w:szCs w:val="24"/>
              </w:rPr>
            </w:pPr>
            <w:r>
              <w:rPr>
                <w:rFonts w:hint="eastAsia" w:ascii="宋体" w:hAnsi="宋体" w:cs="宋体"/>
                <w:bCs/>
                <w:sz w:val="24"/>
                <w:szCs w:val="24"/>
              </w:rPr>
              <w:t>1、磋商保证金必须从企业基帐户缴纳至采购代理机构给定的基本账户。以个人、企业的办事处、分公司、子公司名义或从他人帐户、投标人企业的其他账户缴纳的磋商保证金无效。</w:t>
            </w:r>
          </w:p>
          <w:p w14:paraId="519B976C">
            <w:pPr>
              <w:pStyle w:val="145"/>
              <w:spacing w:line="500" w:lineRule="exact"/>
              <w:rPr>
                <w:rFonts w:hint="eastAsia" w:ascii="宋体" w:hAnsi="宋体" w:cs="宋体"/>
                <w:bCs/>
                <w:sz w:val="24"/>
                <w:szCs w:val="24"/>
              </w:rPr>
            </w:pPr>
            <w:r>
              <w:rPr>
                <w:rFonts w:hint="eastAsia" w:ascii="宋体" w:hAnsi="宋体" w:cs="宋体"/>
                <w:bCs/>
                <w:sz w:val="24"/>
                <w:szCs w:val="24"/>
              </w:rPr>
              <w:t>2、磋商保证金必须在投标截止时间（开标时间）前缴纳至招标代理公司账户。投标人需自行评估因异地、跨行、公休日等因素造成的磋商保证金到账延迟风险，并承担相应责任。</w:t>
            </w:r>
          </w:p>
          <w:p w14:paraId="28BAF3B5">
            <w:pPr>
              <w:pStyle w:val="145"/>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注：打款时须注明项目名称，未按以上要求办理磋商保证金的，其磋商保证金视为无效，采购人将拒绝其投标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67"/>
              <w:spacing w:line="360" w:lineRule="auto"/>
              <w:jc w:val="center"/>
              <w:rPr>
                <w:rFonts w:hint="eastAsia" w:ascii="宋体" w:hAnsi="宋体" w:cs="宋体"/>
                <w:b/>
                <w:bCs/>
                <w:sz w:val="24"/>
              </w:rPr>
            </w:pPr>
            <w:r>
              <w:rPr>
                <w:rFonts w:hint="eastAsia" w:ascii="宋体" w:hAnsi="宋体" w:cs="宋体"/>
                <w:b/>
                <w:bCs/>
                <w:sz w:val="24"/>
              </w:rPr>
              <w:t>3.6.1</w:t>
            </w:r>
          </w:p>
        </w:tc>
        <w:tc>
          <w:tcPr>
            <w:tcW w:w="2400" w:type="dxa"/>
            <w:gridSpan w:val="2"/>
            <w:noWrap w:val="0"/>
            <w:vAlign w:val="center"/>
          </w:tcPr>
          <w:p w14:paraId="5B148656">
            <w:pPr>
              <w:pStyle w:val="67"/>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67"/>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67"/>
              <w:spacing w:line="360" w:lineRule="auto"/>
              <w:jc w:val="center"/>
              <w:rPr>
                <w:rFonts w:hint="eastAsia" w:ascii="宋体" w:hAnsi="宋体" w:cs="宋体"/>
                <w:b/>
                <w:bCs/>
                <w:sz w:val="24"/>
              </w:rPr>
            </w:pPr>
            <w:r>
              <w:rPr>
                <w:rFonts w:hint="eastAsia" w:ascii="宋体" w:hAnsi="宋体" w:cs="宋体"/>
                <w:b/>
                <w:bCs/>
                <w:sz w:val="24"/>
              </w:rPr>
              <w:t>3.7.1</w:t>
            </w:r>
          </w:p>
        </w:tc>
        <w:tc>
          <w:tcPr>
            <w:tcW w:w="2400" w:type="dxa"/>
            <w:gridSpan w:val="2"/>
            <w:noWrap w:val="0"/>
            <w:vAlign w:val="center"/>
          </w:tcPr>
          <w:p w14:paraId="61E53461">
            <w:pPr>
              <w:pStyle w:val="67"/>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67"/>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67"/>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副本一份（副本可以是正本的复印件）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67"/>
              <w:spacing w:line="360" w:lineRule="auto"/>
              <w:jc w:val="center"/>
              <w:rPr>
                <w:rFonts w:hint="eastAsia" w:ascii="宋体" w:hAnsi="宋体" w:cs="宋体"/>
                <w:b/>
                <w:bCs/>
                <w:sz w:val="24"/>
              </w:rPr>
            </w:pPr>
            <w:r>
              <w:rPr>
                <w:rFonts w:hint="eastAsia" w:ascii="宋体" w:hAnsi="宋体" w:cs="宋体"/>
                <w:b/>
                <w:bCs/>
                <w:sz w:val="24"/>
              </w:rPr>
              <w:t>3.7.2</w:t>
            </w:r>
          </w:p>
        </w:tc>
        <w:tc>
          <w:tcPr>
            <w:tcW w:w="2400" w:type="dxa"/>
            <w:gridSpan w:val="2"/>
            <w:noWrap w:val="0"/>
            <w:vAlign w:val="center"/>
          </w:tcPr>
          <w:p w14:paraId="761ECC54">
            <w:pPr>
              <w:pStyle w:val="67"/>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94"/>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96"/>
              <w:spacing w:line="360" w:lineRule="auto"/>
              <w:jc w:val="center"/>
              <w:rPr>
                <w:rFonts w:hint="eastAsia" w:ascii="宋体" w:hAnsi="宋体" w:cs="宋体"/>
                <w:b/>
                <w:bCs/>
                <w:sz w:val="24"/>
              </w:rPr>
            </w:pPr>
            <w:r>
              <w:rPr>
                <w:rFonts w:hint="eastAsia" w:ascii="宋体" w:hAnsi="宋体" w:cs="宋体"/>
                <w:b/>
                <w:bCs/>
                <w:sz w:val="24"/>
              </w:rPr>
              <w:t>3.8.1</w:t>
            </w:r>
          </w:p>
        </w:tc>
        <w:tc>
          <w:tcPr>
            <w:tcW w:w="2400" w:type="dxa"/>
            <w:gridSpan w:val="2"/>
            <w:noWrap w:val="0"/>
            <w:vAlign w:val="center"/>
          </w:tcPr>
          <w:p w14:paraId="6C192EF3">
            <w:pPr>
              <w:pStyle w:val="96"/>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67"/>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3.8.2</w:t>
            </w:r>
          </w:p>
        </w:tc>
        <w:tc>
          <w:tcPr>
            <w:tcW w:w="2400" w:type="dxa"/>
            <w:gridSpan w:val="2"/>
            <w:noWrap w:val="0"/>
            <w:vAlign w:val="center"/>
          </w:tcPr>
          <w:p w14:paraId="5E720CA1">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top"/>
          </w:tcPr>
          <w:p w14:paraId="294AE9BC">
            <w:pPr>
              <w:pStyle w:val="67"/>
              <w:spacing w:line="500" w:lineRule="exact"/>
              <w:rPr>
                <w:rFonts w:hint="default" w:ascii="宋体" w:hAnsi="宋体" w:eastAsia="宋体" w:cs="宋体"/>
                <w:sz w:val="24"/>
                <w:lang w:val="en-US" w:eastAsia="zh-CN"/>
              </w:rPr>
            </w:pPr>
            <w:r>
              <w:rPr>
                <w:rFonts w:hint="eastAsia" w:ascii="宋体" w:hAnsi="宋体" w:cs="宋体"/>
                <w:b/>
                <w:bCs/>
                <w:sz w:val="24"/>
                <w:lang w:val="en-US" w:eastAsia="zh-CN"/>
              </w:rPr>
              <w:t>商务服务业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67"/>
              <w:spacing w:line="360" w:lineRule="auto"/>
              <w:rPr>
                <w:rFonts w:hint="eastAsia" w:ascii="宋体" w:hAnsi="宋体" w:cs="宋体"/>
                <w:b/>
                <w:bCs/>
                <w:sz w:val="24"/>
              </w:rPr>
            </w:pPr>
            <w:r>
              <w:rPr>
                <w:rFonts w:hint="eastAsia" w:ascii="宋体" w:hAnsi="宋体" w:cs="宋体"/>
                <w:b/>
                <w:bCs/>
                <w:sz w:val="24"/>
              </w:rPr>
              <w:t>5.1.1</w:t>
            </w:r>
          </w:p>
        </w:tc>
        <w:tc>
          <w:tcPr>
            <w:tcW w:w="2400" w:type="dxa"/>
            <w:gridSpan w:val="2"/>
            <w:noWrap w:val="0"/>
            <w:vAlign w:val="center"/>
          </w:tcPr>
          <w:p w14:paraId="3D4CD3F9">
            <w:pPr>
              <w:pStyle w:val="67"/>
              <w:spacing w:line="320" w:lineRule="exact"/>
              <w:jc w:val="center"/>
              <w:rPr>
                <w:rFonts w:hint="eastAsia" w:ascii="宋体" w:hAnsi="宋体" w:cs="宋体"/>
                <w:b/>
                <w:bCs/>
                <w:sz w:val="24"/>
              </w:rPr>
            </w:pPr>
            <w:r>
              <w:rPr>
                <w:rFonts w:hint="eastAsia" w:ascii="宋体" w:hAnsi="宋体" w:cs="宋体"/>
                <w:b/>
                <w:bCs/>
                <w:sz w:val="24"/>
              </w:rPr>
              <w:t>磋商时间、地点等要求</w:t>
            </w:r>
          </w:p>
        </w:tc>
        <w:tc>
          <w:tcPr>
            <w:tcW w:w="6014" w:type="dxa"/>
            <w:noWrap w:val="0"/>
            <w:vAlign w:val="center"/>
          </w:tcPr>
          <w:p w14:paraId="62D9C2D4">
            <w:pPr>
              <w:pStyle w:val="67"/>
              <w:widowControl/>
              <w:spacing w:line="500" w:lineRule="exact"/>
              <w:rPr>
                <w:rFonts w:hint="eastAsia" w:ascii="宋体" w:hAnsi="宋体" w:cs="宋体"/>
                <w:b/>
                <w:bCs/>
                <w:kern w:val="0"/>
                <w:sz w:val="24"/>
              </w:rPr>
            </w:pPr>
            <w:r>
              <w:rPr>
                <w:rFonts w:hint="eastAsia" w:ascii="宋体" w:hAnsi="宋体" w:cs="宋体"/>
                <w:b/>
                <w:bCs/>
                <w:sz w:val="24"/>
              </w:rPr>
              <w:t>采用</w:t>
            </w:r>
            <w:r>
              <w:rPr>
                <w:rFonts w:hint="eastAsia" w:ascii="宋体" w:hAnsi="宋体" w:cs="宋体"/>
                <w:b/>
                <w:bCs/>
                <w:kern w:val="0"/>
                <w:sz w:val="24"/>
              </w:rPr>
              <w:t>不见面开标：</w:t>
            </w:r>
          </w:p>
          <w:p w14:paraId="63CE6B40">
            <w:pPr>
              <w:pStyle w:val="67"/>
              <w:spacing w:line="500" w:lineRule="exact"/>
              <w:ind w:leftChars="-1" w:hanging="2" w:hangingChars="1"/>
              <w:rPr>
                <w:rFonts w:hint="eastAsia" w:ascii="宋体" w:hAnsi="宋体" w:cs="宋体"/>
                <w:b/>
                <w:bCs/>
                <w:sz w:val="24"/>
              </w:rPr>
            </w:pPr>
            <w:r>
              <w:rPr>
                <w:rFonts w:hint="eastAsia" w:ascii="宋体" w:hAnsi="宋体" w:cs="宋体"/>
                <w:b/>
                <w:bCs/>
                <w:kern w:val="0"/>
                <w:sz w:val="24"/>
              </w:rPr>
              <w:t>磋商时间</w:t>
            </w:r>
            <w:r>
              <w:rPr>
                <w:rFonts w:hint="eastAsia" w:ascii="宋体" w:hAnsi="宋体" w:cs="宋体"/>
                <w:b/>
                <w:bCs/>
                <w:color w:val="000000"/>
                <w:kern w:val="0"/>
                <w:sz w:val="24"/>
              </w:rPr>
              <w:t>：</w:t>
            </w:r>
            <w:r>
              <w:rPr>
                <w:rFonts w:hint="eastAsia" w:ascii="宋体" w:hAnsi="宋体" w:cs="宋体"/>
                <w:b/>
                <w:bCs/>
                <w:color w:val="000000"/>
                <w:sz w:val="24"/>
                <w:u w:val="single"/>
                <w:lang w:eastAsia="zh-CN"/>
              </w:rPr>
              <w:t>202</w:t>
            </w:r>
            <w:r>
              <w:rPr>
                <w:rFonts w:hint="eastAsia" w:ascii="宋体" w:hAnsi="宋体" w:cs="宋体"/>
                <w:b/>
                <w:bCs/>
                <w:color w:val="000000"/>
                <w:sz w:val="24"/>
                <w:u w:val="single"/>
                <w:lang w:val="en-US" w:eastAsia="zh-CN"/>
              </w:rPr>
              <w:t>5</w:t>
            </w:r>
            <w:r>
              <w:rPr>
                <w:rFonts w:hint="eastAsia" w:ascii="宋体" w:hAnsi="宋体" w:cs="宋体"/>
                <w:b/>
                <w:bCs/>
                <w:color w:val="000000"/>
                <w:sz w:val="24"/>
                <w:u w:val="single"/>
                <w:lang w:eastAsia="zh-CN"/>
              </w:rPr>
              <w:t>年</w:t>
            </w:r>
            <w:r>
              <w:rPr>
                <w:rFonts w:hint="eastAsia" w:ascii="宋体" w:hAnsi="宋体" w:cs="宋体"/>
                <w:b/>
                <w:bCs/>
                <w:color w:val="000000"/>
                <w:sz w:val="24"/>
                <w:u w:val="single"/>
                <w:lang w:val="en-US" w:eastAsia="zh-CN"/>
              </w:rPr>
              <w:t>3</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24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
                <w:bCs/>
                <w:sz w:val="24"/>
              </w:rPr>
              <w:t>（北京时间）</w:t>
            </w:r>
          </w:p>
          <w:p w14:paraId="292CEB32">
            <w:pPr>
              <w:pStyle w:val="67"/>
              <w:spacing w:line="500" w:lineRule="exact"/>
              <w:rPr>
                <w:rFonts w:hint="eastAsia" w:ascii="宋体" w:hAnsi="宋体" w:cs="宋体"/>
                <w:b/>
                <w:bCs/>
                <w:kern w:val="0"/>
                <w:sz w:val="24"/>
                <w:u w:val="single"/>
              </w:rPr>
            </w:pPr>
            <w:r>
              <w:rPr>
                <w:rFonts w:hint="eastAsia" w:ascii="宋体" w:hAnsi="宋体" w:cs="宋体"/>
                <w:b/>
                <w:bCs/>
                <w:kern w:val="0"/>
                <w:sz w:val="24"/>
              </w:rPr>
              <w:t>磋商地点：</w:t>
            </w:r>
            <w:r>
              <w:rPr>
                <w:rFonts w:hint="eastAsia" w:ascii="宋体" w:hAnsi="宋体" w:cs="宋体"/>
                <w:b/>
                <w:bCs/>
                <w:kern w:val="0"/>
                <w:sz w:val="24"/>
                <w:u w:val="single"/>
              </w:rPr>
              <w:t>政采云不见面开标大厅</w:t>
            </w:r>
          </w:p>
          <w:p w14:paraId="6B1655FD">
            <w:pPr>
              <w:pStyle w:val="67"/>
              <w:spacing w:line="500" w:lineRule="exact"/>
              <w:rPr>
                <w:rFonts w:hint="eastAsia" w:ascii="宋体" w:hAnsi="宋体" w:cs="宋体"/>
                <w:b/>
                <w:bCs/>
                <w:sz w:val="24"/>
              </w:rPr>
            </w:pPr>
            <w:r>
              <w:rPr>
                <w:rFonts w:hint="eastAsia" w:ascii="宋体" w:hAnsi="宋体" w:cs="宋体"/>
                <w:b/>
                <w:bCs/>
                <w:sz w:val="24"/>
              </w:rPr>
              <w:t>不见面开标默认时长：</w:t>
            </w:r>
            <w:r>
              <w:rPr>
                <w:rFonts w:hint="eastAsia" w:ascii="宋体" w:hAnsi="宋体" w:cs="宋体"/>
                <w:b/>
                <w:bCs/>
                <w:sz w:val="24"/>
                <w:u w:val="single"/>
              </w:rPr>
              <w:t xml:space="preserve"> 30分钟   </w:t>
            </w:r>
          </w:p>
          <w:p w14:paraId="073601B8">
            <w:pPr>
              <w:pStyle w:val="67"/>
              <w:spacing w:line="500" w:lineRule="exact"/>
              <w:rPr>
                <w:rFonts w:hint="eastAsia" w:ascii="宋体" w:hAnsi="宋体" w:cs="宋体"/>
                <w:sz w:val="24"/>
              </w:rPr>
            </w:pPr>
            <w:r>
              <w:rPr>
                <w:rFonts w:hint="eastAsia" w:ascii="宋体" w:hAnsi="宋体" w:cs="宋体"/>
                <w:b/>
                <w:bCs/>
                <w:sz w:val="24"/>
              </w:rPr>
              <w:t>本项目采用远程不见面交易的模式。开标当日，供应商无需到达开标现场，仅需在任意地点通过政采云平台（</w:t>
            </w:r>
            <w:r>
              <w:rPr>
                <w:rFonts w:ascii="宋体" w:hAnsi="宋体" w:cs="宋体"/>
                <w:b/>
                <w:bCs/>
                <w:sz w:val="24"/>
              </w:rPr>
              <w:t>http://www.ccgp-xinjiang.gov.cn</w:t>
            </w:r>
            <w:r>
              <w:rPr>
                <w:rFonts w:hint="eastAsia" w:ascii="宋体" w:hAnsi="宋体" w:cs="宋体"/>
                <w:b/>
                <w:bCs/>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67"/>
              <w:spacing w:line="360" w:lineRule="auto"/>
              <w:jc w:val="center"/>
              <w:rPr>
                <w:rFonts w:hint="eastAsia" w:ascii="宋体" w:hAnsi="宋体" w:cs="宋体"/>
                <w:b/>
                <w:bCs/>
                <w:sz w:val="24"/>
                <w:highlight w:val="yellow"/>
              </w:rPr>
            </w:pPr>
            <w:r>
              <w:rPr>
                <w:rFonts w:hint="eastAsia" w:ascii="宋体" w:hAnsi="宋体" w:cs="宋体"/>
                <w:b/>
                <w:bCs/>
                <w:sz w:val="24"/>
              </w:rPr>
              <w:t>5.2</w:t>
            </w:r>
          </w:p>
        </w:tc>
        <w:tc>
          <w:tcPr>
            <w:tcW w:w="2400" w:type="dxa"/>
            <w:gridSpan w:val="2"/>
            <w:noWrap w:val="0"/>
            <w:vAlign w:val="center"/>
          </w:tcPr>
          <w:p w14:paraId="400A3571">
            <w:pPr>
              <w:pStyle w:val="67"/>
              <w:spacing w:line="320" w:lineRule="exact"/>
              <w:jc w:val="center"/>
              <w:rPr>
                <w:rFonts w:hint="eastAsia" w:ascii="宋体" w:hAnsi="宋体" w:cs="宋体"/>
                <w:b/>
                <w:bCs/>
                <w:sz w:val="24"/>
              </w:rPr>
            </w:pPr>
            <w:r>
              <w:rPr>
                <w:rFonts w:hint="eastAsia" w:ascii="宋体" w:hAnsi="宋体" w:cs="宋体"/>
                <w:b/>
                <w:bCs/>
                <w:sz w:val="24"/>
              </w:rPr>
              <w:t>磋商小组的组成</w:t>
            </w:r>
          </w:p>
        </w:tc>
        <w:tc>
          <w:tcPr>
            <w:tcW w:w="6014" w:type="dxa"/>
            <w:noWrap w:val="0"/>
            <w:vAlign w:val="center"/>
          </w:tcPr>
          <w:p w14:paraId="1E086F32">
            <w:pPr>
              <w:pStyle w:val="67"/>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rPr>
              <w:t>0</w:t>
            </w:r>
            <w:r>
              <w:rPr>
                <w:rFonts w:hint="eastAsia" w:ascii="宋体" w:hAnsi="宋体" w:cs="宋体"/>
                <w:sz w:val="24"/>
              </w:rPr>
              <w:t>人，专家</w:t>
            </w:r>
            <w:r>
              <w:rPr>
                <w:rFonts w:hint="eastAsia" w:ascii="宋体" w:hAnsi="宋体" w:cs="宋体"/>
                <w:sz w:val="24"/>
                <w:u w:val="single"/>
                <w:lang w:val="en-US" w:eastAsia="zh-CN"/>
              </w:rPr>
              <w:t>3</w:t>
            </w:r>
            <w:r>
              <w:rPr>
                <w:rFonts w:hint="eastAsia" w:ascii="宋体" w:hAnsi="宋体" w:cs="宋体"/>
                <w:sz w:val="24"/>
              </w:rPr>
              <w:t>人。</w:t>
            </w:r>
          </w:p>
          <w:p w14:paraId="6441A7BE">
            <w:pPr>
              <w:pStyle w:val="94"/>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67"/>
              <w:spacing w:line="360" w:lineRule="auto"/>
              <w:jc w:val="center"/>
              <w:rPr>
                <w:rFonts w:hint="eastAsia" w:ascii="宋体" w:hAnsi="宋体" w:cs="宋体"/>
                <w:b/>
                <w:bCs/>
                <w:sz w:val="24"/>
                <w:highlight w:val="yellow"/>
              </w:rPr>
            </w:pPr>
            <w:r>
              <w:rPr>
                <w:rFonts w:hint="eastAsia" w:ascii="宋体" w:hAnsi="宋体" w:cs="宋体"/>
                <w:b/>
                <w:bCs/>
                <w:sz w:val="24"/>
              </w:rPr>
              <w:t>5.4.4</w:t>
            </w:r>
          </w:p>
        </w:tc>
        <w:tc>
          <w:tcPr>
            <w:tcW w:w="2400" w:type="dxa"/>
            <w:gridSpan w:val="2"/>
            <w:noWrap w:val="0"/>
            <w:vAlign w:val="center"/>
          </w:tcPr>
          <w:p w14:paraId="5DD419F5">
            <w:pPr>
              <w:pStyle w:val="67"/>
              <w:spacing w:line="320" w:lineRule="exact"/>
              <w:jc w:val="center"/>
              <w:rPr>
                <w:rFonts w:hint="eastAsia" w:ascii="宋体" w:hAnsi="宋体" w:cs="宋体"/>
                <w:b/>
                <w:bCs/>
                <w:sz w:val="24"/>
              </w:rPr>
            </w:pPr>
            <w:r>
              <w:rPr>
                <w:rFonts w:hint="eastAsia" w:ascii="宋体" w:hAnsi="宋体" w:cs="宋体"/>
                <w:b/>
                <w:bCs/>
                <w:sz w:val="24"/>
              </w:rPr>
              <w:t>磋商轮数和最后报价的其他要求</w:t>
            </w:r>
          </w:p>
        </w:tc>
        <w:tc>
          <w:tcPr>
            <w:tcW w:w="6014" w:type="dxa"/>
            <w:noWrap w:val="0"/>
            <w:vAlign w:val="center"/>
          </w:tcPr>
          <w:p w14:paraId="0946A0DE">
            <w:pPr>
              <w:pStyle w:val="40"/>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1、磋商轮数：两轮；</w:t>
            </w:r>
          </w:p>
          <w:p w14:paraId="743368E0">
            <w:pPr>
              <w:pStyle w:val="40"/>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67"/>
              <w:spacing w:line="360" w:lineRule="auto"/>
              <w:jc w:val="center"/>
              <w:rPr>
                <w:rFonts w:hint="eastAsia" w:ascii="宋体" w:hAnsi="宋体" w:cs="宋体"/>
                <w:b/>
                <w:bCs/>
                <w:sz w:val="24"/>
              </w:rPr>
            </w:pPr>
            <w:r>
              <w:rPr>
                <w:rFonts w:hint="eastAsia" w:ascii="宋体" w:hAnsi="宋体" w:cs="宋体"/>
                <w:b/>
                <w:bCs/>
                <w:sz w:val="24"/>
              </w:rPr>
              <w:t>5.6</w:t>
            </w:r>
          </w:p>
        </w:tc>
        <w:tc>
          <w:tcPr>
            <w:tcW w:w="2400" w:type="dxa"/>
            <w:gridSpan w:val="2"/>
            <w:noWrap w:val="0"/>
            <w:vAlign w:val="center"/>
          </w:tcPr>
          <w:p w14:paraId="501F744E">
            <w:pPr>
              <w:pStyle w:val="67"/>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67"/>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67"/>
              <w:spacing w:line="360" w:lineRule="auto"/>
              <w:jc w:val="center"/>
              <w:rPr>
                <w:rFonts w:hint="eastAsia" w:ascii="宋体" w:hAnsi="宋体" w:cs="宋体"/>
                <w:b/>
                <w:bCs/>
                <w:sz w:val="24"/>
                <w:highlight w:val="yellow"/>
              </w:rPr>
            </w:pPr>
            <w:r>
              <w:rPr>
                <w:rFonts w:hint="eastAsia" w:ascii="宋体" w:hAnsi="宋体" w:cs="宋体"/>
                <w:b/>
                <w:bCs/>
                <w:sz w:val="24"/>
              </w:rPr>
              <w:t>6.1</w:t>
            </w:r>
          </w:p>
        </w:tc>
        <w:tc>
          <w:tcPr>
            <w:tcW w:w="2400" w:type="dxa"/>
            <w:gridSpan w:val="2"/>
            <w:noWrap w:val="0"/>
            <w:vAlign w:val="center"/>
          </w:tcPr>
          <w:p w14:paraId="4C9D7B49">
            <w:pPr>
              <w:pStyle w:val="67"/>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67"/>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67"/>
              <w:spacing w:line="360" w:lineRule="auto"/>
              <w:jc w:val="center"/>
              <w:rPr>
                <w:rFonts w:hint="eastAsia" w:ascii="宋体" w:hAnsi="宋体" w:cs="宋体"/>
                <w:b/>
                <w:sz w:val="24"/>
              </w:rPr>
            </w:pPr>
            <w:r>
              <w:rPr>
                <w:rFonts w:hint="eastAsia" w:ascii="宋体" w:hAnsi="宋体" w:cs="宋体"/>
                <w:b/>
                <w:sz w:val="24"/>
              </w:rPr>
              <w:t>7</w:t>
            </w:r>
          </w:p>
        </w:tc>
        <w:tc>
          <w:tcPr>
            <w:tcW w:w="1208" w:type="dxa"/>
            <w:noWrap w:val="0"/>
            <w:vAlign w:val="center"/>
          </w:tcPr>
          <w:p w14:paraId="0774E406">
            <w:pPr>
              <w:pStyle w:val="188"/>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188"/>
              <w:spacing w:line="400" w:lineRule="exact"/>
              <w:jc w:val="center"/>
              <w:rPr>
                <w:rFonts w:hint="eastAsia" w:ascii="宋体" w:hAnsi="宋体" w:cs="宋体"/>
                <w:b/>
                <w:color w:val="000000"/>
                <w:sz w:val="24"/>
              </w:rPr>
            </w:pPr>
            <w:r>
              <w:rPr>
                <w:rFonts w:hint="eastAsia" w:ascii="宋体" w:hAnsi="宋体" w:eastAsia="宋体" w:cs="宋体"/>
                <w:kern w:val="0"/>
                <w:sz w:val="24"/>
                <w:szCs w:val="24"/>
                <w:lang w:val="en-US" w:eastAsia="zh-CN" w:bidi="ar-SA"/>
              </w:rPr>
              <w:t>具体以合同签订为准</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67"/>
              <w:spacing w:line="360" w:lineRule="auto"/>
              <w:jc w:val="center"/>
              <w:rPr>
                <w:rFonts w:hint="eastAsia" w:ascii="宋体" w:hAnsi="宋体" w:cs="宋体"/>
                <w:b/>
                <w:sz w:val="24"/>
              </w:rPr>
            </w:pPr>
            <w:r>
              <w:rPr>
                <w:rFonts w:hint="eastAsia" w:ascii="宋体" w:hAnsi="宋体" w:cs="宋体"/>
                <w:b/>
                <w:sz w:val="24"/>
              </w:rPr>
              <w:t>8</w:t>
            </w:r>
          </w:p>
        </w:tc>
        <w:tc>
          <w:tcPr>
            <w:tcW w:w="8414" w:type="dxa"/>
            <w:gridSpan w:val="3"/>
            <w:noWrap w:val="0"/>
            <w:vAlign w:val="top"/>
          </w:tcPr>
          <w:p w14:paraId="5B8A8E0F">
            <w:pPr>
              <w:pStyle w:val="188"/>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top"/>
          </w:tcPr>
          <w:p w14:paraId="4284ED1C">
            <w:pPr>
              <w:pStyle w:val="67"/>
              <w:spacing w:line="360" w:lineRule="auto"/>
              <w:jc w:val="center"/>
              <w:rPr>
                <w:rFonts w:hint="eastAsia" w:ascii="宋体" w:hAnsi="宋体" w:cs="宋体"/>
                <w:b/>
                <w:bCs/>
                <w:sz w:val="24"/>
              </w:rPr>
            </w:pPr>
            <w:r>
              <w:rPr>
                <w:rFonts w:hint="eastAsia" w:ascii="宋体" w:hAnsi="宋体" w:cs="宋体"/>
                <w:b/>
                <w:bCs/>
                <w:sz w:val="24"/>
              </w:rPr>
              <w:t>8.1</w:t>
            </w:r>
          </w:p>
        </w:tc>
        <w:tc>
          <w:tcPr>
            <w:tcW w:w="8414" w:type="dxa"/>
            <w:gridSpan w:val="3"/>
            <w:noWrap w:val="0"/>
            <w:vAlign w:val="top"/>
          </w:tcPr>
          <w:p w14:paraId="39397CF1">
            <w:pPr>
              <w:pStyle w:val="40"/>
              <w:spacing w:line="400" w:lineRule="exact"/>
              <w:rPr>
                <w:rFonts w:hint="eastAsia" w:ascii="宋体" w:hAnsi="宋体" w:cs="宋体"/>
                <w:b/>
                <w:bCs/>
                <w:sz w:val="24"/>
                <w:szCs w:val="24"/>
              </w:rPr>
            </w:pPr>
            <w:r>
              <w:rPr>
                <w:rFonts w:hint="eastAsia" w:ascii="宋体" w:hAnsi="宋体" w:cs="宋体"/>
                <w:b/>
                <w:bCs/>
                <w:sz w:val="24"/>
                <w:szCs w:val="24"/>
              </w:rPr>
              <w:t>磋商代理服务费：</w:t>
            </w:r>
          </w:p>
          <w:p w14:paraId="20CF09C7">
            <w:pPr>
              <w:pStyle w:val="67"/>
              <w:spacing w:line="360" w:lineRule="auto"/>
              <w:rPr>
                <w:rFonts w:hint="eastAsia" w:ascii="宋体" w:hAnsi="宋体" w:cs="宋体"/>
                <w:b/>
                <w:bCs/>
                <w:sz w:val="24"/>
              </w:rPr>
            </w:pPr>
            <w:r>
              <w:rPr>
                <w:rFonts w:hint="eastAsia" w:ascii="宋体" w:hAnsi="宋体" w:cs="宋体"/>
                <w:b/>
                <w:bCs/>
                <w:sz w:val="24"/>
              </w:rPr>
              <w:t>招标代理费收费依据《招标代理服务收费管理暂行办法》（计价格［2002］1980号）和《国家发展改革委办公厅关于招标代理服务收费有关问题的通知》（发改办价格[2003]857号）的规定按最终中标金额为计费基数计算确定,由中标单位支付。中标单位在收到中标通知书后，须向新疆华飞项目咨询管理有限公司支付招标代理服务费。</w:t>
            </w:r>
          </w:p>
          <w:p w14:paraId="43940A82">
            <w:pPr>
              <w:pStyle w:val="188"/>
              <w:spacing w:line="400" w:lineRule="exact"/>
              <w:rPr>
                <w:rFonts w:hint="eastAsia" w:ascii="宋体" w:hAnsi="宋体" w:cs="宋体"/>
                <w:sz w:val="24"/>
              </w:rPr>
            </w:pPr>
            <w:r>
              <w:rPr>
                <w:rFonts w:hint="eastAsia" w:ascii="宋体" w:hAnsi="宋体" w:cs="宋体"/>
                <w:sz w:val="24"/>
              </w:rPr>
              <w:t>收款单位：新疆华飞项目咨询管理有限公司</w:t>
            </w:r>
          </w:p>
          <w:p w14:paraId="0E3ACA00">
            <w:pPr>
              <w:pStyle w:val="188"/>
              <w:spacing w:line="400" w:lineRule="exact"/>
              <w:rPr>
                <w:rFonts w:hint="eastAsia" w:ascii="宋体" w:hAnsi="宋体" w:cs="宋体"/>
                <w:sz w:val="24"/>
              </w:rPr>
            </w:pPr>
            <w:r>
              <w:rPr>
                <w:rFonts w:hint="eastAsia" w:ascii="宋体" w:hAnsi="宋体" w:cs="宋体"/>
                <w:sz w:val="24"/>
              </w:rPr>
              <w:t>开户行：哈密市商业银行股份有限公司爱国北路支行</w:t>
            </w:r>
          </w:p>
          <w:p w14:paraId="74BEDCD2">
            <w:pPr>
              <w:pStyle w:val="188"/>
              <w:spacing w:line="400" w:lineRule="exact"/>
              <w:rPr>
                <w:rFonts w:hint="eastAsia" w:ascii="宋体" w:hAnsi="宋体" w:cs="宋体"/>
                <w:sz w:val="24"/>
                <w:szCs w:val="24"/>
              </w:rPr>
            </w:pPr>
            <w:r>
              <w:rPr>
                <w:rFonts w:hint="eastAsia" w:ascii="宋体" w:hAnsi="宋体" w:cs="宋体"/>
                <w:sz w:val="24"/>
              </w:rPr>
              <w:t>账号：908090100100027838</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top"/>
          </w:tcPr>
          <w:p w14:paraId="3E82BD11">
            <w:pPr>
              <w:pStyle w:val="67"/>
              <w:spacing w:line="360" w:lineRule="auto"/>
              <w:jc w:val="center"/>
              <w:rPr>
                <w:rFonts w:hint="eastAsia" w:ascii="宋体" w:hAnsi="宋体" w:cs="宋体"/>
                <w:b/>
                <w:bCs/>
                <w:sz w:val="24"/>
              </w:rPr>
            </w:pPr>
            <w:r>
              <w:rPr>
                <w:rFonts w:hint="eastAsia" w:ascii="宋体" w:hAnsi="宋体" w:cs="宋体"/>
                <w:b/>
                <w:bCs/>
                <w:sz w:val="24"/>
              </w:rPr>
              <w:t>8.2</w:t>
            </w:r>
          </w:p>
        </w:tc>
        <w:tc>
          <w:tcPr>
            <w:tcW w:w="8414" w:type="dxa"/>
            <w:gridSpan w:val="3"/>
            <w:noWrap w:val="0"/>
            <w:vAlign w:val="top"/>
          </w:tcPr>
          <w:p w14:paraId="17B4777B">
            <w:pPr>
              <w:pStyle w:val="67"/>
              <w:spacing w:line="400" w:lineRule="exact"/>
              <w:rPr>
                <w:rFonts w:hint="eastAsia" w:ascii="宋体" w:hAnsi="宋体" w:cs="宋体"/>
                <w:b/>
                <w:sz w:val="24"/>
              </w:rPr>
            </w:pPr>
            <w:r>
              <w:rPr>
                <w:rFonts w:hint="eastAsia" w:ascii="宋体" w:hAnsi="宋体" w:cs="宋体"/>
                <w:b/>
                <w:sz w:val="24"/>
              </w:rPr>
              <w:t>解释权:</w:t>
            </w:r>
          </w:p>
          <w:p w14:paraId="1C40FDBC">
            <w:pPr>
              <w:pStyle w:val="67"/>
              <w:spacing w:line="400" w:lineRule="exact"/>
              <w:rPr>
                <w:rFonts w:hint="eastAsia" w:ascii="宋体" w:hAnsi="宋体" w:cs="宋体"/>
                <w:sz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67"/>
              <w:spacing w:line="360" w:lineRule="auto"/>
              <w:jc w:val="center"/>
              <w:rPr>
                <w:rFonts w:hint="eastAsia" w:ascii="宋体" w:hAnsi="宋体" w:cs="宋体"/>
                <w:b/>
                <w:bCs/>
                <w:sz w:val="24"/>
              </w:rPr>
            </w:pPr>
            <w:r>
              <w:rPr>
                <w:rFonts w:hint="eastAsia" w:ascii="宋体" w:hAnsi="宋体" w:cs="宋体"/>
                <w:b/>
                <w:bCs/>
                <w:sz w:val="24"/>
              </w:rPr>
              <w:t>8.3</w:t>
            </w:r>
          </w:p>
        </w:tc>
        <w:tc>
          <w:tcPr>
            <w:tcW w:w="8414" w:type="dxa"/>
            <w:gridSpan w:val="3"/>
            <w:noWrap w:val="0"/>
            <w:vAlign w:val="center"/>
          </w:tcPr>
          <w:p w14:paraId="73A120A9">
            <w:pPr>
              <w:pStyle w:val="40"/>
              <w:spacing w:line="312" w:lineRule="auto"/>
              <w:rPr>
                <w:rFonts w:hint="eastAsia" w:ascii="宋体" w:hAnsi="宋体"/>
                <w:sz w:val="24"/>
              </w:rPr>
            </w:pPr>
            <w:r>
              <w:rPr>
                <w:rFonts w:hint="eastAsia" w:ascii="宋体" w:hAnsi="宋体"/>
                <w:sz w:val="24"/>
              </w:rPr>
              <w:t>1、供应商应依照磋商文件要求在响应文件中提供相关材料原件的扫描件。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rPr>
              <w:t>磋商</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rPr>
              <w:t>磋商文件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rPr>
              <w:t>磋商保证金</w:t>
            </w:r>
            <w:r>
              <w:rPr>
                <w:rFonts w:ascii="Times New Roman" w:hAnsi="Times New Roman"/>
                <w:bCs/>
                <w:sz w:val="24"/>
                <w:szCs w:val="24"/>
              </w:rPr>
              <w:t>，并报主管部门备案。</w:t>
            </w:r>
          </w:p>
          <w:p w14:paraId="441462BB">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rPr>
              <w:t>磋商保证金</w:t>
            </w:r>
            <w:r>
              <w:rPr>
                <w:rFonts w:ascii="Times New Roman" w:hAnsi="Times New Roman"/>
                <w:bCs/>
                <w:sz w:val="24"/>
                <w:szCs w:val="24"/>
              </w:rPr>
              <w:t xml:space="preserve">的退还： </w:t>
            </w:r>
          </w:p>
          <w:p w14:paraId="144C3632">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96"/>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3D78163F">
            <w:pPr>
              <w:pStyle w:val="96"/>
              <w:autoSpaceDE w:val="0"/>
              <w:autoSpaceDN w:val="0"/>
              <w:adjustRightInd w:val="0"/>
              <w:spacing w:line="360" w:lineRule="auto"/>
              <w:rPr>
                <w:rFonts w:hint="default" w:ascii="Times New Roman" w:hAnsi="Times New Roman" w:eastAsia="宋体"/>
                <w:b/>
                <w:bCs w:val="0"/>
                <w:sz w:val="24"/>
                <w:szCs w:val="24"/>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姚艳萍  0902-2228110</w:t>
            </w:r>
          </w:p>
          <w:p w14:paraId="1A74CF15">
            <w:pPr>
              <w:pStyle w:val="96"/>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8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67"/>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67"/>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40"/>
              <w:spacing w:line="312" w:lineRule="auto"/>
              <w:rPr>
                <w:rFonts w:hint="eastAsia" w:ascii="宋体" w:hAnsi="宋体"/>
                <w:sz w:val="24"/>
              </w:rPr>
            </w:pPr>
            <w:r>
              <w:rPr>
                <w:rFonts w:hint="eastAsia" w:ascii="宋体" w:hAnsi="宋体"/>
                <w:sz w:val="24"/>
              </w:rPr>
              <w:t>联系人：政采云客户服务热线    联系电话：400-881-7190</w:t>
            </w:r>
          </w:p>
        </w:tc>
      </w:tr>
    </w:tbl>
    <w:p w14:paraId="398485D5">
      <w:pPr>
        <w:pStyle w:val="67"/>
        <w:spacing w:line="320" w:lineRule="exact"/>
        <w:rPr>
          <w:rFonts w:hint="eastAsia" w:ascii="宋体" w:hAnsi="宋体" w:cs="宋体"/>
          <w:kern w:val="0"/>
          <w:sz w:val="24"/>
        </w:rPr>
      </w:pPr>
      <w:r>
        <w:rPr>
          <w:rFonts w:hint="eastAsia" w:ascii="宋体" w:hAnsi="宋体" w:cs="宋体"/>
          <w:kern w:val="0"/>
          <w:sz w:val="24"/>
        </w:rPr>
        <w:t>注：1.本表内容与招标文件其它内容不一致的，应当以本表内容为准。</w:t>
      </w:r>
    </w:p>
    <w:p w14:paraId="798809DF">
      <w:pPr>
        <w:pStyle w:val="21"/>
        <w:jc w:val="left"/>
        <w:rPr>
          <w:rStyle w:val="76"/>
          <w:rFonts w:hint="eastAsia" w:ascii="宋体" w:hAnsi="宋体" w:cs="宋体"/>
          <w:sz w:val="21"/>
          <w:szCs w:val="18"/>
          <w:lang w:val="en-US" w:eastAsia="zh-CN" w:bidi="ar-SA"/>
        </w:rPr>
      </w:pPr>
      <w:r>
        <w:br w:type="page"/>
      </w:r>
      <w:bookmarkStart w:id="16" w:name="_Toc5838"/>
      <w:bookmarkStart w:id="17" w:name="_Toc29932"/>
      <w:bookmarkStart w:id="18" w:name="_Toc256000004"/>
      <w:bookmarkStart w:id="19" w:name="_Toc106276247"/>
      <w:bookmarkStart w:id="20" w:name="_Toc22818"/>
      <w:bookmarkStart w:id="21" w:name="_Toc21521"/>
      <w:r>
        <w:rPr>
          <w:rStyle w:val="76"/>
          <w:rFonts w:hint="eastAsia" w:ascii="宋体" w:hAnsi="宋体" w:cs="宋体"/>
        </w:rPr>
        <w:t>磋商须知正文部分</w:t>
      </w:r>
      <w:bookmarkEnd w:id="16"/>
      <w:bookmarkEnd w:id="17"/>
      <w:bookmarkEnd w:id="18"/>
      <w:bookmarkEnd w:id="19"/>
      <w:bookmarkEnd w:id="20"/>
    </w:p>
    <w:bookmarkEnd w:id="21"/>
    <w:p w14:paraId="1CCD3A9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lang w:eastAsia="zh-CN"/>
        </w:rPr>
      </w:pPr>
      <w:bookmarkStart w:id="22" w:name="_Toc8479"/>
      <w:bookmarkStart w:id="23" w:name="_Toc5724"/>
      <w:bookmarkStart w:id="24" w:name="_Toc23130"/>
      <w:bookmarkStart w:id="25" w:name="_Toc256000005"/>
      <w:bookmarkStart w:id="26" w:name="_Toc17738"/>
      <w:bookmarkStart w:id="27" w:name="_Toc106276248"/>
      <w:r>
        <w:rPr>
          <w:rFonts w:hint="eastAsia" w:ascii="宋体" w:hAnsi="宋体" w:cs="宋体"/>
        </w:rPr>
        <w:t>一、说明</w:t>
      </w:r>
      <w:bookmarkEnd w:id="22"/>
      <w:bookmarkEnd w:id="23"/>
      <w:bookmarkEnd w:id="24"/>
      <w:bookmarkEnd w:id="25"/>
      <w:bookmarkEnd w:id="26"/>
      <w:bookmarkEnd w:id="27"/>
    </w:p>
    <w:p w14:paraId="65D25E14">
      <w:pPr>
        <w:pStyle w:val="67"/>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6B20D4FE">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0B0F1F4">
      <w:pPr>
        <w:pStyle w:val="67"/>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7B7D9287">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w:t>
      </w:r>
      <w:r>
        <w:rPr>
          <w:rFonts w:hint="eastAsia" w:ascii="宋体" w:hAnsi="宋体" w:cs="宋体"/>
          <w:sz w:val="24"/>
        </w:rPr>
        <w:t>。</w:t>
      </w:r>
    </w:p>
    <w:p w14:paraId="04B48CE8">
      <w:pPr>
        <w:pStyle w:val="67"/>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3A06952F">
      <w:pPr>
        <w:pStyle w:val="67"/>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w:t>
      </w:r>
      <w:r>
        <w:rPr>
          <w:rFonts w:hint="eastAsia" w:ascii="宋体" w:hAnsi="宋体" w:cs="宋体"/>
          <w:sz w:val="24"/>
        </w:rPr>
        <w:t>；</w:t>
      </w:r>
    </w:p>
    <w:p w14:paraId="2021D677">
      <w:pPr>
        <w:pStyle w:val="67"/>
        <w:spacing w:line="360" w:lineRule="auto"/>
        <w:ind w:firstLine="420"/>
        <w:rPr>
          <w:rFonts w:hint="eastAsia" w:ascii="宋体" w:hAnsi="宋体" w:cs="宋体"/>
          <w:sz w:val="24"/>
        </w:rPr>
      </w:pPr>
      <w:r>
        <w:rPr>
          <w:rFonts w:hint="eastAsia" w:ascii="宋体" w:hAnsi="宋体" w:cs="宋体"/>
          <w:sz w:val="24"/>
        </w:rPr>
        <w:t>1.3.2凡为本采购项目提供整体设计、规范编制或者项目管理、监理、检测等服务的供应商，不得参加报价。</w:t>
      </w:r>
    </w:p>
    <w:p w14:paraId="15A41331">
      <w:pPr>
        <w:pStyle w:val="67"/>
        <w:spacing w:line="360" w:lineRule="auto"/>
        <w:ind w:firstLine="420"/>
        <w:rPr>
          <w:rFonts w:hint="eastAsia" w:ascii="宋体" w:hAnsi="宋体" w:cs="宋体"/>
          <w:sz w:val="24"/>
        </w:rPr>
      </w:pPr>
      <w:r>
        <w:rPr>
          <w:rFonts w:hint="eastAsia" w:ascii="宋体" w:hAnsi="宋体" w:cs="宋体"/>
          <w:sz w:val="24"/>
        </w:rPr>
        <w:t>1.3.3一个供应商只能提交一个响应文件。但如果不同供应商之间的单位负责人为同一人或者存在直接控股、管理关系的，均作无效报价处理。</w:t>
      </w:r>
    </w:p>
    <w:p w14:paraId="5CD51533">
      <w:pPr>
        <w:pStyle w:val="67"/>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4A9ECAE">
      <w:pPr>
        <w:pStyle w:val="67"/>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7ABDADD7">
      <w:pPr>
        <w:pStyle w:val="67"/>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023AD9A2">
      <w:pPr>
        <w:pStyle w:val="67"/>
        <w:adjustRightInd w:val="0"/>
        <w:snapToGrid w:val="0"/>
        <w:spacing w:line="360" w:lineRule="auto"/>
        <w:ind w:firstLine="480" w:firstLineChars="200"/>
        <w:rPr>
          <w:rFonts w:hint="eastAsia" w:ascii="宋体" w:hAnsi="宋体" w:cs="宋体"/>
          <w:color w:val="999999"/>
          <w:sz w:val="24"/>
        </w:rPr>
      </w:pPr>
      <w:r>
        <w:rPr>
          <w:rFonts w:hint="eastAsia" w:ascii="宋体" w:hAnsi="宋体" w:cs="宋体"/>
          <w:sz w:val="24"/>
        </w:rPr>
        <w:t>（3）有关法律、法规或规章规定的其他串通报价行为。</w:t>
      </w:r>
    </w:p>
    <w:p w14:paraId="38792BF7">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6A38BCE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4E90C25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28" w:name="_Toc25678"/>
      <w:bookmarkStart w:id="29" w:name="_Toc23764"/>
      <w:bookmarkStart w:id="30" w:name="_Toc256000006"/>
      <w:bookmarkStart w:id="31" w:name="_Toc13437"/>
      <w:bookmarkStart w:id="32" w:name="_Toc22628"/>
      <w:bookmarkStart w:id="33" w:name="_Toc106276249"/>
      <w:r>
        <w:rPr>
          <w:rFonts w:hint="eastAsia" w:ascii="宋体" w:hAnsi="宋体" w:cs="宋体"/>
        </w:rPr>
        <w:t>二、磋商文件</w:t>
      </w:r>
      <w:bookmarkEnd w:id="28"/>
      <w:bookmarkEnd w:id="29"/>
      <w:bookmarkEnd w:id="30"/>
      <w:bookmarkEnd w:id="31"/>
      <w:bookmarkEnd w:id="32"/>
      <w:bookmarkEnd w:id="33"/>
    </w:p>
    <w:p w14:paraId="52517C28">
      <w:pPr>
        <w:pStyle w:val="67"/>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1F677A24">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（1）磋商公告</w:t>
      </w:r>
    </w:p>
    <w:p w14:paraId="142BD89B">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5F79052C">
      <w:pPr>
        <w:pStyle w:val="67"/>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评标方法</w:t>
      </w:r>
    </w:p>
    <w:p w14:paraId="47567578">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政府采购合同格式</w:t>
      </w:r>
    </w:p>
    <w:p w14:paraId="63CCDD0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）采购内容及服务要求</w:t>
      </w:r>
    </w:p>
    <w:p w14:paraId="0E18A8A1">
      <w:pPr>
        <w:pStyle w:val="67"/>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）响应文件格式</w:t>
      </w:r>
    </w:p>
    <w:p w14:paraId="32B517B9">
      <w:pPr>
        <w:pStyle w:val="67"/>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7E45CAF1">
      <w:pPr>
        <w:pStyle w:val="67"/>
        <w:adjustRightInd w:val="0"/>
        <w:snapToGrid w:val="0"/>
        <w:spacing w:line="360" w:lineRule="auto"/>
        <w:ind w:right="-105" w:rightChars="-50" w:firstLine="480" w:firstLineChars="200"/>
        <w:rPr>
          <w:rFonts w:hint="eastAsia" w:ascii="宋体" w:hAnsi="宋体" w:cs="宋体"/>
          <w:sz w:val="24"/>
        </w:rPr>
      </w:pPr>
      <w:bookmarkStart w:id="34" w:name="_Toc256000007"/>
      <w:bookmarkStart w:id="35" w:name="_Toc8163"/>
      <w:bookmarkStart w:id="36" w:name="_Toc29250"/>
      <w:bookmarkStart w:id="37" w:name="_Toc31121"/>
      <w:r>
        <w:rPr>
          <w:rFonts w:hint="eastAsia" w:ascii="宋体" w:hAnsi="宋体" w:cs="宋体"/>
          <w:sz w:val="24"/>
        </w:rPr>
        <w:t>2.2.1供应商应仔细阅读和检查磋商文件的全部内容。供应商若对磋商文件有任何疑问，均应在响应文件递交截止时间5日前登录新疆政府采购网，在主体信息库具体模块中对应项目中进行网上提问。采购单位对供应商所要求澄清的内容均予以答复（答复中不包括问题的来源）。必要时，采购单位将组织相关专家召开答疑会，并在新疆政府采购网上向所有供应商公布，供应商可下载澄清文件。澄清文件作为磋商文件的组成部分，对供应商具有同等约束作用。</w:t>
      </w:r>
    </w:p>
    <w:p w14:paraId="5F43F8F1">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4539885">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38" w:name="_Toc24116"/>
      <w:bookmarkStart w:id="39" w:name="_Toc106276250"/>
      <w:r>
        <w:rPr>
          <w:rFonts w:hint="eastAsia" w:ascii="宋体" w:hAnsi="宋体" w:cs="宋体"/>
        </w:rPr>
        <w:t>三、响应文件</w:t>
      </w:r>
      <w:bookmarkEnd w:id="34"/>
      <w:bookmarkEnd w:id="35"/>
      <w:bookmarkEnd w:id="36"/>
      <w:bookmarkEnd w:id="37"/>
      <w:bookmarkEnd w:id="38"/>
      <w:bookmarkEnd w:id="39"/>
    </w:p>
    <w:p w14:paraId="4123551F">
      <w:pPr>
        <w:pStyle w:val="67"/>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42C6AB58">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w:t>
      </w:r>
      <w:r>
        <w:rPr>
          <w:rFonts w:hint="eastAsia" w:ascii="宋体" w:hAnsi="宋体" w:cs="宋体"/>
          <w:sz w:val="24"/>
          <w:lang w:val="en-US" w:eastAsia="zh-CN"/>
        </w:rPr>
        <w:t>六</w:t>
      </w:r>
      <w:r>
        <w:rPr>
          <w:rFonts w:hint="eastAsia" w:ascii="宋体" w:hAnsi="宋体" w:cs="宋体"/>
          <w:sz w:val="24"/>
        </w:rPr>
        <w:t>章“响应文件格式”的要求编制响应文件。</w:t>
      </w:r>
    </w:p>
    <w:p w14:paraId="762E6A60">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3F7B593F">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1204335">
      <w:pPr>
        <w:numPr>
          <w:ilvl w:val="0"/>
          <w:numId w:val="0"/>
        </w:numPr>
        <w:bidi w:val="0"/>
        <w:spacing w:line="360" w:lineRule="auto"/>
        <w:ind w:firstLine="480" w:firstLineChars="200"/>
        <w:rPr>
          <w:rFonts w:hint="eastAsia" w:ascii="宋体" w:hAnsi="宋体" w:eastAsia="宋体" w:cs="宋体"/>
          <w:kern w:val="0"/>
          <w:sz w:val="24"/>
          <w:szCs w:val="24"/>
          <w:lang w:bidi="ar-SA"/>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szCs w:val="24"/>
          <w:lang w:bidi="ar-SA"/>
        </w:rPr>
        <w:t>投标文件封面</w:t>
      </w:r>
    </w:p>
    <w:p w14:paraId="402DAEE5">
      <w:pPr>
        <w:numPr>
          <w:ilvl w:val="0"/>
          <w:numId w:val="0"/>
        </w:numPr>
        <w:bidi w:val="0"/>
        <w:spacing w:line="360" w:lineRule="auto"/>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szCs w:val="24"/>
          <w:lang w:eastAsia="zh-CN" w:bidi="ar-SA"/>
        </w:rPr>
        <w:t>资格响应文件</w:t>
      </w:r>
    </w:p>
    <w:p w14:paraId="6CF5946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036BDEC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6442DFD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1212C36A">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00DC9D40">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29B679A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1403265A">
      <w:pPr>
        <w:bidi w:val="0"/>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eastAsia="zh-CN" w:bidi="ar-SA"/>
        </w:rPr>
        <w:t>报价响应文件</w:t>
      </w:r>
    </w:p>
    <w:p w14:paraId="1AD2264D">
      <w:pPr>
        <w:pStyle w:val="154"/>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（一）开标一览表</w:t>
      </w:r>
    </w:p>
    <w:p w14:paraId="5F68CD3D">
      <w:pPr>
        <w:pStyle w:val="154"/>
        <w:spacing w:line="360" w:lineRule="auto"/>
        <w:ind w:firstLine="480" w:firstLineChars="200"/>
        <w:jc w:val="both"/>
        <w:rPr>
          <w:rFonts w:hint="eastAsia" w:ascii="宋体" w:hAnsi="宋体" w:eastAsia="宋体" w:cs="宋体"/>
          <w:b w:val="0"/>
          <w:bCs w:val="0"/>
          <w:lang w:val="en-US" w:eastAsia="zh-CN" w:bidi="ar-SA"/>
        </w:rPr>
      </w:pPr>
      <w:r>
        <w:rPr>
          <w:rFonts w:hint="eastAsia" w:ascii="宋体" w:hAnsi="宋体" w:eastAsia="宋体" w:cs="宋体"/>
          <w:b w:val="0"/>
          <w:bCs w:val="0"/>
          <w:lang w:val="en-US" w:eastAsia="zh-CN" w:bidi="ar-SA"/>
        </w:rPr>
        <w:t>四、商务、技术响应文件</w:t>
      </w:r>
    </w:p>
    <w:p w14:paraId="7FFCAEA6">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731C8504">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24F9AC26">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4630F89F">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0C2F2A31">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147CAEC3">
      <w:pPr>
        <w:pStyle w:val="67"/>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3.3 报价要求</w:t>
      </w:r>
    </w:p>
    <w:p w14:paraId="2BF10C6C">
      <w:pPr>
        <w:spacing w:line="440" w:lineRule="exact"/>
        <w:ind w:firstLine="480" w:firstLineChars="200"/>
        <w:rPr>
          <w:sz w:val="24"/>
        </w:rPr>
      </w:pPr>
      <w:r>
        <w:rPr>
          <w:rFonts w:hint="eastAsia"/>
          <w:sz w:val="24"/>
          <w:lang w:val="en-US" w:eastAsia="zh-CN"/>
        </w:rPr>
        <w:t>3.3.1</w:t>
      </w:r>
      <w:r>
        <w:rPr>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133ED61">
      <w:pPr>
        <w:spacing w:line="440" w:lineRule="exact"/>
        <w:ind w:firstLine="480" w:firstLineChars="200"/>
        <w:rPr>
          <w:sz w:val="24"/>
        </w:rPr>
      </w:pPr>
      <w:r>
        <w:rPr>
          <w:rFonts w:hint="eastAsia"/>
          <w:sz w:val="24"/>
          <w:lang w:val="en-US" w:eastAsia="zh-CN"/>
        </w:rPr>
        <w:t>3.3.2</w:t>
      </w:r>
      <w:r>
        <w:rPr>
          <w:sz w:val="24"/>
        </w:rPr>
        <w:t>其报价须保证在投标有效期及服务期内固定不变。采购人不接受有任何选择性报价。</w:t>
      </w:r>
    </w:p>
    <w:p w14:paraId="4E81C5E3">
      <w:pPr>
        <w:spacing w:line="440" w:lineRule="exact"/>
        <w:ind w:firstLine="480" w:firstLineChars="200"/>
        <w:rPr>
          <w:sz w:val="24"/>
        </w:rPr>
      </w:pPr>
      <w:r>
        <w:rPr>
          <w:rFonts w:hint="eastAsia"/>
          <w:sz w:val="24"/>
          <w:lang w:val="en-US" w:eastAsia="zh-CN"/>
        </w:rPr>
        <w:t>3.3.3</w:t>
      </w:r>
      <w:r>
        <w:rPr>
          <w:sz w:val="24"/>
        </w:rPr>
        <w:t>为了防止本次招标的投标报价过高，超出采购人为本次采购项目的资金支付能力，采购人依据主管部门的批复为本次招标项目的设定了</w:t>
      </w:r>
      <w:bookmarkStart w:id="40" w:name="OLE_LINK11"/>
      <w:r>
        <w:rPr>
          <w:sz w:val="24"/>
        </w:rPr>
        <w:t>最高投标限价</w:t>
      </w:r>
      <w:bookmarkEnd w:id="40"/>
      <w:r>
        <w:rPr>
          <w:sz w:val="24"/>
        </w:rPr>
        <w:t xml:space="preserve">（即采购预算），如果投标人的投标报价高于本项目的最高投标限价，其响应文件将被拒绝；如果所有投标人的投标报价均超出最高投标限价，采购人有权重新组织招标。 </w:t>
      </w:r>
    </w:p>
    <w:p w14:paraId="529D27A3">
      <w:pPr>
        <w:spacing w:line="440" w:lineRule="exact"/>
        <w:rPr>
          <w:sz w:val="24"/>
        </w:rPr>
      </w:pPr>
      <w:r>
        <w:rPr>
          <w:sz w:val="24"/>
        </w:rPr>
        <w:t xml:space="preserve">    </w:t>
      </w:r>
      <w:r>
        <w:rPr>
          <w:rFonts w:hint="eastAsia"/>
          <w:sz w:val="24"/>
          <w:lang w:val="en-US" w:eastAsia="zh-CN"/>
        </w:rPr>
        <w:t>3.3.4</w:t>
      </w:r>
      <w:r>
        <w:rPr>
          <w:sz w:val="24"/>
        </w:rPr>
        <w:t xml:space="preserve"> 投标报价货币单位：人民币。</w:t>
      </w:r>
    </w:p>
    <w:p w14:paraId="7A19E918">
      <w:pPr>
        <w:pStyle w:val="67"/>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74407A48">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en-US" w:eastAsia="zh-CN"/>
        </w:rPr>
        <w:t>3.4.1</w:t>
      </w:r>
      <w:r>
        <w:rPr>
          <w:rFonts w:hint="eastAsia" w:hAnsi="宋体" w:cs="宋体"/>
          <w:sz w:val="24"/>
          <w:szCs w:val="24"/>
        </w:rPr>
        <w:t>供应商应按</w:t>
      </w:r>
      <w:r>
        <w:rPr>
          <w:rFonts w:hint="eastAsia" w:hAnsi="宋体" w:cs="宋体"/>
          <w:b/>
          <w:sz w:val="24"/>
          <w:szCs w:val="24"/>
        </w:rPr>
        <w:t>磋商须知前附表</w:t>
      </w:r>
      <w:r>
        <w:rPr>
          <w:rFonts w:hint="eastAsia" w:hAnsi="宋体" w:cs="宋体"/>
          <w:sz w:val="24"/>
          <w:szCs w:val="24"/>
        </w:rPr>
        <w:t>规定的资格条件</w:t>
      </w:r>
      <w:r>
        <w:rPr>
          <w:rFonts w:hint="eastAsia" w:hAnsi="宋体" w:cs="宋体"/>
          <w:sz w:val="24"/>
          <w:szCs w:val="24"/>
          <w:lang w:val="en-US" w:eastAsia="zh-CN"/>
        </w:rPr>
        <w:t>提交</w:t>
      </w:r>
      <w:r>
        <w:rPr>
          <w:rFonts w:hint="eastAsia" w:hAnsi="宋体" w:cs="宋体"/>
          <w:sz w:val="24"/>
          <w:szCs w:val="24"/>
        </w:rPr>
        <w:t>证明文件,该证明文件作为响应文件的一部分。</w:t>
      </w:r>
    </w:p>
    <w:p w14:paraId="7AB43E3E">
      <w:pPr>
        <w:pStyle w:val="67"/>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6EBF2177">
      <w:pPr>
        <w:pStyle w:val="85"/>
        <w:adjustRightInd w:val="0"/>
        <w:snapToGrid w:val="0"/>
        <w:spacing w:line="360" w:lineRule="auto"/>
        <w:ind w:firstLine="480" w:firstLineChars="200"/>
        <w:rPr>
          <w:rFonts w:hint="eastAsia" w:hAnsi="宋体" w:cs="宋体"/>
          <w:b/>
          <w:bCs/>
          <w:sz w:val="24"/>
          <w:szCs w:val="24"/>
        </w:rPr>
      </w:pPr>
      <w:r>
        <w:rPr>
          <w:rFonts w:hint="eastAsia" w:hAnsi="宋体" w:cs="宋体"/>
          <w:sz w:val="24"/>
          <w:szCs w:val="24"/>
        </w:rPr>
        <w:t>3.5.1供应商应按</w:t>
      </w:r>
      <w:r>
        <w:rPr>
          <w:rFonts w:hint="eastAsia" w:hAnsi="宋体" w:cs="宋体"/>
          <w:b/>
          <w:sz w:val="24"/>
          <w:szCs w:val="24"/>
        </w:rPr>
        <w:t>磋商须知前附表</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r>
        <w:rPr>
          <w:rFonts w:hint="eastAsia" w:hAnsi="宋体" w:cs="宋体"/>
          <w:b/>
          <w:bCs/>
          <w:sz w:val="24"/>
          <w:szCs w:val="24"/>
        </w:rPr>
        <w:t>供应商须在保证金备注栏中写明项目名称。对采用电子支付方式提交投标保证金，在退还时，按原路退回，收取时不再开具收据，退还时也不再要求提交收据。</w:t>
      </w:r>
    </w:p>
    <w:p w14:paraId="4561F84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7B3DCF7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未成交供应商的磋商保证金在成交通知书发出后五个工作日内退还；成交供应商的磋商保证金在采购合同签定后五个工作日内退还。</w:t>
      </w:r>
    </w:p>
    <w:p w14:paraId="23C61CD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7166BE4">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15A61488">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26A26EA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04FE63D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33569BC">
      <w:pPr>
        <w:pStyle w:val="85"/>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6FFDC164">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3E3E075A">
      <w:pPr>
        <w:pStyle w:val="67"/>
        <w:adjustRightInd w:val="0"/>
        <w:snapToGrid w:val="0"/>
        <w:spacing w:line="360" w:lineRule="auto"/>
        <w:ind w:firstLine="480" w:firstLineChars="200"/>
        <w:jc w:val="left"/>
        <w:rPr>
          <w:rFonts w:hint="eastAsia" w:ascii="宋体" w:hAnsi="宋体" w:cs="宋体"/>
          <w:color w:val="00B0F0"/>
          <w:sz w:val="24"/>
        </w:rPr>
      </w:pPr>
      <w:r>
        <w:rPr>
          <w:rFonts w:hint="eastAsia" w:ascii="宋体" w:hAnsi="宋体" w:cs="宋体"/>
          <w:sz w:val="24"/>
        </w:rPr>
        <w:t>3.6.1响应文件有效期见</w:t>
      </w:r>
      <w:r>
        <w:rPr>
          <w:rFonts w:hint="eastAsia" w:ascii="宋体" w:hAnsi="宋体" w:cs="宋体"/>
          <w:b/>
          <w:sz w:val="24"/>
        </w:rPr>
        <w:t>磋商须知前附表</w:t>
      </w:r>
      <w:r>
        <w:rPr>
          <w:rFonts w:hint="eastAsia" w:ascii="宋体" w:hAnsi="宋体" w:cs="宋体"/>
          <w:sz w:val="24"/>
        </w:rPr>
        <w:t>，响应文件有效期不足的将被视为无效响应，并予以拒绝。</w:t>
      </w:r>
    </w:p>
    <w:p w14:paraId="7D458AD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EA3CD0E">
      <w:pPr>
        <w:pStyle w:val="67"/>
        <w:adjustRightInd w:val="0"/>
        <w:snapToGrid w:val="0"/>
        <w:spacing w:line="360" w:lineRule="auto"/>
        <w:rPr>
          <w:rFonts w:hint="eastAsia" w:ascii="宋体" w:hAnsi="宋体" w:cs="宋体"/>
          <w:b/>
          <w:bCs/>
          <w:color w:val="000000"/>
          <w:sz w:val="24"/>
        </w:rPr>
      </w:pPr>
      <w:r>
        <w:rPr>
          <w:rFonts w:hint="eastAsia" w:ascii="宋体" w:hAnsi="宋体" w:cs="宋体"/>
          <w:b/>
          <w:bCs/>
          <w:sz w:val="24"/>
        </w:rPr>
        <w:t xml:space="preserve">3.7 </w:t>
      </w:r>
      <w:r>
        <w:rPr>
          <w:rFonts w:hint="eastAsia" w:ascii="宋体" w:hAnsi="宋体" w:cs="宋体"/>
          <w:b/>
          <w:bCs/>
          <w:color w:val="000000"/>
          <w:sz w:val="24"/>
        </w:rPr>
        <w:t>响应文件的签署及规定</w:t>
      </w:r>
    </w:p>
    <w:p w14:paraId="7078A99A">
      <w:pPr>
        <w:pStyle w:val="85"/>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3.7.1供应商应提供响应文件份数见</w:t>
      </w:r>
      <w:r>
        <w:rPr>
          <w:rFonts w:hint="eastAsia" w:hAnsi="宋体" w:cs="宋体"/>
          <w:b/>
          <w:color w:val="000000"/>
          <w:sz w:val="24"/>
          <w:szCs w:val="24"/>
        </w:rPr>
        <w:t>磋商须知前附表</w:t>
      </w:r>
      <w:r>
        <w:rPr>
          <w:rFonts w:hint="eastAsia" w:hAnsi="宋体" w:cs="宋体"/>
          <w:color w:val="000000"/>
          <w:sz w:val="24"/>
          <w:szCs w:val="24"/>
        </w:rPr>
        <w:t>。</w:t>
      </w:r>
    </w:p>
    <w:p w14:paraId="174626A4">
      <w:pPr>
        <w:pStyle w:val="67"/>
        <w:spacing w:line="360" w:lineRule="auto"/>
        <w:ind w:firstLine="480" w:firstLineChars="200"/>
        <w:rPr>
          <w:rFonts w:hint="eastAsia" w:ascii="宋体" w:hAnsi="宋体" w:cs="宋体"/>
          <w:b/>
          <w:sz w:val="24"/>
        </w:rPr>
      </w:pPr>
      <w:r>
        <w:rPr>
          <w:rFonts w:hint="eastAsia" w:ascii="宋体" w:hAnsi="宋体" w:cs="宋体"/>
          <w:color w:val="000000"/>
          <w:sz w:val="24"/>
          <w:lang w:val="zh-CN"/>
        </w:rPr>
        <w:t>3.7.2</w:t>
      </w:r>
      <w:r>
        <w:rPr>
          <w:rFonts w:hint="eastAsia" w:ascii="宋体" w:hAnsi="宋体" w:cs="宋体"/>
          <w:color w:val="FF0000"/>
          <w:sz w:val="24"/>
          <w:lang w:val="zh-CN"/>
        </w:rPr>
        <w:t xml:space="preserve"> </w:t>
      </w:r>
      <w:r>
        <w:rPr>
          <w:rFonts w:hint="eastAsia" w:ascii="宋体" w:hAnsi="宋体" w:cs="宋体"/>
          <w:sz w:val="24"/>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D9F1FB2">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41" w:name="_Toc31717"/>
      <w:bookmarkStart w:id="42" w:name="_Toc106276251"/>
      <w:bookmarkStart w:id="43" w:name="_Toc29979"/>
      <w:bookmarkStart w:id="44" w:name="_Toc256000008"/>
      <w:bookmarkStart w:id="45" w:name="_Toc19908"/>
      <w:bookmarkStart w:id="46" w:name="_Toc30389"/>
      <w:r>
        <w:rPr>
          <w:rFonts w:hint="eastAsia" w:ascii="宋体" w:hAnsi="宋体" w:cs="宋体"/>
          <w:lang w:val="en-US" w:eastAsia="zh-CN"/>
        </w:rPr>
        <w:t>四</w:t>
      </w:r>
      <w:r>
        <w:rPr>
          <w:rFonts w:hint="eastAsia" w:ascii="宋体" w:hAnsi="宋体" w:cs="宋体"/>
        </w:rPr>
        <w:t>、响应文件的递交</w:t>
      </w:r>
      <w:bookmarkEnd w:id="41"/>
      <w:bookmarkEnd w:id="42"/>
      <w:bookmarkEnd w:id="43"/>
      <w:bookmarkEnd w:id="44"/>
      <w:bookmarkEnd w:id="45"/>
      <w:bookmarkEnd w:id="46"/>
    </w:p>
    <w:p w14:paraId="76ABF062">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6EDF1AAA">
      <w:pPr>
        <w:pStyle w:val="94"/>
        <w:spacing w:line="360" w:lineRule="auto"/>
        <w:ind w:firstLine="484" w:firstLineChars="201"/>
        <w:contextualSpacing/>
        <w:jc w:val="left"/>
        <w:rPr>
          <w:rFonts w:hint="eastAsia" w:ascii="宋体" w:hAnsi="宋体" w:cs="宋体"/>
          <w:bCs/>
          <w:sz w:val="24"/>
          <w:szCs w:val="24"/>
        </w:rPr>
      </w:pPr>
      <w:r>
        <w:rPr>
          <w:rFonts w:hint="eastAsia" w:ascii="宋体" w:hAnsi="宋体" w:cs="宋体"/>
          <w:b/>
          <w:bCs/>
          <w:sz w:val="24"/>
        </w:rPr>
        <w:t>4.1.1</w:t>
      </w:r>
      <w:r>
        <w:rPr>
          <w:rFonts w:hint="eastAsia" w:ascii="宋体" w:hAnsi="宋体" w:cs="宋体"/>
          <w:b/>
          <w:bCs/>
          <w:kern w:val="0"/>
          <w:sz w:val="24"/>
          <w:szCs w:val="24"/>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24AA02F1">
      <w:pPr>
        <w:pStyle w:val="67"/>
        <w:adjustRightInd w:val="0"/>
        <w:spacing w:line="360" w:lineRule="auto"/>
        <w:rPr>
          <w:rFonts w:hint="eastAsia" w:ascii="宋体" w:hAnsi="宋体" w:cs="宋体"/>
          <w:b/>
          <w:bCs/>
          <w:sz w:val="24"/>
        </w:rPr>
      </w:pPr>
      <w:r>
        <w:rPr>
          <w:rFonts w:hint="eastAsia" w:ascii="宋体" w:hAnsi="宋体" w:cs="宋体"/>
          <w:b/>
          <w:bCs/>
          <w:sz w:val="24"/>
        </w:rPr>
        <w:t>4.2响应文件的递交</w:t>
      </w:r>
    </w:p>
    <w:p w14:paraId="3F2172DC">
      <w:pPr>
        <w:pStyle w:val="67"/>
        <w:spacing w:line="360" w:lineRule="auto"/>
        <w:ind w:firstLine="480" w:firstLineChars="200"/>
        <w:rPr>
          <w:rFonts w:hint="eastAsia" w:ascii="宋体" w:hAnsi="宋体" w:cs="宋体"/>
          <w:b/>
          <w:bCs/>
          <w:sz w:val="24"/>
        </w:rPr>
      </w:pPr>
      <w:r>
        <w:rPr>
          <w:rFonts w:hint="eastAsia" w:ascii="宋体" w:hAnsi="宋体" w:cs="宋体"/>
          <w:sz w:val="24"/>
        </w:rPr>
        <w:t>4.2.1</w:t>
      </w:r>
      <w:bookmarkStart w:id="47" w:name="_Toc13285"/>
      <w:bookmarkStart w:id="48" w:name="_Toc256000009"/>
      <w:bookmarkStart w:id="49" w:name="_Toc17384"/>
      <w:bookmarkStart w:id="50" w:name="_Toc21476"/>
      <w:r>
        <w:rPr>
          <w:rFonts w:hint="eastAsia" w:ascii="宋体" w:hAnsi="宋体" w:cs="宋体"/>
          <w:b/>
          <w:bCs/>
          <w:sz w:val="24"/>
          <w:lang w:val="zh-CN"/>
        </w:rPr>
        <w:t>本项目采用不见面开标</w:t>
      </w:r>
      <w:r>
        <w:rPr>
          <w:rFonts w:hint="eastAsia" w:ascii="宋体" w:hAnsi="宋体" w:cs="宋体"/>
          <w:b/>
          <w:bCs/>
          <w:sz w:val="24"/>
        </w:rPr>
        <w:t>，</w:t>
      </w:r>
      <w:r>
        <w:rPr>
          <w:rFonts w:hint="eastAsia" w:ascii="宋体" w:hAnsi="宋体" w:cs="宋体"/>
          <w:b/>
          <w:bCs/>
          <w:sz w:val="24"/>
          <w:lang w:val="zh-CN"/>
        </w:rPr>
        <w:t>投标人应当在投标截止时间前通过政采云平台</w:t>
      </w:r>
      <w:r>
        <w:rPr>
          <w:rFonts w:hint="eastAsia" w:ascii="宋体" w:hAnsi="宋体" w:cs="宋体"/>
          <w:b/>
          <w:bCs/>
          <w:sz w:val="24"/>
        </w:rPr>
        <w:t>（https://www.zcygov.cn）</w:t>
      </w:r>
      <w:r>
        <w:rPr>
          <w:rFonts w:hint="eastAsia" w:ascii="宋体" w:hAnsi="宋体" w:cs="宋体"/>
          <w:b/>
          <w:bCs/>
          <w:sz w:val="24"/>
          <w:lang w:val="zh-CN"/>
        </w:rPr>
        <w:t>上传加密的电子投标文件</w:t>
      </w:r>
      <w:r>
        <w:rPr>
          <w:rFonts w:hint="eastAsia" w:ascii="宋体" w:hAnsi="宋体" w:cs="宋体"/>
          <w:b/>
          <w:bCs/>
          <w:sz w:val="24"/>
        </w:rPr>
        <w:t>，</w:t>
      </w:r>
      <w:r>
        <w:rPr>
          <w:rFonts w:hint="eastAsia" w:ascii="宋体" w:hAnsi="宋体" w:cs="宋体"/>
          <w:b/>
          <w:bCs/>
          <w:sz w:val="24"/>
          <w:lang w:val="zh-CN"/>
        </w:rPr>
        <w:t>逾期上传的或者未上传到平台的投标文件</w:t>
      </w:r>
      <w:r>
        <w:rPr>
          <w:rFonts w:hint="eastAsia" w:ascii="宋体" w:hAnsi="宋体" w:cs="宋体"/>
          <w:b/>
          <w:bCs/>
          <w:sz w:val="24"/>
        </w:rPr>
        <w:t>，</w:t>
      </w:r>
      <w:r>
        <w:rPr>
          <w:rFonts w:hint="eastAsia" w:ascii="宋体" w:hAnsi="宋体" w:cs="宋体"/>
          <w:b/>
          <w:bCs/>
          <w:sz w:val="24"/>
          <w:lang w:val="zh-CN"/>
        </w:rPr>
        <w:t>采购人不予受理。</w:t>
      </w:r>
    </w:p>
    <w:p w14:paraId="1C2E18D5">
      <w:pPr>
        <w:pStyle w:val="67"/>
        <w:adjustRightInd w:val="0"/>
        <w:spacing w:line="360" w:lineRule="auto"/>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3694D88C">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 投标人在递交投标文件后，可以修改或撤回其投标，但这种修改和撤回，必须在规定的投标截止时间前。在投标截止时间后，投标人不得要求修改或撤回其投标文件。</w:t>
      </w:r>
    </w:p>
    <w:p w14:paraId="7C3C2155">
      <w:pPr>
        <w:pStyle w:val="67"/>
        <w:spacing w:line="360" w:lineRule="auto"/>
        <w:ind w:firstLine="480" w:firstLineChars="200"/>
        <w:rPr>
          <w:rFonts w:hint="eastAsia" w:hAnsi="宋体" w:cs="宋体"/>
          <w:sz w:val="24"/>
          <w:lang w:val="zh-CN"/>
        </w:rPr>
      </w:pPr>
      <w:r>
        <w:rPr>
          <w:rFonts w:hint="eastAsia" w:hAnsi="宋体" w:cs="宋体"/>
          <w:sz w:val="24"/>
        </w:rPr>
        <w:t>4.3.2 在递交响应文件截止时间后，供应商不得对响应文件</w:t>
      </w:r>
      <w:r>
        <w:rPr>
          <w:rFonts w:hint="eastAsia" w:hAnsi="宋体" w:cs="宋体"/>
          <w:sz w:val="24"/>
          <w:lang w:val="zh-CN"/>
        </w:rPr>
        <w:t>补充、修改或者撤回，但属于本须知5.4.2款规定的情形除外</w:t>
      </w:r>
    </w:p>
    <w:p w14:paraId="290A921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51" w:name="_Toc18000"/>
      <w:bookmarkStart w:id="52" w:name="_Toc106276252"/>
      <w:r>
        <w:rPr>
          <w:rFonts w:hint="eastAsia" w:ascii="宋体" w:hAnsi="宋体" w:cs="宋体"/>
          <w:lang w:val="en-US" w:eastAsia="zh-CN"/>
        </w:rPr>
        <w:t>五</w:t>
      </w:r>
      <w:r>
        <w:rPr>
          <w:rFonts w:hint="eastAsia" w:ascii="宋体" w:hAnsi="宋体" w:cs="宋体"/>
        </w:rPr>
        <w:t>、磋商和评审</w:t>
      </w:r>
      <w:bookmarkEnd w:id="47"/>
      <w:bookmarkEnd w:id="48"/>
      <w:bookmarkEnd w:id="49"/>
      <w:bookmarkEnd w:id="50"/>
      <w:bookmarkEnd w:id="51"/>
      <w:bookmarkEnd w:id="52"/>
    </w:p>
    <w:p w14:paraId="69DE51E1">
      <w:pPr>
        <w:pStyle w:val="67"/>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12303979">
      <w:pPr>
        <w:pStyle w:val="67"/>
        <w:spacing w:line="360" w:lineRule="auto"/>
        <w:ind w:firstLine="482" w:firstLineChars="200"/>
        <w:rPr>
          <w:rFonts w:hint="eastAsia" w:ascii="宋体" w:hAnsi="宋体" w:cs="宋体"/>
          <w:b/>
          <w:bCs/>
          <w:sz w:val="24"/>
        </w:rPr>
      </w:pPr>
      <w:r>
        <w:rPr>
          <w:rFonts w:hint="eastAsia" w:ascii="宋体" w:hAnsi="宋体" w:cs="宋体"/>
          <w:b/>
          <w:bCs/>
          <w:sz w:val="24"/>
        </w:rPr>
        <w:t>5.1.1本项目采用不见面开标方式，采购人在规定的投标截止时间（开标时间）和投标人须知前附表规定的地点开标。投标人的法定代表人或其委托代理人无需到达开标现场，仅需在任意地点通过政采云平台（https://www.zcygov.cn）不见面开标系统（进入“项目采购”应用，在开标评标菜单中选择进入开标大厅）使用CA密钥完成远程解密、提疑澄清、开标唱标、结果公布等交互环节。</w:t>
      </w:r>
    </w:p>
    <w:p w14:paraId="7A662884">
      <w:pPr>
        <w:pStyle w:val="67"/>
        <w:spacing w:line="360" w:lineRule="auto"/>
        <w:ind w:firstLine="482" w:firstLineChars="200"/>
        <w:rPr>
          <w:rFonts w:hint="eastAsia" w:ascii="宋体" w:hAnsi="宋体" w:cs="宋体"/>
          <w:b/>
          <w:bCs/>
          <w:sz w:val="24"/>
        </w:rPr>
      </w:pPr>
      <w:r>
        <w:rPr>
          <w:rFonts w:hint="eastAsia" w:ascii="宋体" w:hAnsi="宋体" w:cs="宋体"/>
          <w:b/>
          <w:bCs/>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832F26D">
      <w:pPr>
        <w:pStyle w:val="67"/>
        <w:spacing w:line="360" w:lineRule="auto"/>
        <w:ind w:firstLine="480" w:firstLineChars="200"/>
        <w:rPr>
          <w:rFonts w:hint="eastAsia" w:ascii="宋体" w:hAnsi="宋体" w:cs="宋体"/>
          <w:bCs/>
          <w:sz w:val="24"/>
        </w:rPr>
      </w:pPr>
      <w:r>
        <w:rPr>
          <w:rFonts w:hint="eastAsia" w:ascii="宋体" w:hAnsi="宋体" w:cs="宋体"/>
          <w:bCs/>
          <w:sz w:val="24"/>
        </w:rPr>
        <w:t>5.1.2 除了存在以下情形的响应文件之外，磋商开始时将不得拒绝任何报价。</w:t>
      </w:r>
    </w:p>
    <w:p w14:paraId="55977D3F">
      <w:pPr>
        <w:pStyle w:val="67"/>
        <w:spacing w:line="360" w:lineRule="auto"/>
        <w:ind w:firstLine="480" w:firstLineChars="200"/>
        <w:rPr>
          <w:rFonts w:hint="eastAsia" w:ascii="宋体" w:hAnsi="宋体" w:cs="宋体"/>
          <w:bCs/>
          <w:sz w:val="24"/>
        </w:rPr>
      </w:pPr>
      <w:r>
        <w:rPr>
          <w:rFonts w:hint="eastAsia" w:ascii="宋体" w:hAnsi="宋体" w:cs="宋体"/>
          <w:bCs/>
          <w:sz w:val="24"/>
        </w:rPr>
        <w:t>(1)未按磋商邀请要求报名和获取磋商文件，并提交相关资料的；</w:t>
      </w:r>
    </w:p>
    <w:p w14:paraId="2FBF9AB7">
      <w:pPr>
        <w:pStyle w:val="67"/>
        <w:spacing w:line="360" w:lineRule="auto"/>
        <w:ind w:firstLine="480" w:firstLineChars="200"/>
        <w:rPr>
          <w:rFonts w:hint="eastAsia" w:ascii="宋体" w:hAnsi="宋体" w:cs="宋体"/>
          <w:bCs/>
          <w:sz w:val="24"/>
        </w:rPr>
      </w:pPr>
      <w:r>
        <w:rPr>
          <w:rFonts w:hint="eastAsia" w:ascii="宋体" w:hAnsi="宋体" w:cs="宋体"/>
          <w:bCs/>
          <w:sz w:val="24"/>
        </w:rPr>
        <w:t>(2)未按磋商须知第5.1.1项规定提交响应文件，并出席磋商仪式的；</w:t>
      </w:r>
    </w:p>
    <w:p w14:paraId="1A6BC303">
      <w:pPr>
        <w:pStyle w:val="67"/>
        <w:spacing w:line="360" w:lineRule="auto"/>
        <w:ind w:firstLine="480" w:firstLineChars="200"/>
        <w:rPr>
          <w:rFonts w:hint="eastAsia" w:ascii="宋体" w:hAnsi="宋体" w:cs="宋体"/>
          <w:bCs/>
          <w:sz w:val="24"/>
        </w:rPr>
      </w:pPr>
      <w:r>
        <w:rPr>
          <w:rFonts w:hint="eastAsia" w:ascii="宋体" w:hAnsi="宋体" w:cs="宋体"/>
          <w:bCs/>
          <w:sz w:val="24"/>
        </w:rPr>
        <w:t>(3)未按磋商须知第4.1项要求对响应文件进行密封和加写标记的；</w:t>
      </w:r>
    </w:p>
    <w:p w14:paraId="66B47F5D">
      <w:pPr>
        <w:pStyle w:val="67"/>
        <w:spacing w:line="360" w:lineRule="auto"/>
        <w:ind w:firstLine="480" w:firstLineChars="200"/>
        <w:rPr>
          <w:rFonts w:hint="eastAsia" w:ascii="宋体" w:hAnsi="宋体" w:cs="宋体"/>
          <w:sz w:val="24"/>
        </w:rPr>
      </w:pPr>
      <w:r>
        <w:rPr>
          <w:rFonts w:hint="eastAsia" w:ascii="宋体" w:hAnsi="宋体" w:cs="宋体"/>
          <w:bCs/>
          <w:sz w:val="24"/>
        </w:rPr>
        <w:t>(4)响应文件的递交、修改或撤回不符合磋商须知第4.2、4.3项规定的</w:t>
      </w:r>
      <w:r>
        <w:rPr>
          <w:rFonts w:hint="eastAsia" w:ascii="宋体" w:hAnsi="宋体" w:cs="宋体"/>
          <w:sz w:val="24"/>
        </w:rPr>
        <w:t>。</w:t>
      </w:r>
    </w:p>
    <w:p w14:paraId="0870D31F">
      <w:pPr>
        <w:pStyle w:val="67"/>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0ABD6461">
      <w:pPr>
        <w:pStyle w:val="67"/>
        <w:spacing w:line="360" w:lineRule="auto"/>
        <w:ind w:firstLine="480" w:firstLineChars="200"/>
        <w:rPr>
          <w:rFonts w:hint="eastAsia"/>
          <w:b/>
          <w:bCs/>
          <w:kern w:val="0"/>
          <w:sz w:val="24"/>
        </w:rPr>
      </w:pPr>
      <w:r>
        <w:rPr>
          <w:kern w:val="0"/>
          <w:sz w:val="24"/>
        </w:rPr>
        <w:t>评审由采购单位依法组建的磋商小组负责。磋商小组由采购人代表和有关技术、经济等方面的专家组成。全面负责对响应文件的审查、评审、磋商、打分等全部评审工作。磋商小组人数以及技术、经济方面的专家组成见</w:t>
      </w:r>
      <w:r>
        <w:rPr>
          <w:b/>
          <w:bCs/>
          <w:kern w:val="0"/>
          <w:sz w:val="24"/>
        </w:rPr>
        <w:fldChar w:fldCharType="begin"/>
      </w:r>
      <w:r>
        <w:rPr>
          <w:b/>
          <w:bCs/>
          <w:kern w:val="0"/>
          <w:sz w:val="24"/>
        </w:rPr>
        <w:instrText xml:space="preserve">HYPERLINK "C:\\Users\\Administrator\\AppData\\WordForm\\e944b4b1-01b6-4e42-b170-f783fcf7903a.doc" \l "</w:instrText>
      </w:r>
      <w:r>
        <w:rPr>
          <w:rFonts w:hint="eastAsia"/>
          <w:b/>
          <w:bCs/>
          <w:kern w:val="0"/>
          <w:sz w:val="24"/>
        </w:rPr>
        <w:instrText xml:space="preserve">_评标委员会</w:instrText>
      </w:r>
      <w:r>
        <w:rPr>
          <w:b/>
          <w:bCs/>
          <w:kern w:val="0"/>
          <w:sz w:val="24"/>
        </w:rPr>
        <w:instrText xml:space="preserve">"</w:instrText>
      </w:r>
      <w:r>
        <w:rPr>
          <w:b/>
          <w:bCs/>
          <w:kern w:val="0"/>
          <w:sz w:val="24"/>
        </w:rPr>
        <w:fldChar w:fldCharType="separate"/>
      </w:r>
      <w:r>
        <w:rPr>
          <w:b/>
          <w:bCs/>
          <w:kern w:val="0"/>
          <w:sz w:val="24"/>
        </w:rPr>
        <w:t>供应商须知前附表</w:t>
      </w:r>
      <w:r>
        <w:rPr>
          <w:b/>
          <w:bCs/>
          <w:kern w:val="0"/>
          <w:sz w:val="24"/>
        </w:rPr>
        <w:fldChar w:fldCharType="end"/>
      </w:r>
    </w:p>
    <w:p w14:paraId="3F8A1DB1">
      <w:pPr>
        <w:pStyle w:val="67"/>
        <w:spacing w:line="360" w:lineRule="auto"/>
        <w:rPr>
          <w:rFonts w:hint="eastAsia" w:ascii="宋体" w:hAnsi="宋体" w:cs="宋体"/>
          <w:sz w:val="24"/>
        </w:rPr>
      </w:pPr>
      <w:r>
        <w:rPr>
          <w:rFonts w:hint="eastAsia" w:ascii="宋体" w:hAnsi="宋体" w:cs="宋体"/>
          <w:b/>
          <w:bCs/>
          <w:sz w:val="24"/>
        </w:rPr>
        <w:t xml:space="preserve">5.3  </w:t>
      </w:r>
      <w:r>
        <w:rPr>
          <w:rFonts w:hint="eastAsia" w:ascii="宋体" w:hAnsi="宋体" w:cs="宋体"/>
          <w:b/>
          <w:sz w:val="24"/>
        </w:rPr>
        <w:t>响应文件的初步评审与澄清</w:t>
      </w:r>
    </w:p>
    <w:p w14:paraId="11F09361">
      <w:pPr>
        <w:pStyle w:val="67"/>
        <w:spacing w:line="360" w:lineRule="auto"/>
        <w:ind w:firstLine="480" w:firstLineChars="200"/>
        <w:rPr>
          <w:rFonts w:hint="eastAsia" w:ascii="宋体" w:hAnsi="宋体" w:cs="宋体"/>
          <w:sz w:val="24"/>
        </w:rPr>
      </w:pPr>
      <w:r>
        <w:rPr>
          <w:rFonts w:hint="eastAsia" w:ascii="宋体" w:hAnsi="宋体" w:cs="宋体"/>
          <w:sz w:val="24"/>
        </w:rPr>
        <w:t>5.3.1 响应文件的初步评审分为资格性检查、符合性检查。</w:t>
      </w:r>
    </w:p>
    <w:p w14:paraId="5AEB8427">
      <w:pPr>
        <w:pStyle w:val="67"/>
        <w:spacing w:line="360" w:lineRule="auto"/>
        <w:ind w:firstLine="480" w:firstLineChars="200"/>
        <w:rPr>
          <w:rFonts w:hint="eastAsia" w:ascii="宋体" w:hAnsi="宋体" w:cs="宋体"/>
          <w:sz w:val="24"/>
        </w:rPr>
      </w:pPr>
      <w:r>
        <w:rPr>
          <w:rFonts w:hint="eastAsia" w:ascii="宋体" w:hAnsi="宋体" w:cs="宋体"/>
          <w:sz w:val="24"/>
        </w:rPr>
        <w:t>（1）资格性检查指依据法律、法规和磋商文件的规定，对响应文件资格证明、磋商保证金等进行审查，以确定供应商是否具备报价资格。</w:t>
      </w:r>
    </w:p>
    <w:p w14:paraId="464172D0">
      <w:pPr>
        <w:pStyle w:val="67"/>
        <w:spacing w:line="360" w:lineRule="auto"/>
        <w:ind w:firstLine="472" w:firstLineChars="200"/>
        <w:rPr>
          <w:rFonts w:hint="eastAsia" w:ascii="宋体" w:hAnsi="宋体" w:cs="宋体"/>
          <w:spacing w:val="-2"/>
          <w:sz w:val="24"/>
        </w:rPr>
      </w:pPr>
      <w:r>
        <w:rPr>
          <w:rFonts w:hint="eastAsia" w:ascii="宋体" w:hAnsi="宋体" w:cs="宋体"/>
          <w:spacing w:val="-2"/>
          <w:sz w:val="24"/>
        </w:rPr>
        <w:t>（2）符合性检查依据磋商文件的规定，从响应文件的有效性、完整性和对磋商文件的响应程度进行审查，以确定是否对磋商文件的实质性要求作出响应。</w:t>
      </w:r>
    </w:p>
    <w:p w14:paraId="4B6149B6">
      <w:pPr>
        <w:pStyle w:val="67"/>
        <w:spacing w:line="360" w:lineRule="auto"/>
        <w:ind w:firstLine="480" w:firstLineChars="200"/>
        <w:rPr>
          <w:rFonts w:hint="eastAsia" w:ascii="宋体" w:hAnsi="宋体" w:cs="宋体"/>
          <w:sz w:val="24"/>
        </w:rPr>
      </w:pPr>
      <w:r>
        <w:rPr>
          <w:rFonts w:hint="eastAsia" w:ascii="宋体" w:hAnsi="宋体" w:cs="宋体"/>
          <w:sz w:val="24"/>
        </w:rPr>
        <w:t>5.3.2 响应文件的澄清</w:t>
      </w:r>
    </w:p>
    <w:p w14:paraId="52EB65A0">
      <w:pPr>
        <w:pStyle w:val="67"/>
        <w:autoSpaceDE w:val="0"/>
        <w:autoSpaceDN w:val="0"/>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bCs/>
          <w:sz w:val="24"/>
        </w:rPr>
        <w:t xml:space="preserve">（1） </w:t>
      </w:r>
      <w:r>
        <w:rPr>
          <w:rFonts w:hint="eastAsia" w:ascii="宋体" w:hAnsi="宋体" w:cs="宋体"/>
          <w:kern w:val="0"/>
          <w:sz w:val="24"/>
          <w:lang w:val="zh-CN"/>
        </w:rPr>
        <w:t>磋商小组在对响应文件的有效性、完整性和对磋商文件的响应程度进行审查时，可以要求供应商对响应文件中含义不明</w:t>
      </w:r>
      <w:r>
        <w:rPr>
          <w:rFonts w:hint="eastAsia" w:ascii="宋体" w:hAnsi="宋体" w:cs="宋体"/>
          <w:bCs/>
          <w:sz w:val="24"/>
        </w:rPr>
        <w:t>确</w:t>
      </w:r>
      <w:r>
        <w:rPr>
          <w:rFonts w:hint="eastAsia" w:ascii="宋体" w:hAnsi="宋体" w:cs="宋体"/>
          <w:kern w:val="0"/>
          <w:sz w:val="24"/>
          <w:lang w:val="zh-CN"/>
        </w:rPr>
        <w:t>、同类问题表述不一致或者有明显文字和计算错误的内容等作出必要的澄清、说明或者纠正。该要求</w:t>
      </w:r>
      <w:r>
        <w:rPr>
          <w:rFonts w:hint="eastAsia" w:ascii="宋体" w:hAnsi="宋体" w:cs="宋体"/>
          <w:sz w:val="24"/>
        </w:rPr>
        <w:t>应当以</w:t>
      </w:r>
      <w:r>
        <w:rPr>
          <w:rFonts w:hint="eastAsia" w:ascii="宋体" w:hAnsi="宋体" w:cs="宋体"/>
          <w:kern w:val="0"/>
          <w:sz w:val="24"/>
          <w:lang w:val="zh-CN"/>
        </w:rPr>
        <w:t>书面形式作出。供应商的澄清、说明或者补正应当采用书面形式，由其</w:t>
      </w:r>
      <w:r>
        <w:rPr>
          <w:rFonts w:hint="eastAsia" w:ascii="宋体" w:hAnsi="宋体" w:cs="宋体"/>
          <w:sz w:val="24"/>
        </w:rPr>
        <w:t>法定代表人或其授权代表</w:t>
      </w:r>
      <w:r>
        <w:rPr>
          <w:rFonts w:hint="eastAsia" w:ascii="宋体" w:hAnsi="宋体" w:cs="宋体"/>
          <w:bCs/>
          <w:sz w:val="24"/>
        </w:rPr>
        <w:t>签字</w:t>
      </w:r>
      <w:r>
        <w:rPr>
          <w:rFonts w:hint="eastAsia" w:ascii="宋体" w:hAnsi="宋体" w:cs="宋体"/>
          <w:kern w:val="0"/>
          <w:sz w:val="24"/>
          <w:lang w:val="zh-CN"/>
        </w:rPr>
        <w:t>。供应商的澄清、说明或者更正不得超出磋商文件的范围或者改变响应文件的实质性内容。</w:t>
      </w:r>
    </w:p>
    <w:p w14:paraId="347DDD38">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kern w:val="0"/>
          <w:sz w:val="24"/>
          <w:lang w:val="zh-CN"/>
        </w:rPr>
        <w:t>计算</w:t>
      </w:r>
      <w:r>
        <w:rPr>
          <w:rFonts w:hint="eastAsia" w:ascii="宋体" w:hAnsi="宋体" w:cs="宋体"/>
          <w:sz w:val="24"/>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62D03E9D">
      <w:pPr>
        <w:pStyle w:val="67"/>
        <w:tabs>
          <w:tab w:val="left" w:pos="0"/>
        </w:tabs>
        <w:adjustRightInd w:val="0"/>
        <w:snapToGrid w:val="0"/>
        <w:spacing w:line="360" w:lineRule="auto"/>
        <w:rPr>
          <w:rFonts w:hint="eastAsia" w:ascii="宋体" w:hAnsi="宋体" w:cs="宋体"/>
          <w:bCs/>
          <w:sz w:val="24"/>
        </w:rPr>
      </w:pPr>
      <w:r>
        <w:rPr>
          <w:rFonts w:hint="eastAsia" w:ascii="宋体" w:hAnsi="宋体" w:cs="宋体"/>
          <w:b/>
          <w:bCs/>
          <w:sz w:val="24"/>
        </w:rPr>
        <w:t>5.4 磋商、最后报价</w:t>
      </w:r>
    </w:p>
    <w:p w14:paraId="415204C8">
      <w:pPr>
        <w:pStyle w:val="67"/>
        <w:tabs>
          <w:tab w:val="left" w:pos="0"/>
        </w:tabs>
        <w:adjustRightInd w:val="0"/>
        <w:snapToGrid w:val="0"/>
        <w:spacing w:line="360" w:lineRule="auto"/>
        <w:ind w:firstLine="480" w:firstLineChars="200"/>
        <w:rPr>
          <w:rFonts w:hint="eastAsia" w:ascii="宋体" w:hAnsi="宋体" w:cs="宋体"/>
          <w:kern w:val="0"/>
          <w:sz w:val="24"/>
          <w:lang w:val="zh-CN"/>
        </w:rPr>
      </w:pPr>
      <w:bookmarkStart w:id="53" w:name="_Toc15670"/>
      <w:bookmarkStart w:id="54" w:name="_Toc20822"/>
      <w:bookmarkStart w:id="55" w:name="_Toc13595"/>
      <w:bookmarkStart w:id="56" w:name="_Toc256000010"/>
      <w:r>
        <w:rPr>
          <w:rFonts w:hint="eastAsia" w:ascii="宋体" w:hAnsi="宋体" w:cs="宋体"/>
          <w:sz w:val="24"/>
        </w:rPr>
        <w:t>5.4.1</w:t>
      </w:r>
      <w:r>
        <w:rPr>
          <w:rFonts w:hint="eastAsia" w:ascii="宋体" w:hAnsi="宋体" w:cs="宋体"/>
          <w:kern w:val="0"/>
          <w:sz w:val="24"/>
          <w:lang w:val="zh-CN"/>
        </w:rPr>
        <w:t>磋商小组所有成员按以下两种情况和程序集中与单一供应商分别进行磋商。并给予所有参加</w:t>
      </w:r>
      <w:r>
        <w:rPr>
          <w:rFonts w:hint="eastAsia" w:ascii="宋体" w:hAnsi="宋体" w:cs="宋体"/>
          <w:bCs/>
          <w:sz w:val="24"/>
        </w:rPr>
        <w:t>磋商</w:t>
      </w:r>
      <w:r>
        <w:rPr>
          <w:rFonts w:hint="eastAsia" w:ascii="宋体" w:hAnsi="宋体" w:cs="宋体"/>
          <w:kern w:val="0"/>
          <w:sz w:val="24"/>
          <w:lang w:val="zh-CN"/>
        </w:rPr>
        <w:t>的供应商相同的磋商机会。</w:t>
      </w:r>
    </w:p>
    <w:p w14:paraId="69EAE592">
      <w:pPr>
        <w:pStyle w:val="67"/>
        <w:tabs>
          <w:tab w:val="left" w:pos="0"/>
        </w:tabs>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（1）第一种情况</w:t>
      </w:r>
    </w:p>
    <w:p w14:paraId="2EB496D1">
      <w:pPr>
        <w:pStyle w:val="67"/>
        <w:tabs>
          <w:tab w:val="left" w:pos="0"/>
        </w:tabs>
        <w:adjustRightInd w:val="0"/>
        <w:snapToGrid w:val="0"/>
        <w:spacing w:line="360" w:lineRule="auto"/>
        <w:ind w:firstLine="480" w:firstLineChars="200"/>
        <w:rPr>
          <w:rFonts w:hint="eastAsia" w:ascii="宋体" w:hAnsi="宋体" w:cs="宋体"/>
          <w:kern w:val="0"/>
          <w:sz w:val="24"/>
          <w:highlight w:val="yellow"/>
          <w:lang w:val="zh-CN"/>
        </w:rPr>
      </w:pPr>
      <w:r>
        <w:rPr>
          <w:rFonts w:hint="eastAsia" w:ascii="宋体" w:hAnsi="宋体" w:cs="宋体"/>
          <w:sz w:val="24"/>
        </w:rPr>
        <w:t>磋商文件能够详细列明采购标的的技术、服务要求的，磋商结束后，磋商小组将要求所有实质性响应的供应商在规定时间内提交最后报价</w:t>
      </w:r>
      <w:r>
        <w:rPr>
          <w:rFonts w:hint="eastAsia" w:ascii="宋体" w:hAnsi="宋体" w:cs="宋体"/>
          <w:sz w:val="24"/>
          <w:lang w:eastAsia="zh-CN"/>
        </w:rPr>
        <w:t>，</w:t>
      </w:r>
      <w:r>
        <w:rPr>
          <w:rFonts w:hint="eastAsia" w:ascii="宋体" w:hAnsi="宋体" w:cs="宋体"/>
          <w:sz w:val="24"/>
        </w:rPr>
        <w:t>最后报价是供应商响应文件的有效组成部分</w:t>
      </w:r>
      <w:r>
        <w:rPr>
          <w:rFonts w:hint="eastAsia" w:ascii="宋体" w:hAnsi="宋体" w:cs="宋体"/>
          <w:sz w:val="24"/>
          <w:lang w:eastAsia="zh-CN"/>
        </w:rPr>
        <w:t>。</w:t>
      </w:r>
      <w:r>
        <w:rPr>
          <w:rFonts w:hint="eastAsia" w:ascii="宋体" w:hAnsi="宋体" w:cs="宋体"/>
          <w:snapToGrid w:val="0"/>
          <w:kern w:val="0"/>
          <w:sz w:val="24"/>
        </w:rPr>
        <w:t>提交最后报价的供应商不得少于3家</w:t>
      </w: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但</w:t>
      </w:r>
      <w:r>
        <w:rPr>
          <w:rFonts w:hint="eastAsia" w:ascii="宋体" w:hAnsi="宋体" w:cs="宋体"/>
          <w:sz w:val="24"/>
          <w:lang w:val="en-US" w:eastAsia="zh-CN"/>
        </w:rPr>
        <w:t>实质性响应的供应商剩余两家并经磋商小组协商一致，认为剩余两家供应商之间具有竞争性，仍然可以继续评标。</w:t>
      </w:r>
    </w:p>
    <w:p w14:paraId="0509BF38">
      <w:pPr>
        <w:pStyle w:val="67"/>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lang w:val="zh-CN"/>
        </w:rPr>
        <w:t>（2）第二种情况</w:t>
      </w:r>
    </w:p>
    <w:p w14:paraId="266F5EA0">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napToGrid w:val="0"/>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最后报价是供应商响应文件的有效组成部分。</w:t>
      </w:r>
    </w:p>
    <w:p w14:paraId="7CD7278D">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第三种情况</w:t>
      </w:r>
    </w:p>
    <w:p w14:paraId="2606C997">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firstLine="480" w:firstLineChars="200"/>
        <w:textAlignment w:val="auto"/>
        <w:rPr>
          <w:rFonts w:hint="default"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51ED32F">
      <w:pPr>
        <w:pStyle w:val="67"/>
        <w:tabs>
          <w:tab w:val="left" w:pos="0"/>
        </w:tabs>
        <w:spacing w:line="360" w:lineRule="auto"/>
        <w:ind w:firstLine="480" w:firstLineChars="200"/>
        <w:rPr>
          <w:rFonts w:hint="eastAsia" w:ascii="宋体" w:hAnsi="宋体" w:cs="宋体"/>
          <w:sz w:val="24"/>
        </w:rPr>
      </w:pPr>
      <w:r>
        <w:rPr>
          <w:rFonts w:hint="eastAsia" w:ascii="宋体" w:hAnsi="宋体" w:cs="宋体"/>
          <w:kern w:val="0"/>
          <w:sz w:val="24"/>
          <w:lang w:val="zh-CN"/>
        </w:rPr>
        <w:t>5.4.2</w:t>
      </w:r>
      <w:r>
        <w:rPr>
          <w:rFonts w:hint="eastAsia" w:ascii="宋体" w:hAnsi="宋体" w:cs="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24FD45">
      <w:pPr>
        <w:pStyle w:val="67"/>
        <w:tabs>
          <w:tab w:val="left" w:pos="0"/>
        </w:tabs>
        <w:spacing w:line="360" w:lineRule="auto"/>
        <w:ind w:firstLine="480" w:firstLineChars="200"/>
        <w:rPr>
          <w:rFonts w:hint="eastAsia" w:ascii="宋体" w:hAnsi="宋体" w:cs="宋体"/>
          <w:sz w:val="24"/>
          <w:highlight w:val="yellow"/>
        </w:rPr>
      </w:pPr>
      <w:r>
        <w:rPr>
          <w:rFonts w:hint="eastAsia" w:ascii="宋体" w:hAnsi="宋体" w:cs="宋体"/>
          <w:sz w:val="24"/>
        </w:rPr>
        <w:t>5.4.3已提交响应文件的供应商，在提交最后报价之前，可以根据磋商情况退出磋商。采购机构将退还退出磋商的供应商的磋商保证金。</w:t>
      </w:r>
    </w:p>
    <w:p w14:paraId="26DDCF41">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5.4.4磋商轮数和最后</w:t>
      </w:r>
      <w:r>
        <w:rPr>
          <w:rFonts w:hint="eastAsia" w:ascii="宋体" w:hAnsi="宋体" w:cs="宋体"/>
          <w:sz w:val="24"/>
        </w:rPr>
        <w:t>报价的要求</w:t>
      </w:r>
      <w:r>
        <w:rPr>
          <w:rFonts w:hint="eastAsia" w:ascii="宋体" w:hAnsi="宋体" w:cs="宋体"/>
          <w:sz w:val="24"/>
          <w:lang w:val="zh-CN"/>
        </w:rPr>
        <w:t>见</w:t>
      </w:r>
      <w:r>
        <w:rPr>
          <w:rFonts w:hint="eastAsia" w:ascii="宋体" w:hAnsi="宋体" w:cs="宋体"/>
          <w:b/>
          <w:sz w:val="24"/>
          <w:lang w:val="zh-CN"/>
        </w:rPr>
        <w:t>磋商须知前附表。</w:t>
      </w:r>
    </w:p>
    <w:p w14:paraId="7388CF07">
      <w:pPr>
        <w:pStyle w:val="67"/>
        <w:tabs>
          <w:tab w:val="left" w:pos="0"/>
        </w:tabs>
        <w:spacing w:line="360" w:lineRule="auto"/>
        <w:rPr>
          <w:rFonts w:hint="eastAsia" w:ascii="宋体" w:hAnsi="宋体" w:cs="宋体"/>
          <w:b/>
          <w:bCs/>
          <w:sz w:val="24"/>
        </w:rPr>
      </w:pPr>
      <w:r>
        <w:rPr>
          <w:rFonts w:hint="eastAsia" w:ascii="宋体" w:hAnsi="宋体" w:cs="宋体"/>
          <w:b/>
          <w:bCs/>
          <w:sz w:val="24"/>
        </w:rPr>
        <w:t>5.5综合评审</w:t>
      </w:r>
    </w:p>
    <w:p w14:paraId="44C062A9">
      <w:pPr>
        <w:pStyle w:val="67"/>
        <w:tabs>
          <w:tab w:val="left" w:pos="0"/>
        </w:tabs>
        <w:spacing w:line="360" w:lineRule="auto"/>
        <w:ind w:firstLine="480" w:firstLineChars="200"/>
        <w:rPr>
          <w:rFonts w:hint="eastAsia" w:ascii="宋体" w:hAnsi="宋体" w:cs="宋体"/>
          <w:bCs/>
          <w:sz w:val="24"/>
        </w:rPr>
      </w:pPr>
      <w:r>
        <w:rPr>
          <w:rFonts w:hint="eastAsia" w:ascii="宋体" w:hAnsi="宋体" w:cs="宋体"/>
          <w:sz w:val="24"/>
        </w:rPr>
        <w:t>5.5.1</w:t>
      </w:r>
      <w:r>
        <w:rPr>
          <w:rFonts w:hint="eastAsia" w:ascii="宋体" w:hAnsi="宋体" w:cs="宋体"/>
          <w:bCs/>
          <w:sz w:val="24"/>
        </w:rPr>
        <w:t>评审方法</w:t>
      </w:r>
      <w:r>
        <w:rPr>
          <w:rFonts w:hint="eastAsia" w:ascii="宋体" w:hAnsi="宋体" w:cs="宋体"/>
          <w:sz w:val="24"/>
        </w:rPr>
        <w:t>：综合评分法，是指响应文件满足磋商文件全部实质性要求且按评审因素的量化指标评审得分最高的供应商为成交候选供应商的评审方法。</w:t>
      </w:r>
    </w:p>
    <w:p w14:paraId="1A23318C">
      <w:pPr>
        <w:pStyle w:val="67"/>
        <w:tabs>
          <w:tab w:val="left" w:pos="0"/>
        </w:tabs>
        <w:spacing w:line="360" w:lineRule="auto"/>
        <w:ind w:firstLine="480" w:firstLineChars="200"/>
        <w:rPr>
          <w:rFonts w:hint="eastAsia" w:ascii="宋体" w:hAnsi="宋体" w:cs="宋体"/>
          <w:sz w:val="24"/>
        </w:rPr>
      </w:pPr>
      <w:r>
        <w:rPr>
          <w:rFonts w:hint="eastAsia" w:ascii="宋体" w:hAnsi="宋体" w:cs="宋体"/>
          <w:bCs/>
          <w:sz w:val="24"/>
        </w:rPr>
        <w:t>5.5.2磋商小组依据磋商文件及供应商的响应文件</w:t>
      </w:r>
      <w:r>
        <w:rPr>
          <w:rFonts w:hint="eastAsia" w:ascii="宋体" w:hAnsi="宋体" w:cs="宋体"/>
          <w:sz w:val="24"/>
        </w:rPr>
        <w:t>和</w:t>
      </w:r>
      <w:r>
        <w:rPr>
          <w:rFonts w:hint="eastAsia" w:ascii="宋体" w:hAnsi="宋体" w:cs="宋体"/>
          <w:kern w:val="0"/>
          <w:sz w:val="24"/>
          <w:lang w:val="zh-CN"/>
        </w:rPr>
        <w:t>最后报价</w:t>
      </w:r>
      <w:r>
        <w:rPr>
          <w:rFonts w:hint="eastAsia" w:ascii="宋体" w:hAnsi="宋体" w:cs="宋体"/>
          <w:bCs/>
          <w:sz w:val="24"/>
        </w:rPr>
        <w:t>，对响应文件的商务和技术部分进行进一步的比较和评价，详细</w:t>
      </w:r>
      <w:r>
        <w:rPr>
          <w:rFonts w:hint="eastAsia" w:ascii="宋体" w:hAnsi="宋体" w:cs="宋体"/>
          <w:sz w:val="24"/>
        </w:rPr>
        <w:t>评审标准见</w:t>
      </w:r>
      <w:r>
        <w:rPr>
          <w:rFonts w:hint="eastAsia" w:ascii="宋体" w:hAnsi="宋体" w:cs="宋体"/>
          <w:b/>
          <w:bCs/>
          <w:sz w:val="24"/>
        </w:rPr>
        <w:t>第三章 评审方法</w:t>
      </w:r>
      <w:r>
        <w:rPr>
          <w:rFonts w:hint="eastAsia" w:ascii="宋体" w:hAnsi="宋体" w:cs="宋体"/>
          <w:bCs/>
          <w:sz w:val="24"/>
        </w:rPr>
        <w:t>。</w:t>
      </w:r>
    </w:p>
    <w:p w14:paraId="4B4811B4">
      <w:pPr>
        <w:pStyle w:val="67"/>
        <w:spacing w:line="360" w:lineRule="auto"/>
        <w:ind w:firstLine="480" w:firstLineChars="200"/>
        <w:rPr>
          <w:rFonts w:hint="eastAsia" w:ascii="宋体" w:hAnsi="宋体" w:cs="宋体"/>
          <w:sz w:val="24"/>
        </w:rPr>
      </w:pPr>
      <w:r>
        <w:rPr>
          <w:rFonts w:hint="eastAsia" w:ascii="宋体" w:hAnsi="宋体" w:cs="宋体"/>
          <w:sz w:val="24"/>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2FB34CB">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sz w:val="24"/>
        </w:rPr>
        <w:t>5.5.4 对漏（缺）报项的处理：磋商文件中要求列入报价的费用（含配置、功能）漏报的，以及供应商没有填入单价（价格）或漏（缺）报的项目视同已含在总报价中，不予调整。对多报项及赠送项的价格评审时不予核减，全部进入评标价评议。</w:t>
      </w:r>
    </w:p>
    <w:p w14:paraId="12C43F80">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6</w:t>
      </w:r>
      <w:r>
        <w:rPr>
          <w:rFonts w:ascii="宋体" w:hAnsi="宋体" w:cs="宋体"/>
          <w:b/>
          <w:bCs/>
          <w:sz w:val="24"/>
        </w:rPr>
        <w:t xml:space="preserve">违法违规行为 </w:t>
      </w:r>
    </w:p>
    <w:p w14:paraId="1DC844B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6</w:t>
      </w:r>
      <w:r>
        <w:rPr>
          <w:rFonts w:ascii="宋体" w:hAnsi="宋体" w:cs="宋体"/>
          <w:sz w:val="24"/>
          <w:szCs w:val="24"/>
        </w:rPr>
        <w:t>.1在评审过程中，磋商小组发现供应商有下列情形之一的，作无效文件处理：</w:t>
      </w:r>
    </w:p>
    <w:p w14:paraId="7866A65A">
      <w:pPr>
        <w:pStyle w:val="94"/>
        <w:spacing w:line="360" w:lineRule="auto"/>
        <w:ind w:firstLine="484" w:firstLineChars="202"/>
        <w:rPr>
          <w:rFonts w:ascii="宋体" w:hAnsi="宋体" w:cs="宋体"/>
          <w:sz w:val="24"/>
          <w:szCs w:val="24"/>
        </w:rPr>
      </w:pPr>
      <w:r>
        <w:rPr>
          <w:rFonts w:ascii="宋体" w:hAnsi="宋体" w:cs="宋体"/>
          <w:sz w:val="24"/>
          <w:szCs w:val="24"/>
        </w:rPr>
        <w:t>（1）属于同一集团、协会、商会等组织成员的供应商按照该组织要求协同投标；</w:t>
      </w:r>
    </w:p>
    <w:p w14:paraId="771B758A">
      <w:pPr>
        <w:pStyle w:val="94"/>
        <w:spacing w:line="360" w:lineRule="auto"/>
        <w:ind w:firstLine="484" w:firstLineChars="202"/>
        <w:rPr>
          <w:rFonts w:ascii="宋体" w:hAnsi="宋体" w:cs="宋体"/>
          <w:sz w:val="24"/>
          <w:szCs w:val="24"/>
        </w:rPr>
      </w:pPr>
      <w:r>
        <w:rPr>
          <w:rFonts w:ascii="宋体" w:hAnsi="宋体" w:cs="宋体"/>
          <w:sz w:val="24"/>
          <w:szCs w:val="24"/>
        </w:rPr>
        <w:t>（2）不同供应商的响应文件由同一单位或者个人编制；</w:t>
      </w:r>
    </w:p>
    <w:p w14:paraId="77D06527">
      <w:pPr>
        <w:pStyle w:val="94"/>
        <w:spacing w:line="360" w:lineRule="auto"/>
        <w:ind w:firstLine="484" w:firstLineChars="202"/>
        <w:rPr>
          <w:rFonts w:ascii="宋体" w:hAnsi="宋体" w:cs="宋体"/>
          <w:sz w:val="24"/>
          <w:szCs w:val="24"/>
        </w:rPr>
      </w:pPr>
      <w:r>
        <w:rPr>
          <w:rFonts w:ascii="宋体" w:hAnsi="宋体" w:cs="宋体"/>
          <w:sz w:val="24"/>
          <w:szCs w:val="24"/>
        </w:rPr>
        <w:t>（3）不同供应商委托同一单位或者个人办理投标事宜；</w:t>
      </w:r>
    </w:p>
    <w:p w14:paraId="566DC0A3">
      <w:pPr>
        <w:pStyle w:val="94"/>
        <w:spacing w:line="360" w:lineRule="auto"/>
        <w:ind w:firstLine="484" w:firstLineChars="202"/>
        <w:rPr>
          <w:rFonts w:ascii="宋体" w:hAnsi="宋体" w:cs="宋体"/>
          <w:sz w:val="24"/>
          <w:szCs w:val="24"/>
        </w:rPr>
      </w:pPr>
      <w:r>
        <w:rPr>
          <w:rFonts w:ascii="宋体" w:hAnsi="宋体" w:cs="宋体"/>
          <w:sz w:val="24"/>
          <w:szCs w:val="24"/>
        </w:rPr>
        <w:t>（4）不同供应商的响应文件载明的项目管理成员为同一人；</w:t>
      </w:r>
    </w:p>
    <w:p w14:paraId="68750489">
      <w:pPr>
        <w:pStyle w:val="94"/>
        <w:spacing w:line="360" w:lineRule="auto"/>
        <w:ind w:firstLine="484" w:firstLineChars="202"/>
        <w:rPr>
          <w:rFonts w:ascii="宋体" w:hAnsi="宋体" w:cs="宋体"/>
          <w:sz w:val="24"/>
          <w:szCs w:val="24"/>
        </w:rPr>
      </w:pPr>
      <w:r>
        <w:rPr>
          <w:rFonts w:ascii="宋体" w:hAnsi="宋体" w:cs="宋体"/>
          <w:sz w:val="24"/>
          <w:szCs w:val="24"/>
        </w:rPr>
        <w:t>（5）不同供应商的响应文件异常一致或者投标报价呈规律性差异；</w:t>
      </w:r>
    </w:p>
    <w:p w14:paraId="38224660">
      <w:pPr>
        <w:pStyle w:val="94"/>
        <w:spacing w:line="360" w:lineRule="auto"/>
        <w:ind w:firstLine="484" w:firstLineChars="202"/>
        <w:rPr>
          <w:rFonts w:ascii="宋体" w:hAnsi="宋体" w:cs="宋体"/>
          <w:sz w:val="24"/>
          <w:szCs w:val="24"/>
        </w:rPr>
      </w:pPr>
      <w:r>
        <w:rPr>
          <w:rFonts w:ascii="宋体" w:hAnsi="宋体" w:cs="宋体"/>
          <w:sz w:val="24"/>
          <w:szCs w:val="24"/>
        </w:rPr>
        <w:t>（6）不同供应商的响应文件相互混装；</w:t>
      </w:r>
    </w:p>
    <w:p w14:paraId="1303E408">
      <w:pPr>
        <w:pStyle w:val="94"/>
        <w:spacing w:line="360" w:lineRule="auto"/>
        <w:ind w:firstLine="484" w:firstLineChars="202"/>
        <w:rPr>
          <w:rFonts w:ascii="宋体" w:hAnsi="宋体" w:cs="宋体"/>
          <w:sz w:val="24"/>
          <w:szCs w:val="24"/>
        </w:rPr>
      </w:pPr>
      <w:r>
        <w:rPr>
          <w:rFonts w:ascii="宋体" w:hAnsi="宋体" w:cs="宋体"/>
          <w:sz w:val="24"/>
          <w:szCs w:val="24"/>
        </w:rPr>
        <w:t>（7）不同供应商的投标保证金从同一单位或者个人的账户转出；</w:t>
      </w:r>
    </w:p>
    <w:p w14:paraId="0A4598B3">
      <w:pPr>
        <w:pStyle w:val="94"/>
        <w:spacing w:line="360" w:lineRule="auto"/>
        <w:ind w:firstLine="484" w:firstLineChars="202"/>
        <w:rPr>
          <w:rFonts w:ascii="宋体" w:hAnsi="宋体" w:cs="宋体"/>
          <w:sz w:val="24"/>
          <w:szCs w:val="24"/>
        </w:rPr>
      </w:pPr>
      <w:r>
        <w:rPr>
          <w:rFonts w:ascii="宋体" w:hAnsi="宋体" w:cs="宋体"/>
          <w:sz w:val="24"/>
          <w:szCs w:val="24"/>
        </w:rPr>
        <w:t>（8）使用伪造、变造的行政许可证件；</w:t>
      </w:r>
    </w:p>
    <w:p w14:paraId="0BF38034">
      <w:pPr>
        <w:pStyle w:val="94"/>
        <w:spacing w:line="360" w:lineRule="auto"/>
        <w:ind w:firstLine="484" w:firstLineChars="202"/>
        <w:rPr>
          <w:rFonts w:ascii="宋体" w:hAnsi="宋体" w:cs="宋体"/>
          <w:sz w:val="24"/>
          <w:szCs w:val="24"/>
        </w:rPr>
      </w:pPr>
      <w:r>
        <w:rPr>
          <w:rFonts w:ascii="宋体" w:hAnsi="宋体" w:cs="宋体"/>
          <w:sz w:val="24"/>
          <w:szCs w:val="24"/>
        </w:rPr>
        <w:t>（9）提供虚假的财务状况或者业绩；</w:t>
      </w:r>
    </w:p>
    <w:p w14:paraId="1CE0EA1B">
      <w:pPr>
        <w:pStyle w:val="94"/>
        <w:spacing w:line="360" w:lineRule="auto"/>
        <w:ind w:firstLine="484" w:firstLineChars="202"/>
        <w:rPr>
          <w:rFonts w:ascii="宋体" w:hAnsi="宋体" w:cs="宋体"/>
          <w:sz w:val="24"/>
          <w:szCs w:val="24"/>
        </w:rPr>
      </w:pPr>
      <w:r>
        <w:rPr>
          <w:rFonts w:ascii="宋体" w:hAnsi="宋体" w:cs="宋体"/>
          <w:sz w:val="24"/>
          <w:szCs w:val="24"/>
        </w:rPr>
        <w:t>（10）提供虚假的项目负责人或者主要技术人员简历、劳动关系证明；</w:t>
      </w:r>
    </w:p>
    <w:p w14:paraId="55BB95FC">
      <w:pPr>
        <w:pStyle w:val="94"/>
        <w:spacing w:line="360" w:lineRule="auto"/>
        <w:ind w:firstLine="484" w:firstLineChars="202"/>
        <w:rPr>
          <w:rFonts w:ascii="宋体" w:hAnsi="宋体" w:cs="宋体"/>
          <w:sz w:val="24"/>
          <w:szCs w:val="24"/>
        </w:rPr>
      </w:pPr>
      <w:r>
        <w:rPr>
          <w:rFonts w:ascii="宋体" w:hAnsi="宋体" w:cs="宋体"/>
          <w:sz w:val="24"/>
          <w:szCs w:val="24"/>
        </w:rPr>
        <w:t>（11）提供虚假的信用状况；</w:t>
      </w:r>
    </w:p>
    <w:p w14:paraId="21BBD86C">
      <w:pPr>
        <w:pStyle w:val="94"/>
        <w:spacing w:line="360" w:lineRule="auto"/>
        <w:ind w:firstLine="484" w:firstLineChars="202"/>
        <w:rPr>
          <w:rFonts w:ascii="宋体" w:hAnsi="宋体" w:cs="宋体"/>
          <w:sz w:val="24"/>
          <w:szCs w:val="24"/>
        </w:rPr>
      </w:pPr>
      <w:r>
        <w:rPr>
          <w:rFonts w:ascii="宋体" w:hAnsi="宋体" w:cs="宋体"/>
          <w:sz w:val="24"/>
          <w:szCs w:val="24"/>
        </w:rPr>
        <w:t>（12）其他弄虚作假的行为。</w:t>
      </w:r>
    </w:p>
    <w:p w14:paraId="57773C41">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7</w:t>
      </w:r>
      <w:r>
        <w:rPr>
          <w:rFonts w:ascii="宋体" w:hAnsi="宋体" w:cs="宋体"/>
          <w:b/>
          <w:bCs/>
          <w:sz w:val="24"/>
        </w:rPr>
        <w:t xml:space="preserve"> 磋商小组审查响应文件是否完整、有无计算上的错误等。</w:t>
      </w:r>
    </w:p>
    <w:p w14:paraId="657CB92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.1 响应文件的修正及澄清</w:t>
      </w:r>
    </w:p>
    <w:p w14:paraId="7BAA7B11">
      <w:pPr>
        <w:pStyle w:val="94"/>
        <w:spacing w:line="360" w:lineRule="auto"/>
        <w:ind w:firstLine="484" w:firstLineChars="202"/>
        <w:rPr>
          <w:rFonts w:ascii="宋体" w:hAnsi="宋体" w:cs="宋体"/>
          <w:sz w:val="24"/>
          <w:szCs w:val="24"/>
        </w:rPr>
      </w:pPr>
      <w:r>
        <w:rPr>
          <w:rFonts w:ascii="宋体" w:hAnsi="宋体" w:cs="宋体"/>
          <w:sz w:val="24"/>
          <w:szCs w:val="24"/>
        </w:rPr>
        <w:t>（1）磋商小组对确定为实质上响应磋商文件要求的响应文件进行校核，看其是否有计算或表达上的错误，算术错误将按以下方法更正：</w:t>
      </w:r>
    </w:p>
    <w:p w14:paraId="3141B638">
      <w:pPr>
        <w:pStyle w:val="94"/>
        <w:spacing w:line="360" w:lineRule="auto"/>
        <w:ind w:firstLine="484" w:firstLineChars="202"/>
        <w:rPr>
          <w:rFonts w:ascii="宋体" w:hAnsi="宋体" w:cs="宋体"/>
          <w:sz w:val="24"/>
          <w:szCs w:val="24"/>
        </w:rPr>
      </w:pPr>
      <w:r>
        <w:rPr>
          <w:rFonts w:ascii="宋体" w:hAnsi="宋体" w:cs="宋体"/>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60DAE83">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8727374">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.3实质上没有响应磋商文件要求的响应文件将被视为无效文件。供应商不得通过修正或撤销不合要求的偏离从而使其成为实质上响应的文件。</w:t>
      </w:r>
    </w:p>
    <w:p w14:paraId="6F747402">
      <w:pPr>
        <w:pStyle w:val="94"/>
        <w:spacing w:line="360" w:lineRule="auto"/>
        <w:ind w:firstLine="482" w:firstLineChars="201"/>
        <w:contextualSpacing/>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w:t>
      </w:r>
      <w:r>
        <w:rPr>
          <w:rFonts w:hint="eastAsia" w:ascii="宋体" w:hAnsi="宋体" w:cs="宋体"/>
          <w:sz w:val="24"/>
          <w:szCs w:val="24"/>
        </w:rPr>
        <w:t>，</w:t>
      </w:r>
      <w:r>
        <w:rPr>
          <w:rFonts w:ascii="宋体" w:hAnsi="宋体" w:cs="宋体"/>
          <w:sz w:val="24"/>
          <w:szCs w:val="24"/>
        </w:rPr>
        <w:t>磋商小组可要求供应商对其响应文件进行澄清，但不得寻求、提供或允许供应商对投标报价等实质性内容做任何更改。有关澄清的答复均应由供应商的法定代表人或授权代表以书面形式作出并签字。</w:t>
      </w:r>
    </w:p>
    <w:p w14:paraId="2DEFCE3A">
      <w:pPr>
        <w:pStyle w:val="94"/>
        <w:spacing w:line="360" w:lineRule="auto"/>
        <w:ind w:firstLine="482" w:firstLineChars="201"/>
        <w:contextualSpacing/>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.5供应商的澄清文件是其响应文件的组成部分。</w:t>
      </w:r>
    </w:p>
    <w:p w14:paraId="64C7E1CA">
      <w:pPr>
        <w:pStyle w:val="67"/>
        <w:tabs>
          <w:tab w:val="left" w:pos="0"/>
        </w:tabs>
        <w:spacing w:line="360" w:lineRule="auto"/>
        <w:rPr>
          <w:rFonts w:hint="eastAsia" w:ascii="宋体" w:hAnsi="宋体" w:cs="宋体"/>
          <w:b/>
          <w:bCs/>
          <w:sz w:val="24"/>
        </w:rPr>
      </w:pPr>
      <w:r>
        <w:rPr>
          <w:rFonts w:hint="eastAsia" w:ascii="宋体" w:hAnsi="宋体" w:cs="宋体"/>
          <w:b/>
          <w:bCs/>
          <w:sz w:val="24"/>
        </w:rPr>
        <w:t>5.8成交原则</w:t>
      </w:r>
    </w:p>
    <w:p w14:paraId="3EF878D4">
      <w:pPr>
        <w:pStyle w:val="67"/>
        <w:tabs>
          <w:tab w:val="left" w:pos="0"/>
        </w:tabs>
        <w:spacing w:line="360" w:lineRule="auto"/>
        <w:ind w:firstLine="480" w:firstLineChars="200"/>
        <w:rPr>
          <w:rFonts w:hint="eastAsia"/>
          <w:sz w:val="24"/>
        </w:rPr>
      </w:pPr>
      <w:r>
        <w:rPr>
          <w:rFonts w:hint="eastAsia"/>
          <w:sz w:val="24"/>
        </w:rPr>
        <w:t>5.8.1</w:t>
      </w:r>
      <w:r>
        <w:rPr>
          <w:sz w:val="24"/>
        </w:rPr>
        <w:t>磋商小组按照采购文件确定的评标方法、步骤、标准，对响应文件进行</w:t>
      </w:r>
      <w:r>
        <w:rPr>
          <w:rFonts w:hint="eastAsia"/>
          <w:sz w:val="24"/>
        </w:rPr>
        <w:t>综合评审，</w:t>
      </w:r>
      <w:r>
        <w:rPr>
          <w:sz w:val="24"/>
        </w:rPr>
        <w:t>按评审后得分</w:t>
      </w:r>
      <w:r>
        <w:rPr>
          <w:rFonts w:hint="eastAsia"/>
          <w:sz w:val="24"/>
        </w:rPr>
        <w:t>由高到低顺序推荐3名以上成交候选供应商，并编写评审报告。符合《政府采购竞争性磋商采购方式管理办法》第二十一条第三款情形的，可以推荐2家成交候选供应商。评审得分相同的，按照最后报价由低到高的顺序推荐。评审得分且最后报价相同的，按照技术指标优劣顺序推荐。</w:t>
      </w:r>
    </w:p>
    <w:p w14:paraId="6B8F06B0">
      <w:pPr>
        <w:pStyle w:val="67"/>
        <w:tabs>
          <w:tab w:val="left" w:pos="0"/>
        </w:tabs>
        <w:spacing w:line="360" w:lineRule="auto"/>
        <w:ind w:firstLine="480" w:firstLineChars="200"/>
        <w:rPr>
          <w:rFonts w:hint="eastAsia"/>
          <w:sz w:val="24"/>
        </w:rPr>
      </w:pPr>
      <w:r>
        <w:rPr>
          <w:rFonts w:hint="eastAsia"/>
          <w:sz w:val="24"/>
        </w:rPr>
        <w:t>5.8.2成交候选人并列时的处理方式：综合得分相同，按报价由低向高依次排序。</w:t>
      </w:r>
    </w:p>
    <w:p w14:paraId="229766BD">
      <w:pPr>
        <w:pStyle w:val="67"/>
        <w:tabs>
          <w:tab w:val="left" w:pos="0"/>
        </w:tabs>
        <w:spacing w:line="360" w:lineRule="auto"/>
        <w:ind w:firstLine="480" w:firstLineChars="200"/>
        <w:rPr>
          <w:rFonts w:hint="eastAsia"/>
          <w:sz w:val="24"/>
        </w:rPr>
      </w:pPr>
      <w:r>
        <w:rPr>
          <w:rFonts w:hint="eastAsia"/>
          <w:sz w:val="24"/>
        </w:rPr>
        <w:t>5.8.3采购代理机构应当在评标结束后2个工作日内将评审报告送采购人确认。采购人应当自收到评审报告后5个工作日内，从评审报告提出的成交候选供应商中，按排序由高到低的原则确定成交供应商，也可以书面授权磋商小组直接确定成交供应商。</w:t>
      </w:r>
    </w:p>
    <w:p w14:paraId="1C225048">
      <w:pPr>
        <w:pStyle w:val="67"/>
        <w:tabs>
          <w:tab w:val="left" w:pos="0"/>
        </w:tabs>
        <w:spacing w:line="360" w:lineRule="auto"/>
        <w:rPr>
          <w:rFonts w:hint="eastAsia"/>
          <w:b/>
          <w:bCs/>
          <w:sz w:val="24"/>
        </w:rPr>
      </w:pPr>
      <w:r>
        <w:rPr>
          <w:rFonts w:hint="eastAsia"/>
          <w:b/>
          <w:bCs/>
          <w:sz w:val="24"/>
        </w:rPr>
        <w:t>5.9终止竞争性磋商采购</w:t>
      </w:r>
    </w:p>
    <w:p w14:paraId="541B3BBD">
      <w:pPr>
        <w:pStyle w:val="67"/>
        <w:tabs>
          <w:tab w:val="left" w:pos="0"/>
        </w:tabs>
        <w:spacing w:line="360" w:lineRule="auto"/>
        <w:ind w:firstLine="480" w:firstLineChars="200"/>
        <w:rPr>
          <w:rFonts w:hint="eastAsia"/>
          <w:sz w:val="24"/>
        </w:rPr>
      </w:pPr>
      <w:r>
        <w:rPr>
          <w:rFonts w:hint="eastAsia"/>
          <w:sz w:val="24"/>
        </w:rPr>
        <w:t xml:space="preserve">5.9.1出现下列情形之一的，采购人或者采购代理机构应当终止竞争性磋商采购活动，在财政部门指定的媒体上发布项目终止公告并说明原因，重新开展采购活动： </w:t>
      </w:r>
    </w:p>
    <w:p w14:paraId="62C04D19">
      <w:pPr>
        <w:pStyle w:val="67"/>
        <w:tabs>
          <w:tab w:val="left" w:pos="0"/>
        </w:tabs>
        <w:spacing w:line="360" w:lineRule="auto"/>
        <w:ind w:firstLine="480" w:firstLineChars="200"/>
        <w:rPr>
          <w:rFonts w:hint="eastAsia"/>
          <w:sz w:val="24"/>
        </w:rPr>
      </w:pPr>
      <w:r>
        <w:rPr>
          <w:rFonts w:hint="eastAsia"/>
          <w:sz w:val="24"/>
        </w:rPr>
        <w:t>（1）因情况变化，不再符合规定的竞争性磋商采购方式适用情形的；</w:t>
      </w:r>
    </w:p>
    <w:p w14:paraId="5DB9063F">
      <w:pPr>
        <w:pStyle w:val="67"/>
        <w:tabs>
          <w:tab w:val="left" w:pos="0"/>
        </w:tabs>
        <w:spacing w:line="360" w:lineRule="auto"/>
        <w:ind w:firstLine="480" w:firstLineChars="200"/>
        <w:rPr>
          <w:rFonts w:hint="eastAsia"/>
          <w:sz w:val="24"/>
        </w:rPr>
      </w:pPr>
      <w:r>
        <w:rPr>
          <w:rFonts w:hint="eastAsia"/>
          <w:sz w:val="24"/>
        </w:rPr>
        <w:t>（2）出现影响采购公正的违法、违规行为的；</w:t>
      </w:r>
    </w:p>
    <w:p w14:paraId="19F9369F">
      <w:pPr>
        <w:pStyle w:val="67"/>
        <w:tabs>
          <w:tab w:val="left" w:pos="0"/>
        </w:tabs>
        <w:spacing w:line="360" w:lineRule="auto"/>
        <w:rPr>
          <w:rFonts w:hint="eastAsia"/>
          <w:b/>
          <w:bCs/>
          <w:sz w:val="24"/>
        </w:rPr>
      </w:pPr>
      <w:r>
        <w:rPr>
          <w:rFonts w:hint="eastAsia"/>
          <w:b/>
          <w:bCs/>
          <w:sz w:val="24"/>
        </w:rPr>
        <w:t>5.10重新评审</w:t>
      </w:r>
    </w:p>
    <w:p w14:paraId="0421FF78">
      <w:pPr>
        <w:pStyle w:val="67"/>
        <w:tabs>
          <w:tab w:val="left" w:pos="0"/>
        </w:tabs>
        <w:spacing w:line="360" w:lineRule="auto"/>
        <w:ind w:firstLine="480" w:firstLineChars="200"/>
        <w:rPr>
          <w:rFonts w:hint="eastAsia"/>
          <w:sz w:val="24"/>
        </w:rPr>
      </w:pPr>
      <w:r>
        <w:rPr>
          <w:rFonts w:hint="eastAsia"/>
          <w:sz w:val="24"/>
        </w:rPr>
        <w:t>5.10.1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56507FE0">
      <w:pPr>
        <w:pStyle w:val="67"/>
        <w:tabs>
          <w:tab w:val="left" w:pos="0"/>
        </w:tabs>
        <w:spacing w:line="360" w:lineRule="auto"/>
        <w:rPr>
          <w:rFonts w:hint="eastAsia"/>
          <w:b/>
          <w:bCs/>
          <w:sz w:val="24"/>
        </w:rPr>
      </w:pPr>
      <w:r>
        <w:rPr>
          <w:rFonts w:hint="eastAsia"/>
          <w:b/>
          <w:bCs/>
          <w:sz w:val="24"/>
        </w:rPr>
        <w:t>5.11保密及串通行为</w:t>
      </w:r>
    </w:p>
    <w:p w14:paraId="56A2D42D">
      <w:pPr>
        <w:pStyle w:val="67"/>
        <w:tabs>
          <w:tab w:val="left" w:pos="0"/>
        </w:tabs>
        <w:spacing w:line="360" w:lineRule="auto"/>
        <w:ind w:firstLine="480" w:firstLineChars="200"/>
        <w:rPr>
          <w:rFonts w:hint="eastAsia"/>
          <w:sz w:val="24"/>
        </w:rPr>
      </w:pPr>
      <w:r>
        <w:rPr>
          <w:rFonts w:hint="eastAsia"/>
          <w:sz w:val="24"/>
        </w:rPr>
        <w:t>5.11.1磋商小组成员以及与评审工作有关的人员不得泄露评审情况以及评审过程中获悉的国家秘密、商业秘密。</w:t>
      </w:r>
    </w:p>
    <w:p w14:paraId="14CAFC8C">
      <w:pPr>
        <w:pStyle w:val="67"/>
        <w:tabs>
          <w:tab w:val="left" w:pos="0"/>
        </w:tabs>
        <w:spacing w:line="360" w:lineRule="auto"/>
        <w:ind w:firstLine="480" w:firstLineChars="200"/>
        <w:rPr>
          <w:rFonts w:hint="eastAsia"/>
          <w:sz w:val="24"/>
        </w:rPr>
      </w:pPr>
      <w:r>
        <w:rPr>
          <w:rFonts w:hint="eastAsia"/>
          <w:sz w:val="24"/>
        </w:rPr>
        <w:t>5.11.2供应商不得与采购人、采购代理机构、其他供应商恶意串通；不得向采购人、采购代理机构或者磋商小组成员行贿或者提供其他不正当利益；不得提供虚假材料谋取成交；不得以任何方式干扰、影响采购工作。</w:t>
      </w:r>
    </w:p>
    <w:p w14:paraId="6767A48D">
      <w:pPr>
        <w:pStyle w:val="67"/>
        <w:tabs>
          <w:tab w:val="left" w:pos="0"/>
        </w:tabs>
        <w:spacing w:line="360" w:lineRule="auto"/>
        <w:ind w:firstLine="480" w:firstLineChars="200"/>
        <w:rPr>
          <w:rFonts w:hint="eastAsia"/>
          <w:sz w:val="24"/>
          <w:lang w:val="zh-CN"/>
        </w:rPr>
      </w:pPr>
      <w:r>
        <w:rPr>
          <w:rFonts w:hint="eastAsia"/>
          <w:sz w:val="24"/>
        </w:rPr>
        <w:t>5.11.3有下列情形之一的，</w:t>
      </w:r>
      <w:r>
        <w:rPr>
          <w:rFonts w:hint="eastAsia"/>
          <w:sz w:val="24"/>
          <w:lang w:val="zh-CN"/>
        </w:rPr>
        <w:t>属于恶意串通，</w:t>
      </w:r>
      <w:r>
        <w:rPr>
          <w:rFonts w:hint="eastAsia"/>
          <w:sz w:val="24"/>
        </w:rPr>
        <w:t>成交无效，并</w:t>
      </w:r>
      <w:r>
        <w:rPr>
          <w:rFonts w:hint="eastAsia"/>
          <w:sz w:val="24"/>
          <w:lang w:val="zh-CN"/>
        </w:rPr>
        <w:t>依照《政府采购法》第七十七条的规定追究法律责任：</w:t>
      </w:r>
    </w:p>
    <w:p w14:paraId="4F866702">
      <w:pPr>
        <w:pStyle w:val="67"/>
        <w:tabs>
          <w:tab w:val="left" w:pos="0"/>
        </w:tabs>
        <w:spacing w:line="360" w:lineRule="auto"/>
        <w:ind w:firstLine="480" w:firstLineChars="200"/>
        <w:rPr>
          <w:rFonts w:hint="eastAsia"/>
          <w:sz w:val="24"/>
        </w:rPr>
      </w:pPr>
      <w:r>
        <w:rPr>
          <w:rFonts w:hint="eastAsia"/>
          <w:sz w:val="24"/>
        </w:rPr>
        <w:t>（1）供应商直接或者间接从采购人、采购代理机构获得其他供应商的相应情况，并修改其响应文件的；</w:t>
      </w:r>
    </w:p>
    <w:p w14:paraId="166997CA">
      <w:pPr>
        <w:pStyle w:val="67"/>
        <w:tabs>
          <w:tab w:val="left" w:pos="0"/>
        </w:tabs>
        <w:spacing w:line="360" w:lineRule="auto"/>
        <w:ind w:firstLine="480" w:firstLineChars="200"/>
        <w:rPr>
          <w:rFonts w:hint="eastAsia"/>
          <w:sz w:val="24"/>
        </w:rPr>
      </w:pPr>
      <w:r>
        <w:rPr>
          <w:rFonts w:hint="eastAsia"/>
          <w:sz w:val="24"/>
        </w:rPr>
        <w:t>（2）采购人、采购代理机构授意供应商撤换、修改响应文件的；</w:t>
      </w:r>
    </w:p>
    <w:p w14:paraId="39256778">
      <w:pPr>
        <w:pStyle w:val="67"/>
        <w:tabs>
          <w:tab w:val="left" w:pos="0"/>
        </w:tabs>
        <w:spacing w:line="360" w:lineRule="auto"/>
        <w:ind w:firstLine="480" w:firstLineChars="200"/>
        <w:rPr>
          <w:rFonts w:hint="eastAsia"/>
          <w:sz w:val="24"/>
        </w:rPr>
      </w:pPr>
      <w:r>
        <w:rPr>
          <w:rFonts w:hint="eastAsia"/>
          <w:sz w:val="24"/>
        </w:rPr>
        <w:t>（3）供应商之间协商技术方案、合同条款以及报价等响应文件实质性内容的；</w:t>
      </w:r>
    </w:p>
    <w:p w14:paraId="4ADFBEF1">
      <w:pPr>
        <w:pStyle w:val="67"/>
        <w:tabs>
          <w:tab w:val="left" w:pos="0"/>
        </w:tabs>
        <w:spacing w:line="360" w:lineRule="auto"/>
        <w:ind w:firstLine="480" w:firstLineChars="200"/>
        <w:rPr>
          <w:rFonts w:hint="eastAsia"/>
          <w:sz w:val="24"/>
        </w:rPr>
      </w:pPr>
      <w:r>
        <w:rPr>
          <w:rFonts w:hint="eastAsia"/>
          <w:sz w:val="24"/>
        </w:rPr>
        <w:t>（4）属于同一集团、协会、商会等组织成员的供应商按照该组织要求协同参加竞争性磋商政府采购活动的；</w:t>
      </w:r>
    </w:p>
    <w:p w14:paraId="622A1722">
      <w:pPr>
        <w:pStyle w:val="67"/>
        <w:tabs>
          <w:tab w:val="left" w:pos="0"/>
        </w:tabs>
        <w:spacing w:line="360" w:lineRule="auto"/>
        <w:ind w:firstLine="480" w:firstLineChars="200"/>
        <w:rPr>
          <w:rFonts w:hint="eastAsia"/>
          <w:sz w:val="24"/>
        </w:rPr>
      </w:pPr>
      <w:r>
        <w:rPr>
          <w:rFonts w:hint="eastAsia"/>
          <w:sz w:val="24"/>
        </w:rPr>
        <w:t>（5）供应商之间事先约定由某一特定供应商成交的；</w:t>
      </w:r>
    </w:p>
    <w:p w14:paraId="5BFAFEE8">
      <w:pPr>
        <w:pStyle w:val="67"/>
        <w:tabs>
          <w:tab w:val="left" w:pos="0"/>
        </w:tabs>
        <w:spacing w:line="360" w:lineRule="auto"/>
        <w:ind w:firstLine="480" w:firstLineChars="200"/>
        <w:rPr>
          <w:rFonts w:hint="eastAsia"/>
          <w:sz w:val="24"/>
        </w:rPr>
      </w:pPr>
      <w:r>
        <w:rPr>
          <w:rFonts w:hint="eastAsia"/>
          <w:sz w:val="24"/>
        </w:rPr>
        <w:t>（6）供应商之间商定部分供应商放弃提交响应文件或者退出磋商或者放弃成交的；</w:t>
      </w:r>
    </w:p>
    <w:p w14:paraId="2E17FC6E">
      <w:pPr>
        <w:pStyle w:val="67"/>
        <w:tabs>
          <w:tab w:val="left" w:pos="0"/>
        </w:tabs>
        <w:spacing w:line="360" w:lineRule="auto"/>
        <w:ind w:firstLine="480" w:firstLineChars="200"/>
        <w:rPr>
          <w:rFonts w:hint="eastAsia"/>
          <w:sz w:val="24"/>
        </w:rPr>
      </w:pPr>
      <w:r>
        <w:rPr>
          <w:rFonts w:hint="eastAsia"/>
          <w:sz w:val="24"/>
        </w:rPr>
        <w:t>（7）供应商与采购人、采购代理机构以及磋商小组成员之间、供应商相互之间，为谋求特定供应商成交或者排斥其他供应商的其他串通行为的。</w:t>
      </w:r>
    </w:p>
    <w:p w14:paraId="272B3655">
      <w:pPr>
        <w:pStyle w:val="67"/>
        <w:tabs>
          <w:tab w:val="left" w:pos="0"/>
        </w:tabs>
        <w:spacing w:line="360" w:lineRule="auto"/>
        <w:ind w:firstLine="480" w:firstLineChars="200"/>
        <w:rPr>
          <w:rFonts w:hint="eastAsia"/>
          <w:sz w:val="24"/>
        </w:rPr>
      </w:pPr>
      <w:r>
        <w:rPr>
          <w:rFonts w:hint="eastAsia"/>
          <w:sz w:val="24"/>
        </w:rPr>
        <w:t>（8）法律、行政法规或规章规定的其他串通行为。</w:t>
      </w:r>
    </w:p>
    <w:p w14:paraId="7D9F8D56">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7" w:name="_Toc9249"/>
      <w:bookmarkStart w:id="58" w:name="_Toc106276253"/>
      <w:r>
        <w:rPr>
          <w:rFonts w:hint="eastAsia" w:ascii="宋体" w:hAnsi="宋体" w:cs="宋体"/>
          <w:b w:val="0"/>
          <w:bCs/>
          <w:szCs w:val="24"/>
          <w:lang w:val="en-US" w:eastAsia="zh-CN"/>
        </w:rPr>
        <w:t>六</w:t>
      </w:r>
      <w:r>
        <w:rPr>
          <w:rFonts w:hint="eastAsia" w:ascii="宋体" w:hAnsi="宋体" w:cs="宋体"/>
          <w:b w:val="0"/>
          <w:bCs/>
          <w:szCs w:val="24"/>
        </w:rPr>
        <w:t>、成交结果及合同授予</w:t>
      </w:r>
      <w:bookmarkEnd w:id="53"/>
      <w:bookmarkEnd w:id="54"/>
      <w:bookmarkEnd w:id="55"/>
      <w:bookmarkEnd w:id="56"/>
      <w:bookmarkEnd w:id="57"/>
      <w:bookmarkEnd w:id="58"/>
    </w:p>
    <w:p w14:paraId="53CD6E22">
      <w:pPr>
        <w:pStyle w:val="67"/>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1B6074BE">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495BD6DC">
      <w:pPr>
        <w:pStyle w:val="67"/>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1B3182E7">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069E42BB">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775ED229">
      <w:pPr>
        <w:pStyle w:val="67"/>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15A032DA">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9" w:name="_Toc256000011"/>
      <w:bookmarkStart w:id="60" w:name="_Toc32267"/>
      <w:bookmarkStart w:id="61" w:name="_Toc11314"/>
      <w:bookmarkStart w:id="62" w:name="_Toc7376"/>
      <w:bookmarkStart w:id="63" w:name="_Toc106276254"/>
      <w:bookmarkStart w:id="64" w:name="_Toc25161"/>
      <w:r>
        <w:rPr>
          <w:rFonts w:hint="eastAsia" w:ascii="宋体" w:hAnsi="宋体" w:cs="宋体"/>
          <w:b w:val="0"/>
          <w:bCs/>
          <w:szCs w:val="24"/>
          <w:lang w:val="en-US" w:eastAsia="zh-CN"/>
        </w:rPr>
        <w:t>七</w:t>
      </w:r>
      <w:r>
        <w:rPr>
          <w:rFonts w:hint="eastAsia" w:ascii="宋体" w:hAnsi="宋体" w:cs="宋体"/>
          <w:b w:val="0"/>
          <w:bCs/>
          <w:szCs w:val="24"/>
        </w:rPr>
        <w:t>、质疑与投诉</w:t>
      </w:r>
      <w:bookmarkEnd w:id="59"/>
      <w:bookmarkEnd w:id="60"/>
      <w:bookmarkEnd w:id="61"/>
      <w:bookmarkEnd w:id="62"/>
      <w:bookmarkEnd w:id="63"/>
      <w:bookmarkEnd w:id="64"/>
    </w:p>
    <w:p w14:paraId="1E80E37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供应商认为采购文件、采购过程、中标或者成交结果使自己的权益受到损害的，可以在知道或者应知其权益受到损害之日起7个工作日内，以书面形式向采购人、采购代理机构提出质疑。</w:t>
      </w:r>
    </w:p>
    <w:p w14:paraId="50C2A8BA">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324D6F31">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0B1F15F5">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258B685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4231F63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14701584">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4A21F029">
      <w:pPr>
        <w:pStyle w:val="67"/>
        <w:adjustRightInd w:val="0"/>
        <w:snapToGrid w:val="0"/>
        <w:spacing w:line="360" w:lineRule="auto"/>
        <w:ind w:firstLine="480" w:firstLineChars="200"/>
        <w:jc w:val="left"/>
        <w:rPr>
          <w:rFonts w:hint="eastAsia" w:ascii="宋体" w:hAnsi="宋体" w:cs="宋体"/>
          <w:color w:val="999999"/>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0030A6D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4795AF46">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8AB47E0">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szCs w:val="24"/>
        </w:rPr>
      </w:pPr>
      <w:bookmarkStart w:id="65" w:name="_Toc11124"/>
      <w:bookmarkStart w:id="66" w:name="_Toc10505"/>
      <w:bookmarkStart w:id="67" w:name="_Toc9458"/>
      <w:bookmarkStart w:id="68" w:name="_Toc4999"/>
      <w:bookmarkStart w:id="69" w:name="_Toc256000012"/>
      <w:bookmarkStart w:id="70" w:name="_Toc106276255"/>
      <w:r>
        <w:rPr>
          <w:rFonts w:hint="eastAsia" w:ascii="宋体" w:hAnsi="宋体" w:cs="宋体"/>
          <w:szCs w:val="24"/>
          <w:lang w:val="en-US" w:eastAsia="zh-CN"/>
        </w:rPr>
        <w:t>八</w:t>
      </w:r>
      <w:r>
        <w:rPr>
          <w:rFonts w:hint="eastAsia" w:ascii="宋体" w:hAnsi="宋体" w:cs="宋体"/>
          <w:szCs w:val="24"/>
        </w:rPr>
        <w:t>、其他规定</w:t>
      </w:r>
      <w:bookmarkEnd w:id="65"/>
      <w:bookmarkEnd w:id="66"/>
      <w:bookmarkEnd w:id="67"/>
      <w:bookmarkEnd w:id="68"/>
      <w:bookmarkEnd w:id="69"/>
      <w:bookmarkEnd w:id="70"/>
    </w:p>
    <w:p w14:paraId="1D3E6D6D">
      <w:pPr>
        <w:pStyle w:val="67"/>
        <w:tabs>
          <w:tab w:val="left" w:pos="420"/>
          <w:tab w:val="left" w:pos="7560"/>
          <w:tab w:val="left" w:pos="7740"/>
          <w:tab w:val="left" w:pos="7920"/>
        </w:tabs>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磋商文件的其他规定见</w:t>
      </w:r>
      <w:r>
        <w:rPr>
          <w:rFonts w:hint="eastAsia" w:ascii="宋体" w:hAnsi="宋体" w:cs="宋体"/>
          <w:b/>
          <w:sz w:val="24"/>
        </w:rPr>
        <w:t>磋商须知前附表。</w:t>
      </w:r>
    </w:p>
    <w:bookmarkEnd w:id="9"/>
    <w:p w14:paraId="1C086B6E">
      <w:pPr>
        <w:rPr>
          <w:rFonts w:hint="eastAsia" w:ascii="宋体" w:hAnsi="宋体" w:cs="宋体"/>
          <w:color w:val="000080"/>
          <w:sz w:val="20"/>
          <w:highlight w:val="white"/>
        </w:rPr>
      </w:pPr>
    </w:p>
    <w:p w14:paraId="073D1594">
      <w:pPr>
        <w:pStyle w:val="2"/>
        <w:rPr>
          <w:rStyle w:val="54"/>
          <w:rFonts w:hint="eastAsia" w:ascii="宋体" w:hAnsi="宋体" w:cs="宋体"/>
          <w:b w:val="0"/>
          <w:bCs w:val="0"/>
          <w:sz w:val="28"/>
          <w:szCs w:val="28"/>
        </w:rPr>
      </w:pPr>
      <w:r>
        <w:rPr>
          <w:rFonts w:hint="eastAsia" w:ascii="宋体" w:hAnsi="宋体" w:cs="宋体"/>
          <w:szCs w:val="21"/>
          <w:highlight w:val="white"/>
        </w:rPr>
        <w:br w:type="page"/>
      </w:r>
      <w:bookmarkStart w:id="71" w:name="_Toc25627"/>
      <w:bookmarkStart w:id="72" w:name="_Toc529952598"/>
      <w:bookmarkStart w:id="73" w:name="_Toc23422"/>
      <w:r>
        <w:rPr>
          <w:rFonts w:hint="eastAsia" w:ascii="宋体" w:hAnsi="宋体" w:cs="宋体"/>
          <w:sz w:val="36"/>
          <w:szCs w:val="36"/>
          <w:highlight w:val="white"/>
        </w:rPr>
        <w:t>第三章 评审方法（综合评分法）</w:t>
      </w:r>
      <w:bookmarkEnd w:id="71"/>
      <w:bookmarkEnd w:id="72"/>
      <w:bookmarkEnd w:id="73"/>
    </w:p>
    <w:p w14:paraId="72C0F6CF">
      <w:pPr>
        <w:tabs>
          <w:tab w:val="left" w:pos="420"/>
          <w:tab w:val="left" w:pos="7560"/>
          <w:tab w:val="left" w:pos="7740"/>
          <w:tab w:val="left" w:pos="7920"/>
        </w:tabs>
        <w:adjustRightInd w:val="0"/>
        <w:snapToGrid w:val="0"/>
        <w:spacing w:line="360" w:lineRule="exact"/>
        <w:outlineLvl w:val="1"/>
        <w:rPr>
          <w:rFonts w:hint="eastAsia" w:ascii="宋体" w:hAnsi="宋体" w:cs="宋体"/>
          <w:b/>
          <w:sz w:val="24"/>
        </w:rPr>
      </w:pPr>
      <w:bookmarkStart w:id="74" w:name="_Toc20724"/>
      <w:bookmarkStart w:id="75" w:name="_Toc106276257"/>
      <w:bookmarkStart w:id="76" w:name="_Toc12067"/>
      <w:r>
        <w:rPr>
          <w:rFonts w:hint="eastAsia" w:ascii="宋体" w:hAnsi="宋体" w:cs="宋体"/>
          <w:b/>
          <w:sz w:val="24"/>
          <w:highlight w:val="white"/>
        </w:rPr>
        <w:t>一、综合评分</w:t>
      </w:r>
      <w:bookmarkEnd w:id="74"/>
      <w:bookmarkEnd w:id="75"/>
      <w:bookmarkEnd w:id="76"/>
    </w:p>
    <w:p w14:paraId="28268508">
      <w:pPr>
        <w:spacing w:line="360" w:lineRule="auto"/>
        <w:ind w:firstLine="480" w:firstLineChars="200"/>
        <w:rPr>
          <w:rFonts w:hint="eastAsia" w:ascii="宋体" w:hAnsi="宋体" w:cs="宋体"/>
          <w:sz w:val="24"/>
        </w:rPr>
      </w:pPr>
      <w:r>
        <w:rPr>
          <w:rFonts w:hint="eastAsia" w:ascii="宋体" w:hAnsi="宋体" w:cs="宋体"/>
          <w:sz w:val="24"/>
          <w:highlight w:val="white"/>
        </w:rPr>
        <w:t>1.经磋商确定最终采购需求和提交最后报价的供应商后，由磋商小组采用综合评分法对提交最后报价的供应商的响应文件和最后报价进行综合评分。</w:t>
      </w:r>
    </w:p>
    <w:p w14:paraId="60422A6C">
      <w:pPr>
        <w:spacing w:line="360" w:lineRule="auto"/>
        <w:ind w:firstLine="480" w:firstLineChars="200"/>
        <w:rPr>
          <w:rFonts w:hint="eastAsia" w:ascii="宋体" w:hAnsi="宋体" w:cs="宋体"/>
          <w:sz w:val="24"/>
        </w:rPr>
      </w:pPr>
      <w:r>
        <w:rPr>
          <w:rFonts w:hint="eastAsia" w:ascii="宋体" w:hAnsi="宋体" w:cs="宋体"/>
          <w:sz w:val="24"/>
          <w:highlight w:val="white"/>
        </w:rPr>
        <w:t>综合评分法，是指响应文件满足磋商文件全部实质性要求且按评审因素的量化指标评审得分最高的供应商为成交候选供应商的评审方法。</w:t>
      </w:r>
    </w:p>
    <w:p w14:paraId="71FDF599">
      <w:pPr>
        <w:spacing w:line="360" w:lineRule="auto"/>
        <w:ind w:firstLine="480" w:firstLineChars="200"/>
        <w:rPr>
          <w:rFonts w:hint="eastAsia" w:ascii="宋体" w:hAnsi="宋体" w:cs="宋体"/>
          <w:sz w:val="24"/>
        </w:rPr>
      </w:pPr>
      <w:r>
        <w:rPr>
          <w:rFonts w:hint="eastAsia" w:ascii="宋体" w:hAnsi="宋体" w:cs="宋体"/>
          <w:sz w:val="24"/>
          <w:highlight w:val="white"/>
        </w:rPr>
        <w:t>2.评审时，磋商小组各成员应当独立对每个有效响应的文件进行评价、打分，然后汇总每个供应商每项评分因素的得分。</w:t>
      </w:r>
    </w:p>
    <w:p w14:paraId="0479C8D9">
      <w:pPr>
        <w:spacing w:line="360" w:lineRule="auto"/>
        <w:ind w:firstLine="480" w:firstLineChars="200"/>
        <w:rPr>
          <w:rFonts w:hint="eastAsia" w:ascii="宋体" w:hAnsi="宋体" w:cs="宋体"/>
          <w:sz w:val="24"/>
          <w:highlight w:val="white"/>
        </w:rPr>
      </w:pPr>
      <w:r>
        <w:rPr>
          <w:rFonts w:hint="eastAsia" w:ascii="宋体" w:hAnsi="宋体" w:cs="宋体"/>
          <w:sz w:val="24"/>
          <w:highlight w:val="whit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2B34B99">
      <w:pPr>
        <w:spacing w:line="360" w:lineRule="exact"/>
        <w:outlineLvl w:val="1"/>
        <w:rPr>
          <w:rFonts w:hint="eastAsia" w:ascii="宋体" w:hAnsi="宋体" w:cs="宋体"/>
          <w:sz w:val="24"/>
          <w:highlight w:val="white"/>
        </w:rPr>
      </w:pPr>
      <w:bookmarkStart w:id="77" w:name="_Toc21383"/>
      <w:r>
        <w:rPr>
          <w:rFonts w:hint="eastAsia" w:ascii="宋体" w:hAnsi="宋体" w:cs="宋体"/>
          <w:b/>
          <w:bCs/>
          <w:sz w:val="24"/>
          <w:highlight w:val="white"/>
        </w:rPr>
        <w:t>二</w:t>
      </w:r>
      <w:r>
        <w:rPr>
          <w:rFonts w:hint="eastAsia" w:ascii="宋体" w:hAnsi="宋体" w:cs="宋体"/>
          <w:b/>
          <w:bCs/>
          <w:sz w:val="24"/>
          <w:highlight w:val="white"/>
          <w:lang w:eastAsia="zh-CN"/>
        </w:rPr>
        <w:t>、</w:t>
      </w:r>
      <w:r>
        <w:rPr>
          <w:rFonts w:hint="eastAsia" w:ascii="宋体" w:hAnsi="宋体" w:cs="宋体"/>
          <w:b/>
          <w:bCs/>
          <w:sz w:val="24"/>
          <w:highlight w:val="white"/>
        </w:rPr>
        <w:t>综合评分细则表</w:t>
      </w:r>
      <w:bookmarkEnd w:id="77"/>
    </w:p>
    <w:tbl>
      <w:tblPr>
        <w:tblStyle w:val="46"/>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07E24B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43A51F6D">
            <w:pPr>
              <w:pStyle w:val="171"/>
              <w:jc w:val="center"/>
              <w:rPr>
                <w:rFonts w:hint="eastAsia" w:ascii="宋体" w:hAnsi="宋体" w:eastAsia="宋体" w:cs="宋体"/>
              </w:rPr>
            </w:pPr>
            <w:bookmarkStart w:id="78" w:name="_Toc3849"/>
            <w:bookmarkStart w:id="79" w:name="_Toc106276258"/>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5E5F3A2D">
            <w:pPr>
              <w:pStyle w:val="171"/>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A4F9D19">
            <w:pPr>
              <w:pStyle w:val="171"/>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2874A239">
            <w:pPr>
              <w:pStyle w:val="171"/>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B72F1CF">
            <w:pPr>
              <w:pStyle w:val="171"/>
              <w:jc w:val="center"/>
              <w:rPr>
                <w:rFonts w:hint="eastAsia" w:ascii="宋体" w:hAnsi="宋体" w:eastAsia="宋体" w:cs="宋体"/>
                <w:b/>
              </w:rPr>
            </w:pPr>
          </w:p>
        </w:tc>
      </w:tr>
      <w:tr w14:paraId="4E3D5F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9A5F129">
            <w:pPr>
              <w:pStyle w:val="171"/>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02F85966">
            <w:pPr>
              <w:pStyle w:val="171"/>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7F696435">
            <w:pPr>
              <w:pStyle w:val="171"/>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0F564A50">
            <w:pPr>
              <w:pStyle w:val="171"/>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66DACE">
            <w:pPr>
              <w:pStyle w:val="171"/>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813237B">
            <w:pPr>
              <w:pStyle w:val="171"/>
              <w:jc w:val="center"/>
              <w:rPr>
                <w:rFonts w:hint="eastAsia" w:ascii="宋体" w:hAnsi="宋体" w:eastAsia="宋体" w:cs="宋体"/>
                <w:b/>
              </w:rPr>
            </w:pPr>
          </w:p>
        </w:tc>
      </w:tr>
      <w:tr w14:paraId="689723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7C97EED">
            <w:pPr>
              <w:pStyle w:val="171"/>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7781EA50">
            <w:pPr>
              <w:pStyle w:val="171"/>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E0F069A">
            <w:pPr>
              <w:pStyle w:val="171"/>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F568B8B">
            <w:pPr>
              <w:pStyle w:val="171"/>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2BA1B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CC17015">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503BAB9">
            <w:pPr>
              <w:pStyle w:val="171"/>
              <w:rPr>
                <w:rFonts w:hint="eastAsia" w:ascii="宋体" w:hAnsi="宋体" w:eastAsia="宋体" w:cs="宋体"/>
              </w:rPr>
            </w:pPr>
          </w:p>
        </w:tc>
      </w:tr>
      <w:tr w14:paraId="52AECA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7A1D62">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7249FC29">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7E657A7">
            <w:pPr>
              <w:pStyle w:val="171"/>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34380EC">
            <w:pPr>
              <w:pStyle w:val="171"/>
              <w:rPr>
                <w:rFonts w:hint="eastAsia"/>
                <w:kern w:val="0"/>
                <w:sz w:val="24"/>
              </w:rPr>
            </w:pPr>
            <w:r>
              <w:rPr>
                <w:rFonts w:hint="eastAsia"/>
                <w:kern w:val="0"/>
                <w:sz w:val="24"/>
              </w:rPr>
              <w:t>（1）具有独立承担民事责任的能力（提供合法有效的法人营业执照）；</w:t>
            </w:r>
          </w:p>
          <w:p w14:paraId="603747AB">
            <w:pPr>
              <w:pStyle w:val="171"/>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rPr>
              <w:t>2023</w:t>
            </w:r>
            <w:r>
              <w:rPr>
                <w:rFonts w:hint="eastAsia"/>
                <w:kern w:val="0"/>
                <w:sz w:val="24"/>
              </w:rPr>
              <w:t>年度经会计师事务所审计的完整财务报告，成立不足一年的提供成立至今的财务报表）；</w:t>
            </w:r>
          </w:p>
          <w:p w14:paraId="43202418">
            <w:pPr>
              <w:pStyle w:val="171"/>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782180C2">
            <w:pPr>
              <w:pStyle w:val="171"/>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5D54D239">
            <w:pPr>
              <w:pStyle w:val="171"/>
              <w:rPr>
                <w:rFonts w:hint="eastAsia"/>
                <w:kern w:val="0"/>
                <w:sz w:val="24"/>
              </w:rPr>
            </w:pPr>
            <w:r>
              <w:rPr>
                <w:rFonts w:hint="eastAsia"/>
                <w:kern w:val="0"/>
                <w:sz w:val="24"/>
              </w:rPr>
              <w:t>（5）参加政府采购活动前三年内，在经营活动中没有重大违法记录（提供参加本次政府采购活动前3年内在经营活动中没有重大违法</w:t>
            </w:r>
          </w:p>
          <w:p w14:paraId="19F6285D">
            <w:pPr>
              <w:pStyle w:val="171"/>
              <w:rPr>
                <w:rFonts w:hint="eastAsia" w:eastAsia="宋体"/>
                <w:color w:val="000000"/>
                <w:lang w:eastAsia="zh-CN"/>
              </w:rPr>
            </w:pPr>
            <w:r>
              <w:rPr>
                <w:rFonts w:hint="eastAsia"/>
                <w:kern w:val="0"/>
                <w:sz w:val="24"/>
              </w:rPr>
              <w:t>（6）法律、行政法规规定的其他条件。（格式以采购文件要求为准）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04D7252">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3617FEB">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D76F393">
            <w:pPr>
              <w:pStyle w:val="171"/>
              <w:rPr>
                <w:rFonts w:hint="eastAsia" w:ascii="宋体" w:hAnsi="宋体" w:eastAsia="宋体" w:cs="宋体"/>
              </w:rPr>
            </w:pPr>
          </w:p>
        </w:tc>
      </w:tr>
      <w:tr w14:paraId="19AB5F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A9D3548">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1CAA8E6C">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D3031">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F22EE1C">
            <w:pPr>
              <w:rPr>
                <w:rFonts w:hint="eastAsia" w:ascii="宋体" w:hAnsi="宋体" w:eastAsia="宋体" w:cs="宋体"/>
              </w:rPr>
            </w:pPr>
            <w:r>
              <w:rPr>
                <w:rFonts w:hint="eastAsia" w:ascii="Times New Roman" w:hAnsi="Times New Roman" w:eastAsia="Times New Roman" w:cs="Times New Roman"/>
                <w:kern w:val="0"/>
                <w:sz w:val="24"/>
                <w:szCs w:val="24"/>
                <w:lang w:bidi="ar-SA"/>
              </w:rPr>
              <w:t>（1）与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BD6D145">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FA0741E">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0155B1D">
            <w:pPr>
              <w:pStyle w:val="171"/>
              <w:rPr>
                <w:rFonts w:hint="eastAsia" w:ascii="宋体" w:hAnsi="宋体" w:eastAsia="宋体" w:cs="宋体"/>
              </w:rPr>
            </w:pPr>
          </w:p>
        </w:tc>
      </w:tr>
      <w:tr w14:paraId="0D85F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C52484B">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539CF2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C386254">
            <w:pP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供应商为中小企业/小微企业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7287AEE">
            <w:pPr>
              <w:rPr>
                <w:rFonts w:hint="eastAsia" w:ascii="宋体" w:hAnsi="宋体" w:eastAsia="宋体" w:cs="宋体"/>
              </w:rPr>
            </w:pPr>
            <w:r>
              <w:rPr>
                <w:rFonts w:hint="eastAsia" w:ascii="Times New Roman" w:hAnsi="Times New Roman" w:eastAsia="Times New Roman" w:cs="Times New Roman"/>
                <w:kern w:val="0"/>
                <w:sz w:val="24"/>
                <w:szCs w:val="24"/>
                <w:lang w:bidi="ar-SA"/>
              </w:rPr>
              <w:t>请根据\"落实政府采购政策需满足的资格要求\"，上传对应的资格文件，格式以采购文件要求为准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550DD9">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D0A5908">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436C58">
            <w:pPr>
              <w:pStyle w:val="171"/>
              <w:rPr>
                <w:rFonts w:hint="eastAsia" w:ascii="宋体" w:hAnsi="宋体" w:eastAsia="宋体" w:cs="宋体"/>
              </w:rPr>
            </w:pPr>
          </w:p>
        </w:tc>
      </w:tr>
      <w:tr w14:paraId="3F0AFB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59ECD00">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271E2326">
            <w:pPr>
              <w:pStyle w:val="171"/>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B5F0194">
            <w:pPr>
              <w:pStyle w:val="171"/>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1711B3A">
            <w:pPr>
              <w:pStyle w:val="171"/>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56A67306">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E7F5BDC">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7AE70DF">
            <w:pPr>
              <w:pStyle w:val="171"/>
              <w:rPr>
                <w:rFonts w:hint="eastAsia" w:ascii="宋体" w:hAnsi="宋体" w:eastAsia="宋体" w:cs="宋体"/>
              </w:rPr>
            </w:pPr>
          </w:p>
        </w:tc>
      </w:tr>
      <w:tr w14:paraId="43AE20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B0E5CF">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558A80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315C6F">
            <w:pPr>
              <w:pStyle w:val="171"/>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CE1C5D">
            <w:pPr>
              <w:pStyle w:val="171"/>
              <w:rPr>
                <w:rFonts w:hint="eastAsia" w:ascii="宋体" w:hAnsi="宋体" w:eastAsia="宋体" w:cs="宋体"/>
              </w:rPr>
            </w:pPr>
            <w:r>
              <w:rPr>
                <w:rFonts w:hint="eastAsia" w:ascii="宋体" w:hAnsi="宋体" w:eastAsia="宋体" w:cs="宋体"/>
              </w:rPr>
              <w:t>按磋商文件要求在规定区域加盖单位电子公章和法定代表人电子印章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CB4687D">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CE21099">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56573D7">
            <w:pPr>
              <w:pStyle w:val="171"/>
              <w:rPr>
                <w:rFonts w:hint="eastAsia" w:ascii="宋体" w:hAnsi="宋体" w:eastAsia="宋体" w:cs="宋体"/>
              </w:rPr>
            </w:pPr>
          </w:p>
        </w:tc>
      </w:tr>
      <w:tr w14:paraId="7DC3FB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1CA22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AA7B07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9376779">
            <w:pPr>
              <w:pStyle w:val="171"/>
              <w:jc w:val="center"/>
              <w:rPr>
                <w:rFonts w:hint="eastAsia" w:ascii="宋体" w:hAnsi="宋体" w:eastAsia="宋体" w:cs="宋体"/>
                <w:lang w:val="en-US" w:eastAsia="zh-CN"/>
              </w:rPr>
            </w:pPr>
            <w:r>
              <w:rPr>
                <w:rFonts w:hint="eastAsia" w:ascii="宋体" w:hAnsi="宋体" w:eastAsia="宋体" w:cs="宋体"/>
                <w:lang w:val="en-US" w:eastAsia="zh-CN"/>
              </w:rPr>
              <w:t>服务期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59E97E3">
            <w:pPr>
              <w:pStyle w:val="171"/>
              <w:rPr>
                <w:rFonts w:hint="default" w:ascii="宋体" w:hAnsi="宋体" w:eastAsia="宋体" w:cs="宋体"/>
                <w:lang w:val="en-US" w:eastAsia="zh-CN"/>
              </w:rPr>
            </w:pPr>
            <w:r>
              <w:rPr>
                <w:rFonts w:hint="eastAsia" w:ascii="宋体" w:hAnsi="宋体" w:eastAsia="宋体" w:cs="宋体"/>
                <w:lang w:val="en-US" w:eastAsia="zh-CN"/>
              </w:rPr>
              <w:t>符合磋商文件的要求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3B91F9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0647BB2">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3FE1D2D">
            <w:pPr>
              <w:pStyle w:val="171"/>
              <w:rPr>
                <w:rFonts w:hint="eastAsia" w:ascii="宋体" w:hAnsi="宋体" w:eastAsia="宋体" w:cs="宋体"/>
              </w:rPr>
            </w:pPr>
          </w:p>
        </w:tc>
      </w:tr>
      <w:tr w14:paraId="0D66FD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584EBE1">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6351C0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198103C6">
            <w:pPr>
              <w:pStyle w:val="171"/>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4AE568B">
            <w:pPr>
              <w:pStyle w:val="171"/>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6BED4BF">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4285D42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13C0EF96">
            <w:pPr>
              <w:pStyle w:val="171"/>
              <w:rPr>
                <w:rFonts w:hint="eastAsia" w:ascii="宋体" w:hAnsi="宋体" w:eastAsia="宋体" w:cs="宋体"/>
              </w:rPr>
            </w:pPr>
          </w:p>
        </w:tc>
      </w:tr>
      <w:tr w14:paraId="21FCE6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59B5DE">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10C17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0604B4D">
            <w:pPr>
              <w:pStyle w:val="171"/>
              <w:jc w:val="center"/>
              <w:rPr>
                <w:rFonts w:hint="eastAsia" w:ascii="宋体" w:hAnsi="宋体" w:eastAsia="宋体" w:cs="宋体"/>
                <w:lang w:eastAsia="zh-CN"/>
              </w:rPr>
            </w:pPr>
            <w:r>
              <w:rPr>
                <w:rFonts w:hint="eastAsia" w:ascii="宋体" w:hAnsi="宋体" w:eastAsia="宋体" w:cs="宋体"/>
                <w:lang w:eastAsia="zh-CN"/>
              </w:rPr>
              <w:t>磋商保证金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E4F9081">
            <w:pPr>
              <w:pStyle w:val="171"/>
              <w:rPr>
                <w:rFonts w:hint="eastAsia" w:ascii="宋体" w:hAnsi="宋体" w:eastAsia="宋体" w:cs="宋体"/>
                <w:lang w:eastAsia="zh-CN"/>
              </w:rPr>
            </w:pPr>
            <w:r>
              <w:rPr>
                <w:rFonts w:hint="eastAsia" w:ascii="宋体" w:hAnsi="宋体" w:eastAsia="宋体" w:cs="宋体"/>
                <w:lang w:eastAsia="zh-CN"/>
              </w:rPr>
              <w:t>符合磋商文件提供磋商保证金的要求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3030C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4755A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262C6A3">
            <w:pPr>
              <w:pStyle w:val="171"/>
              <w:rPr>
                <w:rFonts w:hint="eastAsia" w:ascii="宋体" w:hAnsi="宋体" w:eastAsia="宋体" w:cs="宋体"/>
              </w:rPr>
            </w:pPr>
          </w:p>
        </w:tc>
      </w:tr>
      <w:tr w14:paraId="3959CA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A4EE8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D241953">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EC34886">
            <w:pPr>
              <w:pStyle w:val="171"/>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36E945A0">
            <w:pPr>
              <w:pStyle w:val="171"/>
              <w:rPr>
                <w:rFonts w:hint="eastAsia" w:ascii="宋体" w:hAnsi="宋体" w:eastAsia="宋体" w:cs="宋体"/>
                <w:lang w:eastAsia="zh-CN"/>
              </w:rPr>
            </w:pPr>
            <w:r>
              <w:rPr>
                <w:rFonts w:hint="eastAsia" w:ascii="宋体" w:hAnsi="宋体" w:eastAsia="宋体" w:cs="宋体"/>
                <w:lang w:eastAsia="zh-CN"/>
              </w:rPr>
              <w:t>响应文件未附有采购人不能接受或不符合磋商文件的商务要求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CEC6F5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88070F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FAE85D4">
            <w:pPr>
              <w:pStyle w:val="171"/>
              <w:rPr>
                <w:rFonts w:hint="eastAsia" w:ascii="宋体" w:hAnsi="宋体" w:eastAsia="宋体" w:cs="宋体"/>
              </w:rPr>
            </w:pPr>
          </w:p>
        </w:tc>
      </w:tr>
      <w:tr w14:paraId="422DCB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bottom w:val="outset" w:color="auto" w:sz="6" w:space="0"/>
              <w:right w:val="outset" w:color="auto" w:sz="6" w:space="0"/>
            </w:tcBorders>
            <w:noWrap w:val="0"/>
            <w:vAlign w:val="center"/>
          </w:tcPr>
          <w:p w14:paraId="039984E5">
            <w:pPr>
              <w:pStyle w:val="171"/>
              <w:rPr>
                <w:rFonts w:hint="eastAsia" w:ascii="宋体" w:hAnsi="宋体" w:eastAsia="宋体" w:cs="宋体"/>
              </w:rPr>
            </w:pPr>
          </w:p>
        </w:tc>
        <w:tc>
          <w:tcPr>
            <w:tcW w:w="355" w:type="pct"/>
            <w:vMerge w:val="continue"/>
            <w:tcBorders>
              <w:left w:val="outset" w:color="auto" w:sz="6" w:space="0"/>
              <w:bottom w:val="outset" w:color="auto" w:sz="6" w:space="0"/>
              <w:right w:val="outset" w:color="auto" w:sz="6" w:space="0"/>
            </w:tcBorders>
            <w:noWrap w:val="0"/>
            <w:vAlign w:val="center"/>
          </w:tcPr>
          <w:p w14:paraId="0C63438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A00696B">
            <w:pPr>
              <w:pStyle w:val="171"/>
              <w:jc w:val="center"/>
              <w:rPr>
                <w:rFonts w:hint="eastAsia" w:ascii="宋体" w:hAnsi="宋体" w:eastAsia="宋体" w:cs="宋体"/>
                <w:lang w:eastAsia="zh-CN"/>
              </w:rPr>
            </w:pPr>
            <w:r>
              <w:rPr>
                <w:rFonts w:hint="eastAsia" w:ascii="宋体" w:hAnsi="宋体" w:eastAsia="宋体" w:cs="宋体"/>
                <w:lang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F394B9">
            <w:pPr>
              <w:pStyle w:val="171"/>
              <w:rPr>
                <w:rFonts w:hint="eastAsia" w:ascii="宋体" w:hAnsi="宋体" w:eastAsia="宋体" w:cs="宋体"/>
              </w:rPr>
            </w:pPr>
            <w:r>
              <w:rPr>
                <w:rFonts w:hint="eastAsia" w:ascii="宋体" w:hAnsi="宋体" w:eastAsia="宋体" w:cs="宋体"/>
                <w:lang w:eastAsia="zh-CN"/>
              </w:rPr>
              <w:t>响应文件未附有采购人不能接受或不符合磋商文件的技术要求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A177DB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8E223D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46D250A">
            <w:pPr>
              <w:pStyle w:val="171"/>
              <w:rPr>
                <w:rFonts w:hint="eastAsia" w:ascii="宋体" w:hAnsi="宋体" w:eastAsia="宋体" w:cs="宋体"/>
              </w:rPr>
            </w:pPr>
          </w:p>
        </w:tc>
      </w:tr>
      <w:tr w14:paraId="76C190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tcBorders>
              <w:top w:val="outset" w:color="auto" w:sz="6" w:space="0"/>
              <w:left w:val="outset" w:color="auto" w:sz="6" w:space="0"/>
              <w:bottom w:val="outset" w:color="auto" w:sz="6" w:space="0"/>
              <w:right w:val="outset" w:color="auto" w:sz="6" w:space="0"/>
            </w:tcBorders>
            <w:noWrap w:val="0"/>
            <w:vAlign w:val="center"/>
          </w:tcPr>
          <w:p w14:paraId="31857342">
            <w:pPr>
              <w:pStyle w:val="171"/>
              <w:jc w:val="center"/>
              <w:rPr>
                <w:rFonts w:hint="eastAsia" w:ascii="宋体" w:hAnsi="宋体" w:eastAsia="宋体" w:cs="宋体"/>
              </w:rPr>
            </w:pPr>
            <w:r>
              <w:rPr>
                <w:rFonts w:hint="eastAsia" w:ascii="宋体" w:hAnsi="宋体" w:eastAsia="宋体" w:cs="宋体"/>
                <w:b/>
              </w:rPr>
              <w:t>评分因素</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F7E2739">
            <w:pPr>
              <w:pStyle w:val="171"/>
              <w:jc w:val="center"/>
              <w:rPr>
                <w:rFonts w:hint="eastAsia" w:ascii="宋体" w:hAnsi="宋体" w:eastAsia="宋体" w:cs="宋体"/>
              </w:rPr>
            </w:pPr>
            <w:r>
              <w:rPr>
                <w:rFonts w:hint="eastAsia" w:ascii="宋体" w:hAnsi="宋体" w:eastAsia="宋体" w:cs="宋体"/>
                <w:b/>
              </w:rPr>
              <w:t>评分点</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0367E5A">
            <w:pPr>
              <w:pStyle w:val="171"/>
              <w:jc w:val="center"/>
              <w:rPr>
                <w:rFonts w:hint="eastAsia" w:ascii="宋体" w:hAnsi="宋体" w:eastAsia="宋体" w:cs="宋体"/>
              </w:rPr>
            </w:pPr>
            <w:r>
              <w:rPr>
                <w:rFonts w:hint="eastAsia" w:ascii="宋体" w:hAnsi="宋体" w:eastAsia="宋体" w:cs="宋体"/>
                <w:b/>
              </w:rPr>
              <w:t>评分标准</w:t>
            </w:r>
          </w:p>
        </w:tc>
        <w:tc>
          <w:tcPr>
            <w:tcW w:w="632" w:type="pct"/>
            <w:gridSpan w:val="3"/>
            <w:tcBorders>
              <w:top w:val="outset" w:color="auto" w:sz="6" w:space="0"/>
              <w:left w:val="outset" w:color="auto" w:sz="6" w:space="0"/>
              <w:bottom w:val="outset" w:color="auto" w:sz="6" w:space="0"/>
              <w:right w:val="outset" w:color="auto" w:sz="6" w:space="0"/>
            </w:tcBorders>
            <w:noWrap w:val="0"/>
            <w:vAlign w:val="center"/>
          </w:tcPr>
          <w:p w14:paraId="30D05EF9">
            <w:pPr>
              <w:pStyle w:val="171"/>
              <w:jc w:val="center"/>
              <w:rPr>
                <w:rFonts w:hint="eastAsia" w:ascii="宋体" w:hAnsi="宋体" w:eastAsia="宋体" w:cs="宋体"/>
                <w:b/>
                <w:lang w:eastAsia="zh-CN"/>
              </w:rPr>
            </w:pPr>
            <w:r>
              <w:rPr>
                <w:rFonts w:hint="eastAsia" w:ascii="宋体" w:hAnsi="宋体" w:eastAsia="宋体" w:cs="宋体"/>
                <w:b/>
                <w:lang w:eastAsia="zh-CN"/>
              </w:rPr>
              <w:t>分值</w:t>
            </w:r>
            <w:r>
              <w:rPr>
                <w:rFonts w:hint="eastAsia" w:ascii="宋体" w:hAnsi="宋体" w:eastAsia="宋体" w:cs="宋体"/>
                <w:b/>
              </w:rPr>
              <w:t>分配</w:t>
            </w:r>
          </w:p>
        </w:tc>
      </w:tr>
      <w:tr w14:paraId="147D6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4" w:hRule="atLeast"/>
          <w:jc w:val="center"/>
        </w:trPr>
        <w:tc>
          <w:tcPr>
            <w:tcW w:w="174" w:type="pct"/>
            <w:vMerge w:val="restart"/>
            <w:tcBorders>
              <w:top w:val="outset" w:color="auto" w:sz="6" w:space="0"/>
              <w:left w:val="outset" w:color="auto" w:sz="6" w:space="0"/>
              <w:right w:val="outset" w:color="auto" w:sz="6" w:space="0"/>
            </w:tcBorders>
            <w:noWrap w:val="0"/>
            <w:vAlign w:val="center"/>
          </w:tcPr>
          <w:p w14:paraId="3DB12DC5">
            <w:pPr>
              <w:pStyle w:val="171"/>
              <w:jc w:val="center"/>
              <w:rPr>
                <w:rFonts w:hint="eastAsia" w:ascii="宋体" w:hAnsi="宋体" w:eastAsia="宋体" w:cs="宋体"/>
              </w:rPr>
            </w:pPr>
            <w:r>
              <w:rPr>
                <w:rFonts w:hint="eastAsia" w:ascii="宋体" w:hAnsi="宋体" w:eastAsia="宋体" w:cs="宋体"/>
              </w:rPr>
              <w:t>详细评审</w:t>
            </w:r>
          </w:p>
        </w:tc>
        <w:tc>
          <w:tcPr>
            <w:tcW w:w="355" w:type="pct"/>
            <w:tcBorders>
              <w:top w:val="outset" w:color="auto" w:sz="6" w:space="0"/>
              <w:left w:val="outset" w:color="auto" w:sz="6" w:space="0"/>
              <w:bottom w:val="outset" w:color="auto" w:sz="6" w:space="0"/>
              <w:right w:val="outset" w:color="auto" w:sz="6" w:space="0"/>
            </w:tcBorders>
            <w:noWrap w:val="0"/>
            <w:vAlign w:val="center"/>
          </w:tcPr>
          <w:p w14:paraId="3B27B847">
            <w:pPr>
              <w:pStyle w:val="171"/>
              <w:jc w:val="center"/>
              <w:rPr>
                <w:rFonts w:hint="eastAsia" w:ascii="宋体" w:hAnsi="宋体" w:eastAsia="宋体" w:cs="宋体"/>
              </w:rPr>
            </w:pPr>
            <w:r>
              <w:rPr>
                <w:rFonts w:hint="eastAsia" w:ascii="宋体" w:hAnsi="宋体" w:eastAsia="宋体" w:cs="宋体"/>
              </w:rPr>
              <w:t>价格评审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3DF3F488">
            <w:pPr>
              <w:pStyle w:val="171"/>
              <w:jc w:val="center"/>
              <w:rPr>
                <w:rFonts w:hint="eastAsia" w:ascii="宋体" w:hAnsi="宋体" w:eastAsia="宋体" w:cs="宋体"/>
              </w:rPr>
            </w:pPr>
            <w:r>
              <w:rPr>
                <w:rFonts w:hint="eastAsia" w:ascii="宋体" w:hAnsi="宋体" w:eastAsia="宋体" w:cs="宋体"/>
              </w:rPr>
              <w:t>投标报价</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C42EDC7">
            <w:pPr>
              <w:pStyle w:val="171"/>
              <w:rPr>
                <w:rFonts w:hint="eastAsia" w:ascii="宋体" w:hAnsi="宋体" w:eastAsia="宋体" w:cs="宋体"/>
                <w:color w:val="000000"/>
                <w:lang w:eastAsia="zh-CN"/>
              </w:rPr>
            </w:pPr>
            <w:r>
              <w:rPr>
                <w:rFonts w:hint="eastAsia" w:ascii="宋体" w:hAnsi="宋体" w:cs="宋体"/>
                <w:color w:val="000000"/>
              </w:rPr>
              <w:t>价格分统一采用低价优先法计算，即满足竞争性磋商文件要求</w:t>
            </w:r>
          </w:p>
          <w:p w14:paraId="05DAB7E3">
            <w:pPr>
              <w:pStyle w:val="171"/>
              <w:rPr>
                <w:rFonts w:hint="eastAsia" w:ascii="宋体" w:hAnsi="宋体" w:eastAsia="宋体" w:cs="宋体"/>
                <w:color w:val="000000"/>
                <w:lang w:eastAsia="zh-CN"/>
              </w:rPr>
            </w:pPr>
            <w:r>
              <w:rPr>
                <w:rFonts w:hint="eastAsia" w:ascii="宋体" w:hAnsi="宋体" w:cs="宋体"/>
                <w:color w:val="000000"/>
              </w:rPr>
              <w:t>且磋商价格最低的磋商报价为磋商基准价，其价格分为满分</w:t>
            </w:r>
            <w:r>
              <w:rPr>
                <w:rFonts w:hint="eastAsia" w:ascii="宋体" w:hAnsi="宋体" w:eastAsia="宋体" w:cs="宋体"/>
                <w:color w:val="000000"/>
                <w:lang w:val="en-US" w:eastAsia="zh-CN"/>
              </w:rPr>
              <w:t>10</w:t>
            </w:r>
            <w:r>
              <w:rPr>
                <w:rFonts w:hint="eastAsia" w:ascii="宋体" w:hAnsi="宋体" w:cs="宋体"/>
                <w:color w:val="000000"/>
              </w:rPr>
              <w:t>分，</w:t>
            </w:r>
          </w:p>
          <w:p w14:paraId="3D663041">
            <w:pPr>
              <w:pStyle w:val="171"/>
              <w:rPr>
                <w:rFonts w:hint="eastAsia" w:ascii="宋体" w:hAnsi="宋体" w:eastAsia="宋体" w:cs="宋体"/>
              </w:rPr>
            </w:pPr>
            <w:r>
              <w:rPr>
                <w:rFonts w:hint="eastAsia" w:ascii="宋体" w:hAnsi="宋体" w:cs="宋体"/>
                <w:color w:val="000000"/>
              </w:rPr>
              <w:t>其它磋商报价得分=（磋商基准价/最后磋商报价）×价格权值×100</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668240F1">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199AF1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r>
      <w:tr w14:paraId="643455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7EED9EB7">
            <w:pPr>
              <w:pStyle w:val="171"/>
              <w:rPr>
                <w:rFonts w:hint="eastAsia" w:ascii="宋体" w:hAnsi="宋体" w:eastAsia="宋体" w:cs="宋体"/>
              </w:rPr>
            </w:pPr>
          </w:p>
        </w:tc>
        <w:tc>
          <w:tcPr>
            <w:tcW w:w="355" w:type="pct"/>
            <w:tcBorders>
              <w:left w:val="outset" w:color="auto" w:sz="6" w:space="0"/>
              <w:right w:val="outset" w:color="auto" w:sz="6" w:space="0"/>
            </w:tcBorders>
            <w:noWrap w:val="0"/>
            <w:vAlign w:val="center"/>
          </w:tcPr>
          <w:p w14:paraId="792E3E80">
            <w:pPr>
              <w:pStyle w:val="171"/>
              <w:jc w:val="center"/>
              <w:rPr>
                <w:rFonts w:hint="eastAsia" w:ascii="宋体" w:hAnsi="宋体" w:eastAsia="宋体" w:cs="宋体"/>
              </w:rPr>
            </w:pPr>
            <w:r>
              <w:rPr>
                <w:rFonts w:hint="eastAsia" w:ascii="宋体" w:hAnsi="宋体" w:eastAsia="宋体" w:cs="宋体"/>
              </w:rPr>
              <w:t>商务标评审</w:t>
            </w:r>
          </w:p>
        </w:tc>
        <w:tc>
          <w:tcPr>
            <w:tcW w:w="642" w:type="pct"/>
            <w:tcBorders>
              <w:top w:val="outset" w:color="auto" w:sz="6" w:space="0"/>
              <w:left w:val="outset" w:color="auto" w:sz="6" w:space="0"/>
              <w:right w:val="outset" w:color="auto" w:sz="6" w:space="0"/>
            </w:tcBorders>
            <w:noWrap w:val="0"/>
            <w:vAlign w:val="center"/>
          </w:tcPr>
          <w:p w14:paraId="1BD4DDF6">
            <w:pPr>
              <w:pStyle w:val="171"/>
              <w:jc w:val="center"/>
              <w:rPr>
                <w:rFonts w:hint="eastAsia" w:ascii="宋体" w:hAnsi="宋体"/>
                <w:color w:val="000000"/>
                <w:szCs w:val="21"/>
              </w:rPr>
            </w:pPr>
            <w:r>
              <w:rPr>
                <w:rFonts w:hint="eastAsia" w:ascii="宋体" w:hAnsi="宋体"/>
                <w:color w:val="000000"/>
              </w:rPr>
              <w:t>业绩</w:t>
            </w:r>
          </w:p>
        </w:tc>
        <w:tc>
          <w:tcPr>
            <w:tcW w:w="3195" w:type="pct"/>
            <w:tcBorders>
              <w:top w:val="outset" w:color="auto" w:sz="6" w:space="0"/>
              <w:left w:val="outset" w:color="auto" w:sz="6" w:space="0"/>
              <w:bottom w:val="outset" w:color="auto" w:sz="6" w:space="0"/>
              <w:right w:val="outset" w:color="auto" w:sz="6" w:space="0"/>
            </w:tcBorders>
            <w:noWrap w:val="0"/>
            <w:vAlign w:val="top"/>
          </w:tcPr>
          <w:p w14:paraId="257A4584">
            <w:pPr>
              <w:pStyle w:val="21"/>
              <w:spacing w:line="320" w:lineRule="exact"/>
              <w:jc w:val="left"/>
              <w:rPr>
                <w:rFonts w:hint="eastAsia" w:ascii="宋体" w:hAnsi="宋体" w:eastAsia="宋体" w:cs="宋体"/>
                <w:color w:val="000000"/>
                <w:lang w:val="en-US" w:eastAsia="zh-CN"/>
              </w:rPr>
            </w:pPr>
            <w:r>
              <w:rPr>
                <w:rFonts w:ascii="Times New Roman" w:hAnsi="Times New Roman"/>
                <w:bCs/>
                <w:sz w:val="24"/>
                <w:szCs w:val="24"/>
              </w:rPr>
              <w:t>近三年（20</w:t>
            </w:r>
            <w:r>
              <w:rPr>
                <w:rFonts w:hint="eastAsia" w:ascii="Times New Roman" w:hAnsi="Times New Roman"/>
                <w:bCs/>
                <w:sz w:val="24"/>
                <w:szCs w:val="24"/>
                <w:lang w:val="en-US" w:eastAsia="zh-CN"/>
              </w:rPr>
              <w:t>22</w:t>
            </w:r>
            <w:r>
              <w:rPr>
                <w:rFonts w:ascii="Times New Roman" w:hAnsi="Times New Roman"/>
                <w:bCs/>
                <w:sz w:val="24"/>
                <w:szCs w:val="24"/>
              </w:rPr>
              <w:t>年1月1日至今）</w:t>
            </w:r>
            <w:r>
              <w:rPr>
                <w:rFonts w:hint="eastAsia" w:ascii="Times New Roman" w:hAnsi="Times New Roman"/>
                <w:bCs/>
                <w:sz w:val="24"/>
                <w:szCs w:val="24"/>
              </w:rPr>
              <w:t>承担过水利类信息化运维项目业绩的每提供1项业绩证明材料得</w:t>
            </w:r>
            <w:r>
              <w:rPr>
                <w:rFonts w:hint="eastAsia" w:ascii="Times New Roman" w:hAnsi="Times New Roman"/>
                <w:bCs/>
                <w:sz w:val="24"/>
                <w:szCs w:val="24"/>
                <w:lang w:val="en-US" w:eastAsia="zh-CN"/>
              </w:rPr>
              <w:t>1</w:t>
            </w:r>
            <w:r>
              <w:rPr>
                <w:rFonts w:hint="eastAsia" w:ascii="Times New Roman" w:hAnsi="Times New Roman"/>
                <w:bCs/>
                <w:sz w:val="24"/>
                <w:szCs w:val="24"/>
              </w:rPr>
              <w:t>分，最多得3分（提供合同复印件，以合同签订时间为准）</w:t>
            </w:r>
            <w:r>
              <w:rPr>
                <w:rFonts w:hint="eastAsia" w:ascii="Times New Roman" w:hAnsi="Times New Roman"/>
                <w:bCs/>
                <w:sz w:val="24"/>
                <w:szCs w:val="24"/>
                <w:lang w:eastAsia="zh-CN"/>
              </w:rPr>
              <w:t>。</w:t>
            </w:r>
          </w:p>
        </w:tc>
        <w:tc>
          <w:tcPr>
            <w:tcW w:w="316" w:type="pct"/>
            <w:gridSpan w:val="2"/>
            <w:tcBorders>
              <w:left w:val="outset" w:color="auto" w:sz="6" w:space="0"/>
              <w:bottom w:val="single" w:color="auto" w:sz="4" w:space="0"/>
              <w:right w:val="outset" w:color="auto" w:sz="6" w:space="0"/>
            </w:tcBorders>
            <w:noWrap w:val="0"/>
            <w:vAlign w:val="center"/>
          </w:tcPr>
          <w:p w14:paraId="20D35A54">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16" w:type="pct"/>
            <w:tcBorders>
              <w:left w:val="outset" w:color="auto" w:sz="6" w:space="0"/>
              <w:bottom w:val="single" w:color="auto" w:sz="4" w:space="0"/>
              <w:right w:val="outset" w:color="auto" w:sz="6" w:space="0"/>
            </w:tcBorders>
            <w:noWrap w:val="0"/>
            <w:vAlign w:val="center"/>
          </w:tcPr>
          <w:p w14:paraId="6645684B">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r>
      <w:tr w14:paraId="606266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2B08341">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722C0266">
            <w:pPr>
              <w:pStyle w:val="171"/>
              <w:jc w:val="center"/>
              <w:rPr>
                <w:rFonts w:hint="eastAsia" w:ascii="宋体" w:hAnsi="宋体" w:eastAsia="宋体" w:cs="宋体"/>
              </w:rPr>
            </w:pPr>
            <w:r>
              <w:rPr>
                <w:rFonts w:hint="eastAsia" w:ascii="宋体" w:hAnsi="宋体" w:eastAsia="宋体" w:cs="宋体"/>
              </w:rPr>
              <w:t>技术标评审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17B06A">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bidi="ar-SA"/>
              </w:rPr>
              <w:t>总体方案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733F408">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1.总体方案详细完善、方案合理可行性强、针对性强，服务质量可靠，能够满足采购人需求的得</w:t>
            </w:r>
            <w:r>
              <w:rPr>
                <w:rFonts w:hint="eastAsia" w:ascii="Times New Roman" w:hAnsi="Times New Roman" w:eastAsia="宋体" w:cs="Times New Roman"/>
                <w:kern w:val="0"/>
                <w:sz w:val="24"/>
                <w:szCs w:val="21"/>
                <w:lang w:val="en-US" w:eastAsia="zh-CN" w:bidi="ar-SA"/>
              </w:rPr>
              <w:t>20</w:t>
            </w:r>
            <w:r>
              <w:rPr>
                <w:rFonts w:hint="eastAsia" w:ascii="Times New Roman" w:hAnsi="Times New Roman" w:eastAsia="Times New Roman" w:cs="Times New Roman"/>
                <w:kern w:val="0"/>
                <w:sz w:val="24"/>
                <w:szCs w:val="21"/>
                <w:lang w:bidi="ar-SA"/>
              </w:rPr>
              <w:t>分；</w:t>
            </w:r>
          </w:p>
          <w:p w14:paraId="4D03C894">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2.总体方案较完善、方案较合理、可行性较好、有针对性，服务质量可靠，得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w:t>
            </w:r>
          </w:p>
          <w:p w14:paraId="536A6C23">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3.总体方案不够完善、方案一般、可行性一般、针对性不强，但服务质量较好，得 </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 xml:space="preserve"> 分；</w:t>
            </w:r>
          </w:p>
          <w:p w14:paraId="300DAD3D">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4.总体方案差，或服务质量一般，得 </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w:t>
            </w:r>
          </w:p>
          <w:p w14:paraId="1AB795DC">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28F1C145">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restart"/>
            <w:tcBorders>
              <w:top w:val="single" w:color="auto" w:sz="4" w:space="0"/>
              <w:left w:val="single" w:color="auto" w:sz="4" w:space="0"/>
              <w:right w:val="single" w:color="auto" w:sz="4" w:space="0"/>
            </w:tcBorders>
            <w:noWrap w:val="0"/>
            <w:vAlign w:val="center"/>
          </w:tcPr>
          <w:p w14:paraId="5C276837">
            <w:pPr>
              <w:pStyle w:val="171"/>
              <w:jc w:val="center"/>
              <w:rPr>
                <w:rFonts w:hint="default" w:ascii="宋体" w:hAnsi="宋体" w:eastAsia="宋体" w:cs="宋体"/>
                <w:lang w:val="en-US" w:eastAsia="zh-CN"/>
              </w:rPr>
            </w:pPr>
            <w:r>
              <w:rPr>
                <w:rFonts w:hint="eastAsia" w:ascii="宋体" w:hAnsi="宋体" w:eastAsia="宋体" w:cs="宋体"/>
                <w:lang w:val="en-US" w:eastAsia="zh-CN"/>
              </w:rPr>
              <w:t>87</w:t>
            </w:r>
          </w:p>
        </w:tc>
      </w:tr>
      <w:tr w14:paraId="6C00E1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EF9916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AE433A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122D084">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运行维护方案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3EF3AB22">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运行维护方案详细、完整，项目进度计划合理，得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0FA42ABD">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right w:val="single" w:color="auto" w:sz="4" w:space="0"/>
            </w:tcBorders>
            <w:noWrap w:val="0"/>
            <w:vAlign w:val="center"/>
          </w:tcPr>
          <w:p w14:paraId="58839BA5">
            <w:pPr>
              <w:pStyle w:val="171"/>
              <w:jc w:val="center"/>
              <w:rPr>
                <w:rFonts w:hint="eastAsia" w:ascii="宋体" w:hAnsi="宋体" w:eastAsia="宋体" w:cs="宋体"/>
                <w:lang w:val="en-US" w:eastAsia="zh-CN"/>
              </w:rPr>
            </w:pPr>
          </w:p>
        </w:tc>
      </w:tr>
      <w:tr w14:paraId="5CC1DD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9BCFC12">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7811C64">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EBBF72C">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对各系统业务的理解</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618EE2C">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对各系统的业务掌握和理解程度较好,对现状、应用环境、体系结构、功能、性能等内容分析，维护分配合理得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w:t>
            </w:r>
            <w:r>
              <w:rPr>
                <w:rFonts w:hint="eastAsia" w:ascii="Times New Roman" w:hAnsi="Times New Roman" w:eastAsia="宋体" w:cs="Times New Roman"/>
                <w:kern w:val="0"/>
                <w:sz w:val="24"/>
                <w:szCs w:val="21"/>
                <w:lang w:eastAsia="zh-CN" w:bidi="ar-SA"/>
              </w:rPr>
              <w:t>。</w:t>
            </w:r>
            <w:r>
              <w:rPr>
                <w:rFonts w:hint="eastAsia" w:ascii="Times New Roman" w:hAnsi="Times New Roman" w:eastAsia="Times New Roman" w:cs="Times New Roman"/>
                <w:kern w:val="0"/>
                <w:sz w:val="24"/>
                <w:szCs w:val="21"/>
                <w:lang w:bidi="ar-SA"/>
              </w:rPr>
              <w:t>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80C1290">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5CB68A5">
            <w:pPr>
              <w:pStyle w:val="171"/>
              <w:jc w:val="center"/>
              <w:rPr>
                <w:rFonts w:hint="eastAsia" w:ascii="宋体" w:hAnsi="宋体" w:eastAsia="宋体" w:cs="宋体"/>
                <w:lang w:val="en-US" w:eastAsia="zh-CN"/>
              </w:rPr>
            </w:pPr>
          </w:p>
        </w:tc>
      </w:tr>
      <w:tr w14:paraId="25CB2C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70A34FA">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F11F4D8">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585F9AF">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维护重点、难点</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24D09606">
            <w:pP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对维护重点、难点认识深刻、表述全面准确，解决方案科学、系统、安全、经济，可操作性强，保障措施全面得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6E43821">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65C5A009">
            <w:pPr>
              <w:pStyle w:val="171"/>
              <w:jc w:val="center"/>
              <w:rPr>
                <w:rFonts w:hint="eastAsia" w:ascii="宋体" w:hAnsi="宋体" w:eastAsia="宋体" w:cs="宋体"/>
                <w:lang w:val="en-US" w:eastAsia="zh-CN"/>
              </w:rPr>
            </w:pPr>
          </w:p>
        </w:tc>
      </w:tr>
      <w:tr w14:paraId="5B661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A392D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56FE837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FA9782A">
            <w:pPr>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技术服务方案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08B9254">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投标人能结合项目要求，提出较完善的技术服务方案，能满足并高于</w:t>
            </w:r>
            <w:r>
              <w:rPr>
                <w:rFonts w:hint="eastAsia" w:ascii="Times New Roman" w:hAnsi="Times New Roman" w:eastAsia="宋体" w:cs="Times New Roman"/>
                <w:kern w:val="0"/>
                <w:sz w:val="24"/>
                <w:szCs w:val="21"/>
                <w:lang w:val="en-US" w:eastAsia="zh-CN" w:bidi="ar-SA"/>
              </w:rPr>
              <w:t>磋商</w:t>
            </w:r>
            <w:r>
              <w:rPr>
                <w:rFonts w:hint="eastAsia" w:ascii="Times New Roman" w:hAnsi="Times New Roman" w:eastAsia="Times New Roman" w:cs="Times New Roman"/>
                <w:kern w:val="0"/>
                <w:sz w:val="24"/>
                <w:szCs w:val="21"/>
                <w:lang w:bidi="ar-SA"/>
              </w:rPr>
              <w:t>文件要求；对数据收集、率定、处理等技术掌握情况，配备有足够的、有相应资质的工程技术人员、响应及时，维护人员稳定的得</w:t>
            </w:r>
            <w:r>
              <w:rPr>
                <w:rFonts w:hint="eastAsia" w:ascii="Times New Roman" w:hAnsi="Times New Roman" w:eastAsia="Times New Roman"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1A4DF993">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AE094BD">
            <w:pPr>
              <w:pStyle w:val="171"/>
              <w:jc w:val="center"/>
              <w:rPr>
                <w:rFonts w:hint="eastAsia" w:ascii="宋体" w:hAnsi="宋体" w:eastAsia="宋体" w:cs="宋体"/>
                <w:lang w:val="en-US" w:eastAsia="zh-CN"/>
              </w:rPr>
            </w:pPr>
          </w:p>
        </w:tc>
      </w:tr>
      <w:tr w14:paraId="5E0E97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F863175">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2357A4CE">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99175C">
            <w:pPr>
              <w:pStyle w:val="171"/>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拟投入本项目人员配备情况</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5E035E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针对本项目有明确的人员安排计划，在科学性、合理可行性、完全符合本项目的实际需求等方面进行评审：</w:t>
            </w:r>
          </w:p>
          <w:p w14:paraId="665E39B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人员配备情况充足，人员安排合理，完全符合本项目的实际需求，得15分；</w:t>
            </w:r>
          </w:p>
          <w:p w14:paraId="184E03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2、人员配备情况较充足，人员安排较合理，基本符合本项目的实际需求，得10分；</w:t>
            </w:r>
          </w:p>
          <w:p w14:paraId="7AF3A0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3、人员配备情况较差，人员安排合理性较差，可能无法满足本项目的实际需求，得5分。</w:t>
            </w:r>
          </w:p>
          <w:p w14:paraId="5AD89F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4、不提供不得分。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B4A34E0">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bottom w:val="single" w:color="auto" w:sz="4" w:space="0"/>
              <w:right w:val="single" w:color="auto" w:sz="4" w:space="0"/>
            </w:tcBorders>
            <w:noWrap w:val="0"/>
            <w:vAlign w:val="center"/>
          </w:tcPr>
          <w:p w14:paraId="7775DDD2">
            <w:pPr>
              <w:pStyle w:val="171"/>
              <w:jc w:val="center"/>
              <w:rPr>
                <w:rFonts w:hint="eastAsia" w:ascii="宋体" w:hAnsi="宋体" w:eastAsia="宋体" w:cs="宋体"/>
                <w:lang w:val="en-US" w:eastAsia="zh-CN"/>
              </w:rPr>
            </w:pPr>
          </w:p>
        </w:tc>
      </w:tr>
      <w:tr w14:paraId="763CF7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F17E100">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F28E857">
            <w:pPr>
              <w:pStyle w:val="171"/>
              <w:rPr>
                <w:rFonts w:hint="eastAsia" w:ascii="宋体" w:hAnsi="宋体" w:eastAsia="宋体" w:cs="宋体"/>
              </w:rPr>
            </w:pPr>
          </w:p>
        </w:tc>
        <w:tc>
          <w:tcPr>
            <w:tcW w:w="1429" w:type="dxa"/>
            <w:tcBorders>
              <w:top w:val="outset" w:color="auto" w:sz="6" w:space="0"/>
              <w:left w:val="outset" w:color="auto" w:sz="6" w:space="0"/>
              <w:bottom w:val="outset" w:color="auto" w:sz="6" w:space="0"/>
              <w:right w:val="outset" w:color="auto" w:sz="6" w:space="0"/>
            </w:tcBorders>
            <w:noWrap w:val="0"/>
            <w:vAlign w:val="center"/>
          </w:tcPr>
          <w:p w14:paraId="59CD08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val="en-US" w:eastAsia="zh-CN" w:bidi="ar-SA"/>
              </w:rPr>
              <w:t>售后服务</w:t>
            </w:r>
          </w:p>
        </w:tc>
        <w:tc>
          <w:tcPr>
            <w:tcW w:w="7107" w:type="dxa"/>
            <w:tcBorders>
              <w:top w:val="outset" w:color="auto" w:sz="6" w:space="0"/>
              <w:left w:val="outset" w:color="auto" w:sz="6" w:space="0"/>
              <w:bottom w:val="outset" w:color="auto" w:sz="6" w:space="0"/>
              <w:right w:val="single" w:color="auto" w:sz="4" w:space="0"/>
            </w:tcBorders>
            <w:noWrap w:val="0"/>
            <w:vAlign w:val="center"/>
          </w:tcPr>
          <w:p w14:paraId="4A498F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bookmarkStart w:id="588" w:name="_GoBack"/>
            <w:r>
              <w:rPr>
                <w:rFonts w:hint="eastAsia" w:ascii="Times New Roman" w:hAnsi="Times New Roman" w:eastAsia="Times New Roman" w:cs="Times New Roman"/>
                <w:kern w:val="0"/>
                <w:sz w:val="24"/>
                <w:szCs w:val="21"/>
                <w:lang w:val="en-US" w:eastAsia="zh-CN" w:bidi="ar-SA"/>
              </w:rPr>
              <w:t>售后服务：（包含售后措施、售后服务响应时间、售后服务承诺、故障处理措施、应急服务措施等）</w:t>
            </w:r>
          </w:p>
          <w:p w14:paraId="115877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①方案齐全、有针对性、可行性，有经济处罚指标得10分；</w:t>
            </w:r>
          </w:p>
          <w:p w14:paraId="425958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②方案简单，但提供了经济处罚指标，得6分；</w:t>
            </w:r>
          </w:p>
          <w:p w14:paraId="61A15F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③方案简单，且未提供经济处罚指标，得3；</w:t>
            </w:r>
          </w:p>
          <w:p w14:paraId="0E64A8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④不提供不得分。</w:t>
            </w:r>
            <w:bookmarkEnd w:id="588"/>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6DCBCF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vMerge w:val="continue"/>
            <w:tcBorders>
              <w:left w:val="single" w:color="auto" w:sz="4" w:space="0"/>
              <w:bottom w:val="single" w:color="auto" w:sz="4" w:space="0"/>
              <w:right w:val="single" w:color="auto" w:sz="4" w:space="0"/>
            </w:tcBorders>
            <w:noWrap w:val="0"/>
            <w:vAlign w:val="center"/>
          </w:tcPr>
          <w:p w14:paraId="61535222">
            <w:pPr>
              <w:pStyle w:val="171"/>
              <w:jc w:val="center"/>
              <w:rPr>
                <w:rFonts w:hint="eastAsia" w:ascii="宋体" w:hAnsi="宋体" w:eastAsia="宋体" w:cs="宋体"/>
                <w:lang w:val="en-US" w:eastAsia="zh-CN"/>
              </w:rPr>
            </w:pPr>
          </w:p>
        </w:tc>
      </w:tr>
      <w:tr w14:paraId="218283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7B58A3E4">
            <w:pPr>
              <w:pStyle w:val="171"/>
              <w:jc w:val="center"/>
              <w:rPr>
                <w:rFonts w:hint="eastAsia" w:ascii="宋体" w:hAnsi="宋体" w:eastAsia="宋体" w:cs="宋体"/>
              </w:rPr>
            </w:pPr>
          </w:p>
        </w:tc>
        <w:tc>
          <w:tcPr>
            <w:tcW w:w="355" w:type="pct"/>
            <w:tcBorders>
              <w:top w:val="outset" w:color="auto" w:sz="6" w:space="0"/>
              <w:left w:val="outset" w:color="auto" w:sz="6" w:space="0"/>
              <w:bottom w:val="outset" w:color="auto" w:sz="6" w:space="0"/>
              <w:right w:val="outset" w:color="auto" w:sz="6" w:space="0"/>
            </w:tcBorders>
            <w:noWrap w:val="0"/>
            <w:vAlign w:val="center"/>
          </w:tcPr>
          <w:p w14:paraId="7F8D183C">
            <w:pPr>
              <w:pStyle w:val="171"/>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4469" w:type="pct"/>
            <w:gridSpan w:val="5"/>
            <w:tcBorders>
              <w:top w:val="outset" w:color="auto" w:sz="6" w:space="0"/>
              <w:left w:val="outset" w:color="auto" w:sz="6" w:space="0"/>
              <w:bottom w:val="outset" w:color="auto" w:sz="6" w:space="0"/>
              <w:right w:val="outset" w:color="auto" w:sz="6" w:space="0"/>
            </w:tcBorders>
            <w:noWrap w:val="0"/>
            <w:vAlign w:val="center"/>
          </w:tcPr>
          <w:p w14:paraId="408CE951">
            <w:pPr>
              <w:pStyle w:val="171"/>
              <w:jc w:val="center"/>
              <w:rPr>
                <w:rFonts w:hint="eastAsia" w:ascii="宋体" w:hAnsi="宋体" w:eastAsia="宋体" w:cs="宋体"/>
                <w:lang w:val="en-US" w:eastAsia="zh-CN"/>
              </w:rPr>
            </w:pPr>
            <w:r>
              <w:rPr>
                <w:rFonts w:hint="eastAsia" w:ascii="宋体" w:hAnsi="宋体" w:eastAsia="宋体" w:cs="宋体"/>
                <w:lang w:val="en-US" w:eastAsia="zh-CN"/>
              </w:rPr>
              <w:t>100</w:t>
            </w:r>
          </w:p>
        </w:tc>
      </w:tr>
      <w:tr w14:paraId="201ACD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5C9390D1">
            <w:pPr>
              <w:pStyle w:val="171"/>
              <w:jc w:val="center"/>
              <w:rPr>
                <w:rFonts w:hint="eastAsia" w:ascii="宋体" w:hAnsi="宋体" w:eastAsia="宋体" w:cs="宋体"/>
              </w:rPr>
            </w:pPr>
          </w:p>
        </w:tc>
        <w:tc>
          <w:tcPr>
            <w:tcW w:w="4509" w:type="pct"/>
            <w:gridSpan w:val="5"/>
            <w:tcBorders>
              <w:top w:val="outset" w:color="auto" w:sz="6" w:space="0"/>
              <w:left w:val="outset" w:color="auto" w:sz="6" w:space="0"/>
              <w:bottom w:val="outset" w:color="auto" w:sz="6" w:space="0"/>
              <w:right w:val="outset" w:color="auto" w:sz="6" w:space="0"/>
            </w:tcBorders>
            <w:noWrap w:val="0"/>
            <w:vAlign w:val="center"/>
          </w:tcPr>
          <w:p w14:paraId="567331D3">
            <w:pPr>
              <w:pStyle w:val="171"/>
              <w:jc w:val="both"/>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w:t>
            </w:r>
            <w:r>
              <w:rPr>
                <w:rFonts w:hint="eastAsia" w:ascii="宋体" w:hAnsi="宋体" w:eastAsia="宋体" w:cs="宋体"/>
              </w:rPr>
              <w:t>1、计算过程中，算术平均值保留2位小数（百分比亦取2位小数），第三位小数四舍五</w:t>
            </w:r>
          </w:p>
          <w:p w14:paraId="6D675A7E">
            <w:pPr>
              <w:pStyle w:val="171"/>
              <w:jc w:val="both"/>
              <w:rPr>
                <w:rFonts w:hint="eastAsia" w:ascii="宋体" w:hAnsi="宋体" w:eastAsia="宋体" w:cs="宋体"/>
                <w:lang w:eastAsia="zh-CN"/>
              </w:rPr>
            </w:pPr>
            <w:r>
              <w:rPr>
                <w:rFonts w:hint="eastAsia" w:ascii="宋体" w:hAnsi="宋体" w:eastAsia="宋体" w:cs="宋体"/>
              </w:rPr>
              <w:t>入。</w:t>
            </w:r>
          </w:p>
          <w:p w14:paraId="4C74C702">
            <w:pPr>
              <w:pStyle w:val="171"/>
              <w:ind w:firstLine="480" w:firstLineChars="200"/>
              <w:jc w:val="both"/>
              <w:rPr>
                <w:rFonts w:hint="eastAsia" w:ascii="宋体" w:hAnsi="宋体" w:eastAsia="宋体" w:cs="宋体"/>
              </w:rPr>
            </w:pPr>
            <w:r>
              <w:rPr>
                <w:rFonts w:hint="eastAsia" w:ascii="宋体" w:hAnsi="宋体" w:eastAsia="宋体" w:cs="宋体"/>
              </w:rPr>
              <w:t>2、投标人的最终得分为：所有评委对其评分的算术平均值。</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5A660E66">
            <w:pPr>
              <w:pStyle w:val="171"/>
              <w:ind w:firstLine="480" w:firstLineChars="200"/>
              <w:jc w:val="both"/>
              <w:rPr>
                <w:rFonts w:hint="eastAsia" w:ascii="宋体" w:hAnsi="宋体" w:eastAsia="宋体" w:cs="宋体"/>
              </w:rPr>
            </w:pPr>
          </w:p>
        </w:tc>
      </w:tr>
      <w:bookmarkEnd w:id="78"/>
      <w:bookmarkEnd w:id="79"/>
    </w:tbl>
    <w:p w14:paraId="0F78A5C5">
      <w:pPr>
        <w:widowControl/>
        <w:adjustRightInd w:val="0"/>
        <w:snapToGrid w:val="0"/>
        <w:spacing w:line="360" w:lineRule="auto"/>
        <w:outlineLvl w:val="1"/>
        <w:rPr>
          <w:rFonts w:hint="eastAsia" w:ascii="宋体" w:hAnsi="宋体" w:cs="宋体"/>
          <w:b/>
          <w:bCs/>
          <w:sz w:val="24"/>
        </w:rPr>
      </w:pPr>
      <w:bookmarkStart w:id="80" w:name="_Toc106276259"/>
      <w:bookmarkStart w:id="81" w:name="_Toc18078"/>
      <w:bookmarkStart w:id="82" w:name="_Toc4906"/>
      <w:r>
        <w:rPr>
          <w:rFonts w:hint="eastAsia" w:ascii="宋体" w:hAnsi="宋体" w:cs="宋体"/>
          <w:b/>
          <w:bCs/>
          <w:sz w:val="24"/>
          <w:highlight w:val="white"/>
        </w:rPr>
        <w:t>三</w:t>
      </w:r>
      <w:r>
        <w:rPr>
          <w:rFonts w:hint="eastAsia" w:ascii="宋体" w:hAnsi="宋体" w:cs="宋体"/>
          <w:b/>
          <w:bCs/>
          <w:sz w:val="24"/>
          <w:highlight w:val="white"/>
          <w:lang w:eastAsia="zh-CN"/>
        </w:rPr>
        <w:t>、</w:t>
      </w:r>
      <w:r>
        <w:rPr>
          <w:rFonts w:hint="eastAsia" w:ascii="宋体" w:hAnsi="宋体" w:cs="宋体"/>
          <w:b/>
          <w:bCs/>
          <w:sz w:val="24"/>
          <w:highlight w:val="white"/>
        </w:rPr>
        <w:t>推荐成交供应商</w:t>
      </w:r>
      <w:bookmarkEnd w:id="80"/>
      <w:bookmarkEnd w:id="81"/>
      <w:bookmarkEnd w:id="82"/>
    </w:p>
    <w:p w14:paraId="3AC7A1D7">
      <w:pPr>
        <w:widowControl/>
        <w:adjustRightInd w:val="0"/>
        <w:snapToGrid w:val="0"/>
        <w:spacing w:line="360" w:lineRule="auto"/>
        <w:ind w:firstLine="480" w:firstLineChars="200"/>
        <w:rPr>
          <w:rFonts w:hint="eastAsia" w:ascii="宋体" w:hAnsi="宋体" w:eastAsia="宋体" w:cs="宋体"/>
          <w:bCs/>
          <w:sz w:val="24"/>
          <w:highlight w:val="white"/>
        </w:rPr>
      </w:pPr>
      <w:bookmarkStart w:id="83" w:name="_Toc106276260"/>
      <w:bookmarkStart w:id="84" w:name="_Toc27453"/>
      <w:r>
        <w:rPr>
          <w:rFonts w:hint="eastAsia" w:ascii="宋体" w:hAnsi="宋体" w:eastAsia="宋体" w:cs="宋体"/>
          <w:bCs/>
          <w:sz w:val="24"/>
          <w:highlight w:val="white"/>
        </w:rPr>
        <w:t>1、磋商小组以供应商总分由高到低排序，得分最高为第一成交候选人，如果出现供应商最终得分相同的情况，磋商报价低者排名顺序优先在前，以此类推，确定出前三名作为成交候选人推荐给采购人，采购人从三名成交候选人中确定出最终的成交人。</w:t>
      </w:r>
      <w:bookmarkEnd w:id="83"/>
    </w:p>
    <w:p w14:paraId="05F01466">
      <w:pPr>
        <w:widowControl/>
        <w:adjustRightInd w:val="0"/>
        <w:snapToGrid w:val="0"/>
        <w:spacing w:line="360" w:lineRule="auto"/>
        <w:ind w:firstLine="480" w:firstLineChars="200"/>
        <w:rPr>
          <w:rFonts w:hint="eastAsia" w:ascii="宋体" w:hAnsi="宋体" w:eastAsia="宋体" w:cs="宋体"/>
          <w:bCs/>
          <w:sz w:val="24"/>
          <w:highlight w:val="white"/>
        </w:rPr>
      </w:pPr>
      <w:bookmarkStart w:id="85" w:name="_Toc106276261"/>
      <w:r>
        <w:rPr>
          <w:rFonts w:hint="eastAsia" w:ascii="宋体" w:hAnsi="宋体" w:eastAsia="宋体" w:cs="宋体"/>
          <w:bCs/>
          <w:sz w:val="24"/>
          <w:highlight w:val="white"/>
        </w:rPr>
        <w:t>2、采购人确定中标人的原则：采购人应当确定排名第一的成交候选人为成交人。排名第一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85"/>
    </w:p>
    <w:p w14:paraId="5307C841">
      <w:pPr>
        <w:widowControl/>
        <w:adjustRightInd w:val="0"/>
        <w:snapToGrid w:val="0"/>
        <w:spacing w:line="360" w:lineRule="auto"/>
        <w:outlineLvl w:val="1"/>
        <w:rPr>
          <w:rFonts w:hint="eastAsia" w:ascii="宋体" w:hAnsi="宋体" w:cs="宋体"/>
          <w:b/>
          <w:bCs/>
          <w:sz w:val="24"/>
        </w:rPr>
      </w:pPr>
      <w:bookmarkStart w:id="86" w:name="_Toc106276262"/>
      <w:bookmarkStart w:id="87" w:name="_Toc20951"/>
      <w:r>
        <w:rPr>
          <w:rFonts w:hint="eastAsia" w:ascii="宋体" w:hAnsi="宋体" w:cs="宋体"/>
          <w:b/>
          <w:bCs/>
          <w:sz w:val="24"/>
          <w:highlight w:val="white"/>
        </w:rPr>
        <w:t>四</w:t>
      </w:r>
      <w:r>
        <w:rPr>
          <w:rFonts w:hint="eastAsia" w:ascii="宋体" w:hAnsi="宋体" w:cs="宋体"/>
          <w:b/>
          <w:bCs/>
          <w:sz w:val="24"/>
          <w:highlight w:val="white"/>
          <w:lang w:eastAsia="zh-CN"/>
        </w:rPr>
        <w:t>、</w:t>
      </w:r>
      <w:r>
        <w:rPr>
          <w:rFonts w:hint="eastAsia" w:ascii="宋体" w:hAnsi="宋体" w:cs="宋体"/>
          <w:b/>
          <w:bCs/>
          <w:sz w:val="24"/>
          <w:highlight w:val="white"/>
        </w:rPr>
        <w:t>确定成交供应商</w:t>
      </w:r>
      <w:bookmarkEnd w:id="84"/>
      <w:bookmarkEnd w:id="86"/>
      <w:bookmarkEnd w:id="87"/>
    </w:p>
    <w:p w14:paraId="271F64DB">
      <w:pPr>
        <w:widowControl/>
        <w:adjustRightInd w:val="0"/>
        <w:snapToGrid w:val="0"/>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1.采购代理机构应当在评审结束后2个工作日内将评审报告送采购人确认。</w:t>
      </w:r>
    </w:p>
    <w:p w14:paraId="3B354898">
      <w:pPr>
        <w:widowControl/>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highlight w:val="whit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C42B56">
      <w:pPr>
        <w:rPr>
          <w:rFonts w:hint="eastAsia" w:ascii="宋体" w:hAnsi="宋体" w:cs="宋体"/>
          <w:b/>
          <w:bCs/>
          <w:sz w:val="24"/>
        </w:rPr>
      </w:pPr>
    </w:p>
    <w:p w14:paraId="1D80FD45">
      <w:pPr>
        <w:pStyle w:val="2"/>
        <w:numPr>
          <w:ilvl w:val="0"/>
          <w:numId w:val="0"/>
        </w:numPr>
        <w:ind w:left="1316" w:hanging="838" w:hangingChars="298"/>
        <w:rPr>
          <w:rFonts w:ascii="仿宋" w:hAnsi="仿宋" w:eastAsia="仿宋" w:cs="宋体"/>
          <w:b/>
          <w:kern w:val="0"/>
        </w:rPr>
      </w:pPr>
      <w:r>
        <w:rPr>
          <w:rFonts w:hint="eastAsia" w:ascii="宋体" w:hAnsi="宋体" w:cs="宋体"/>
          <w:sz w:val="28"/>
          <w:szCs w:val="28"/>
          <w:highlight w:val="white"/>
        </w:rPr>
        <w:br w:type="page"/>
      </w:r>
      <w:bookmarkStart w:id="88" w:name="_Toc17376"/>
      <w:bookmarkStart w:id="89" w:name="_Toc36659877"/>
      <w:r>
        <w:rPr>
          <w:rFonts w:hint="eastAsia" w:ascii="宋体" w:hAnsi="宋体" w:eastAsia="宋体" w:cs="宋体"/>
          <w:b/>
          <w:kern w:val="0"/>
          <w:sz w:val="36"/>
          <w:szCs w:val="36"/>
        </w:rPr>
        <w:t>第四章 合同条款及格式</w:t>
      </w:r>
      <w:bookmarkEnd w:id="88"/>
      <w:bookmarkEnd w:id="89"/>
    </w:p>
    <w:p w14:paraId="40CC6EC1">
      <w:pPr>
        <w:rPr>
          <w:rFonts w:hint="eastAsia" w:ascii="仿宋" w:hAnsi="仿宋" w:eastAsia="仿宋"/>
        </w:rPr>
      </w:pPr>
    </w:p>
    <w:p w14:paraId="06FA8C33">
      <w:pPr>
        <w:keepNext/>
        <w:keepLines/>
        <w:spacing w:line="360" w:lineRule="auto"/>
        <w:jc w:val="center"/>
        <w:outlineLvl w:val="1"/>
        <w:rPr>
          <w:rFonts w:ascii="仿宋" w:hAnsi="仿宋" w:eastAsia="仿宋"/>
          <w:b/>
          <w:bCs/>
          <w:sz w:val="32"/>
          <w:szCs w:val="32"/>
        </w:rPr>
      </w:pPr>
      <w:bookmarkStart w:id="90" w:name="_Toc256000019"/>
      <w:bookmarkStart w:id="91" w:name="_Toc12057"/>
      <w:bookmarkStart w:id="92" w:name="_Toc256000124"/>
      <w:bookmarkStart w:id="93" w:name="_Toc534649427"/>
      <w:bookmarkStart w:id="94" w:name="_Toc36659878"/>
      <w:bookmarkStart w:id="95" w:name="_Toc256000051"/>
      <w:bookmarkStart w:id="96" w:name="_Toc256000049"/>
      <w:r>
        <w:rPr>
          <w:rFonts w:hint="eastAsia" w:ascii="仿宋" w:hAnsi="仿宋" w:eastAsia="仿宋"/>
          <w:b/>
          <w:bCs/>
          <w:sz w:val="32"/>
          <w:szCs w:val="32"/>
        </w:rPr>
        <w:t>第一部分 合同书</w:t>
      </w:r>
      <w:bookmarkEnd w:id="90"/>
      <w:bookmarkEnd w:id="91"/>
      <w:bookmarkEnd w:id="92"/>
      <w:bookmarkEnd w:id="93"/>
      <w:bookmarkEnd w:id="94"/>
      <w:bookmarkEnd w:id="95"/>
      <w:bookmarkEnd w:id="96"/>
    </w:p>
    <w:p w14:paraId="7319FD55">
      <w:pPr>
        <w:autoSpaceDE w:val="0"/>
        <w:autoSpaceDN w:val="0"/>
        <w:adjustRightInd w:val="0"/>
        <w:jc w:val="left"/>
        <w:rPr>
          <w:rFonts w:ascii="仿宋" w:hAnsi="仿宋" w:eastAsia="仿宋"/>
          <w:sz w:val="24"/>
        </w:rPr>
      </w:pPr>
    </w:p>
    <w:p w14:paraId="59F2900C">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4302C45A">
      <w:pPr>
        <w:rPr>
          <w:rFonts w:ascii="仿宋" w:hAnsi="仿宋" w:eastAsia="仿宋"/>
        </w:rPr>
      </w:pPr>
    </w:p>
    <w:p w14:paraId="4A6FB750">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14:paraId="458533B0">
      <w:pPr>
        <w:spacing w:before="120" w:line="22" w:lineRule="atLeast"/>
        <w:rPr>
          <w:rFonts w:ascii="仿宋" w:hAnsi="仿宋" w:eastAsia="仿宋"/>
          <w:sz w:val="24"/>
        </w:rPr>
      </w:pPr>
    </w:p>
    <w:p w14:paraId="23B47F30">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30F373DB">
      <w:pPr>
        <w:spacing w:before="120" w:line="22" w:lineRule="atLeast"/>
        <w:rPr>
          <w:rFonts w:ascii="仿宋" w:hAnsi="仿宋" w:eastAsia="仿宋"/>
          <w:sz w:val="24"/>
        </w:rPr>
      </w:pPr>
    </w:p>
    <w:p w14:paraId="2BE736AF">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14:paraId="31C8C276">
      <w:pPr>
        <w:spacing w:before="120" w:line="22" w:lineRule="atLeast"/>
        <w:rPr>
          <w:rFonts w:ascii="仿宋" w:hAnsi="仿宋" w:eastAsia="仿宋"/>
          <w:sz w:val="24"/>
        </w:rPr>
      </w:pPr>
    </w:p>
    <w:p w14:paraId="2B63C740">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C4E70AC">
      <w:pPr>
        <w:spacing w:line="360" w:lineRule="auto"/>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采购</w:t>
      </w:r>
      <w:r>
        <w:rPr>
          <w:rFonts w:hint="eastAsia" w:ascii="仿宋" w:hAnsi="仿宋" w:eastAsia="仿宋"/>
          <w:sz w:val="24"/>
          <w:u w:val="single"/>
        </w:rPr>
        <w:t xml:space="preserve">人）   </w:t>
      </w:r>
      <w:r>
        <w:rPr>
          <w:rFonts w:hint="eastAsia" w:ascii="仿宋" w:hAnsi="仿宋" w:eastAsia="仿宋"/>
          <w:sz w:val="24"/>
        </w:rPr>
        <w:t>以</w:t>
      </w:r>
      <w:r>
        <w:rPr>
          <w:rFonts w:hint="eastAsia" w:ascii="仿宋" w:hAnsi="仿宋" w:eastAsia="仿宋"/>
          <w:sz w:val="24"/>
          <w:u w:val="single"/>
        </w:rPr>
        <w:t xml:space="preserve">   （</w:t>
      </w:r>
      <w:r>
        <w:rPr>
          <w:rFonts w:hint="eastAsia" w:ascii="仿宋" w:hAnsi="仿宋" w:eastAsia="仿宋"/>
          <w:sz w:val="24"/>
          <w:u w:val="single"/>
          <w:lang w:val="en-US" w:eastAsia="zh-CN"/>
        </w:rPr>
        <w:t>采购方式</w:t>
      </w:r>
      <w:r>
        <w:rPr>
          <w:rFonts w:hint="eastAsia" w:ascii="仿宋" w:hAnsi="仿宋" w:eastAsia="仿宋"/>
          <w:sz w:val="24"/>
          <w:u w:val="single"/>
        </w:rPr>
        <w:t xml:space="preserve">）  </w:t>
      </w:r>
      <w:r>
        <w:rPr>
          <w:rFonts w:hint="eastAsia" w:ascii="仿宋" w:hAnsi="仿宋" w:eastAsia="仿宋"/>
          <w:sz w:val="24"/>
        </w:rPr>
        <w:t>对</w:t>
      </w:r>
      <w:r>
        <w:rPr>
          <w:rFonts w:hint="eastAsia" w:ascii="仿宋" w:hAnsi="仿宋" w:eastAsia="仿宋"/>
          <w:sz w:val="24"/>
          <w:u w:val="single"/>
        </w:rPr>
        <w:t xml:space="preserve">   （项目名称）   </w:t>
      </w:r>
      <w:r>
        <w:rPr>
          <w:rFonts w:hint="eastAsia" w:ascii="仿宋" w:hAnsi="仿宋" w:eastAsia="仿宋"/>
          <w:sz w:val="24"/>
        </w:rPr>
        <w:t>项目进行了招标。经评定，</w:t>
      </w:r>
      <w:r>
        <w:rPr>
          <w:rFonts w:hint="eastAsia" w:ascii="仿宋" w:hAnsi="仿宋" w:eastAsia="仿宋"/>
          <w:sz w:val="24"/>
          <w:u w:val="single"/>
        </w:rPr>
        <w:t xml:space="preserve">   （中标人） </w:t>
      </w:r>
      <w:r>
        <w:rPr>
          <w:rFonts w:hint="eastAsia" w:ascii="仿宋" w:hAnsi="仿宋" w:eastAsia="仿宋"/>
          <w:sz w:val="24"/>
        </w:rPr>
        <w:t>为该项目成交供应商。现于成交通知书发出之日起三十日内，按照采购文件确定的事项签订本合同。</w:t>
      </w:r>
    </w:p>
    <w:p w14:paraId="72775394">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根据《中华人民共和国合同法》、《中华人民共和国招标投标法》等相关法律法规之规定，按照平等、自愿、公平和诚实信用的原则，经</w:t>
      </w:r>
      <w:r>
        <w:rPr>
          <w:rFonts w:hint="eastAsia" w:ascii="仿宋" w:hAnsi="仿宋" w:eastAsia="仿宋"/>
          <w:sz w:val="24"/>
          <w:u w:val="single"/>
        </w:rPr>
        <w:t>（</w:t>
      </w:r>
      <w:r>
        <w:rPr>
          <w:rFonts w:hint="eastAsia" w:ascii="仿宋" w:hAnsi="仿宋" w:eastAsia="仿宋"/>
          <w:sz w:val="24"/>
          <w:u w:val="single"/>
          <w:lang w:val="en-US" w:eastAsia="zh-CN"/>
        </w:rPr>
        <w:t>采购人</w:t>
      </w:r>
      <w:r>
        <w:rPr>
          <w:rFonts w:hint="eastAsia" w:ascii="仿宋" w:hAnsi="仿宋" w:eastAsia="仿宋"/>
          <w:sz w:val="24"/>
          <w:u w:val="single"/>
        </w:rPr>
        <w:t>人）</w:t>
      </w:r>
      <w:r>
        <w:rPr>
          <w:rFonts w:hint="eastAsia" w:ascii="仿宋" w:hAnsi="仿宋" w:eastAsia="仿宋"/>
          <w:sz w:val="24"/>
          <w:lang w:val="zh-CN"/>
        </w:rPr>
        <w:t>(以下简称：甲方)和</w:t>
      </w:r>
      <w:r>
        <w:rPr>
          <w:rFonts w:hint="eastAsia" w:ascii="仿宋" w:hAnsi="仿宋" w:eastAsia="仿宋"/>
          <w:sz w:val="24"/>
          <w:u w:val="single"/>
        </w:rPr>
        <w:t xml:space="preserve">   （中标人）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14:paraId="7DC01DDF">
      <w:pPr>
        <w:keepNext/>
        <w:keepLines/>
        <w:spacing w:before="120" w:beforeLines="50" w:after="120" w:afterLines="50" w:line="360" w:lineRule="auto"/>
        <w:outlineLvl w:val="2"/>
        <w:rPr>
          <w:rFonts w:ascii="仿宋" w:hAnsi="仿宋" w:eastAsia="仿宋"/>
          <w:b/>
          <w:bCs/>
          <w:sz w:val="30"/>
          <w:szCs w:val="32"/>
        </w:rPr>
      </w:pPr>
      <w:bookmarkStart w:id="97" w:name="_Toc29732"/>
      <w:bookmarkStart w:id="98" w:name="_Toc28855"/>
      <w:bookmarkStart w:id="99" w:name="_Toc256000020"/>
      <w:bookmarkStart w:id="100" w:name="_Toc15367"/>
      <w:bookmarkStart w:id="101" w:name="_Toc534649428"/>
      <w:bookmarkStart w:id="102" w:name="_Toc256000052"/>
      <w:bookmarkStart w:id="103" w:name="_Toc36659879"/>
      <w:bookmarkStart w:id="104" w:name="_Toc19273"/>
      <w:bookmarkStart w:id="105" w:name="_Toc20421"/>
      <w:bookmarkStart w:id="106" w:name="_Toc256000050"/>
      <w:bookmarkStart w:id="107" w:name="_Toc22967"/>
      <w:bookmarkStart w:id="108" w:name="_Toc256000125"/>
      <w:r>
        <w:rPr>
          <w:rFonts w:hint="eastAsia" w:ascii="仿宋" w:hAnsi="仿宋" w:eastAsia="仿宋"/>
          <w:b/>
          <w:bCs/>
          <w:sz w:val="30"/>
          <w:szCs w:val="32"/>
        </w:rPr>
        <w:t>1.1 合同组成部分</w:t>
      </w:r>
      <w:bookmarkEnd w:id="97"/>
      <w:bookmarkEnd w:id="98"/>
      <w:bookmarkEnd w:id="99"/>
      <w:bookmarkEnd w:id="100"/>
      <w:bookmarkEnd w:id="101"/>
      <w:bookmarkEnd w:id="102"/>
      <w:bookmarkEnd w:id="103"/>
      <w:bookmarkEnd w:id="104"/>
      <w:bookmarkEnd w:id="105"/>
      <w:bookmarkEnd w:id="106"/>
      <w:bookmarkEnd w:id="107"/>
      <w:bookmarkEnd w:id="108"/>
    </w:p>
    <w:p w14:paraId="0458D7D4">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F1686D">
      <w:pPr>
        <w:spacing w:line="360" w:lineRule="auto"/>
        <w:ind w:firstLine="480" w:firstLineChars="200"/>
        <w:rPr>
          <w:rFonts w:ascii="仿宋" w:hAnsi="仿宋" w:eastAsia="仿宋"/>
          <w:sz w:val="24"/>
        </w:rPr>
      </w:pPr>
      <w:r>
        <w:rPr>
          <w:rFonts w:hint="eastAsia" w:ascii="仿宋" w:hAnsi="仿宋" w:eastAsia="仿宋"/>
          <w:sz w:val="24"/>
        </w:rPr>
        <w:t>1.1.1 本合同及其补充合同、变更协议；</w:t>
      </w:r>
    </w:p>
    <w:p w14:paraId="09D9896A">
      <w:pPr>
        <w:spacing w:line="360" w:lineRule="auto"/>
        <w:ind w:firstLine="480" w:firstLineChars="200"/>
        <w:rPr>
          <w:rFonts w:ascii="仿宋" w:hAnsi="仿宋" w:eastAsia="仿宋"/>
          <w:sz w:val="24"/>
        </w:rPr>
      </w:pPr>
      <w:r>
        <w:rPr>
          <w:rFonts w:hint="eastAsia" w:ascii="仿宋" w:hAnsi="仿宋" w:eastAsia="仿宋"/>
          <w:sz w:val="24"/>
        </w:rPr>
        <w:t>1.1.2 中标通知书；</w:t>
      </w:r>
    </w:p>
    <w:p w14:paraId="08C67059">
      <w:pPr>
        <w:spacing w:line="360" w:lineRule="auto"/>
        <w:ind w:firstLine="480" w:firstLineChars="200"/>
        <w:rPr>
          <w:rFonts w:ascii="仿宋" w:hAnsi="仿宋" w:eastAsia="仿宋"/>
          <w:sz w:val="24"/>
        </w:rPr>
      </w:pPr>
      <w:r>
        <w:rPr>
          <w:rFonts w:hint="eastAsia" w:ascii="仿宋" w:hAnsi="仿宋" w:eastAsia="仿宋"/>
          <w:sz w:val="24"/>
        </w:rPr>
        <w:t>1.1.3 中标文件（含澄清或者说明文件）；</w:t>
      </w:r>
    </w:p>
    <w:p w14:paraId="226B7CF6">
      <w:pPr>
        <w:spacing w:line="360" w:lineRule="auto"/>
        <w:ind w:firstLine="480" w:firstLineChars="200"/>
        <w:rPr>
          <w:rFonts w:ascii="仿宋" w:hAnsi="仿宋" w:eastAsia="仿宋"/>
          <w:sz w:val="24"/>
        </w:rPr>
      </w:pPr>
      <w:r>
        <w:rPr>
          <w:rFonts w:hint="eastAsia" w:ascii="仿宋" w:hAnsi="仿宋" w:eastAsia="仿宋"/>
          <w:sz w:val="24"/>
        </w:rPr>
        <w:t>1.1.4 招标文件（含澄清或者修改文件）；</w:t>
      </w:r>
    </w:p>
    <w:p w14:paraId="639E14E9">
      <w:pPr>
        <w:spacing w:line="360" w:lineRule="auto"/>
        <w:ind w:firstLine="480" w:firstLineChars="200"/>
        <w:rPr>
          <w:rFonts w:ascii="仿宋" w:hAnsi="仿宋" w:eastAsia="仿宋"/>
          <w:sz w:val="24"/>
        </w:rPr>
      </w:pPr>
      <w:r>
        <w:rPr>
          <w:rFonts w:hint="eastAsia" w:ascii="仿宋" w:hAnsi="仿宋" w:eastAsia="仿宋"/>
          <w:sz w:val="24"/>
        </w:rPr>
        <w:t>1.1.5 其他相关采购文件。</w:t>
      </w:r>
    </w:p>
    <w:p w14:paraId="34B341DA">
      <w:pPr>
        <w:keepNext/>
        <w:keepLines/>
        <w:spacing w:before="120" w:beforeLines="50" w:after="120" w:afterLines="50" w:line="360" w:lineRule="auto"/>
        <w:outlineLvl w:val="2"/>
        <w:rPr>
          <w:rFonts w:ascii="仿宋" w:hAnsi="仿宋" w:eastAsia="仿宋"/>
          <w:b/>
          <w:bCs/>
          <w:sz w:val="30"/>
          <w:szCs w:val="32"/>
        </w:rPr>
      </w:pPr>
      <w:bookmarkStart w:id="109" w:name="_Toc6311"/>
      <w:bookmarkStart w:id="110" w:name="_Toc256000126"/>
      <w:bookmarkStart w:id="111" w:name="_Toc2918"/>
      <w:bookmarkStart w:id="112" w:name="_Toc256000021"/>
      <w:bookmarkStart w:id="113" w:name="_Toc256000081"/>
      <w:bookmarkStart w:id="114" w:name="_Toc256000053"/>
      <w:bookmarkStart w:id="115" w:name="_Toc22185"/>
      <w:bookmarkStart w:id="116" w:name="_Toc6773"/>
      <w:bookmarkStart w:id="117" w:name="_Toc534649429"/>
      <w:bookmarkStart w:id="118" w:name="_Toc28877"/>
      <w:bookmarkStart w:id="119" w:name="_Toc36659880"/>
      <w:bookmarkStart w:id="120" w:name="_Toc18585"/>
      <w:r>
        <w:rPr>
          <w:rFonts w:hint="eastAsia" w:ascii="仿宋" w:hAnsi="仿宋" w:eastAsia="仿宋"/>
          <w:b/>
          <w:bCs/>
          <w:sz w:val="30"/>
          <w:szCs w:val="32"/>
        </w:rPr>
        <w:t>1.2 标的</w:t>
      </w:r>
      <w:bookmarkEnd w:id="109"/>
      <w:bookmarkEnd w:id="110"/>
      <w:bookmarkEnd w:id="111"/>
      <w:bookmarkEnd w:id="112"/>
      <w:bookmarkEnd w:id="113"/>
      <w:bookmarkEnd w:id="114"/>
      <w:bookmarkEnd w:id="115"/>
      <w:bookmarkEnd w:id="116"/>
      <w:bookmarkEnd w:id="117"/>
      <w:bookmarkEnd w:id="118"/>
      <w:bookmarkEnd w:id="119"/>
      <w:bookmarkEnd w:id="120"/>
    </w:p>
    <w:p w14:paraId="21AB25C2">
      <w:pPr>
        <w:spacing w:line="360" w:lineRule="auto"/>
        <w:ind w:firstLine="480" w:firstLineChars="200"/>
        <w:rPr>
          <w:rFonts w:ascii="仿宋" w:hAnsi="仿宋" w:eastAsia="仿宋"/>
          <w:sz w:val="24"/>
          <w:u w:val="single"/>
        </w:rPr>
      </w:pPr>
      <w:r>
        <w:rPr>
          <w:rFonts w:hint="eastAsia" w:ascii="仿宋" w:hAnsi="仿宋" w:eastAsia="仿宋"/>
          <w:sz w:val="24"/>
        </w:rPr>
        <w:t>1.2.1 标的</w:t>
      </w:r>
      <w:r>
        <w:rPr>
          <w:rFonts w:ascii="仿宋" w:hAnsi="仿宋" w:eastAsia="仿宋"/>
          <w:sz w:val="24"/>
        </w:rPr>
        <w:t>名称：</w:t>
      </w:r>
      <w:r>
        <w:rPr>
          <w:rFonts w:hint="eastAsia" w:ascii="仿宋" w:hAnsi="仿宋" w:eastAsia="仿宋"/>
          <w:sz w:val="24"/>
          <w:u w:val="single"/>
        </w:rPr>
        <w:t xml:space="preserve">                                                </w:t>
      </w:r>
      <w:r>
        <w:rPr>
          <w:rFonts w:hint="eastAsia" w:ascii="仿宋" w:hAnsi="仿宋" w:eastAsia="仿宋"/>
          <w:sz w:val="24"/>
        </w:rPr>
        <w:t>；</w:t>
      </w:r>
    </w:p>
    <w:p w14:paraId="6969A398">
      <w:pPr>
        <w:spacing w:line="360" w:lineRule="auto"/>
        <w:ind w:firstLine="480" w:firstLineChars="200"/>
        <w:rPr>
          <w:rFonts w:ascii="仿宋" w:hAnsi="仿宋" w:eastAsia="仿宋"/>
          <w:sz w:val="24"/>
          <w:u w:val="single"/>
        </w:rPr>
      </w:pPr>
      <w:r>
        <w:rPr>
          <w:rFonts w:hint="eastAsia" w:ascii="仿宋" w:hAnsi="仿宋" w:eastAsia="仿宋"/>
          <w:sz w:val="24"/>
        </w:rPr>
        <w:t>1.2.2 标的</w:t>
      </w:r>
      <w:r>
        <w:rPr>
          <w:rFonts w:ascii="仿宋" w:hAnsi="仿宋" w:eastAsia="仿宋"/>
          <w:sz w:val="24"/>
        </w:rPr>
        <w:t>数量：</w:t>
      </w:r>
      <w:r>
        <w:rPr>
          <w:rFonts w:hint="eastAsia" w:ascii="仿宋" w:hAnsi="仿宋" w:eastAsia="仿宋"/>
          <w:sz w:val="24"/>
          <w:u w:val="single"/>
        </w:rPr>
        <w:t xml:space="preserve">                                                </w:t>
      </w:r>
      <w:r>
        <w:rPr>
          <w:rFonts w:hint="eastAsia" w:ascii="仿宋" w:hAnsi="仿宋" w:eastAsia="仿宋"/>
          <w:sz w:val="24"/>
        </w:rPr>
        <w:t>；</w:t>
      </w:r>
    </w:p>
    <w:p w14:paraId="6508DD55">
      <w:pPr>
        <w:spacing w:line="360" w:lineRule="auto"/>
        <w:ind w:firstLine="480" w:firstLineChars="200"/>
        <w:rPr>
          <w:rFonts w:ascii="仿宋" w:hAnsi="仿宋" w:eastAsia="仿宋"/>
          <w:sz w:val="24"/>
        </w:rPr>
      </w:pPr>
      <w:r>
        <w:rPr>
          <w:rFonts w:hint="eastAsia" w:ascii="仿宋" w:hAnsi="仿宋" w:eastAsia="仿宋"/>
          <w:sz w:val="24"/>
        </w:rPr>
        <w:t>1.2.3 标的质量：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486502C8">
      <w:pPr>
        <w:keepNext/>
        <w:keepLines/>
        <w:spacing w:before="120" w:beforeLines="50" w:after="120" w:afterLines="50" w:line="360" w:lineRule="auto"/>
        <w:outlineLvl w:val="2"/>
        <w:rPr>
          <w:rFonts w:ascii="仿宋" w:hAnsi="仿宋" w:eastAsia="仿宋"/>
          <w:b/>
          <w:bCs/>
          <w:sz w:val="30"/>
          <w:szCs w:val="32"/>
        </w:rPr>
      </w:pPr>
      <w:bookmarkStart w:id="121" w:name="_Toc5635"/>
      <w:bookmarkStart w:id="122" w:name="_Toc3104"/>
      <w:bookmarkStart w:id="123" w:name="_Toc1386"/>
      <w:bookmarkStart w:id="124" w:name="_Toc21124"/>
      <w:bookmarkStart w:id="125" w:name="_Toc4929"/>
      <w:bookmarkStart w:id="126" w:name="_Toc256000082"/>
      <w:bookmarkStart w:id="127" w:name="_Toc256000127"/>
      <w:bookmarkStart w:id="128" w:name="_Toc36659881"/>
      <w:bookmarkStart w:id="129" w:name="_Toc256000022"/>
      <w:bookmarkStart w:id="130" w:name="_Toc13918"/>
      <w:bookmarkStart w:id="131" w:name="_Toc256000054"/>
      <w:bookmarkStart w:id="132" w:name="_Toc534649430"/>
      <w:r>
        <w:rPr>
          <w:rFonts w:hint="eastAsia" w:ascii="仿宋" w:hAnsi="仿宋" w:eastAsia="仿宋"/>
          <w:b/>
          <w:bCs/>
          <w:sz w:val="30"/>
          <w:szCs w:val="32"/>
        </w:rPr>
        <w:t>1.</w:t>
      </w:r>
      <w:r>
        <w:rPr>
          <w:rFonts w:ascii="仿宋" w:hAnsi="仿宋" w:eastAsia="仿宋"/>
          <w:b/>
          <w:bCs/>
          <w:sz w:val="30"/>
          <w:szCs w:val="32"/>
        </w:rPr>
        <w:t>3</w:t>
      </w:r>
      <w:r>
        <w:rPr>
          <w:rFonts w:hint="eastAsia" w:ascii="仿宋" w:hAnsi="仿宋" w:eastAsia="仿宋"/>
          <w:b/>
          <w:bCs/>
          <w:sz w:val="30"/>
          <w:szCs w:val="32"/>
        </w:rPr>
        <w:t xml:space="preserve"> 价款</w:t>
      </w:r>
      <w:bookmarkEnd w:id="121"/>
      <w:bookmarkEnd w:id="122"/>
      <w:bookmarkEnd w:id="123"/>
      <w:bookmarkEnd w:id="124"/>
      <w:bookmarkEnd w:id="125"/>
      <w:bookmarkEnd w:id="126"/>
      <w:bookmarkEnd w:id="127"/>
      <w:bookmarkEnd w:id="128"/>
      <w:bookmarkEnd w:id="129"/>
      <w:bookmarkEnd w:id="130"/>
      <w:bookmarkEnd w:id="131"/>
      <w:bookmarkEnd w:id="132"/>
    </w:p>
    <w:p w14:paraId="3319023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65E019DA">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8B199B">
            <w:pPr>
              <w:spacing w:line="360" w:lineRule="auto"/>
              <w:jc w:val="center"/>
              <w:rPr>
                <w:rFonts w:ascii="仿宋" w:hAnsi="仿宋" w:eastAsia="仿宋"/>
                <w:sz w:val="24"/>
              </w:rPr>
            </w:pPr>
            <w:r>
              <w:rPr>
                <w:rFonts w:ascii="仿宋" w:hAnsi="仿宋" w:eastAsia="仿宋"/>
                <w:sz w:val="24"/>
              </w:rPr>
              <w:t>序号</w:t>
            </w:r>
          </w:p>
        </w:tc>
        <w:tc>
          <w:tcPr>
            <w:tcW w:w="3402" w:type="dxa"/>
            <w:noWrap w:val="0"/>
            <w:vAlign w:val="center"/>
          </w:tcPr>
          <w:p w14:paraId="6E2B7101">
            <w:pPr>
              <w:spacing w:line="360" w:lineRule="auto"/>
              <w:ind w:firstLine="200"/>
              <w:jc w:val="center"/>
              <w:rPr>
                <w:rFonts w:ascii="仿宋" w:hAnsi="仿宋" w:eastAsia="仿宋"/>
                <w:sz w:val="24"/>
              </w:rPr>
            </w:pPr>
            <w:r>
              <w:rPr>
                <w:rFonts w:hint="eastAsia" w:ascii="仿宋" w:hAnsi="仿宋" w:eastAsia="仿宋"/>
                <w:sz w:val="24"/>
              </w:rPr>
              <w:t>分项名称</w:t>
            </w:r>
          </w:p>
        </w:tc>
        <w:tc>
          <w:tcPr>
            <w:tcW w:w="2552" w:type="dxa"/>
            <w:noWrap w:val="0"/>
            <w:vAlign w:val="center"/>
          </w:tcPr>
          <w:p w14:paraId="082B3B17">
            <w:pPr>
              <w:spacing w:line="360" w:lineRule="auto"/>
              <w:jc w:val="center"/>
              <w:rPr>
                <w:rFonts w:ascii="仿宋" w:hAnsi="仿宋" w:eastAsia="仿宋"/>
                <w:sz w:val="24"/>
              </w:rPr>
            </w:pPr>
            <w:r>
              <w:rPr>
                <w:rFonts w:ascii="仿宋" w:hAnsi="仿宋" w:eastAsia="仿宋"/>
                <w:sz w:val="24"/>
              </w:rPr>
              <w:t>分项价格</w:t>
            </w:r>
          </w:p>
        </w:tc>
      </w:tr>
      <w:tr w14:paraId="336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D2C46F">
            <w:pPr>
              <w:spacing w:line="360" w:lineRule="auto"/>
              <w:ind w:firstLine="200"/>
              <w:jc w:val="center"/>
              <w:rPr>
                <w:rFonts w:ascii="仿宋" w:hAnsi="仿宋" w:eastAsia="仿宋"/>
                <w:sz w:val="24"/>
              </w:rPr>
            </w:pPr>
          </w:p>
        </w:tc>
        <w:tc>
          <w:tcPr>
            <w:tcW w:w="3402" w:type="dxa"/>
            <w:noWrap w:val="0"/>
            <w:vAlign w:val="center"/>
          </w:tcPr>
          <w:p w14:paraId="4F3669DD">
            <w:pPr>
              <w:spacing w:line="360" w:lineRule="auto"/>
              <w:ind w:firstLine="200"/>
              <w:jc w:val="center"/>
              <w:rPr>
                <w:rFonts w:ascii="仿宋" w:hAnsi="仿宋" w:eastAsia="仿宋"/>
                <w:sz w:val="24"/>
              </w:rPr>
            </w:pPr>
          </w:p>
        </w:tc>
        <w:tc>
          <w:tcPr>
            <w:tcW w:w="2552" w:type="dxa"/>
            <w:noWrap w:val="0"/>
            <w:vAlign w:val="center"/>
          </w:tcPr>
          <w:p w14:paraId="0CB0C8DE">
            <w:pPr>
              <w:spacing w:line="360" w:lineRule="auto"/>
              <w:ind w:firstLine="200"/>
              <w:jc w:val="center"/>
              <w:rPr>
                <w:rFonts w:ascii="仿宋" w:hAnsi="仿宋" w:eastAsia="仿宋"/>
                <w:sz w:val="24"/>
              </w:rPr>
            </w:pPr>
          </w:p>
        </w:tc>
      </w:tr>
      <w:tr w14:paraId="2D6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2DEAA">
            <w:pPr>
              <w:spacing w:line="360" w:lineRule="auto"/>
              <w:ind w:firstLine="200"/>
              <w:jc w:val="center"/>
              <w:rPr>
                <w:rFonts w:ascii="仿宋" w:hAnsi="仿宋" w:eastAsia="仿宋"/>
                <w:sz w:val="24"/>
              </w:rPr>
            </w:pPr>
          </w:p>
        </w:tc>
        <w:tc>
          <w:tcPr>
            <w:tcW w:w="3402" w:type="dxa"/>
            <w:noWrap w:val="0"/>
            <w:vAlign w:val="center"/>
          </w:tcPr>
          <w:p w14:paraId="0979B796">
            <w:pPr>
              <w:spacing w:line="360" w:lineRule="auto"/>
              <w:ind w:firstLine="200"/>
              <w:jc w:val="center"/>
              <w:rPr>
                <w:rFonts w:ascii="仿宋" w:hAnsi="仿宋" w:eastAsia="仿宋"/>
                <w:sz w:val="24"/>
              </w:rPr>
            </w:pPr>
          </w:p>
        </w:tc>
        <w:tc>
          <w:tcPr>
            <w:tcW w:w="2552" w:type="dxa"/>
            <w:noWrap w:val="0"/>
            <w:vAlign w:val="center"/>
          </w:tcPr>
          <w:p w14:paraId="6DE327DE">
            <w:pPr>
              <w:spacing w:line="360" w:lineRule="auto"/>
              <w:ind w:firstLine="200"/>
              <w:jc w:val="center"/>
              <w:rPr>
                <w:rFonts w:ascii="仿宋" w:hAnsi="仿宋" w:eastAsia="仿宋"/>
                <w:sz w:val="24"/>
              </w:rPr>
            </w:pPr>
          </w:p>
        </w:tc>
      </w:tr>
      <w:tr w14:paraId="70A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C4792B">
            <w:pPr>
              <w:spacing w:line="360" w:lineRule="auto"/>
              <w:ind w:firstLine="200"/>
              <w:jc w:val="center"/>
              <w:rPr>
                <w:rFonts w:ascii="仿宋" w:hAnsi="仿宋" w:eastAsia="仿宋"/>
                <w:sz w:val="24"/>
              </w:rPr>
            </w:pPr>
          </w:p>
        </w:tc>
        <w:tc>
          <w:tcPr>
            <w:tcW w:w="3402" w:type="dxa"/>
            <w:noWrap w:val="0"/>
            <w:vAlign w:val="center"/>
          </w:tcPr>
          <w:p w14:paraId="74AE66A1">
            <w:pPr>
              <w:spacing w:line="360" w:lineRule="auto"/>
              <w:ind w:firstLine="200"/>
              <w:jc w:val="center"/>
              <w:rPr>
                <w:rFonts w:ascii="仿宋" w:hAnsi="仿宋" w:eastAsia="仿宋"/>
                <w:sz w:val="24"/>
              </w:rPr>
            </w:pPr>
          </w:p>
        </w:tc>
        <w:tc>
          <w:tcPr>
            <w:tcW w:w="2552" w:type="dxa"/>
            <w:noWrap w:val="0"/>
            <w:vAlign w:val="center"/>
          </w:tcPr>
          <w:p w14:paraId="6F94E358">
            <w:pPr>
              <w:spacing w:line="360" w:lineRule="auto"/>
              <w:ind w:firstLine="200"/>
              <w:jc w:val="center"/>
              <w:rPr>
                <w:rFonts w:ascii="仿宋" w:hAnsi="仿宋" w:eastAsia="仿宋"/>
                <w:sz w:val="24"/>
              </w:rPr>
            </w:pPr>
          </w:p>
        </w:tc>
      </w:tr>
      <w:tr w14:paraId="1CF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283D8B">
            <w:pPr>
              <w:spacing w:line="360" w:lineRule="auto"/>
              <w:ind w:firstLine="200"/>
              <w:jc w:val="center"/>
              <w:rPr>
                <w:rFonts w:ascii="仿宋" w:hAnsi="仿宋" w:eastAsia="仿宋"/>
                <w:sz w:val="24"/>
              </w:rPr>
            </w:pPr>
          </w:p>
        </w:tc>
        <w:tc>
          <w:tcPr>
            <w:tcW w:w="3402" w:type="dxa"/>
            <w:noWrap w:val="0"/>
            <w:vAlign w:val="center"/>
          </w:tcPr>
          <w:p w14:paraId="34D55B7C">
            <w:pPr>
              <w:spacing w:line="360" w:lineRule="auto"/>
              <w:ind w:firstLine="200"/>
              <w:jc w:val="center"/>
              <w:rPr>
                <w:rFonts w:ascii="仿宋" w:hAnsi="仿宋" w:eastAsia="仿宋"/>
                <w:sz w:val="24"/>
              </w:rPr>
            </w:pPr>
          </w:p>
        </w:tc>
        <w:tc>
          <w:tcPr>
            <w:tcW w:w="2552" w:type="dxa"/>
            <w:noWrap w:val="0"/>
            <w:vAlign w:val="center"/>
          </w:tcPr>
          <w:p w14:paraId="4A8B321D">
            <w:pPr>
              <w:spacing w:line="360" w:lineRule="auto"/>
              <w:ind w:firstLine="200"/>
              <w:jc w:val="center"/>
              <w:rPr>
                <w:rFonts w:ascii="仿宋" w:hAnsi="仿宋" w:eastAsia="仿宋"/>
                <w:sz w:val="24"/>
              </w:rPr>
            </w:pPr>
          </w:p>
        </w:tc>
      </w:tr>
      <w:tr w14:paraId="6C8B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E8358E2">
            <w:pPr>
              <w:spacing w:line="360" w:lineRule="auto"/>
              <w:ind w:firstLine="200"/>
              <w:jc w:val="center"/>
              <w:rPr>
                <w:rFonts w:ascii="仿宋" w:hAnsi="仿宋" w:eastAsia="仿宋"/>
                <w:sz w:val="24"/>
              </w:rPr>
            </w:pPr>
            <w:r>
              <w:rPr>
                <w:rFonts w:hint="eastAsia" w:ascii="仿宋" w:hAnsi="仿宋" w:eastAsia="仿宋"/>
                <w:sz w:val="24"/>
              </w:rPr>
              <w:t>总价</w:t>
            </w:r>
          </w:p>
        </w:tc>
        <w:tc>
          <w:tcPr>
            <w:tcW w:w="2552" w:type="dxa"/>
            <w:noWrap w:val="0"/>
            <w:vAlign w:val="center"/>
          </w:tcPr>
          <w:p w14:paraId="539A24B1">
            <w:pPr>
              <w:spacing w:line="360" w:lineRule="auto"/>
              <w:ind w:firstLine="200"/>
              <w:jc w:val="center"/>
              <w:rPr>
                <w:rFonts w:ascii="仿宋" w:hAnsi="仿宋" w:eastAsia="仿宋"/>
                <w:sz w:val="24"/>
              </w:rPr>
            </w:pPr>
          </w:p>
        </w:tc>
      </w:tr>
    </w:tbl>
    <w:p w14:paraId="145EB884">
      <w:pPr>
        <w:keepNext/>
        <w:keepLines/>
        <w:spacing w:before="120" w:beforeLines="50" w:after="120" w:afterLines="50" w:line="360" w:lineRule="auto"/>
        <w:outlineLvl w:val="2"/>
        <w:rPr>
          <w:rFonts w:ascii="仿宋" w:hAnsi="仿宋" w:eastAsia="仿宋"/>
          <w:b/>
          <w:bCs/>
          <w:sz w:val="30"/>
          <w:szCs w:val="32"/>
        </w:rPr>
      </w:pPr>
      <w:bookmarkStart w:id="133" w:name="_Toc26916"/>
      <w:bookmarkStart w:id="134" w:name="_Toc256000055"/>
      <w:bookmarkStart w:id="135" w:name="_Toc256000023"/>
      <w:bookmarkStart w:id="136" w:name="_Toc256000128"/>
      <w:bookmarkStart w:id="137" w:name="_Toc30506"/>
      <w:bookmarkStart w:id="138" w:name="_Toc13664"/>
      <w:bookmarkStart w:id="139" w:name="_Toc14993"/>
      <w:bookmarkStart w:id="140" w:name="_Toc30158"/>
      <w:bookmarkStart w:id="141" w:name="_Toc534649431"/>
      <w:bookmarkStart w:id="142" w:name="_Toc3654"/>
      <w:bookmarkStart w:id="143" w:name="_Toc36659882"/>
      <w:bookmarkStart w:id="144" w:name="_Toc256000083"/>
      <w:r>
        <w:rPr>
          <w:rFonts w:hint="eastAsia" w:ascii="仿宋" w:hAnsi="仿宋" w:eastAsia="仿宋"/>
          <w:b/>
          <w:bCs/>
          <w:sz w:val="30"/>
          <w:szCs w:val="32"/>
        </w:rPr>
        <w:t>1.</w:t>
      </w:r>
      <w:r>
        <w:rPr>
          <w:rFonts w:ascii="仿宋" w:hAnsi="仿宋" w:eastAsia="仿宋"/>
          <w:b/>
          <w:bCs/>
          <w:sz w:val="30"/>
          <w:szCs w:val="32"/>
        </w:rPr>
        <w:t>4</w:t>
      </w:r>
      <w:r>
        <w:rPr>
          <w:rFonts w:hint="eastAsia" w:ascii="仿宋" w:hAnsi="仿宋" w:eastAsia="仿宋"/>
          <w:b/>
          <w:bCs/>
          <w:sz w:val="30"/>
          <w:szCs w:val="32"/>
        </w:rPr>
        <w:t xml:space="preserve"> </w:t>
      </w:r>
      <w:r>
        <w:rPr>
          <w:rFonts w:ascii="仿宋" w:hAnsi="仿宋" w:eastAsia="仿宋"/>
          <w:b/>
          <w:bCs/>
          <w:sz w:val="30"/>
          <w:szCs w:val="32"/>
        </w:rPr>
        <w:t>付款方式和发票开具方式</w:t>
      </w:r>
      <w:bookmarkEnd w:id="133"/>
      <w:bookmarkEnd w:id="134"/>
      <w:bookmarkEnd w:id="135"/>
      <w:bookmarkEnd w:id="136"/>
      <w:bookmarkEnd w:id="137"/>
      <w:bookmarkEnd w:id="138"/>
      <w:bookmarkEnd w:id="139"/>
      <w:bookmarkEnd w:id="140"/>
      <w:bookmarkEnd w:id="141"/>
      <w:bookmarkEnd w:id="142"/>
      <w:bookmarkEnd w:id="143"/>
      <w:bookmarkEnd w:id="144"/>
    </w:p>
    <w:p w14:paraId="411DE581">
      <w:pPr>
        <w:spacing w:line="360" w:lineRule="auto"/>
        <w:ind w:firstLine="480" w:firstLineChars="200"/>
        <w:rPr>
          <w:rFonts w:ascii="仿宋" w:hAnsi="仿宋" w:eastAsia="仿宋"/>
          <w:sz w:val="24"/>
        </w:rPr>
      </w:pPr>
      <w:r>
        <w:rPr>
          <w:rFonts w:hint="eastAsia" w:ascii="仿宋" w:hAnsi="仿宋" w:eastAsia="仿宋"/>
          <w:sz w:val="24"/>
        </w:rPr>
        <w:t>1.4.1</w:t>
      </w:r>
      <w:r>
        <w:rPr>
          <w:rFonts w:ascii="仿宋" w:hAnsi="仿宋" w:eastAsia="仿宋"/>
          <w:sz w:val="24"/>
        </w:rPr>
        <w:t>付款方式：</w:t>
      </w:r>
      <w:r>
        <w:rPr>
          <w:rFonts w:hint="eastAsia" w:ascii="仿宋" w:hAnsi="仿宋" w:eastAsia="仿宋"/>
          <w:sz w:val="24"/>
          <w:u w:val="single"/>
        </w:rPr>
        <w:t xml:space="preserve">                                                </w:t>
      </w:r>
      <w:r>
        <w:rPr>
          <w:rFonts w:hint="eastAsia" w:ascii="仿宋" w:hAnsi="仿宋" w:eastAsia="仿宋"/>
          <w:sz w:val="24"/>
        </w:rPr>
        <w:t>；</w:t>
      </w:r>
    </w:p>
    <w:p w14:paraId="281AFB47">
      <w:pPr>
        <w:spacing w:line="360" w:lineRule="auto"/>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w:t>
      </w:r>
      <w:r>
        <w:rPr>
          <w:rFonts w:hint="eastAsia" w:ascii="仿宋" w:hAnsi="仿宋" w:eastAsia="仿宋"/>
          <w:sz w:val="24"/>
        </w:rPr>
        <w:t>。</w:t>
      </w:r>
    </w:p>
    <w:p w14:paraId="15A856C5">
      <w:pPr>
        <w:keepNext/>
        <w:keepLines/>
        <w:spacing w:before="120" w:beforeLines="50" w:after="120" w:afterLines="50" w:line="360" w:lineRule="auto"/>
        <w:outlineLvl w:val="2"/>
        <w:rPr>
          <w:rFonts w:ascii="仿宋" w:hAnsi="仿宋" w:eastAsia="仿宋"/>
          <w:b/>
          <w:bCs/>
          <w:sz w:val="30"/>
          <w:szCs w:val="32"/>
        </w:rPr>
      </w:pPr>
      <w:bookmarkStart w:id="145" w:name="_Toc3625"/>
      <w:bookmarkStart w:id="146" w:name="_Toc256000024"/>
      <w:bookmarkStart w:id="147" w:name="_Toc256000129"/>
      <w:bookmarkStart w:id="148" w:name="_Toc11108"/>
      <w:bookmarkStart w:id="149" w:name="_Toc31421"/>
      <w:bookmarkStart w:id="150" w:name="_Toc534649432"/>
      <w:bookmarkStart w:id="151" w:name="_Toc4760"/>
      <w:bookmarkStart w:id="152" w:name="_Toc8772"/>
      <w:bookmarkStart w:id="153" w:name="_Toc256000056"/>
      <w:bookmarkStart w:id="154" w:name="_Toc256000084"/>
      <w:bookmarkStart w:id="155" w:name="_Toc36659883"/>
      <w:bookmarkStart w:id="156" w:name="_Toc8291"/>
      <w:r>
        <w:rPr>
          <w:rFonts w:hint="eastAsia" w:ascii="仿宋" w:hAnsi="仿宋" w:eastAsia="仿宋"/>
          <w:b/>
          <w:bCs/>
          <w:sz w:val="30"/>
          <w:szCs w:val="32"/>
        </w:rPr>
        <w:t>1.</w:t>
      </w:r>
      <w:r>
        <w:rPr>
          <w:rFonts w:ascii="仿宋" w:hAnsi="仿宋" w:eastAsia="仿宋"/>
          <w:b/>
          <w:bCs/>
          <w:sz w:val="30"/>
          <w:szCs w:val="32"/>
        </w:rPr>
        <w:t>5</w:t>
      </w:r>
      <w:r>
        <w:rPr>
          <w:rFonts w:hint="eastAsia" w:ascii="仿宋" w:hAnsi="仿宋" w:eastAsia="仿宋"/>
          <w:b/>
          <w:bCs/>
          <w:sz w:val="30"/>
          <w:szCs w:val="32"/>
        </w:rPr>
        <w:t xml:space="preserve"> 履行</w:t>
      </w:r>
      <w:r>
        <w:rPr>
          <w:rFonts w:ascii="仿宋" w:hAnsi="仿宋" w:eastAsia="仿宋"/>
          <w:b/>
          <w:bCs/>
          <w:sz w:val="30"/>
          <w:szCs w:val="32"/>
        </w:rPr>
        <w:t>期限</w:t>
      </w:r>
      <w:r>
        <w:rPr>
          <w:rFonts w:hint="eastAsia" w:ascii="仿宋" w:hAnsi="仿宋" w:eastAsia="仿宋"/>
          <w:b/>
          <w:bCs/>
          <w:sz w:val="30"/>
          <w:szCs w:val="32"/>
        </w:rPr>
        <w:t>、地点和方式</w:t>
      </w:r>
      <w:bookmarkEnd w:id="145"/>
      <w:bookmarkEnd w:id="146"/>
      <w:bookmarkEnd w:id="147"/>
      <w:bookmarkEnd w:id="148"/>
      <w:bookmarkEnd w:id="149"/>
      <w:bookmarkEnd w:id="150"/>
      <w:bookmarkEnd w:id="151"/>
      <w:bookmarkEnd w:id="152"/>
      <w:bookmarkEnd w:id="153"/>
      <w:bookmarkEnd w:id="154"/>
      <w:bookmarkEnd w:id="155"/>
      <w:bookmarkEnd w:id="156"/>
    </w:p>
    <w:p w14:paraId="4987C9AA">
      <w:pPr>
        <w:spacing w:line="360" w:lineRule="auto"/>
        <w:ind w:firstLine="480" w:firstLineChars="200"/>
        <w:rPr>
          <w:rFonts w:ascii="仿宋" w:hAnsi="仿宋" w:eastAsia="仿宋"/>
          <w:sz w:val="24"/>
          <w:u w:val="single"/>
        </w:rPr>
      </w:pPr>
      <w:r>
        <w:rPr>
          <w:rFonts w:hint="eastAsia" w:ascii="仿宋" w:hAnsi="仿宋" w:eastAsia="仿宋"/>
          <w:sz w:val="24"/>
        </w:rPr>
        <w:t>1.5.1 履行期限</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0FDB99A2">
      <w:pPr>
        <w:spacing w:line="360" w:lineRule="auto"/>
        <w:ind w:firstLine="480" w:firstLineChars="200"/>
        <w:rPr>
          <w:rFonts w:ascii="仿宋" w:hAnsi="仿宋" w:eastAsia="仿宋"/>
          <w:sz w:val="24"/>
        </w:rPr>
      </w:pPr>
      <w:r>
        <w:rPr>
          <w:rFonts w:hint="eastAsia" w:ascii="仿宋" w:hAnsi="仿宋" w:eastAsia="仿宋"/>
          <w:sz w:val="24"/>
        </w:rPr>
        <w:t>1.5.2 履行地点</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6E198A6F">
      <w:pPr>
        <w:spacing w:line="360" w:lineRule="auto"/>
        <w:ind w:firstLine="480" w:firstLineChars="200"/>
        <w:rPr>
          <w:rFonts w:ascii="仿宋" w:hAnsi="仿宋" w:eastAsia="仿宋"/>
          <w:sz w:val="24"/>
        </w:rPr>
      </w:pPr>
      <w:r>
        <w:rPr>
          <w:rFonts w:hint="eastAsia" w:ascii="仿宋" w:hAnsi="仿宋" w:eastAsia="仿宋"/>
          <w:sz w:val="24"/>
        </w:rPr>
        <w:t>1.5.3 履行方式：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146C1D67">
      <w:pPr>
        <w:keepNext/>
        <w:keepLines/>
        <w:spacing w:before="120" w:beforeLines="50" w:after="120" w:afterLines="50" w:line="360" w:lineRule="auto"/>
        <w:outlineLvl w:val="2"/>
        <w:rPr>
          <w:rFonts w:ascii="仿宋" w:hAnsi="仿宋" w:eastAsia="仿宋"/>
          <w:b/>
          <w:bCs/>
          <w:sz w:val="30"/>
          <w:szCs w:val="32"/>
        </w:rPr>
      </w:pPr>
      <w:bookmarkStart w:id="157" w:name="_Toc2375"/>
      <w:bookmarkStart w:id="158" w:name="_Toc256000025"/>
      <w:bookmarkStart w:id="159" w:name="_Toc5698"/>
      <w:bookmarkStart w:id="160" w:name="_Toc256000130"/>
      <w:bookmarkStart w:id="161" w:name="_Toc23109"/>
      <w:bookmarkStart w:id="162" w:name="_Toc36659884"/>
      <w:bookmarkStart w:id="163" w:name="_Toc8586"/>
      <w:bookmarkStart w:id="164" w:name="_Toc256000057"/>
      <w:bookmarkStart w:id="165" w:name="_Toc534649433"/>
      <w:bookmarkStart w:id="166" w:name="_Toc256000085"/>
      <w:bookmarkStart w:id="167" w:name="_Toc24662"/>
      <w:bookmarkStart w:id="168" w:name="_Toc3079"/>
      <w:r>
        <w:rPr>
          <w:rFonts w:hint="eastAsia" w:ascii="仿宋" w:hAnsi="仿宋" w:eastAsia="仿宋"/>
          <w:b/>
          <w:bCs/>
          <w:sz w:val="30"/>
          <w:szCs w:val="32"/>
        </w:rPr>
        <w:t>1.6 违约责任</w:t>
      </w:r>
      <w:bookmarkEnd w:id="157"/>
      <w:bookmarkEnd w:id="158"/>
      <w:bookmarkEnd w:id="159"/>
      <w:bookmarkEnd w:id="160"/>
      <w:bookmarkEnd w:id="161"/>
      <w:bookmarkEnd w:id="162"/>
      <w:bookmarkEnd w:id="163"/>
      <w:bookmarkEnd w:id="164"/>
      <w:bookmarkEnd w:id="165"/>
      <w:bookmarkEnd w:id="166"/>
      <w:bookmarkEnd w:id="167"/>
      <w:bookmarkEnd w:id="168"/>
    </w:p>
    <w:p w14:paraId="564CADDA">
      <w:pPr>
        <w:spacing w:line="360" w:lineRule="auto"/>
        <w:ind w:firstLine="480" w:firstLineChars="200"/>
        <w:rPr>
          <w:rFonts w:ascii="仿宋" w:hAnsi="仿宋" w:eastAsia="仿宋"/>
          <w:sz w:val="24"/>
        </w:rPr>
      </w:pPr>
      <w:r>
        <w:rPr>
          <w:rFonts w:hint="eastAsia" w:ascii="仿宋" w:hAnsi="仿宋" w:eastAsia="仿宋"/>
          <w:sz w:val="24"/>
        </w:rPr>
        <w:t xml:space="preserve">1.6.1 </w:t>
      </w:r>
      <w:r>
        <w:rPr>
          <w:rFonts w:ascii="仿宋" w:hAnsi="仿宋" w:eastAsia="仿宋"/>
          <w:sz w:val="24"/>
        </w:rPr>
        <w:t>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073DFF96">
      <w:pPr>
        <w:spacing w:line="360" w:lineRule="auto"/>
        <w:ind w:firstLine="480" w:firstLineChars="200"/>
        <w:rPr>
          <w:rFonts w:ascii="仿宋" w:hAnsi="仿宋" w:eastAsia="仿宋"/>
          <w:sz w:val="24"/>
          <w:u w:val="single"/>
        </w:rPr>
      </w:pPr>
      <w:r>
        <w:rPr>
          <w:rFonts w:hint="eastAsia" w:ascii="仿宋" w:hAnsi="仿宋" w:eastAsia="仿宋"/>
          <w:sz w:val="24"/>
        </w:rPr>
        <w:t xml:space="preserve">1.6.2 </w:t>
      </w:r>
      <w:r>
        <w:rPr>
          <w:rFonts w:ascii="仿宋" w:hAnsi="仿宋" w:eastAsia="仿宋"/>
          <w:sz w:val="24"/>
        </w:rPr>
        <w:t>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655E23F7">
      <w:pPr>
        <w:spacing w:line="360" w:lineRule="auto"/>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4BF9FB">
      <w:pPr>
        <w:spacing w:line="360" w:lineRule="auto"/>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41CE79">
      <w:pPr>
        <w:spacing w:line="360" w:lineRule="auto"/>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50178A">
      <w:pPr>
        <w:spacing w:line="360" w:lineRule="auto"/>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49E6B081">
      <w:pPr>
        <w:keepNext/>
        <w:keepLines/>
        <w:spacing w:before="120" w:beforeLines="50" w:after="120" w:afterLines="50" w:line="360" w:lineRule="auto"/>
        <w:outlineLvl w:val="2"/>
        <w:rPr>
          <w:rFonts w:ascii="仿宋" w:hAnsi="仿宋" w:eastAsia="仿宋"/>
          <w:b/>
          <w:bCs/>
          <w:sz w:val="30"/>
          <w:szCs w:val="32"/>
        </w:rPr>
      </w:pPr>
      <w:bookmarkStart w:id="169" w:name="_Toc32454"/>
      <w:bookmarkStart w:id="170" w:name="_Toc534649434"/>
      <w:bookmarkStart w:id="171" w:name="_Toc30329"/>
      <w:bookmarkStart w:id="172" w:name="_Toc256000131"/>
      <w:bookmarkStart w:id="173" w:name="_Toc18683"/>
      <w:bookmarkStart w:id="174" w:name="_Toc26807"/>
      <w:bookmarkStart w:id="175" w:name="_Toc28241"/>
      <w:bookmarkStart w:id="176" w:name="_Toc256000086"/>
      <w:bookmarkStart w:id="177" w:name="_Toc256000026"/>
      <w:bookmarkStart w:id="178" w:name="_Toc36659885"/>
      <w:bookmarkStart w:id="179" w:name="_Toc9497"/>
      <w:bookmarkStart w:id="180" w:name="_Toc256000058"/>
      <w:r>
        <w:rPr>
          <w:rFonts w:hint="eastAsia" w:ascii="仿宋" w:hAnsi="仿宋" w:eastAsia="仿宋"/>
          <w:b/>
          <w:bCs/>
          <w:sz w:val="30"/>
          <w:szCs w:val="32"/>
        </w:rPr>
        <w:t>1.7 合同</w:t>
      </w:r>
      <w:r>
        <w:rPr>
          <w:rFonts w:ascii="仿宋" w:hAnsi="仿宋" w:eastAsia="仿宋"/>
          <w:b/>
          <w:bCs/>
          <w:sz w:val="30"/>
          <w:szCs w:val="32"/>
        </w:rPr>
        <w:t>争议的解决</w:t>
      </w:r>
      <w:bookmarkEnd w:id="169"/>
      <w:bookmarkEnd w:id="170"/>
      <w:bookmarkEnd w:id="171"/>
      <w:bookmarkEnd w:id="172"/>
      <w:bookmarkEnd w:id="173"/>
      <w:bookmarkEnd w:id="174"/>
      <w:bookmarkEnd w:id="175"/>
      <w:bookmarkEnd w:id="176"/>
      <w:bookmarkEnd w:id="177"/>
      <w:bookmarkEnd w:id="178"/>
      <w:bookmarkEnd w:id="179"/>
      <w:bookmarkEnd w:id="180"/>
    </w:p>
    <w:p w14:paraId="1046D42F">
      <w:pPr>
        <w:spacing w:line="360" w:lineRule="auto"/>
        <w:ind w:firstLine="480" w:firstLineChars="200"/>
        <w:rPr>
          <w:rFonts w:ascii="仿宋" w:hAnsi="仿宋" w:eastAsia="仿宋"/>
          <w:sz w:val="24"/>
        </w:rPr>
      </w:pPr>
      <w:r>
        <w:rPr>
          <w:rFonts w:hint="eastAsia" w:ascii="仿宋" w:hAnsi="仿宋" w:eastAsia="仿宋"/>
          <w:sz w:val="24"/>
        </w:rPr>
        <w:t>本合</w:t>
      </w:r>
      <w:r>
        <w:rPr>
          <w:rFonts w:ascii="仿宋" w:hAnsi="仿宋" w:eastAsia="仿宋"/>
          <w:sz w:val="24"/>
        </w:rPr>
        <w:t>同履行过程中发生的任何争议，双方当事人均可</w:t>
      </w:r>
      <w:r>
        <w:rPr>
          <w:rFonts w:hint="eastAsia" w:ascii="仿宋" w:hAnsi="仿宋" w:eastAsia="仿宋"/>
          <w:sz w:val="24"/>
        </w:rPr>
        <w:t>通过和解或者调解解决；不愿和解、调解或者和解、调解不成的，可以选择下列第</w:t>
      </w:r>
      <w:r>
        <w:rPr>
          <w:rFonts w:hint="eastAsia" w:ascii="仿宋" w:hAnsi="仿宋" w:eastAsia="仿宋"/>
          <w:sz w:val="24"/>
          <w:u w:val="single"/>
        </w:rPr>
        <w:t>2</w:t>
      </w:r>
      <w:r>
        <w:rPr>
          <w:rFonts w:hint="eastAsia" w:ascii="仿宋" w:hAnsi="仿宋" w:eastAsia="仿宋"/>
          <w:sz w:val="24"/>
        </w:rPr>
        <w:t>种方式解决：</w:t>
      </w:r>
    </w:p>
    <w:p w14:paraId="44454326">
      <w:pPr>
        <w:spacing w:line="360" w:lineRule="auto"/>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w:t>
      </w:r>
      <w:r>
        <w:rPr>
          <w:rFonts w:hint="eastAsia" w:ascii="仿宋" w:hAnsi="仿宋" w:eastAsia="仿宋"/>
          <w:sz w:val="24"/>
        </w:rPr>
        <w:t>仲裁委员会依申请仲裁时其现行有效的仲裁规则裁决；</w:t>
      </w:r>
    </w:p>
    <w:p w14:paraId="090E28C8">
      <w:pPr>
        <w:spacing w:line="360" w:lineRule="auto"/>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合同履行地</w:t>
      </w:r>
      <w:r>
        <w:rPr>
          <w:rFonts w:hint="eastAsia" w:ascii="仿宋" w:hAnsi="仿宋" w:eastAsia="仿宋"/>
          <w:sz w:val="24"/>
        </w:rPr>
        <w:t>人民法院起诉。</w:t>
      </w:r>
    </w:p>
    <w:p w14:paraId="6869D970">
      <w:pPr>
        <w:keepNext/>
        <w:keepLines/>
        <w:spacing w:before="120" w:beforeLines="50" w:after="120" w:afterLines="50" w:line="360" w:lineRule="auto"/>
        <w:outlineLvl w:val="2"/>
        <w:rPr>
          <w:rFonts w:ascii="仿宋" w:hAnsi="仿宋" w:eastAsia="仿宋"/>
          <w:b/>
          <w:bCs/>
          <w:sz w:val="30"/>
          <w:szCs w:val="32"/>
        </w:rPr>
      </w:pPr>
      <w:bookmarkStart w:id="181" w:name="_Toc256000087"/>
      <w:bookmarkStart w:id="182" w:name="_Toc534649435"/>
      <w:bookmarkStart w:id="183" w:name="_Toc12273"/>
      <w:bookmarkStart w:id="184" w:name="_Toc256000059"/>
      <w:bookmarkStart w:id="185" w:name="_Toc256000027"/>
      <w:bookmarkStart w:id="186" w:name="_Toc36659886"/>
      <w:bookmarkStart w:id="187" w:name="_Toc15827"/>
      <w:bookmarkStart w:id="188" w:name="_Toc16417"/>
      <w:bookmarkStart w:id="189" w:name="_Toc23784"/>
      <w:bookmarkStart w:id="190" w:name="_Toc26227"/>
      <w:bookmarkStart w:id="191" w:name="_Toc256000132"/>
      <w:bookmarkStart w:id="192" w:name="_Toc5573"/>
      <w:r>
        <w:rPr>
          <w:rFonts w:hint="eastAsia" w:ascii="仿宋" w:hAnsi="仿宋" w:eastAsia="仿宋"/>
          <w:b/>
          <w:bCs/>
          <w:sz w:val="30"/>
          <w:szCs w:val="32"/>
        </w:rPr>
        <w:t xml:space="preserve">1.8 </w:t>
      </w:r>
      <w:r>
        <w:rPr>
          <w:rFonts w:ascii="仿宋" w:hAnsi="仿宋" w:eastAsia="仿宋"/>
          <w:b/>
          <w:bCs/>
          <w:sz w:val="30"/>
          <w:szCs w:val="32"/>
        </w:rPr>
        <w:t>合同生效</w:t>
      </w:r>
      <w:bookmarkEnd w:id="181"/>
      <w:bookmarkEnd w:id="182"/>
      <w:bookmarkEnd w:id="183"/>
      <w:bookmarkEnd w:id="184"/>
      <w:bookmarkEnd w:id="185"/>
      <w:bookmarkEnd w:id="186"/>
      <w:bookmarkEnd w:id="187"/>
      <w:bookmarkEnd w:id="188"/>
      <w:bookmarkEnd w:id="189"/>
      <w:bookmarkEnd w:id="190"/>
      <w:bookmarkEnd w:id="191"/>
      <w:bookmarkEnd w:id="192"/>
    </w:p>
    <w:p w14:paraId="6EEE1D22">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7BD99201">
      <w:pPr>
        <w:autoSpaceDE w:val="0"/>
        <w:autoSpaceDN w:val="0"/>
        <w:adjustRightInd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14:paraId="3F2B4E5E">
      <w:pPr>
        <w:autoSpaceDE w:val="0"/>
        <w:autoSpaceDN w:val="0"/>
        <w:adjustRightInd w:val="0"/>
        <w:spacing w:line="560" w:lineRule="exact"/>
        <w:rPr>
          <w:rFonts w:hint="eastAsia" w:ascii="仿宋" w:hAnsi="仿宋" w:eastAsia="仿宋"/>
          <w:sz w:val="24"/>
          <w:lang w:val="zh-CN"/>
        </w:rPr>
      </w:pPr>
      <w:r>
        <w:rPr>
          <w:rFonts w:hint="eastAsia" w:ascii="仿宋" w:hAnsi="仿宋" w:eastAsia="仿宋"/>
          <w:sz w:val="24"/>
          <w:lang w:val="zh-CN"/>
        </w:rPr>
        <w:t>统一社会信用代码：                       统一社会信用代码或身份证号码：</w:t>
      </w:r>
    </w:p>
    <w:p w14:paraId="2084F36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住所：                                   住所：</w:t>
      </w:r>
    </w:p>
    <w:p w14:paraId="0D6F53C6">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14:paraId="179836B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14:paraId="16D52A7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联系人：                                 联系人：</w:t>
      </w:r>
    </w:p>
    <w:p w14:paraId="5AACD454">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32C5A192">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AFF9C8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14:paraId="71E2593F">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传真:                                    传真:</w:t>
      </w:r>
    </w:p>
    <w:p w14:paraId="072F2E0A">
      <w:pPr>
        <w:autoSpaceDE w:val="0"/>
        <w:autoSpaceDN w:val="0"/>
        <w:adjustRightInd w:val="0"/>
        <w:spacing w:line="560" w:lineRule="exact"/>
        <w:rPr>
          <w:rFonts w:ascii="仿宋" w:hAnsi="仿宋" w:eastAsia="仿宋"/>
          <w:sz w:val="24"/>
        </w:rPr>
      </w:pPr>
      <w:r>
        <w:rPr>
          <w:rFonts w:hint="eastAsia" w:ascii="仿宋" w:hAnsi="仿宋" w:eastAsia="仿宋"/>
          <w:sz w:val="24"/>
          <w:lang w:val="zh-CN"/>
        </w:rPr>
        <w:t>电子邮箱：                               电子邮箱：</w:t>
      </w:r>
    </w:p>
    <w:p w14:paraId="48D663C9">
      <w:pPr>
        <w:autoSpaceDE w:val="0"/>
        <w:autoSpaceDN w:val="0"/>
        <w:adjustRightInd w:val="0"/>
        <w:spacing w:line="560" w:lineRule="exact"/>
        <w:rPr>
          <w:rFonts w:ascii="仿宋" w:hAnsi="仿宋" w:eastAsia="仿宋"/>
          <w:sz w:val="24"/>
        </w:rPr>
      </w:pPr>
      <w:r>
        <w:rPr>
          <w:rFonts w:hint="eastAsia" w:ascii="仿宋" w:hAnsi="仿宋" w:eastAsia="仿宋"/>
          <w:sz w:val="24"/>
        </w:rPr>
        <w:t>开户银行：                               开户银行：</w:t>
      </w:r>
    </w:p>
    <w:p w14:paraId="12E0A3C3">
      <w:pPr>
        <w:autoSpaceDE w:val="0"/>
        <w:autoSpaceDN w:val="0"/>
        <w:adjustRightInd w:val="0"/>
        <w:spacing w:line="560" w:lineRule="exact"/>
        <w:rPr>
          <w:rFonts w:ascii="仿宋" w:hAnsi="仿宋" w:eastAsia="仿宋"/>
          <w:sz w:val="24"/>
        </w:rPr>
      </w:pPr>
      <w:r>
        <w:rPr>
          <w:rFonts w:hint="eastAsia" w:ascii="仿宋" w:hAnsi="仿宋" w:eastAsia="仿宋"/>
          <w:sz w:val="24"/>
        </w:rPr>
        <w:t>开户名称：                               开户名称：</w:t>
      </w:r>
    </w:p>
    <w:p w14:paraId="68EDE19B">
      <w:pPr>
        <w:autoSpaceDE w:val="0"/>
        <w:autoSpaceDN w:val="0"/>
        <w:adjustRightInd w:val="0"/>
        <w:spacing w:line="560" w:lineRule="exact"/>
        <w:rPr>
          <w:rFonts w:hint="eastAsia"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bookmarkStart w:id="193" w:name="_Toc331685783"/>
    </w:p>
    <w:p w14:paraId="6C4714A7">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194" w:name="_Toc36659887"/>
      <w:bookmarkStart w:id="195" w:name="_Toc256000060"/>
      <w:bookmarkStart w:id="196" w:name="_Toc256000088"/>
      <w:bookmarkStart w:id="197" w:name="_Toc256000028"/>
      <w:bookmarkStart w:id="198" w:name="_Toc534649436"/>
      <w:bookmarkStart w:id="199" w:name="_Toc256000133"/>
      <w:bookmarkStart w:id="200" w:name="_Toc14991"/>
      <w:r>
        <w:rPr>
          <w:rFonts w:hint="eastAsia" w:ascii="仿宋" w:hAnsi="仿宋" w:eastAsia="仿宋"/>
          <w:b/>
          <w:bCs/>
          <w:sz w:val="32"/>
          <w:szCs w:val="32"/>
        </w:rPr>
        <w:t>第二部分 合同一般条款</w:t>
      </w:r>
      <w:bookmarkEnd w:id="193"/>
      <w:bookmarkEnd w:id="194"/>
      <w:bookmarkEnd w:id="195"/>
      <w:bookmarkEnd w:id="196"/>
      <w:bookmarkEnd w:id="197"/>
      <w:bookmarkEnd w:id="198"/>
      <w:bookmarkEnd w:id="199"/>
      <w:bookmarkEnd w:id="200"/>
    </w:p>
    <w:p w14:paraId="64E806A0">
      <w:pPr>
        <w:keepNext/>
        <w:keepLines/>
        <w:spacing w:before="120" w:beforeLines="50" w:after="120" w:afterLines="50" w:line="360" w:lineRule="auto"/>
        <w:outlineLvl w:val="2"/>
        <w:rPr>
          <w:rFonts w:ascii="仿宋" w:hAnsi="仿宋" w:eastAsia="仿宋"/>
          <w:b/>
          <w:bCs/>
          <w:sz w:val="30"/>
          <w:szCs w:val="32"/>
        </w:rPr>
      </w:pPr>
      <w:bookmarkStart w:id="201" w:name="_Ref467379205"/>
      <w:bookmarkStart w:id="202" w:name="_Ref467379094"/>
      <w:bookmarkStart w:id="203" w:name="_Ref467379101"/>
      <w:bookmarkStart w:id="204" w:name="_Toc256000134"/>
      <w:bookmarkStart w:id="205" w:name="_Ref467379109"/>
      <w:bookmarkStart w:id="206" w:name="_Toc36659888"/>
      <w:bookmarkStart w:id="207" w:name="_Toc256000061"/>
      <w:bookmarkStart w:id="208" w:name="_Toc279701240"/>
      <w:bookmarkStart w:id="209" w:name="_Toc5228"/>
      <w:bookmarkStart w:id="210" w:name="_Ref467379214"/>
      <w:bookmarkStart w:id="211" w:name="_Toc256000029"/>
      <w:bookmarkStart w:id="212" w:name="_Ref467378404"/>
      <w:bookmarkStart w:id="213" w:name="_Toc256000089"/>
      <w:bookmarkStart w:id="214" w:name="_Toc487900349"/>
      <w:bookmarkStart w:id="215" w:name="_Toc534649437"/>
      <w:bookmarkStart w:id="216" w:name="_Ref467378499"/>
      <w:bookmarkStart w:id="217" w:name="_Toc14021"/>
      <w:bookmarkStart w:id="218" w:name="_Toc31297"/>
      <w:bookmarkStart w:id="219" w:name="_Toc259093669"/>
      <w:bookmarkStart w:id="220" w:name="_Ref467379195"/>
      <w:bookmarkStart w:id="221" w:name="_Toc26865"/>
      <w:bookmarkStart w:id="222" w:name="_Toc25079"/>
      <w:bookmarkStart w:id="223" w:name="_Toc19680"/>
      <w:bookmarkStart w:id="224" w:name="_Ref467379225"/>
      <w:bookmarkStart w:id="225" w:name="_Ref467378463"/>
      <w:r>
        <w:rPr>
          <w:rFonts w:hint="eastAsia" w:ascii="仿宋" w:hAnsi="仿宋" w:eastAsia="仿宋"/>
          <w:b/>
          <w:bCs/>
          <w:sz w:val="30"/>
          <w:szCs w:val="32"/>
        </w:rPr>
        <w:t xml:space="preserve">2.1 </w:t>
      </w:r>
      <w:r>
        <w:rPr>
          <w:rFonts w:ascii="仿宋" w:hAnsi="仿宋" w:eastAsia="仿宋"/>
          <w:b/>
          <w:bCs/>
          <w:sz w:val="30"/>
          <w:szCs w:val="32"/>
        </w:rPr>
        <w:t>定义</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44BD388">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22FECD1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.1</w:t>
      </w:r>
      <w:r>
        <w:rPr>
          <w:rFonts w:ascii="仿宋" w:hAnsi="仿宋" w:eastAsia="仿宋"/>
          <w:sz w:val="24"/>
        </w:rPr>
        <w:t xml:space="preserve"> “合同”系指</w:t>
      </w:r>
      <w:r>
        <w:rPr>
          <w:rFonts w:hint="eastAsia" w:ascii="仿宋" w:hAnsi="仿宋" w:eastAsia="仿宋"/>
          <w:sz w:val="24"/>
          <w:lang w:val="en-US" w:eastAsia="zh-CN"/>
        </w:rPr>
        <w:t>采购</w:t>
      </w:r>
      <w:r>
        <w:rPr>
          <w:rFonts w:ascii="仿宋" w:hAnsi="仿宋" w:eastAsia="仿宋"/>
          <w:sz w:val="24"/>
        </w:rPr>
        <w:t>人和成交供应商签订的载明双方当事人所达成的协议，并包括所有的附件、附录和构成合同的其他文件。</w:t>
      </w:r>
    </w:p>
    <w:p w14:paraId="34DE6A57">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1.2 “合同价”系指根据合同约定，成交供应商在完全履行合同义务后</w:t>
      </w:r>
      <w:r>
        <w:rPr>
          <w:rFonts w:hint="eastAsia" w:ascii="仿宋" w:hAnsi="仿宋" w:eastAsia="仿宋"/>
          <w:sz w:val="24"/>
        </w:rPr>
        <w:t>，</w:t>
      </w:r>
      <w:r>
        <w:rPr>
          <w:rFonts w:hint="eastAsia" w:ascii="仿宋" w:hAnsi="仿宋" w:eastAsia="仿宋"/>
          <w:sz w:val="24"/>
          <w:lang w:val="en-US" w:eastAsia="zh-CN"/>
        </w:rPr>
        <w:t>采购</w:t>
      </w:r>
      <w:r>
        <w:rPr>
          <w:rFonts w:ascii="仿宋" w:hAnsi="仿宋" w:eastAsia="仿宋"/>
          <w:sz w:val="24"/>
        </w:rPr>
        <w:t>人应支付给成交供应商的价格。</w:t>
      </w:r>
    </w:p>
    <w:p w14:paraId="53F657D3">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成交供应商</w:t>
      </w:r>
      <w:r>
        <w:rPr>
          <w:rFonts w:ascii="仿宋" w:hAnsi="仿宋" w:eastAsia="仿宋"/>
          <w:sz w:val="24"/>
        </w:rPr>
        <w:t>根据合同约定应向</w:t>
      </w:r>
      <w:r>
        <w:rPr>
          <w:rFonts w:hint="eastAsia" w:ascii="仿宋" w:hAnsi="仿宋" w:eastAsia="仿宋"/>
          <w:sz w:val="24"/>
          <w:lang w:eastAsia="zh-CN"/>
        </w:rPr>
        <w:t>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w:t>
      </w:r>
      <w:r>
        <w:rPr>
          <w:rFonts w:hint="eastAsia" w:ascii="仿宋" w:hAnsi="仿宋" w:eastAsia="仿宋"/>
          <w:sz w:val="24"/>
          <w:lang w:eastAsia="zh-CN"/>
        </w:rPr>
        <w:t>采购人</w:t>
      </w:r>
      <w:r>
        <w:rPr>
          <w:rFonts w:hint="eastAsia" w:ascii="仿宋" w:hAnsi="仿宋" w:eastAsia="仿宋"/>
          <w:sz w:val="24"/>
        </w:rPr>
        <w:t>自身需要的服务和向社会公众提供的公共服务。</w:t>
      </w:r>
    </w:p>
    <w:p w14:paraId="5A327614">
      <w:pPr>
        <w:spacing w:line="360" w:lineRule="auto"/>
        <w:ind w:firstLine="480" w:firstLineChars="200"/>
        <w:rPr>
          <w:rFonts w:ascii="仿宋" w:hAnsi="仿宋" w:eastAsia="仿宋"/>
          <w:sz w:val="24"/>
        </w:rPr>
      </w:pPr>
      <w:bookmarkStart w:id="226" w:name="_Ref467378840"/>
      <w:r>
        <w:rPr>
          <w:rFonts w:hint="eastAsia" w:ascii="仿宋" w:hAnsi="仿宋" w:eastAsia="仿宋"/>
          <w:sz w:val="24"/>
        </w:rPr>
        <w:t>2.</w:t>
      </w:r>
      <w:r>
        <w:rPr>
          <w:rFonts w:ascii="仿宋" w:hAnsi="仿宋" w:eastAsia="仿宋"/>
          <w:sz w:val="24"/>
        </w:rPr>
        <w:t>1.</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成交供应商</w:t>
      </w:r>
      <w:r>
        <w:rPr>
          <w:rFonts w:ascii="仿宋" w:hAnsi="仿宋" w:eastAsia="仿宋"/>
          <w:sz w:val="24"/>
        </w:rPr>
        <w:t>签署合同的</w:t>
      </w:r>
      <w:bookmarkEnd w:id="226"/>
      <w:r>
        <w:rPr>
          <w:rFonts w:hint="eastAsia" w:ascii="仿宋" w:hAnsi="仿宋" w:eastAsia="仿宋"/>
          <w:sz w:val="24"/>
          <w:lang w:eastAsia="zh-CN"/>
        </w:rPr>
        <w:t>采购人</w:t>
      </w:r>
      <w:r>
        <w:rPr>
          <w:rFonts w:hint="eastAsia" w:ascii="仿宋" w:hAnsi="仿宋" w:eastAsia="仿宋"/>
          <w:sz w:val="24"/>
        </w:rPr>
        <w:t>；</w:t>
      </w:r>
      <w:r>
        <w:rPr>
          <w:rFonts w:hint="eastAsia" w:ascii="仿宋" w:hAnsi="仿宋" w:eastAsia="仿宋"/>
          <w:sz w:val="24"/>
          <w:lang w:eastAsia="zh-CN"/>
        </w:rPr>
        <w:t>采购人</w:t>
      </w:r>
      <w:r>
        <w:rPr>
          <w:rFonts w:hint="eastAsia" w:ascii="仿宋" w:hAnsi="仿宋" w:eastAsia="仿宋"/>
          <w:sz w:val="24"/>
        </w:rPr>
        <w:t>委托采购代理机构代表其与乙方签订合同的，</w:t>
      </w:r>
      <w:r>
        <w:rPr>
          <w:rFonts w:hint="eastAsia" w:ascii="仿宋" w:hAnsi="仿宋" w:eastAsia="仿宋"/>
          <w:sz w:val="24"/>
          <w:lang w:eastAsia="zh-CN"/>
        </w:rPr>
        <w:t>采购人</w:t>
      </w:r>
      <w:r>
        <w:rPr>
          <w:rFonts w:hint="eastAsia" w:ascii="仿宋" w:hAnsi="仿宋" w:eastAsia="仿宋"/>
          <w:sz w:val="24"/>
        </w:rPr>
        <w:t>的授权委托书作为合同附件。</w:t>
      </w:r>
    </w:p>
    <w:p w14:paraId="03878EAC">
      <w:pPr>
        <w:spacing w:line="360" w:lineRule="auto"/>
        <w:ind w:firstLine="480" w:firstLineChars="200"/>
        <w:rPr>
          <w:rFonts w:hint="eastAsia" w:ascii="仿宋" w:hAnsi="仿宋" w:eastAsia="仿宋"/>
          <w:sz w:val="24"/>
        </w:rPr>
      </w:pPr>
      <w:bookmarkStart w:id="227" w:name="_Ref467379400"/>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 xml:space="preserve"> “乙方”系指根据合同约定提供服务的成交供应商</w:t>
      </w:r>
      <w:bookmarkEnd w:id="227"/>
      <w:r>
        <w:rPr>
          <w:rFonts w:hint="eastAsia" w:ascii="仿宋" w:hAnsi="仿宋" w:eastAsia="仿宋"/>
          <w:sz w:val="24"/>
        </w:rPr>
        <w:t>。</w:t>
      </w:r>
    </w:p>
    <w:p w14:paraId="72966BD4">
      <w:pPr>
        <w:spacing w:line="360" w:lineRule="auto"/>
        <w:ind w:firstLine="480" w:firstLineChars="200"/>
        <w:rPr>
          <w:rFonts w:ascii="仿宋" w:hAnsi="仿宋" w:eastAsia="仿宋"/>
          <w:sz w:val="24"/>
        </w:rPr>
      </w:pPr>
      <w:bookmarkStart w:id="228" w:name="_Ref467379436"/>
      <w:r>
        <w:rPr>
          <w:rFonts w:hint="eastAsia" w:ascii="仿宋" w:hAnsi="仿宋" w:eastAsia="仿宋"/>
          <w:sz w:val="24"/>
        </w:rPr>
        <w:t>2.</w:t>
      </w:r>
      <w:r>
        <w:rPr>
          <w:rFonts w:ascii="仿宋" w:hAnsi="仿宋" w:eastAsia="仿宋"/>
          <w:sz w:val="24"/>
        </w:rPr>
        <w:t>1.</w:t>
      </w:r>
      <w:r>
        <w:rPr>
          <w:rFonts w:hint="eastAsia" w:ascii="仿宋" w:hAnsi="仿宋" w:eastAsia="仿宋"/>
          <w:sz w:val="24"/>
        </w:rPr>
        <w:t>6</w:t>
      </w:r>
      <w:r>
        <w:rPr>
          <w:rFonts w:ascii="仿宋" w:hAnsi="仿宋" w:eastAsia="仿宋"/>
          <w:sz w:val="24"/>
        </w:rPr>
        <w:t xml:space="preserve"> “现场”系指合同约定提供服务的地点。</w:t>
      </w:r>
      <w:bookmarkEnd w:id="228"/>
    </w:p>
    <w:p w14:paraId="0AF860D5">
      <w:pPr>
        <w:keepNext/>
        <w:keepLines/>
        <w:spacing w:before="120" w:beforeLines="50" w:after="120" w:afterLines="50" w:line="360" w:lineRule="auto"/>
        <w:outlineLvl w:val="2"/>
        <w:rPr>
          <w:rFonts w:ascii="仿宋" w:hAnsi="仿宋" w:eastAsia="仿宋"/>
          <w:b/>
          <w:bCs/>
          <w:sz w:val="30"/>
          <w:szCs w:val="32"/>
        </w:rPr>
      </w:pPr>
      <w:bookmarkStart w:id="229" w:name="_Toc487900350"/>
      <w:bookmarkStart w:id="230" w:name="_Toc19539"/>
      <w:bookmarkStart w:id="231" w:name="_Toc31999"/>
      <w:bookmarkStart w:id="232" w:name="_Toc23289"/>
      <w:bookmarkStart w:id="233" w:name="_Toc3769"/>
      <w:bookmarkStart w:id="234" w:name="_Toc36659889"/>
      <w:bookmarkStart w:id="235" w:name="_Toc31402"/>
      <w:bookmarkStart w:id="236" w:name="_Toc256000090"/>
      <w:bookmarkStart w:id="237" w:name="_Toc279701241"/>
      <w:bookmarkStart w:id="238" w:name="_Toc256000030"/>
      <w:bookmarkStart w:id="239" w:name="_Toc16752"/>
      <w:bookmarkStart w:id="240" w:name="_Toc259093670"/>
      <w:bookmarkStart w:id="241" w:name="_Toc256000062"/>
      <w:bookmarkStart w:id="242" w:name="_Toc534649438"/>
      <w:bookmarkStart w:id="243" w:name="_Toc256000135"/>
      <w:r>
        <w:rPr>
          <w:rFonts w:hint="eastAsia" w:ascii="仿宋" w:hAnsi="仿宋" w:eastAsia="仿宋"/>
          <w:b/>
          <w:bCs/>
          <w:sz w:val="30"/>
          <w:szCs w:val="32"/>
        </w:rPr>
        <w:t>2.</w:t>
      </w:r>
      <w:r>
        <w:rPr>
          <w:rFonts w:ascii="仿宋" w:hAnsi="仿宋" w:eastAsia="仿宋"/>
          <w:b/>
          <w:bCs/>
          <w:sz w:val="30"/>
          <w:szCs w:val="32"/>
        </w:rPr>
        <w:t>2</w:t>
      </w:r>
      <w:r>
        <w:rPr>
          <w:rFonts w:hint="eastAsia" w:ascii="仿宋" w:hAnsi="仿宋" w:eastAsia="仿宋"/>
          <w:b/>
          <w:bCs/>
          <w:sz w:val="30"/>
          <w:szCs w:val="32"/>
        </w:rPr>
        <w:t xml:space="preserve"> </w:t>
      </w:r>
      <w:r>
        <w:rPr>
          <w:rFonts w:ascii="仿宋" w:hAnsi="仿宋" w:eastAsia="仿宋"/>
          <w:b/>
          <w:bCs/>
          <w:sz w:val="30"/>
          <w:szCs w:val="32"/>
        </w:rPr>
        <w:t>技术规范</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C49A49A">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725AF398">
      <w:pPr>
        <w:keepNext/>
        <w:keepLines/>
        <w:spacing w:before="120" w:beforeLines="50" w:after="120" w:afterLines="50" w:line="360" w:lineRule="auto"/>
        <w:outlineLvl w:val="2"/>
        <w:rPr>
          <w:rFonts w:ascii="仿宋" w:hAnsi="仿宋" w:eastAsia="仿宋"/>
          <w:b/>
          <w:bCs/>
          <w:sz w:val="30"/>
          <w:szCs w:val="32"/>
        </w:rPr>
      </w:pPr>
      <w:bookmarkStart w:id="244" w:name="_Toc12412"/>
      <w:bookmarkStart w:id="245" w:name="_Toc36659890"/>
      <w:bookmarkStart w:id="246" w:name="_Toc256000031"/>
      <w:bookmarkStart w:id="247" w:name="_Toc256000091"/>
      <w:bookmarkStart w:id="248" w:name="_Toc13673"/>
      <w:bookmarkStart w:id="249" w:name="_Toc9161"/>
      <w:bookmarkStart w:id="250" w:name="_Toc256000063"/>
      <w:bookmarkStart w:id="251" w:name="_Toc27945"/>
      <w:bookmarkStart w:id="252" w:name="_Toc256000136"/>
      <w:bookmarkStart w:id="253" w:name="_Toc534649439"/>
      <w:bookmarkStart w:id="254" w:name="_Toc279701242"/>
      <w:bookmarkStart w:id="255" w:name="_Toc17128"/>
      <w:bookmarkStart w:id="256" w:name="_Toc4133"/>
      <w:bookmarkStart w:id="257" w:name="_Toc487900351"/>
      <w:bookmarkStart w:id="258" w:name="_Toc259093671"/>
      <w:r>
        <w:rPr>
          <w:rFonts w:hint="eastAsia" w:ascii="仿宋" w:hAnsi="仿宋" w:eastAsia="仿宋"/>
          <w:b/>
          <w:bCs/>
          <w:sz w:val="30"/>
          <w:szCs w:val="32"/>
        </w:rPr>
        <w:t>2.</w:t>
      </w:r>
      <w:r>
        <w:rPr>
          <w:rFonts w:ascii="仿宋" w:hAnsi="仿宋" w:eastAsia="仿宋"/>
          <w:b/>
          <w:bCs/>
          <w:sz w:val="30"/>
          <w:szCs w:val="32"/>
        </w:rPr>
        <w:t>3</w:t>
      </w:r>
      <w:r>
        <w:rPr>
          <w:rFonts w:hint="eastAsia" w:ascii="仿宋" w:hAnsi="仿宋" w:eastAsia="仿宋"/>
          <w:b/>
          <w:bCs/>
          <w:sz w:val="30"/>
          <w:szCs w:val="32"/>
        </w:rPr>
        <w:t xml:space="preserve"> </w:t>
      </w:r>
      <w:r>
        <w:rPr>
          <w:rFonts w:ascii="仿宋" w:hAnsi="仿宋" w:eastAsia="仿宋"/>
          <w:b/>
          <w:bCs/>
          <w:sz w:val="30"/>
          <w:szCs w:val="32"/>
        </w:rPr>
        <w:t>知识产权</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4826CBF">
      <w:pPr>
        <w:spacing w:line="360" w:lineRule="auto"/>
        <w:ind w:firstLine="480" w:firstLineChars="200"/>
        <w:rPr>
          <w:rFonts w:ascii="仿宋" w:hAnsi="仿宋" w:eastAsia="仿宋"/>
          <w:sz w:val="24"/>
        </w:rPr>
      </w:pPr>
      <w:r>
        <w:rPr>
          <w:rFonts w:hint="eastAsia" w:ascii="仿宋" w:hAnsi="仿宋" w:eastAsia="仿宋"/>
          <w:sz w:val="24"/>
        </w:rPr>
        <w:t>2.3.1 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46D013C5">
      <w:pPr>
        <w:spacing w:line="360" w:lineRule="auto"/>
        <w:ind w:firstLine="480" w:firstLineChars="200"/>
        <w:rPr>
          <w:rFonts w:ascii="仿宋" w:hAnsi="仿宋" w:eastAsia="仿宋"/>
          <w:sz w:val="24"/>
        </w:rPr>
      </w:pPr>
      <w:r>
        <w:rPr>
          <w:rFonts w:hint="eastAsia" w:ascii="仿宋" w:hAnsi="仿宋" w:eastAsia="仿宋"/>
          <w:sz w:val="24"/>
        </w:rPr>
        <w:t>2.3.2 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D11DD2F">
      <w:pPr>
        <w:keepNext/>
        <w:keepLines/>
        <w:spacing w:before="120" w:beforeLines="50" w:after="120" w:afterLines="50" w:line="360" w:lineRule="auto"/>
        <w:outlineLvl w:val="2"/>
        <w:rPr>
          <w:rFonts w:ascii="仿宋" w:hAnsi="仿宋" w:eastAsia="仿宋"/>
          <w:b/>
          <w:bCs/>
          <w:sz w:val="30"/>
          <w:szCs w:val="32"/>
        </w:rPr>
      </w:pPr>
      <w:bookmarkStart w:id="259" w:name="_Toc256000137"/>
      <w:bookmarkStart w:id="260" w:name="_Toc256000064"/>
      <w:bookmarkStart w:id="261" w:name="_Toc3042"/>
      <w:bookmarkStart w:id="262" w:name="_Toc534649440"/>
      <w:bookmarkStart w:id="263" w:name="_Toc256000032"/>
      <w:bookmarkStart w:id="264" w:name="_Toc36659891"/>
      <w:bookmarkStart w:id="265" w:name="_Toc256000092"/>
      <w:r>
        <w:rPr>
          <w:rFonts w:hint="eastAsia" w:ascii="仿宋" w:hAnsi="仿宋" w:eastAsia="仿宋"/>
          <w:b/>
          <w:bCs/>
          <w:sz w:val="30"/>
          <w:szCs w:val="32"/>
        </w:rPr>
        <w:t>2.4 履约检查和问题反馈</w:t>
      </w:r>
      <w:bookmarkEnd w:id="259"/>
      <w:bookmarkEnd w:id="260"/>
      <w:bookmarkEnd w:id="261"/>
      <w:bookmarkEnd w:id="262"/>
      <w:bookmarkEnd w:id="263"/>
      <w:bookmarkEnd w:id="264"/>
      <w:bookmarkEnd w:id="265"/>
    </w:p>
    <w:p w14:paraId="1EEF6748">
      <w:pPr>
        <w:spacing w:line="360" w:lineRule="auto"/>
        <w:ind w:firstLine="480" w:firstLineChars="200"/>
        <w:rPr>
          <w:rFonts w:ascii="仿宋" w:hAnsi="仿宋" w:eastAsia="仿宋"/>
          <w:sz w:val="24"/>
        </w:rPr>
      </w:pPr>
      <w:bookmarkStart w:id="266" w:name="_Ref467379657"/>
      <w:r>
        <w:rPr>
          <w:rFonts w:hint="eastAsia" w:ascii="仿宋" w:hAnsi="仿宋" w:eastAsia="仿宋"/>
          <w:sz w:val="24"/>
        </w:rPr>
        <w:t>2.4</w:t>
      </w:r>
      <w:r>
        <w:rPr>
          <w:rFonts w:ascii="仿宋" w:hAnsi="仿宋" w:eastAsia="仿宋"/>
          <w:sz w:val="24"/>
        </w:rPr>
        <w:t>.1</w:t>
      </w:r>
      <w:bookmarkEnd w:id="266"/>
      <w:bookmarkStart w:id="267" w:name="_Toc186431854"/>
      <w:bookmarkStart w:id="268" w:name="_Toc487900357"/>
      <w:bookmarkStart w:id="269" w:name="_Toc279701247"/>
      <w:bookmarkStart w:id="270" w:name="_Ref467379807"/>
      <w:bookmarkStart w:id="271" w:name="_Ref467379793"/>
      <w:bookmarkStart w:id="272" w:name="_Toc259093676"/>
      <w:r>
        <w:rPr>
          <w:rFonts w:ascii="仿宋" w:hAnsi="仿宋" w:eastAsia="仿宋"/>
          <w:sz w:val="24"/>
        </w:rPr>
        <w:t>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626EA1AF">
      <w:pPr>
        <w:spacing w:line="360" w:lineRule="auto"/>
        <w:ind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bookmarkEnd w:id="267"/>
      <w:bookmarkStart w:id="273" w:name="_Toc186431855"/>
      <w:r>
        <w:rPr>
          <w:rFonts w:hint="eastAsia" w:ascii="仿宋" w:hAnsi="仿宋" w:eastAsia="仿宋"/>
          <w:sz w:val="24"/>
        </w:rPr>
        <w:t>。</w:t>
      </w:r>
    </w:p>
    <w:bookmarkEnd w:id="273"/>
    <w:p w14:paraId="20529778">
      <w:pPr>
        <w:keepNext/>
        <w:keepLines/>
        <w:spacing w:before="120" w:beforeLines="50" w:after="120" w:afterLines="50"/>
        <w:outlineLvl w:val="2"/>
        <w:rPr>
          <w:rFonts w:ascii="仿宋" w:hAnsi="仿宋" w:eastAsia="仿宋"/>
          <w:b/>
          <w:bCs/>
          <w:sz w:val="30"/>
          <w:szCs w:val="32"/>
        </w:rPr>
      </w:pPr>
      <w:bookmarkStart w:id="274" w:name="_Toc26555"/>
      <w:bookmarkStart w:id="275" w:name="_Toc256000093"/>
      <w:bookmarkStart w:id="276" w:name="_Toc36659892"/>
      <w:bookmarkStart w:id="277" w:name="_Toc31233"/>
      <w:bookmarkStart w:id="278" w:name="_Toc534649441"/>
      <w:bookmarkStart w:id="279" w:name="_Toc22011"/>
      <w:bookmarkStart w:id="280" w:name="_Toc32670"/>
      <w:bookmarkStart w:id="281" w:name="_Toc256000065"/>
      <w:bookmarkStart w:id="282" w:name="_Toc256000033"/>
      <w:bookmarkStart w:id="283" w:name="_Toc256000138"/>
      <w:bookmarkStart w:id="284" w:name="_Toc15876"/>
      <w:bookmarkStart w:id="285" w:name="_Toc15447"/>
      <w:r>
        <w:rPr>
          <w:rFonts w:hint="eastAsia" w:ascii="仿宋" w:hAnsi="仿宋" w:eastAsia="仿宋"/>
          <w:b/>
          <w:bCs/>
          <w:sz w:val="30"/>
          <w:szCs w:val="32"/>
        </w:rPr>
        <w:t xml:space="preserve">2.5 </w:t>
      </w:r>
      <w:r>
        <w:rPr>
          <w:rFonts w:ascii="仿宋" w:hAnsi="仿宋" w:eastAsia="仿宋"/>
          <w:b/>
          <w:bCs/>
          <w:sz w:val="30"/>
          <w:szCs w:val="32"/>
        </w:rPr>
        <w:t>结算方式和付款条件</w:t>
      </w:r>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bookmarkEnd w:id="285"/>
    </w:p>
    <w:p w14:paraId="388453E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2B0547A">
      <w:pPr>
        <w:keepNext/>
        <w:keepLines/>
        <w:spacing w:before="120" w:beforeLines="50" w:after="120" w:afterLines="50"/>
        <w:outlineLvl w:val="2"/>
        <w:rPr>
          <w:rFonts w:ascii="仿宋" w:hAnsi="仿宋" w:eastAsia="仿宋"/>
          <w:b/>
          <w:bCs/>
          <w:sz w:val="30"/>
          <w:szCs w:val="32"/>
        </w:rPr>
      </w:pPr>
      <w:bookmarkStart w:id="286" w:name="_Ref467379852"/>
      <w:bookmarkStart w:id="287" w:name="_Toc279701248"/>
      <w:bookmarkStart w:id="288" w:name="_Ref467379863"/>
      <w:bookmarkStart w:id="289" w:name="_Ref467379923"/>
      <w:bookmarkStart w:id="290" w:name="_Toc487900358"/>
      <w:bookmarkStart w:id="291" w:name="_Toc259093677"/>
      <w:bookmarkStart w:id="292" w:name="_Toc256000139"/>
      <w:bookmarkStart w:id="293" w:name="_Toc30507"/>
      <w:bookmarkStart w:id="294" w:name="_Toc256000034"/>
      <w:bookmarkStart w:id="295" w:name="_Toc256000094"/>
      <w:bookmarkStart w:id="296" w:name="_Toc256000066"/>
      <w:bookmarkStart w:id="297" w:name="_Toc534649442"/>
      <w:bookmarkStart w:id="298" w:name="_Toc13467"/>
      <w:bookmarkStart w:id="299" w:name="_Toc18990"/>
      <w:bookmarkStart w:id="300" w:name="_Toc36659893"/>
      <w:bookmarkStart w:id="301" w:name="_Toc13154"/>
      <w:bookmarkStart w:id="302" w:name="_Toc16163"/>
      <w:bookmarkStart w:id="303" w:name="_Toc10464"/>
      <w:r>
        <w:rPr>
          <w:rFonts w:hint="eastAsia" w:ascii="仿宋" w:hAnsi="仿宋" w:eastAsia="仿宋"/>
          <w:b/>
          <w:bCs/>
          <w:sz w:val="30"/>
          <w:szCs w:val="32"/>
        </w:rPr>
        <w:t xml:space="preserve">2.6 </w:t>
      </w:r>
      <w:r>
        <w:rPr>
          <w:rFonts w:ascii="仿宋" w:hAnsi="仿宋" w:eastAsia="仿宋"/>
          <w:b/>
          <w:bCs/>
          <w:sz w:val="30"/>
          <w:szCs w:val="32"/>
        </w:rPr>
        <w:t>技术资料</w:t>
      </w:r>
      <w:bookmarkEnd w:id="286"/>
      <w:bookmarkEnd w:id="287"/>
      <w:bookmarkEnd w:id="288"/>
      <w:bookmarkEnd w:id="289"/>
      <w:bookmarkEnd w:id="290"/>
      <w:bookmarkEnd w:id="291"/>
      <w:r>
        <w:rPr>
          <w:rFonts w:ascii="仿宋" w:hAnsi="仿宋" w:eastAsia="仿宋"/>
          <w:b/>
          <w:bCs/>
          <w:sz w:val="30"/>
          <w:szCs w:val="32"/>
        </w:rPr>
        <w:t>和保密义务</w:t>
      </w:r>
      <w:bookmarkEnd w:id="292"/>
      <w:bookmarkEnd w:id="293"/>
      <w:bookmarkEnd w:id="294"/>
      <w:bookmarkEnd w:id="295"/>
      <w:bookmarkEnd w:id="296"/>
      <w:bookmarkEnd w:id="297"/>
      <w:bookmarkEnd w:id="298"/>
      <w:bookmarkEnd w:id="299"/>
      <w:bookmarkEnd w:id="300"/>
      <w:bookmarkEnd w:id="301"/>
      <w:bookmarkEnd w:id="302"/>
      <w:bookmarkEnd w:id="303"/>
    </w:p>
    <w:p w14:paraId="33D61607">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.1</w:t>
      </w:r>
      <w:r>
        <w:rPr>
          <w:rFonts w:hint="eastAsia" w:ascii="仿宋" w:hAnsi="仿宋" w:eastAsia="仿宋"/>
          <w:sz w:val="24"/>
        </w:rPr>
        <w:t xml:space="preserve"> 乙方有权依据合同约定和项目需要，向甲方了解有关情况，调阅有关资料等，甲方应予积极配合；</w:t>
      </w:r>
    </w:p>
    <w:p w14:paraId="325EBBEA">
      <w:pPr>
        <w:spacing w:line="360" w:lineRule="auto"/>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14:paraId="0C55F2F9">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w:t>
      </w:r>
      <w:r>
        <w:rPr>
          <w:rFonts w:hint="eastAsia" w:ascii="仿宋" w:hAnsi="仿宋" w:eastAsia="仿宋"/>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4E0ADC1F">
      <w:pPr>
        <w:keepNext/>
        <w:keepLines/>
        <w:spacing w:before="120" w:beforeLines="50" w:after="120" w:afterLines="50"/>
        <w:outlineLvl w:val="2"/>
        <w:rPr>
          <w:rFonts w:ascii="仿宋" w:hAnsi="仿宋" w:eastAsia="仿宋"/>
          <w:b/>
          <w:bCs/>
          <w:sz w:val="30"/>
          <w:szCs w:val="32"/>
        </w:rPr>
      </w:pPr>
      <w:bookmarkStart w:id="304" w:name="_Toc534649443"/>
      <w:bookmarkStart w:id="305" w:name="_Toc19069"/>
      <w:bookmarkStart w:id="306" w:name="_Toc256000095"/>
      <w:bookmarkStart w:id="307" w:name="_Toc256000035"/>
      <w:bookmarkStart w:id="308" w:name="_Toc256000140"/>
      <w:bookmarkStart w:id="309" w:name="_Toc11060"/>
      <w:bookmarkStart w:id="310" w:name="_Toc36659894"/>
      <w:bookmarkStart w:id="311" w:name="_Toc256000067"/>
      <w:bookmarkStart w:id="312" w:name="_Toc259093681"/>
      <w:bookmarkStart w:id="313" w:name="_Toc279701252"/>
      <w:bookmarkStart w:id="314" w:name="_Toc487900362"/>
      <w:r>
        <w:rPr>
          <w:rFonts w:hint="eastAsia" w:ascii="仿宋" w:hAnsi="仿宋" w:eastAsia="仿宋"/>
          <w:b/>
          <w:bCs/>
          <w:sz w:val="30"/>
          <w:szCs w:val="32"/>
        </w:rPr>
        <w:t>2.7 质量保证</w:t>
      </w:r>
      <w:bookmarkEnd w:id="304"/>
      <w:bookmarkEnd w:id="305"/>
      <w:bookmarkEnd w:id="306"/>
      <w:bookmarkEnd w:id="307"/>
      <w:bookmarkEnd w:id="308"/>
      <w:bookmarkEnd w:id="309"/>
      <w:bookmarkEnd w:id="310"/>
      <w:bookmarkEnd w:id="311"/>
    </w:p>
    <w:p w14:paraId="5BE3F281">
      <w:pPr>
        <w:spacing w:line="360" w:lineRule="auto"/>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14:paraId="5C027196">
      <w:pPr>
        <w:spacing w:line="360" w:lineRule="auto"/>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14:paraId="08BAF144">
      <w:pPr>
        <w:keepNext/>
        <w:keepLines/>
        <w:spacing w:before="120" w:beforeLines="50" w:after="120" w:afterLines="50"/>
        <w:outlineLvl w:val="2"/>
        <w:rPr>
          <w:rFonts w:ascii="仿宋" w:hAnsi="仿宋" w:eastAsia="仿宋"/>
          <w:b/>
          <w:bCs/>
          <w:sz w:val="30"/>
          <w:szCs w:val="32"/>
        </w:rPr>
      </w:pPr>
      <w:bookmarkStart w:id="315" w:name="_Toc22267"/>
      <w:bookmarkStart w:id="316" w:name="_Toc36659895"/>
      <w:bookmarkStart w:id="317" w:name="_Toc256000096"/>
      <w:bookmarkStart w:id="318" w:name="_Toc256000068"/>
      <w:bookmarkStart w:id="319" w:name="_Toc256000141"/>
      <w:bookmarkStart w:id="320" w:name="_Toc18282"/>
      <w:bookmarkStart w:id="321" w:name="_Toc256000036"/>
      <w:bookmarkStart w:id="322" w:name="_Toc534649444"/>
      <w:r>
        <w:rPr>
          <w:rFonts w:hint="eastAsia" w:ascii="仿宋" w:hAnsi="仿宋" w:eastAsia="仿宋"/>
          <w:b/>
          <w:bCs/>
          <w:sz w:val="30"/>
          <w:szCs w:val="32"/>
        </w:rPr>
        <w:t>2.8 延迟</w:t>
      </w:r>
      <w:bookmarkEnd w:id="312"/>
      <w:bookmarkEnd w:id="313"/>
      <w:bookmarkEnd w:id="314"/>
      <w:r>
        <w:rPr>
          <w:rFonts w:hint="eastAsia" w:ascii="仿宋" w:hAnsi="仿宋" w:eastAsia="仿宋"/>
          <w:b/>
          <w:bCs/>
          <w:sz w:val="30"/>
          <w:szCs w:val="32"/>
        </w:rPr>
        <w:t>履行</w:t>
      </w:r>
      <w:bookmarkEnd w:id="315"/>
      <w:bookmarkEnd w:id="316"/>
      <w:bookmarkEnd w:id="317"/>
      <w:bookmarkEnd w:id="318"/>
      <w:bookmarkEnd w:id="319"/>
      <w:bookmarkEnd w:id="320"/>
      <w:bookmarkEnd w:id="321"/>
      <w:bookmarkEnd w:id="322"/>
    </w:p>
    <w:p w14:paraId="04B936E8">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A055D7E">
      <w:pPr>
        <w:keepNext/>
        <w:keepLines/>
        <w:spacing w:before="120" w:beforeLines="50" w:after="120" w:afterLines="50"/>
        <w:outlineLvl w:val="2"/>
        <w:rPr>
          <w:rFonts w:ascii="仿宋" w:hAnsi="仿宋" w:eastAsia="仿宋"/>
          <w:b/>
          <w:bCs/>
          <w:sz w:val="30"/>
          <w:szCs w:val="32"/>
        </w:rPr>
      </w:pPr>
      <w:bookmarkStart w:id="323" w:name="_Toc256000097"/>
      <w:bookmarkStart w:id="324" w:name="_Toc36659896"/>
      <w:bookmarkStart w:id="325" w:name="_Toc256000142"/>
      <w:bookmarkStart w:id="326" w:name="_Toc10611"/>
      <w:bookmarkStart w:id="327" w:name="_Toc256000069"/>
      <w:bookmarkStart w:id="328" w:name="_Toc256000037"/>
      <w:bookmarkStart w:id="329" w:name="_Toc534649445"/>
      <w:bookmarkStart w:id="330" w:name="_Toc1379"/>
      <w:bookmarkStart w:id="331" w:name="_Toc259093683"/>
      <w:bookmarkStart w:id="332" w:name="_Toc487900364"/>
      <w:bookmarkStart w:id="333" w:name="_Ref467378121"/>
      <w:bookmarkStart w:id="334" w:name="_Toc279701254"/>
      <w:r>
        <w:rPr>
          <w:rFonts w:hint="eastAsia" w:ascii="仿宋" w:hAnsi="仿宋" w:eastAsia="仿宋"/>
          <w:b/>
          <w:bCs/>
          <w:sz w:val="30"/>
          <w:szCs w:val="32"/>
        </w:rPr>
        <w:t>2.9 合同变更</w:t>
      </w:r>
      <w:bookmarkEnd w:id="323"/>
      <w:bookmarkEnd w:id="324"/>
      <w:bookmarkEnd w:id="325"/>
      <w:bookmarkEnd w:id="326"/>
      <w:bookmarkEnd w:id="327"/>
      <w:bookmarkEnd w:id="328"/>
      <w:bookmarkEnd w:id="329"/>
      <w:bookmarkEnd w:id="330"/>
    </w:p>
    <w:p w14:paraId="135BB75B">
      <w:pPr>
        <w:spacing w:line="360" w:lineRule="auto"/>
        <w:ind w:firstLine="480" w:firstLineChars="200"/>
        <w:rPr>
          <w:rFonts w:ascii="仿宋" w:hAnsi="仿宋" w:eastAsia="仿宋"/>
          <w:sz w:val="24"/>
        </w:rPr>
      </w:pPr>
      <w:r>
        <w:rPr>
          <w:rFonts w:hint="eastAsia" w:ascii="仿宋" w:hAnsi="仿宋" w:eastAsia="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16334C1">
      <w:pPr>
        <w:spacing w:line="360" w:lineRule="auto"/>
        <w:ind w:firstLine="480" w:firstLineChars="200"/>
        <w:rPr>
          <w:rFonts w:ascii="仿宋" w:hAnsi="仿宋" w:eastAsia="仿宋"/>
          <w:sz w:val="24"/>
        </w:rPr>
      </w:pPr>
      <w:r>
        <w:rPr>
          <w:rFonts w:hint="eastAsia" w:ascii="仿宋" w:hAnsi="仿宋" w:eastAsia="仿宋"/>
          <w:sz w:val="24"/>
        </w:rPr>
        <w:t>2.9.2 合同继续履行将损害国家利益和社会公共利益的，双方当事人应当以书面形式变更合同。有过错的一方应当承担赔偿责任，双方当事人都有过错的，各自承担相应的责任。</w:t>
      </w:r>
      <w:bookmarkStart w:id="335" w:name="_Toc487900369"/>
      <w:bookmarkStart w:id="336" w:name="_Toc279701259"/>
      <w:bookmarkStart w:id="337" w:name="_Toc259093688"/>
    </w:p>
    <w:p w14:paraId="2A5E366A">
      <w:pPr>
        <w:keepNext/>
        <w:keepLines/>
        <w:spacing w:before="120" w:beforeLines="50" w:after="120" w:afterLines="50"/>
        <w:outlineLvl w:val="2"/>
        <w:rPr>
          <w:rFonts w:ascii="仿宋" w:hAnsi="仿宋" w:eastAsia="仿宋"/>
          <w:b/>
          <w:bCs/>
          <w:sz w:val="30"/>
          <w:szCs w:val="32"/>
        </w:rPr>
      </w:pPr>
      <w:bookmarkStart w:id="338" w:name="_Toc36659897"/>
      <w:bookmarkStart w:id="339" w:name="_Toc10663"/>
      <w:bookmarkStart w:id="340" w:name="_Toc26689"/>
      <w:bookmarkStart w:id="341" w:name="_Toc42"/>
      <w:bookmarkStart w:id="342" w:name="_Toc256000143"/>
      <w:bookmarkStart w:id="343" w:name="_Toc534649446"/>
      <w:bookmarkStart w:id="344" w:name="_Toc24340"/>
      <w:bookmarkStart w:id="345" w:name="_Toc256000070"/>
      <w:bookmarkStart w:id="346" w:name="_Toc23368"/>
      <w:bookmarkStart w:id="347" w:name="_Toc256000038"/>
      <w:bookmarkStart w:id="348" w:name="_Toc256000098"/>
      <w:bookmarkStart w:id="349" w:name="_Toc21830"/>
      <w:r>
        <w:rPr>
          <w:rFonts w:hint="eastAsia" w:ascii="仿宋" w:hAnsi="仿宋" w:eastAsia="仿宋"/>
          <w:b/>
          <w:bCs/>
          <w:sz w:val="30"/>
          <w:szCs w:val="32"/>
        </w:rPr>
        <w:t xml:space="preserve">2.10 </w:t>
      </w:r>
      <w:r>
        <w:rPr>
          <w:rFonts w:ascii="仿宋" w:hAnsi="仿宋" w:eastAsia="仿宋"/>
          <w:b/>
          <w:bCs/>
          <w:sz w:val="30"/>
          <w:szCs w:val="32"/>
        </w:rPr>
        <w:t>合同转让</w:t>
      </w:r>
      <w:bookmarkEnd w:id="335"/>
      <w:bookmarkEnd w:id="336"/>
      <w:bookmarkEnd w:id="337"/>
      <w:r>
        <w:rPr>
          <w:rFonts w:ascii="仿宋" w:hAnsi="仿宋" w:eastAsia="仿宋"/>
          <w:b/>
          <w:bCs/>
          <w:sz w:val="30"/>
          <w:szCs w:val="32"/>
        </w:rPr>
        <w:t>和分包</w:t>
      </w:r>
      <w:bookmarkEnd w:id="338"/>
      <w:bookmarkEnd w:id="339"/>
      <w:bookmarkEnd w:id="340"/>
      <w:bookmarkEnd w:id="341"/>
      <w:bookmarkEnd w:id="342"/>
      <w:bookmarkEnd w:id="343"/>
      <w:bookmarkEnd w:id="344"/>
      <w:bookmarkEnd w:id="345"/>
      <w:bookmarkEnd w:id="346"/>
      <w:bookmarkEnd w:id="347"/>
      <w:bookmarkEnd w:id="348"/>
      <w:bookmarkEnd w:id="349"/>
    </w:p>
    <w:p w14:paraId="0C6B2D0D">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204C4347">
      <w:pPr>
        <w:keepNext/>
        <w:keepLines/>
        <w:spacing w:before="120" w:beforeLines="50" w:after="120" w:afterLines="50"/>
        <w:outlineLvl w:val="2"/>
        <w:rPr>
          <w:rFonts w:ascii="仿宋" w:hAnsi="仿宋" w:eastAsia="仿宋"/>
          <w:b/>
          <w:bCs/>
          <w:sz w:val="30"/>
          <w:szCs w:val="32"/>
        </w:rPr>
      </w:pPr>
      <w:bookmarkStart w:id="350" w:name="_Toc4720"/>
      <w:bookmarkStart w:id="351" w:name="_Toc256000039"/>
      <w:bookmarkStart w:id="352" w:name="_Toc256000071"/>
      <w:bookmarkStart w:id="353" w:name="_Toc256000144"/>
      <w:bookmarkStart w:id="354" w:name="_Toc29919"/>
      <w:bookmarkStart w:id="355" w:name="_Toc25571"/>
      <w:bookmarkStart w:id="356" w:name="_Toc36659898"/>
      <w:bookmarkStart w:id="357" w:name="_Toc32494"/>
      <w:bookmarkStart w:id="358" w:name="_Toc14371"/>
      <w:bookmarkStart w:id="359" w:name="_Toc534649447"/>
      <w:bookmarkStart w:id="360" w:name="_Toc256000099"/>
      <w:bookmarkStart w:id="361" w:name="_Toc26633"/>
      <w:r>
        <w:rPr>
          <w:rFonts w:hint="eastAsia" w:ascii="仿宋" w:hAnsi="仿宋" w:eastAsia="仿宋"/>
          <w:b/>
          <w:bCs/>
          <w:sz w:val="30"/>
          <w:szCs w:val="32"/>
        </w:rPr>
        <w:t>2.11</w:t>
      </w:r>
      <w:r>
        <w:rPr>
          <w:rFonts w:ascii="仿宋" w:hAnsi="仿宋" w:eastAsia="仿宋"/>
          <w:b/>
          <w:bCs/>
          <w:sz w:val="30"/>
          <w:szCs w:val="32"/>
        </w:rPr>
        <w:t xml:space="preserve"> 不可抗力</w:t>
      </w:r>
      <w:bookmarkEnd w:id="350"/>
      <w:bookmarkEnd w:id="351"/>
      <w:bookmarkEnd w:id="352"/>
      <w:bookmarkEnd w:id="353"/>
      <w:bookmarkEnd w:id="354"/>
      <w:bookmarkEnd w:id="355"/>
      <w:bookmarkEnd w:id="356"/>
      <w:bookmarkEnd w:id="357"/>
      <w:bookmarkEnd w:id="358"/>
      <w:bookmarkEnd w:id="359"/>
      <w:bookmarkEnd w:id="360"/>
      <w:bookmarkEnd w:id="361"/>
    </w:p>
    <w:p w14:paraId="37D874CC">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7FD16EC7">
      <w:pPr>
        <w:spacing w:line="360" w:lineRule="auto"/>
        <w:ind w:firstLine="480" w:firstLineChars="200"/>
        <w:rPr>
          <w:rFonts w:ascii="仿宋" w:hAnsi="仿宋" w:eastAsia="仿宋"/>
          <w:sz w:val="24"/>
        </w:rPr>
      </w:pPr>
      <w:r>
        <w:rPr>
          <w:rFonts w:hint="eastAsia" w:ascii="仿宋" w:hAnsi="仿宋" w:eastAsia="仿宋"/>
          <w:sz w:val="24"/>
        </w:rPr>
        <w:t>2.11.2 因不可抗力致使不能实现合同目的的，当事人可以解除合同；</w:t>
      </w:r>
    </w:p>
    <w:p w14:paraId="55759243">
      <w:pPr>
        <w:spacing w:line="360" w:lineRule="auto"/>
        <w:ind w:firstLine="480" w:firstLineChars="200"/>
        <w:rPr>
          <w:rFonts w:ascii="仿宋" w:hAnsi="仿宋" w:eastAsia="仿宋"/>
          <w:sz w:val="24"/>
        </w:rPr>
      </w:pPr>
      <w:r>
        <w:rPr>
          <w:rFonts w:hint="eastAsia" w:ascii="仿宋" w:hAnsi="仿宋" w:eastAsia="仿宋"/>
          <w:sz w:val="24"/>
        </w:rPr>
        <w:t>2.11.3 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83AB7F8">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w:t>
      </w:r>
      <w:r>
        <w:rPr>
          <w:rFonts w:hint="eastAsia" w:ascii="仿宋" w:hAnsi="仿宋" w:eastAsia="仿宋"/>
          <w:sz w:val="24"/>
        </w:rPr>
        <w:t>4</w:t>
      </w: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F7DEB30">
      <w:pPr>
        <w:keepNext/>
        <w:keepLines/>
        <w:spacing w:before="120" w:beforeLines="50" w:after="120" w:afterLines="50" w:line="312" w:lineRule="auto"/>
        <w:outlineLvl w:val="2"/>
        <w:rPr>
          <w:rFonts w:ascii="仿宋" w:hAnsi="仿宋" w:eastAsia="仿宋"/>
          <w:b/>
          <w:bCs/>
          <w:sz w:val="30"/>
          <w:szCs w:val="32"/>
        </w:rPr>
      </w:pPr>
      <w:bookmarkStart w:id="362" w:name="_Toc3638"/>
      <w:bookmarkStart w:id="363" w:name="_Toc256000072"/>
      <w:bookmarkStart w:id="364" w:name="_Toc24465"/>
      <w:bookmarkStart w:id="365" w:name="_Toc256000040"/>
      <w:bookmarkStart w:id="366" w:name="_Toc256000100"/>
      <w:bookmarkStart w:id="367" w:name="_Toc256000145"/>
      <w:bookmarkStart w:id="368" w:name="_Toc23854"/>
      <w:bookmarkStart w:id="369" w:name="_Toc534649448"/>
      <w:bookmarkStart w:id="370" w:name="_Toc36659899"/>
      <w:bookmarkStart w:id="371" w:name="_Toc25783"/>
      <w:bookmarkStart w:id="372" w:name="_Toc29144"/>
      <w:bookmarkStart w:id="373" w:name="_Toc487900365"/>
      <w:bookmarkStart w:id="374" w:name="_Toc259093684"/>
      <w:bookmarkStart w:id="375" w:name="_Toc14115"/>
      <w:bookmarkStart w:id="376" w:name="_Toc279701255"/>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2 </w:t>
      </w:r>
      <w:r>
        <w:rPr>
          <w:rFonts w:ascii="仿宋" w:hAnsi="仿宋" w:eastAsia="仿宋"/>
          <w:b/>
          <w:bCs/>
          <w:sz w:val="30"/>
          <w:szCs w:val="32"/>
        </w:rPr>
        <w:t>税费</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4451C02">
      <w:pPr>
        <w:spacing w:line="312"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A06778E">
      <w:pPr>
        <w:keepNext/>
        <w:keepLines/>
        <w:spacing w:before="120" w:beforeLines="50" w:after="120" w:afterLines="50" w:line="312" w:lineRule="auto"/>
        <w:outlineLvl w:val="2"/>
        <w:rPr>
          <w:rFonts w:ascii="仿宋" w:hAnsi="仿宋" w:eastAsia="仿宋"/>
          <w:b/>
          <w:bCs/>
          <w:sz w:val="30"/>
          <w:szCs w:val="32"/>
        </w:rPr>
      </w:pPr>
      <w:bookmarkStart w:id="377" w:name="_Toc256000073"/>
      <w:bookmarkStart w:id="378" w:name="_Toc25525"/>
      <w:bookmarkStart w:id="379" w:name="_Toc30105"/>
      <w:bookmarkStart w:id="380" w:name="_Toc14814"/>
      <w:bookmarkStart w:id="381" w:name="_Toc279701258"/>
      <w:bookmarkStart w:id="382" w:name="_Toc487900368"/>
      <w:bookmarkStart w:id="383" w:name="_Toc26883"/>
      <w:bookmarkStart w:id="384" w:name="_Toc256000146"/>
      <w:bookmarkStart w:id="385" w:name="_Toc534649449"/>
      <w:bookmarkStart w:id="386" w:name="_Toc2835"/>
      <w:bookmarkStart w:id="387" w:name="_Toc259093687"/>
      <w:bookmarkStart w:id="388" w:name="_Toc36659900"/>
      <w:bookmarkStart w:id="389" w:name="_Toc7315"/>
      <w:bookmarkStart w:id="390" w:name="_Toc256000101"/>
      <w:bookmarkStart w:id="391" w:name="_Toc256000041"/>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3 </w:t>
      </w:r>
      <w:r>
        <w:rPr>
          <w:rFonts w:ascii="仿宋" w:hAnsi="仿宋" w:eastAsia="仿宋"/>
          <w:b/>
          <w:bCs/>
          <w:sz w:val="30"/>
          <w:szCs w:val="32"/>
        </w:rPr>
        <w:t>乙方破产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8A0AA56">
      <w:pPr>
        <w:spacing w:line="312"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3C009FF">
      <w:pPr>
        <w:keepNext/>
        <w:keepLines/>
        <w:spacing w:before="120" w:beforeLines="50" w:after="120" w:afterLines="50" w:line="312" w:lineRule="auto"/>
        <w:outlineLvl w:val="2"/>
        <w:rPr>
          <w:rFonts w:ascii="仿宋" w:hAnsi="仿宋" w:eastAsia="仿宋"/>
          <w:b/>
          <w:bCs/>
          <w:sz w:val="30"/>
          <w:szCs w:val="32"/>
        </w:rPr>
      </w:pPr>
      <w:bookmarkStart w:id="392" w:name="_Toc23323"/>
      <w:bookmarkStart w:id="393" w:name="_Toc36659901"/>
      <w:bookmarkStart w:id="394" w:name="_Toc1123"/>
      <w:bookmarkStart w:id="395" w:name="_Toc534649450"/>
      <w:bookmarkStart w:id="396" w:name="_Toc28003"/>
      <w:bookmarkStart w:id="397" w:name="_Toc256000074"/>
      <w:bookmarkStart w:id="398" w:name="_Toc256000147"/>
      <w:bookmarkStart w:id="399" w:name="_Toc256000102"/>
      <w:bookmarkStart w:id="400" w:name="_Toc2016"/>
      <w:bookmarkStart w:id="401" w:name="_Toc256000042"/>
      <w:r>
        <w:rPr>
          <w:rFonts w:ascii="仿宋" w:hAnsi="仿宋" w:eastAsia="仿宋"/>
          <w:b/>
          <w:bCs/>
          <w:sz w:val="30"/>
          <w:szCs w:val="32"/>
        </w:rPr>
        <w:t>2.14 合同中止、终止</w:t>
      </w:r>
      <w:bookmarkEnd w:id="392"/>
      <w:bookmarkEnd w:id="393"/>
      <w:bookmarkEnd w:id="394"/>
      <w:bookmarkEnd w:id="395"/>
      <w:bookmarkEnd w:id="396"/>
      <w:bookmarkEnd w:id="397"/>
      <w:bookmarkEnd w:id="398"/>
      <w:bookmarkEnd w:id="399"/>
      <w:bookmarkEnd w:id="400"/>
      <w:bookmarkEnd w:id="401"/>
    </w:p>
    <w:p w14:paraId="65E1942C">
      <w:pPr>
        <w:spacing w:line="312" w:lineRule="auto"/>
        <w:ind w:firstLine="480" w:firstLineChars="200"/>
        <w:rPr>
          <w:rFonts w:ascii="仿宋" w:hAnsi="仿宋" w:eastAsia="仿宋"/>
          <w:sz w:val="24"/>
        </w:rPr>
      </w:pPr>
      <w:r>
        <w:rPr>
          <w:rFonts w:hint="eastAsia" w:ascii="仿宋" w:hAnsi="仿宋" w:eastAsia="仿宋"/>
          <w:sz w:val="24"/>
        </w:rPr>
        <w:t>2.14.1 双方当事人不得擅自中止或者终止合同；</w:t>
      </w:r>
    </w:p>
    <w:p w14:paraId="51C1DEB1">
      <w:pPr>
        <w:spacing w:line="312" w:lineRule="auto"/>
        <w:ind w:firstLine="480" w:firstLineChars="200"/>
        <w:rPr>
          <w:rFonts w:ascii="仿宋" w:hAnsi="仿宋" w:eastAsia="仿宋"/>
          <w:sz w:val="24"/>
        </w:rPr>
      </w:pPr>
      <w:r>
        <w:rPr>
          <w:rFonts w:hint="eastAsia"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4213135C">
      <w:pPr>
        <w:keepNext/>
        <w:keepLines/>
        <w:spacing w:before="120" w:beforeLines="50" w:after="120" w:afterLines="50" w:line="312" w:lineRule="auto"/>
        <w:outlineLvl w:val="2"/>
        <w:rPr>
          <w:rFonts w:ascii="仿宋" w:hAnsi="仿宋" w:eastAsia="仿宋"/>
          <w:b/>
          <w:bCs/>
          <w:sz w:val="30"/>
          <w:szCs w:val="32"/>
        </w:rPr>
      </w:pPr>
      <w:bookmarkStart w:id="402" w:name="_Toc256000043"/>
      <w:bookmarkStart w:id="403" w:name="_Toc256000075"/>
      <w:bookmarkStart w:id="404" w:name="_Toc14525"/>
      <w:bookmarkStart w:id="405" w:name="_Toc256000148"/>
      <w:bookmarkStart w:id="406" w:name="_Toc24860"/>
      <w:bookmarkStart w:id="407" w:name="_Toc256000103"/>
      <w:bookmarkStart w:id="408" w:name="_Toc534649451"/>
      <w:bookmarkStart w:id="409" w:name="_Toc17363"/>
      <w:bookmarkStart w:id="410" w:name="_Toc1969"/>
      <w:bookmarkStart w:id="411" w:name="_Toc36659902"/>
      <w:r>
        <w:rPr>
          <w:rFonts w:ascii="仿宋" w:hAnsi="仿宋" w:eastAsia="仿宋"/>
          <w:b/>
          <w:bCs/>
          <w:sz w:val="30"/>
          <w:szCs w:val="32"/>
        </w:rPr>
        <w:t>2.15 检验和验收</w:t>
      </w:r>
      <w:bookmarkEnd w:id="402"/>
      <w:bookmarkEnd w:id="403"/>
      <w:bookmarkEnd w:id="404"/>
      <w:bookmarkEnd w:id="405"/>
      <w:bookmarkEnd w:id="406"/>
      <w:bookmarkEnd w:id="407"/>
      <w:bookmarkEnd w:id="408"/>
      <w:bookmarkEnd w:id="409"/>
      <w:bookmarkEnd w:id="410"/>
      <w:bookmarkEnd w:id="411"/>
    </w:p>
    <w:p w14:paraId="5A456A03">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w:t>
      </w:r>
      <w:r>
        <w:rPr>
          <w:rFonts w:hint="eastAsia" w:ascii="仿宋" w:hAnsi="仿宋" w:eastAsia="仿宋"/>
          <w:sz w:val="24"/>
        </w:rPr>
        <w:t>1 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4576B9B">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FCEB6F">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2.15.3 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bookmarkEnd w:id="331"/>
    <w:bookmarkEnd w:id="332"/>
    <w:bookmarkEnd w:id="333"/>
    <w:bookmarkEnd w:id="334"/>
    <w:p w14:paraId="055867B3">
      <w:pPr>
        <w:keepNext/>
        <w:keepLines/>
        <w:spacing w:before="120" w:beforeLines="50" w:after="120" w:afterLines="50" w:line="312" w:lineRule="auto"/>
        <w:outlineLvl w:val="2"/>
        <w:rPr>
          <w:rFonts w:ascii="仿宋" w:hAnsi="仿宋" w:eastAsia="仿宋"/>
          <w:b/>
          <w:bCs/>
          <w:sz w:val="30"/>
          <w:szCs w:val="32"/>
        </w:rPr>
      </w:pPr>
      <w:bookmarkStart w:id="412" w:name="_Toc259093690"/>
      <w:bookmarkStart w:id="413" w:name="_Toc487900371"/>
      <w:bookmarkStart w:id="414" w:name="_Toc279701261"/>
      <w:bookmarkStart w:id="415" w:name="_Toc31892"/>
      <w:bookmarkStart w:id="416" w:name="_Toc256000104"/>
      <w:bookmarkStart w:id="417" w:name="_Toc25198"/>
      <w:bookmarkStart w:id="418" w:name="_Toc12666"/>
      <w:bookmarkStart w:id="419" w:name="_Toc2308"/>
      <w:bookmarkStart w:id="420" w:name="_Toc36659903"/>
      <w:bookmarkStart w:id="421" w:name="_Toc9808"/>
      <w:bookmarkStart w:id="422" w:name="_Toc256000149"/>
      <w:bookmarkStart w:id="423" w:name="_Toc534649452"/>
      <w:bookmarkStart w:id="424" w:name="_Toc2014"/>
      <w:bookmarkStart w:id="425" w:name="_Toc256000044"/>
      <w:bookmarkStart w:id="426" w:name="_Toc256000076"/>
      <w:r>
        <w:rPr>
          <w:rFonts w:hint="eastAsia" w:ascii="仿宋" w:hAnsi="仿宋" w:eastAsia="仿宋"/>
          <w:b/>
          <w:bCs/>
          <w:sz w:val="30"/>
          <w:szCs w:val="32"/>
        </w:rPr>
        <w:t xml:space="preserve">2.16 </w:t>
      </w:r>
      <w:r>
        <w:rPr>
          <w:rFonts w:ascii="仿宋" w:hAnsi="仿宋" w:eastAsia="仿宋"/>
          <w:b/>
          <w:bCs/>
          <w:sz w:val="30"/>
          <w:szCs w:val="32"/>
        </w:rPr>
        <w:t>通知</w:t>
      </w:r>
      <w:bookmarkEnd w:id="412"/>
      <w:bookmarkEnd w:id="413"/>
      <w:bookmarkEnd w:id="414"/>
      <w:r>
        <w:rPr>
          <w:rFonts w:ascii="仿宋" w:hAnsi="仿宋" w:eastAsia="仿宋"/>
          <w:b/>
          <w:bCs/>
          <w:sz w:val="30"/>
          <w:szCs w:val="32"/>
        </w:rPr>
        <w:t>和送达</w:t>
      </w:r>
      <w:bookmarkEnd w:id="415"/>
      <w:bookmarkEnd w:id="416"/>
      <w:bookmarkEnd w:id="417"/>
      <w:bookmarkEnd w:id="418"/>
      <w:bookmarkEnd w:id="419"/>
      <w:bookmarkEnd w:id="420"/>
      <w:bookmarkEnd w:id="421"/>
      <w:bookmarkEnd w:id="422"/>
      <w:bookmarkEnd w:id="423"/>
      <w:bookmarkEnd w:id="424"/>
      <w:bookmarkEnd w:id="425"/>
      <w:bookmarkEnd w:id="426"/>
    </w:p>
    <w:p w14:paraId="5DD5FCEA">
      <w:pPr>
        <w:spacing w:line="312" w:lineRule="auto"/>
        <w:ind w:firstLine="480" w:firstLineChars="200"/>
        <w:rPr>
          <w:rFonts w:ascii="仿宋" w:hAnsi="仿宋" w:eastAsia="仿宋"/>
          <w:sz w:val="24"/>
        </w:rPr>
      </w:pPr>
      <w:bookmarkStart w:id="427" w:name="_Toc7073"/>
      <w:bookmarkStart w:id="428" w:name="_Toc29220"/>
      <w:bookmarkStart w:id="429" w:name="_Toc487900372"/>
      <w:bookmarkStart w:id="430" w:name="_Toc279701262"/>
      <w:bookmarkStart w:id="431" w:name="_Toc259093691"/>
      <w:r>
        <w:rPr>
          <w:rFonts w:hint="eastAsia" w:ascii="仿宋" w:hAnsi="仿宋" w:eastAsia="仿宋"/>
          <w:sz w:val="24"/>
        </w:rPr>
        <w:t>2.16.1 任何一方因履行合同而以合同第一部分尾部所列明的</w:t>
      </w:r>
      <w:r>
        <w:rPr>
          <w:rFonts w:hint="eastAsia" w:ascii="仿宋" w:hAnsi="仿宋" w:eastAsia="仿宋"/>
          <w:sz w:val="24"/>
          <w:u w:val="single"/>
        </w:rPr>
        <w:t>合同履行地</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7 </w:t>
      </w:r>
      <w:r>
        <w:rPr>
          <w:rFonts w:hint="eastAsia" w:ascii="仿宋" w:hAnsi="仿宋" w:eastAsia="仿宋"/>
          <w:sz w:val="24"/>
        </w:rPr>
        <w:t>个工作日内书面通知对方当事人，在对方当事人收到有关变更通知之前，变更前的约定送达方式或者地址仍视为有效。</w:t>
      </w:r>
      <w:bookmarkEnd w:id="427"/>
      <w:bookmarkEnd w:id="428"/>
    </w:p>
    <w:p w14:paraId="4A659FD8">
      <w:pPr>
        <w:spacing w:line="312" w:lineRule="auto"/>
        <w:ind w:firstLine="480" w:firstLineChars="200"/>
        <w:rPr>
          <w:rFonts w:ascii="仿宋" w:hAnsi="仿宋" w:eastAsia="仿宋"/>
          <w:sz w:val="24"/>
        </w:rPr>
      </w:pPr>
      <w:bookmarkStart w:id="432" w:name="_Toc27674"/>
      <w:bookmarkStart w:id="433" w:name="_Toc18401"/>
      <w:r>
        <w:rPr>
          <w:rFonts w:hint="eastAsia" w:ascii="仿宋" w:hAnsi="仿宋" w:eastAsia="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2"/>
      <w:bookmarkEnd w:id="433"/>
    </w:p>
    <w:bookmarkEnd w:id="429"/>
    <w:bookmarkEnd w:id="430"/>
    <w:bookmarkEnd w:id="431"/>
    <w:p w14:paraId="7AD6C762">
      <w:pPr>
        <w:keepNext/>
        <w:keepLines/>
        <w:spacing w:before="120" w:beforeLines="50" w:after="120" w:afterLines="50" w:line="312" w:lineRule="auto"/>
        <w:outlineLvl w:val="2"/>
        <w:rPr>
          <w:rFonts w:ascii="仿宋" w:hAnsi="仿宋" w:eastAsia="仿宋"/>
          <w:b/>
          <w:bCs/>
          <w:sz w:val="30"/>
          <w:szCs w:val="32"/>
        </w:rPr>
      </w:pPr>
      <w:bookmarkStart w:id="434" w:name="_Toc256000045"/>
      <w:bookmarkStart w:id="435" w:name="_Toc28906"/>
      <w:bookmarkStart w:id="436" w:name="_Toc256000150"/>
      <w:bookmarkStart w:id="437" w:name="_Toc279701263"/>
      <w:bookmarkStart w:id="438" w:name="_Toc27644"/>
      <w:bookmarkStart w:id="439" w:name="_Toc22531"/>
      <w:bookmarkStart w:id="440" w:name="_Toc5063"/>
      <w:bookmarkStart w:id="441" w:name="_Toc36659904"/>
      <w:bookmarkStart w:id="442" w:name="_Toc487900373"/>
      <w:bookmarkStart w:id="443" w:name="_Toc20808"/>
      <w:bookmarkStart w:id="444" w:name="_Toc256000105"/>
      <w:bookmarkStart w:id="445" w:name="_Toc259093692"/>
      <w:bookmarkStart w:id="446" w:name="_Toc534649453"/>
      <w:bookmarkStart w:id="447" w:name="_Toc12254"/>
      <w:bookmarkStart w:id="448" w:name="_Toc256000077"/>
      <w:r>
        <w:rPr>
          <w:rFonts w:hint="eastAsia" w:ascii="仿宋" w:hAnsi="仿宋" w:eastAsia="仿宋"/>
          <w:b/>
          <w:bCs/>
          <w:sz w:val="30"/>
          <w:szCs w:val="32"/>
        </w:rPr>
        <w:t>2.17 合同使用的文字和</w:t>
      </w:r>
      <w:r>
        <w:rPr>
          <w:rFonts w:ascii="仿宋" w:hAnsi="仿宋" w:eastAsia="仿宋"/>
          <w:b/>
          <w:bCs/>
          <w:sz w:val="30"/>
          <w:szCs w:val="32"/>
        </w:rPr>
        <w:t>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C8873B">
      <w:pPr>
        <w:spacing w:line="312" w:lineRule="auto"/>
        <w:ind w:firstLine="480" w:firstLineChars="200"/>
        <w:rPr>
          <w:rFonts w:ascii="仿宋" w:hAnsi="仿宋" w:eastAsia="仿宋"/>
          <w:sz w:val="24"/>
        </w:rPr>
      </w:pPr>
      <w:r>
        <w:rPr>
          <w:rFonts w:hint="eastAsia" w:ascii="仿宋" w:hAnsi="仿宋" w:eastAsia="仿宋"/>
          <w:sz w:val="24"/>
        </w:rPr>
        <w:t>2.17</w:t>
      </w:r>
      <w:r>
        <w:rPr>
          <w:rFonts w:ascii="仿宋" w:hAnsi="仿宋" w:eastAsia="仿宋"/>
          <w:sz w:val="24"/>
        </w:rPr>
        <w:t>.1</w:t>
      </w:r>
      <w:r>
        <w:rPr>
          <w:rFonts w:hint="eastAsia" w:ascii="仿宋" w:hAnsi="仿宋" w:eastAsia="仿宋"/>
          <w:sz w:val="24"/>
        </w:rPr>
        <w:t xml:space="preserve"> </w:t>
      </w:r>
      <w:r>
        <w:rPr>
          <w:rFonts w:ascii="仿宋" w:hAnsi="仿宋" w:eastAsia="仿宋"/>
          <w:sz w:val="24"/>
        </w:rPr>
        <w:t>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A2FAD0E">
      <w:pPr>
        <w:spacing w:line="312" w:lineRule="auto"/>
        <w:ind w:firstLine="480" w:firstLineChars="200"/>
        <w:rPr>
          <w:rFonts w:ascii="仿宋" w:hAnsi="仿宋" w:eastAsia="仿宋"/>
          <w:sz w:val="24"/>
        </w:rPr>
      </w:pPr>
      <w:r>
        <w:rPr>
          <w:rFonts w:hint="eastAsia" w:ascii="仿宋" w:hAnsi="仿宋" w:eastAsia="仿宋"/>
          <w:sz w:val="24"/>
        </w:rPr>
        <w:t>2.17.2 合同适用</w:t>
      </w:r>
      <w:r>
        <w:rPr>
          <w:rFonts w:ascii="仿宋" w:hAnsi="仿宋" w:eastAsia="仿宋"/>
          <w:sz w:val="24"/>
        </w:rPr>
        <w:t>中华人民共和国法律。</w:t>
      </w:r>
    </w:p>
    <w:p w14:paraId="27A00477">
      <w:pPr>
        <w:keepNext/>
        <w:keepLines/>
        <w:spacing w:before="120" w:beforeLines="50" w:after="120" w:afterLines="50" w:line="312" w:lineRule="auto"/>
        <w:outlineLvl w:val="2"/>
        <w:rPr>
          <w:rFonts w:ascii="仿宋" w:hAnsi="仿宋" w:eastAsia="仿宋"/>
          <w:b/>
          <w:bCs/>
          <w:sz w:val="30"/>
          <w:szCs w:val="32"/>
        </w:rPr>
      </w:pPr>
      <w:bookmarkStart w:id="449" w:name="_Toc27127"/>
      <w:bookmarkStart w:id="450" w:name="_Toc256000151"/>
      <w:bookmarkStart w:id="451" w:name="_Toc1492"/>
      <w:bookmarkStart w:id="452" w:name="_Toc22266"/>
      <w:bookmarkStart w:id="453" w:name="_Toc256000106"/>
      <w:bookmarkStart w:id="454" w:name="_Toc256000078"/>
      <w:bookmarkStart w:id="455" w:name="_Toc30096"/>
      <w:bookmarkStart w:id="456" w:name="_Toc534649454"/>
      <w:bookmarkStart w:id="457" w:name="_Toc31687"/>
      <w:bookmarkStart w:id="458" w:name="_Toc259093693"/>
      <w:bookmarkStart w:id="459" w:name="_Toc279701264"/>
      <w:bookmarkStart w:id="460" w:name="_Toc27403"/>
      <w:bookmarkStart w:id="461" w:name="_Toc256000046"/>
      <w:bookmarkStart w:id="462" w:name="_Toc36659905"/>
      <w:bookmarkStart w:id="463" w:name="_Toc487900374"/>
      <w:r>
        <w:rPr>
          <w:rFonts w:hint="eastAsia" w:ascii="仿宋" w:hAnsi="仿宋" w:eastAsia="仿宋"/>
          <w:b/>
          <w:bCs/>
          <w:sz w:val="30"/>
          <w:szCs w:val="32"/>
        </w:rPr>
        <w:t xml:space="preserve">2.18 </w:t>
      </w:r>
      <w:r>
        <w:rPr>
          <w:rFonts w:ascii="仿宋" w:hAnsi="仿宋" w:eastAsia="仿宋"/>
          <w:b/>
          <w:bCs/>
          <w:sz w:val="30"/>
          <w:szCs w:val="32"/>
        </w:rPr>
        <w:t>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D0DCC21">
      <w:pPr>
        <w:spacing w:line="312" w:lineRule="auto"/>
        <w:ind w:firstLine="480" w:firstLineChars="200"/>
        <w:rPr>
          <w:rFonts w:ascii="仿宋" w:hAnsi="仿宋" w:eastAsia="仿宋"/>
          <w:sz w:val="24"/>
        </w:rPr>
      </w:pPr>
      <w:r>
        <w:rPr>
          <w:rFonts w:hint="eastAsia" w:ascii="仿宋" w:hAnsi="仿宋" w:eastAsia="仿宋"/>
          <w:sz w:val="24"/>
        </w:rPr>
        <w:t>2.18.1 采购文件要求乙方提交履约保证金的，乙方</w:t>
      </w:r>
      <w:r>
        <w:rPr>
          <w:rFonts w:ascii="仿宋" w:hAnsi="仿宋" w:eastAsia="仿宋"/>
          <w:sz w:val="24"/>
        </w:rPr>
        <w:t>应按</w:t>
      </w:r>
      <w:r>
        <w:rPr>
          <w:rFonts w:ascii="仿宋" w:hAnsi="仿宋" w:eastAsia="仿宋"/>
          <w:b/>
          <w:i/>
          <w:sz w:val="24"/>
          <w:u w:val="single"/>
        </w:rPr>
        <w:t>合同专用条款</w:t>
      </w:r>
      <w:r>
        <w:rPr>
          <w:rFonts w:ascii="仿宋" w:hAnsi="仿宋" w:eastAsia="仿宋"/>
          <w:sz w:val="24"/>
        </w:rPr>
        <w:t>约定的方式</w:t>
      </w:r>
      <w:r>
        <w:rPr>
          <w:rFonts w:hint="eastAsia" w:ascii="仿宋" w:hAnsi="仿宋" w:eastAsia="仿宋"/>
          <w:sz w:val="24"/>
        </w:rPr>
        <w:t>，以支票、汇票、本票或者金融机构、担保机构出具的保函等非现金形式，提交不超过合同价10%的履约保证金；</w:t>
      </w:r>
    </w:p>
    <w:p w14:paraId="4193663F">
      <w:pPr>
        <w:spacing w:line="312" w:lineRule="auto"/>
        <w:ind w:firstLine="480" w:firstLineChars="200"/>
        <w:rPr>
          <w:rFonts w:ascii="仿宋" w:hAnsi="仿宋" w:eastAsia="仿宋"/>
          <w:sz w:val="24"/>
        </w:rPr>
      </w:pPr>
      <w:r>
        <w:rPr>
          <w:rFonts w:hint="eastAsia" w:ascii="仿宋" w:hAnsi="仿宋" w:eastAsia="仿宋"/>
          <w:sz w:val="24"/>
        </w:rPr>
        <w:t>2.18</w:t>
      </w:r>
      <w:r>
        <w:rPr>
          <w:rFonts w:ascii="仿宋" w:hAnsi="仿宋" w:eastAsia="仿宋"/>
          <w:sz w:val="24"/>
        </w:rPr>
        <w:t>.2</w:t>
      </w:r>
      <w:r>
        <w:rPr>
          <w:rFonts w:hint="eastAsia" w:ascii="仿宋" w:hAnsi="仿宋" w:eastAsia="仿宋"/>
          <w:sz w:val="24"/>
        </w:rPr>
        <w:t xml:space="preserve"> </w:t>
      </w:r>
      <w:r>
        <w:rPr>
          <w:rFonts w:ascii="仿宋" w:hAnsi="仿宋" w:eastAsia="仿宋"/>
          <w:sz w:val="24"/>
        </w:rPr>
        <w:t>履约保证金在</w:t>
      </w:r>
      <w:r>
        <w:rPr>
          <w:rFonts w:ascii="仿宋" w:hAnsi="仿宋" w:eastAsia="仿宋"/>
          <w:b/>
          <w:i/>
          <w:sz w:val="24"/>
          <w:u w:val="single"/>
        </w:rPr>
        <w:t>合同专用条款</w:t>
      </w:r>
      <w:r>
        <w:rPr>
          <w:rFonts w:ascii="仿宋" w:hAnsi="仿宋" w:eastAsia="仿宋"/>
          <w:sz w:val="24"/>
        </w:rPr>
        <w:t>约定期间</w:t>
      </w:r>
      <w:r>
        <w:rPr>
          <w:rFonts w:hint="eastAsia" w:ascii="仿宋" w:hAnsi="仿宋" w:eastAsia="仿宋"/>
          <w:sz w:val="24"/>
        </w:rPr>
        <w:t>内</w:t>
      </w:r>
      <w:r>
        <w:rPr>
          <w:rFonts w:ascii="仿宋" w:hAnsi="仿宋" w:eastAsia="仿宋"/>
          <w:sz w:val="24"/>
        </w:rPr>
        <w:t>不予退还或者应完全有效</w:t>
      </w:r>
      <w:r>
        <w:rPr>
          <w:rFonts w:hint="eastAsia" w:ascii="仿宋" w:hAnsi="仿宋" w:eastAsia="仿宋"/>
          <w:sz w:val="24"/>
        </w:rPr>
        <w:t>，前述约定期间</w:t>
      </w:r>
      <w:r>
        <w:rPr>
          <w:rFonts w:ascii="仿宋" w:hAnsi="仿宋" w:eastAsia="仿宋"/>
          <w:sz w:val="24"/>
        </w:rPr>
        <w:t>届满之日起</w:t>
      </w:r>
      <w:r>
        <w:rPr>
          <w:rFonts w:hint="eastAsia" w:ascii="仿宋" w:hAnsi="仿宋" w:eastAsia="仿宋"/>
          <w:sz w:val="24"/>
          <w:u w:val="single"/>
        </w:rPr>
        <w:t xml:space="preserve"> 30</w:t>
      </w:r>
      <w:r>
        <w:rPr>
          <w:rFonts w:hint="eastAsia" w:ascii="仿宋" w:hAnsi="仿宋" w:eastAsia="仿宋"/>
          <w:sz w:val="24"/>
        </w:rPr>
        <w:t>个</w:t>
      </w:r>
      <w:r>
        <w:rPr>
          <w:rFonts w:ascii="仿宋" w:hAnsi="仿宋" w:eastAsia="仿宋"/>
          <w:sz w:val="24"/>
        </w:rPr>
        <w:t>工作日内，甲方应将履约保证金退还乙方</w:t>
      </w:r>
      <w:r>
        <w:rPr>
          <w:rFonts w:hint="eastAsia" w:ascii="仿宋" w:hAnsi="仿宋" w:eastAsia="仿宋"/>
          <w:sz w:val="24"/>
        </w:rPr>
        <w:t>；</w:t>
      </w:r>
    </w:p>
    <w:p w14:paraId="47CBC964">
      <w:pPr>
        <w:spacing w:line="312" w:lineRule="auto"/>
        <w:ind w:firstLine="480" w:firstLineChars="200"/>
        <w:rPr>
          <w:rFonts w:ascii="仿宋" w:hAnsi="仿宋" w:eastAsia="仿宋"/>
          <w:sz w:val="24"/>
        </w:rPr>
      </w:pPr>
      <w:r>
        <w:rPr>
          <w:rFonts w:hint="eastAsia" w:ascii="仿宋" w:hAnsi="仿宋" w:eastAsia="仿宋"/>
          <w:sz w:val="24"/>
        </w:rPr>
        <w:t xml:space="preserve">2.18.3 </w:t>
      </w:r>
      <w:r>
        <w:rPr>
          <w:rFonts w:ascii="仿宋" w:hAnsi="仿宋" w:eastAsia="仿宋"/>
          <w:sz w:val="24"/>
        </w:rPr>
        <w:t>如果乙方不履行合同</w:t>
      </w:r>
      <w:r>
        <w:rPr>
          <w:rFonts w:hint="eastAsia" w:ascii="仿宋" w:hAnsi="仿宋" w:eastAsia="仿宋"/>
          <w:sz w:val="24"/>
        </w:rPr>
        <w:t>，履约保证金不予退还；如果乙方</w:t>
      </w:r>
      <w:r>
        <w:rPr>
          <w:rFonts w:ascii="仿宋" w:hAnsi="仿宋" w:eastAsia="仿宋"/>
          <w:sz w:val="24"/>
        </w:rPr>
        <w:t>未能按合同</w:t>
      </w:r>
      <w:r>
        <w:rPr>
          <w:rFonts w:hint="eastAsia" w:ascii="仿宋" w:hAnsi="仿宋" w:eastAsia="仿宋"/>
          <w:sz w:val="24"/>
        </w:rPr>
        <w:t>约</w:t>
      </w:r>
      <w:r>
        <w:rPr>
          <w:rFonts w:ascii="仿宋" w:hAnsi="仿宋" w:eastAsia="仿宋"/>
          <w:sz w:val="24"/>
        </w:rPr>
        <w:t>定全面履行义务，那么甲方有权从履约保证金中取得补偿或赔偿</w:t>
      </w:r>
      <w:r>
        <w:rPr>
          <w:rFonts w:hint="eastAsia" w:ascii="仿宋" w:hAnsi="仿宋" w:eastAsia="仿宋"/>
          <w:sz w:val="24"/>
        </w:rPr>
        <w:t>，同时不影响甲方要求乙方承担合同约定的超过履约保证金的违约责任的权利。</w:t>
      </w:r>
    </w:p>
    <w:bookmarkEnd w:id="463"/>
    <w:p w14:paraId="400B5379">
      <w:pPr>
        <w:keepNext/>
        <w:keepLines/>
        <w:spacing w:before="120" w:beforeLines="50" w:after="120" w:afterLines="50" w:line="312" w:lineRule="auto"/>
        <w:outlineLvl w:val="2"/>
        <w:rPr>
          <w:rFonts w:ascii="仿宋" w:hAnsi="仿宋" w:eastAsia="仿宋"/>
          <w:b/>
          <w:bCs/>
          <w:sz w:val="30"/>
          <w:szCs w:val="32"/>
        </w:rPr>
      </w:pPr>
      <w:bookmarkStart w:id="464" w:name="_Toc256000079"/>
      <w:bookmarkStart w:id="465" w:name="_Toc28563"/>
      <w:bookmarkStart w:id="466" w:name="_Toc256000152"/>
      <w:bookmarkStart w:id="467" w:name="_Toc256000047"/>
      <w:bookmarkStart w:id="468" w:name="_Toc534649455"/>
      <w:bookmarkStart w:id="469" w:name="_Toc256000107"/>
      <w:bookmarkStart w:id="470" w:name="_Toc36659906"/>
      <w:r>
        <w:rPr>
          <w:rFonts w:hint="eastAsia" w:ascii="仿宋" w:hAnsi="仿宋" w:eastAsia="仿宋"/>
          <w:b/>
          <w:bCs/>
          <w:sz w:val="30"/>
          <w:szCs w:val="32"/>
        </w:rPr>
        <w:t>2.19 合同份数</w:t>
      </w:r>
      <w:bookmarkEnd w:id="464"/>
      <w:bookmarkEnd w:id="465"/>
      <w:bookmarkEnd w:id="466"/>
      <w:bookmarkEnd w:id="467"/>
      <w:bookmarkEnd w:id="468"/>
      <w:bookmarkEnd w:id="469"/>
      <w:bookmarkEnd w:id="470"/>
    </w:p>
    <w:p w14:paraId="0AF8850D">
      <w:pPr>
        <w:spacing w:line="312"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40B9DE79">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471" w:name="_Toc331685784"/>
      <w:bookmarkStart w:id="472" w:name="_Toc256000153"/>
      <w:bookmarkStart w:id="473" w:name="_Toc256000048"/>
      <w:bookmarkStart w:id="474" w:name="_Toc36659907"/>
      <w:bookmarkStart w:id="475" w:name="_Toc256000108"/>
      <w:bookmarkStart w:id="476" w:name="_Toc25563"/>
      <w:bookmarkStart w:id="477" w:name="_Toc534649456"/>
      <w:bookmarkStart w:id="478" w:name="_Toc256000080"/>
      <w:r>
        <w:rPr>
          <w:rFonts w:hint="eastAsia" w:ascii="仿宋" w:hAnsi="仿宋" w:eastAsia="仿宋"/>
          <w:b/>
          <w:bCs/>
          <w:sz w:val="32"/>
          <w:szCs w:val="32"/>
        </w:rPr>
        <w:t>第三部分 合同专用条款</w:t>
      </w:r>
      <w:bookmarkEnd w:id="471"/>
      <w:bookmarkEnd w:id="472"/>
      <w:bookmarkEnd w:id="473"/>
      <w:bookmarkEnd w:id="474"/>
      <w:bookmarkEnd w:id="475"/>
      <w:bookmarkEnd w:id="476"/>
      <w:bookmarkEnd w:id="477"/>
      <w:bookmarkEnd w:id="478"/>
    </w:p>
    <w:p w14:paraId="79321321">
      <w:pPr>
        <w:spacing w:line="360" w:lineRule="auto"/>
        <w:ind w:firstLine="480" w:firstLineChars="200"/>
        <w:rPr>
          <w:rFonts w:ascii="仿宋" w:hAnsi="仿宋" w:eastAsia="仿宋"/>
          <w:sz w:val="24"/>
        </w:rPr>
      </w:pPr>
      <w:r>
        <w:rPr>
          <w:rFonts w:hint="eastAsia" w:ascii="仿宋" w:hAnsi="仿宋" w:eastAsia="仿宋"/>
          <w:sz w:val="24"/>
        </w:rPr>
        <w:t>本部分</w:t>
      </w:r>
      <w:r>
        <w:rPr>
          <w:rFonts w:ascii="仿宋" w:hAnsi="仿宋" w:eastAsia="仿宋"/>
          <w:sz w:val="24"/>
        </w:rPr>
        <w:t>是对</w:t>
      </w:r>
      <w:r>
        <w:rPr>
          <w:rFonts w:hint="eastAsia" w:ascii="仿宋" w:hAnsi="仿宋" w:eastAsia="仿宋"/>
          <w:sz w:val="24"/>
        </w:rPr>
        <w:t>前两</w:t>
      </w:r>
      <w:r>
        <w:rPr>
          <w:rFonts w:ascii="仿宋" w:hAnsi="仿宋" w:eastAsia="仿宋"/>
          <w:sz w:val="24"/>
        </w:rPr>
        <w:t>部分的补充和修改</w:t>
      </w:r>
      <w:r>
        <w:rPr>
          <w:rFonts w:hint="eastAsia" w:ascii="仿宋" w:hAnsi="仿宋" w:eastAsia="仿宋"/>
          <w:sz w:val="24"/>
        </w:rPr>
        <w:t>，</w:t>
      </w:r>
      <w:r>
        <w:rPr>
          <w:rFonts w:ascii="仿宋" w:hAnsi="仿宋" w:eastAsia="仿宋"/>
          <w:sz w:val="24"/>
        </w:rPr>
        <w:t>如果</w:t>
      </w:r>
      <w:r>
        <w:rPr>
          <w:rFonts w:hint="eastAsia" w:ascii="仿宋" w:hAnsi="仿宋" w:eastAsia="仿宋"/>
          <w:sz w:val="24"/>
        </w:rPr>
        <w:t>前两</w:t>
      </w:r>
      <w:r>
        <w:rPr>
          <w:rFonts w:ascii="仿宋" w:hAnsi="仿宋" w:eastAsia="仿宋"/>
          <w:sz w:val="24"/>
        </w:rPr>
        <w:t>部分和本部分的约定不一致</w:t>
      </w:r>
      <w:r>
        <w:rPr>
          <w:rFonts w:hint="eastAsia" w:ascii="仿宋" w:hAnsi="仿宋" w:eastAsia="仿宋"/>
          <w:sz w:val="24"/>
        </w:rPr>
        <w:t>，</w:t>
      </w:r>
      <w:r>
        <w:rPr>
          <w:rFonts w:ascii="仿宋" w:hAnsi="仿宋" w:eastAsia="仿宋"/>
          <w:sz w:val="24"/>
        </w:rPr>
        <w:t>应以本部分的约定为准</w:t>
      </w:r>
      <w:r>
        <w:rPr>
          <w:rFonts w:hint="eastAsia" w:ascii="仿宋" w:hAnsi="仿宋" w:eastAsia="仿宋"/>
          <w:sz w:val="24"/>
        </w:rPr>
        <w:t>。</w:t>
      </w:r>
      <w:r>
        <w:rPr>
          <w:rFonts w:ascii="仿宋" w:hAnsi="仿宋" w:eastAsia="仿宋"/>
          <w:sz w:val="24"/>
        </w:rPr>
        <w:t>本部分的条款号应与</w:t>
      </w:r>
      <w:r>
        <w:rPr>
          <w:rFonts w:hint="eastAsia" w:ascii="仿宋" w:hAnsi="仿宋" w:eastAsia="仿宋"/>
          <w:sz w:val="24"/>
        </w:rPr>
        <w:t>前两部分</w:t>
      </w:r>
      <w:r>
        <w:rPr>
          <w:rFonts w:ascii="仿宋" w:hAnsi="仿宋" w:eastAsia="仿宋"/>
          <w:sz w:val="24"/>
        </w:rPr>
        <w:t>的条款号保持对应</w:t>
      </w:r>
      <w:r>
        <w:rPr>
          <w:rFonts w:hint="eastAsia" w:ascii="仿宋" w:hAnsi="仿宋" w:eastAsia="仿宋"/>
          <w:sz w:val="24"/>
        </w:rPr>
        <w:t>；与前两部分</w:t>
      </w:r>
      <w:r>
        <w:rPr>
          <w:rFonts w:ascii="仿宋" w:hAnsi="仿宋" w:eastAsia="仿宋"/>
          <w:sz w:val="24"/>
        </w:rPr>
        <w:t>无对应关系的内容可另行编制条款号</w:t>
      </w:r>
      <w:r>
        <w:rPr>
          <w:rFonts w:hint="eastAsia" w:ascii="仿宋" w:hAnsi="仿宋" w:eastAsia="仿宋"/>
          <w:sz w:val="24"/>
        </w:rPr>
        <w:t>。</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874"/>
      </w:tblGrid>
      <w:tr w14:paraId="7F4D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E9FD216">
            <w:pPr>
              <w:spacing w:line="560" w:lineRule="exact"/>
              <w:jc w:val="center"/>
              <w:rPr>
                <w:rFonts w:ascii="仿宋" w:hAnsi="仿宋" w:eastAsia="仿宋"/>
                <w:b/>
                <w:sz w:val="24"/>
              </w:rPr>
            </w:pPr>
            <w:r>
              <w:rPr>
                <w:rFonts w:ascii="仿宋" w:hAnsi="仿宋" w:eastAsia="仿宋"/>
                <w:b/>
                <w:sz w:val="24"/>
              </w:rPr>
              <w:t>条款号</w:t>
            </w:r>
          </w:p>
        </w:tc>
        <w:tc>
          <w:tcPr>
            <w:tcW w:w="7874" w:type="dxa"/>
            <w:noWrap w:val="0"/>
            <w:vAlign w:val="center"/>
          </w:tcPr>
          <w:p w14:paraId="7BD4B7FB">
            <w:pPr>
              <w:spacing w:line="560" w:lineRule="exact"/>
              <w:jc w:val="center"/>
              <w:rPr>
                <w:rFonts w:ascii="仿宋" w:hAnsi="仿宋" w:eastAsia="仿宋"/>
                <w:b/>
                <w:sz w:val="24"/>
              </w:rPr>
            </w:pPr>
            <w:r>
              <w:rPr>
                <w:rFonts w:ascii="仿宋" w:hAnsi="仿宋" w:eastAsia="仿宋"/>
                <w:b/>
                <w:sz w:val="24"/>
              </w:rPr>
              <w:t>约定内容</w:t>
            </w:r>
          </w:p>
        </w:tc>
      </w:tr>
      <w:tr w14:paraId="0374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6C5BD31">
            <w:pPr>
              <w:spacing w:line="560" w:lineRule="exact"/>
              <w:rPr>
                <w:rFonts w:ascii="仿宋" w:hAnsi="仿宋" w:eastAsia="仿宋"/>
                <w:sz w:val="24"/>
              </w:rPr>
            </w:pPr>
            <w:r>
              <w:rPr>
                <w:rFonts w:hint="eastAsia" w:ascii="仿宋" w:hAnsi="仿宋" w:eastAsia="仿宋"/>
                <w:sz w:val="24"/>
              </w:rPr>
              <w:t>2.3.2</w:t>
            </w:r>
          </w:p>
        </w:tc>
        <w:tc>
          <w:tcPr>
            <w:tcW w:w="7874" w:type="dxa"/>
            <w:noWrap w:val="0"/>
            <w:vAlign w:val="center"/>
          </w:tcPr>
          <w:p w14:paraId="7AFA6B19">
            <w:pPr>
              <w:spacing w:line="560" w:lineRule="exact"/>
              <w:rPr>
                <w:rFonts w:ascii="仿宋" w:hAnsi="仿宋" w:eastAsia="仿宋"/>
                <w:sz w:val="24"/>
              </w:rPr>
            </w:pPr>
            <w:r>
              <w:rPr>
                <w:rFonts w:hint="eastAsia" w:ascii="仿宋" w:hAnsi="仿宋" w:eastAsia="仿宋"/>
                <w:sz w:val="24"/>
              </w:rPr>
              <w:t>技术成果的归属为甲乙双方共有。由此产生的收益的分成办法由双方协商。</w:t>
            </w:r>
          </w:p>
        </w:tc>
      </w:tr>
      <w:tr w14:paraId="7783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555C6E21">
            <w:pPr>
              <w:rPr>
                <w:rFonts w:ascii="仿宋" w:hAnsi="仿宋" w:eastAsia="仿宋"/>
                <w:sz w:val="22"/>
                <w:szCs w:val="28"/>
              </w:rPr>
            </w:pPr>
            <w:r>
              <w:rPr>
                <w:rFonts w:hint="eastAsia" w:ascii="仿宋" w:hAnsi="仿宋" w:eastAsia="仿宋"/>
                <w:sz w:val="22"/>
                <w:szCs w:val="28"/>
              </w:rPr>
              <w:t>2.5</w:t>
            </w:r>
          </w:p>
        </w:tc>
        <w:tc>
          <w:tcPr>
            <w:tcW w:w="7874" w:type="dxa"/>
            <w:noWrap w:val="0"/>
            <w:vAlign w:val="center"/>
          </w:tcPr>
          <w:p w14:paraId="3BF2B4A2">
            <w:pPr>
              <w:rPr>
                <w:rFonts w:hint="eastAsia" w:ascii="仿宋" w:hAnsi="仿宋" w:eastAsia="仿宋"/>
                <w:sz w:val="22"/>
                <w:szCs w:val="28"/>
              </w:rPr>
            </w:pPr>
            <w:r>
              <w:rPr>
                <w:rFonts w:hint="eastAsia" w:ascii="仿宋" w:hAnsi="仿宋" w:eastAsia="仿宋"/>
                <w:sz w:val="22"/>
                <w:szCs w:val="28"/>
              </w:rPr>
              <w:t>本合同甲乙双方之间发生的一切费用均以人民币结算及支付，根据进度分次付款。</w:t>
            </w:r>
          </w:p>
        </w:tc>
      </w:tr>
      <w:tr w14:paraId="0B7F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04903C9">
            <w:pPr>
              <w:spacing w:line="560" w:lineRule="exact"/>
              <w:rPr>
                <w:rFonts w:ascii="仿宋" w:hAnsi="仿宋" w:eastAsia="仿宋"/>
                <w:sz w:val="24"/>
              </w:rPr>
            </w:pPr>
            <w:r>
              <w:rPr>
                <w:rFonts w:hint="eastAsia" w:ascii="仿宋" w:hAnsi="仿宋" w:eastAsia="仿宋"/>
                <w:sz w:val="24"/>
              </w:rPr>
              <w:t>2.11.3</w:t>
            </w:r>
          </w:p>
        </w:tc>
        <w:tc>
          <w:tcPr>
            <w:tcW w:w="7874" w:type="dxa"/>
            <w:noWrap w:val="0"/>
            <w:vAlign w:val="center"/>
          </w:tcPr>
          <w:p w14:paraId="3A97F9CB">
            <w:pPr>
              <w:spacing w:line="560" w:lineRule="exact"/>
              <w:rPr>
                <w:rFonts w:ascii="仿宋" w:hAnsi="仿宋" w:eastAsia="仿宋"/>
                <w:sz w:val="24"/>
              </w:rPr>
            </w:pPr>
            <w:r>
              <w:rPr>
                <w:rFonts w:hint="eastAsia" w:ascii="仿宋" w:hAnsi="仿宋" w:eastAsia="仿宋"/>
                <w:sz w:val="24"/>
              </w:rPr>
              <w:t>双方通过协商在7日内达成进一步履行合同的协议，因不可抗力致使合同不能履行的，合同终止。</w:t>
            </w:r>
          </w:p>
        </w:tc>
      </w:tr>
      <w:tr w14:paraId="2C6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DB716D0">
            <w:pPr>
              <w:spacing w:line="560" w:lineRule="exact"/>
              <w:rPr>
                <w:rFonts w:ascii="仿宋" w:hAnsi="仿宋" w:eastAsia="仿宋"/>
                <w:sz w:val="24"/>
              </w:rPr>
            </w:pPr>
            <w:r>
              <w:rPr>
                <w:rFonts w:hint="eastAsia" w:ascii="仿宋" w:hAnsi="仿宋" w:eastAsia="仿宋"/>
                <w:sz w:val="24"/>
              </w:rPr>
              <w:t>2.11.4</w:t>
            </w:r>
          </w:p>
        </w:tc>
        <w:tc>
          <w:tcPr>
            <w:tcW w:w="7874" w:type="dxa"/>
            <w:noWrap w:val="0"/>
            <w:vAlign w:val="center"/>
          </w:tcPr>
          <w:p w14:paraId="6CCC8DF7">
            <w:pPr>
              <w:spacing w:line="560" w:lineRule="exact"/>
              <w:rPr>
                <w:rFonts w:ascii="仿宋" w:hAnsi="仿宋" w:eastAsia="仿宋"/>
                <w:sz w:val="24"/>
              </w:rPr>
            </w:pP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，在24小时内以书面形式通知对方当事人；事故发生后3天内,将有关部门出具的证明文件送达另一方。</w:t>
            </w:r>
          </w:p>
        </w:tc>
      </w:tr>
      <w:tr w14:paraId="5FA0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02FDA93E">
            <w:pPr>
              <w:spacing w:line="560" w:lineRule="exact"/>
              <w:rPr>
                <w:rFonts w:ascii="仿宋" w:hAnsi="仿宋" w:eastAsia="仿宋"/>
                <w:sz w:val="24"/>
              </w:rPr>
            </w:pPr>
            <w:r>
              <w:rPr>
                <w:rFonts w:hint="eastAsia" w:ascii="仿宋" w:hAnsi="仿宋" w:eastAsia="仿宋"/>
                <w:sz w:val="24"/>
              </w:rPr>
              <w:t>2.18.1</w:t>
            </w:r>
          </w:p>
        </w:tc>
        <w:tc>
          <w:tcPr>
            <w:tcW w:w="7874" w:type="dxa"/>
            <w:noWrap w:val="0"/>
            <w:vAlign w:val="center"/>
          </w:tcPr>
          <w:p w14:paraId="16627E93">
            <w:pPr>
              <w:spacing w:line="560" w:lineRule="exact"/>
              <w:rPr>
                <w:rFonts w:ascii="仿宋" w:hAnsi="仿宋" w:eastAsia="仿宋"/>
                <w:sz w:val="24"/>
                <w:u w:val="single"/>
              </w:rPr>
            </w:pPr>
            <w:r>
              <w:rPr>
                <w:rFonts w:hint="eastAsia" w:ascii="仿宋" w:hAnsi="仿宋" w:eastAsia="仿宋"/>
                <w:sz w:val="24"/>
              </w:rPr>
              <w:t>乙方在签订合同后5个工作日内，以支票、汇票、本票等非现金形式，提交不超过合同价5%的履约保证金。</w:t>
            </w:r>
          </w:p>
        </w:tc>
      </w:tr>
      <w:tr w14:paraId="5E95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3D106722">
            <w:pPr>
              <w:spacing w:line="560" w:lineRule="exact"/>
              <w:rPr>
                <w:rFonts w:ascii="仿宋" w:hAnsi="仿宋" w:eastAsia="仿宋"/>
                <w:sz w:val="24"/>
              </w:rPr>
            </w:pPr>
            <w:r>
              <w:rPr>
                <w:rFonts w:hint="eastAsia" w:ascii="仿宋" w:hAnsi="仿宋" w:eastAsia="仿宋"/>
                <w:sz w:val="24"/>
              </w:rPr>
              <w:t>2.18.2</w:t>
            </w:r>
          </w:p>
        </w:tc>
        <w:tc>
          <w:tcPr>
            <w:tcW w:w="7874" w:type="dxa"/>
            <w:noWrap w:val="0"/>
            <w:vAlign w:val="center"/>
          </w:tcPr>
          <w:p w14:paraId="3BC19E4E">
            <w:pPr>
              <w:spacing w:line="560" w:lineRule="exact"/>
              <w:rPr>
                <w:rFonts w:ascii="仿宋" w:hAnsi="仿宋" w:eastAsia="仿宋"/>
                <w:sz w:val="24"/>
              </w:rPr>
            </w:pPr>
            <w:r>
              <w:rPr>
                <w:rFonts w:hint="eastAsia" w:ascii="仿宋" w:hAnsi="仿宋" w:eastAsia="仿宋"/>
                <w:sz w:val="24"/>
              </w:rPr>
              <w:t>履约保证金在合同履行期内不予退还或者完全有效。</w:t>
            </w:r>
          </w:p>
        </w:tc>
      </w:tr>
      <w:tr w14:paraId="05A5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2291BB3C">
            <w:pPr>
              <w:spacing w:line="560" w:lineRule="exact"/>
              <w:rPr>
                <w:rFonts w:ascii="仿宋" w:hAnsi="仿宋" w:eastAsia="仿宋"/>
                <w:sz w:val="24"/>
              </w:rPr>
            </w:pPr>
            <w:r>
              <w:rPr>
                <w:rFonts w:hint="eastAsia" w:ascii="仿宋" w:hAnsi="仿宋" w:eastAsia="仿宋"/>
                <w:sz w:val="24"/>
              </w:rPr>
              <w:t>2.19</w:t>
            </w:r>
          </w:p>
        </w:tc>
        <w:tc>
          <w:tcPr>
            <w:tcW w:w="7874" w:type="dxa"/>
            <w:noWrap w:val="0"/>
            <w:vAlign w:val="center"/>
          </w:tcPr>
          <w:p w14:paraId="6AB5895C">
            <w:pPr>
              <w:spacing w:line="560" w:lineRule="exact"/>
              <w:rPr>
                <w:rFonts w:ascii="仿宋" w:hAnsi="仿宋" w:eastAsia="仿宋"/>
                <w:sz w:val="24"/>
              </w:rPr>
            </w:pPr>
            <w:r>
              <w:rPr>
                <w:rFonts w:hint="eastAsia" w:ascii="仿宋" w:hAnsi="仿宋" w:eastAsia="仿宋"/>
                <w:sz w:val="24"/>
              </w:rPr>
              <w:t>合同份数：一式伍份，每份均具有同等法律效力。</w:t>
            </w:r>
          </w:p>
        </w:tc>
      </w:tr>
    </w:tbl>
    <w:p w14:paraId="489B4D32">
      <w:pPr>
        <w:pStyle w:val="2"/>
        <w:numPr>
          <w:ilvl w:val="0"/>
          <w:numId w:val="0"/>
        </w:numPr>
        <w:ind w:leftChars="-299"/>
        <w:jc w:val="center"/>
        <w:rPr>
          <w:rFonts w:hint="eastAsia" w:ascii="仿宋" w:hAnsi="仿宋" w:eastAsia="仿宋" w:cs="宋体"/>
          <w:b/>
          <w:kern w:val="0"/>
        </w:rPr>
      </w:pPr>
      <w:r>
        <w:rPr>
          <w:rFonts w:hint="eastAsia" w:ascii="宋体" w:hAnsi="宋体" w:cs="宋体"/>
          <w:highlight w:val="white"/>
        </w:rPr>
        <w:br w:type="page"/>
      </w:r>
      <w:bookmarkStart w:id="479" w:name="_Toc529952600"/>
      <w:bookmarkStart w:id="480" w:name="_Toc598"/>
      <w:r>
        <w:rPr>
          <w:rFonts w:hint="eastAsia" w:ascii="宋体" w:hAnsi="宋体" w:cs="宋体"/>
          <w:highlight w:val="white"/>
          <w:lang w:val="en-US" w:eastAsia="zh-CN"/>
        </w:rPr>
        <w:t xml:space="preserve">      </w:t>
      </w:r>
      <w:bookmarkStart w:id="481" w:name="_Toc4396"/>
      <w:r>
        <w:rPr>
          <w:rFonts w:hint="eastAsia" w:ascii="宋体" w:hAnsi="宋体" w:eastAsia="宋体" w:cs="宋体"/>
          <w:sz w:val="36"/>
          <w:szCs w:val="36"/>
          <w:highlight w:val="white"/>
        </w:rPr>
        <w:t xml:space="preserve">第五章 </w:t>
      </w:r>
      <w:bookmarkEnd w:id="479"/>
      <w:bookmarkEnd w:id="480"/>
      <w:bookmarkStart w:id="482" w:name="_Toc36659908"/>
      <w:bookmarkStart w:id="483" w:name="_Hlk98324385"/>
      <w:r>
        <w:rPr>
          <w:rFonts w:hint="eastAsia" w:ascii="宋体" w:hAnsi="宋体" w:eastAsia="宋体" w:cs="宋体"/>
          <w:b/>
          <w:kern w:val="0"/>
          <w:sz w:val="36"/>
          <w:szCs w:val="36"/>
        </w:rPr>
        <w:t>项目技术要求</w:t>
      </w:r>
      <w:bookmarkEnd w:id="481"/>
      <w:bookmarkEnd w:id="482"/>
    </w:p>
    <w:tbl>
      <w:tblPr>
        <w:tblStyle w:val="46"/>
        <w:tblW w:w="9143" w:type="dxa"/>
        <w:jc w:val="center"/>
        <w:tblLayout w:type="fixed"/>
        <w:tblCellMar>
          <w:top w:w="0" w:type="dxa"/>
          <w:left w:w="108" w:type="dxa"/>
          <w:bottom w:w="0" w:type="dxa"/>
          <w:right w:w="108" w:type="dxa"/>
        </w:tblCellMar>
      </w:tblPr>
      <w:tblGrid>
        <w:gridCol w:w="685"/>
        <w:gridCol w:w="1744"/>
        <w:gridCol w:w="3612"/>
        <w:gridCol w:w="738"/>
        <w:gridCol w:w="725"/>
        <w:gridCol w:w="1639"/>
      </w:tblGrid>
      <w:tr w14:paraId="0E4A2A1D">
        <w:tblPrEx>
          <w:tblCellMar>
            <w:top w:w="0" w:type="dxa"/>
            <w:left w:w="108" w:type="dxa"/>
            <w:bottom w:w="0" w:type="dxa"/>
            <w:right w:w="108" w:type="dxa"/>
          </w:tblCellMar>
        </w:tblPrEx>
        <w:trPr>
          <w:trHeight w:val="462"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7FA2C3EF">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序号</w:t>
            </w:r>
          </w:p>
        </w:tc>
        <w:tc>
          <w:tcPr>
            <w:tcW w:w="1744" w:type="dxa"/>
            <w:tcBorders>
              <w:top w:val="single" w:color="auto" w:sz="4" w:space="0"/>
              <w:left w:val="nil"/>
              <w:bottom w:val="single" w:color="auto" w:sz="4" w:space="0"/>
              <w:right w:val="single" w:color="auto" w:sz="4" w:space="0"/>
            </w:tcBorders>
            <w:noWrap w:val="0"/>
            <w:vAlign w:val="center"/>
          </w:tcPr>
          <w:p w14:paraId="7FA71A3A">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运维工作项目</w:t>
            </w:r>
          </w:p>
        </w:tc>
        <w:tc>
          <w:tcPr>
            <w:tcW w:w="3612" w:type="dxa"/>
            <w:tcBorders>
              <w:top w:val="single" w:color="auto" w:sz="4" w:space="0"/>
              <w:left w:val="nil"/>
              <w:bottom w:val="single" w:color="auto" w:sz="4" w:space="0"/>
              <w:right w:val="single" w:color="auto" w:sz="4" w:space="0"/>
            </w:tcBorders>
            <w:noWrap w:val="0"/>
            <w:vAlign w:val="center"/>
          </w:tcPr>
          <w:p w14:paraId="42A838D7">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具体工作内容及要求</w:t>
            </w:r>
          </w:p>
        </w:tc>
        <w:tc>
          <w:tcPr>
            <w:tcW w:w="738" w:type="dxa"/>
            <w:tcBorders>
              <w:top w:val="single" w:color="auto" w:sz="4" w:space="0"/>
              <w:left w:val="nil"/>
              <w:bottom w:val="single" w:color="auto" w:sz="4" w:space="0"/>
              <w:right w:val="single" w:color="auto" w:sz="4" w:space="0"/>
            </w:tcBorders>
            <w:noWrap w:val="0"/>
            <w:vAlign w:val="center"/>
          </w:tcPr>
          <w:p w14:paraId="43B4233D">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单位</w:t>
            </w:r>
          </w:p>
        </w:tc>
        <w:tc>
          <w:tcPr>
            <w:tcW w:w="725" w:type="dxa"/>
            <w:tcBorders>
              <w:top w:val="single" w:color="auto" w:sz="4" w:space="0"/>
              <w:left w:val="nil"/>
              <w:bottom w:val="single" w:color="auto" w:sz="4" w:space="0"/>
              <w:right w:val="single" w:color="auto" w:sz="4" w:space="0"/>
            </w:tcBorders>
            <w:noWrap w:val="0"/>
            <w:vAlign w:val="center"/>
          </w:tcPr>
          <w:p w14:paraId="68067C23">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数量</w:t>
            </w:r>
          </w:p>
        </w:tc>
        <w:tc>
          <w:tcPr>
            <w:tcW w:w="1639" w:type="dxa"/>
            <w:tcBorders>
              <w:top w:val="single" w:color="auto" w:sz="4" w:space="0"/>
              <w:left w:val="nil"/>
              <w:bottom w:val="single" w:color="auto" w:sz="4" w:space="0"/>
              <w:right w:val="single" w:color="auto" w:sz="4" w:space="0"/>
            </w:tcBorders>
            <w:noWrap w:val="0"/>
            <w:vAlign w:val="center"/>
          </w:tcPr>
          <w:p w14:paraId="28F10C8D">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备注</w:t>
            </w:r>
          </w:p>
        </w:tc>
      </w:tr>
      <w:tr w14:paraId="7596E821">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2CB9CA72">
            <w:pPr>
              <w:spacing w:after="0" w:line="240" w:lineRule="auto"/>
              <w:ind w:firstLine="0" w:firstLineChars="0"/>
              <w:jc w:val="center"/>
              <w:rPr>
                <w:rFonts w:hint="eastAsia" w:ascii="宋体" w:hAnsi="宋体" w:cs="宋体"/>
                <w:b/>
                <w:bCs/>
                <w:color w:val="000000"/>
                <w:kern w:val="2"/>
                <w:sz w:val="22"/>
                <w:szCs w:val="22"/>
                <w:lang w:val="en-US" w:eastAsia="zh-CN" w:bidi="ar-SA"/>
              </w:rPr>
            </w:pPr>
            <w:r>
              <w:rPr>
                <w:rFonts w:hint="eastAsia" w:ascii="宋体" w:hAnsi="宋体" w:cs="宋体"/>
                <w:b/>
                <w:bCs/>
                <w:color w:val="000000"/>
                <w:sz w:val="22"/>
              </w:rPr>
              <w:t>一</w:t>
            </w:r>
          </w:p>
        </w:tc>
        <w:tc>
          <w:tcPr>
            <w:tcW w:w="1744" w:type="dxa"/>
            <w:tcBorders>
              <w:top w:val="nil"/>
              <w:left w:val="nil"/>
              <w:bottom w:val="single" w:color="auto" w:sz="4" w:space="0"/>
              <w:right w:val="single" w:color="auto" w:sz="4" w:space="0"/>
            </w:tcBorders>
            <w:noWrap w:val="0"/>
            <w:vAlign w:val="center"/>
          </w:tcPr>
          <w:p w14:paraId="791C3FA0">
            <w:pPr>
              <w:spacing w:after="0" w:line="240" w:lineRule="auto"/>
              <w:ind w:firstLine="0" w:firstLineChars="0"/>
              <w:jc w:val="center"/>
              <w:rPr>
                <w:rFonts w:hint="eastAsia" w:ascii="宋体" w:hAnsi="宋体" w:cs="宋体"/>
                <w:b/>
                <w:bCs/>
                <w:color w:val="000000"/>
                <w:kern w:val="2"/>
                <w:sz w:val="22"/>
                <w:szCs w:val="22"/>
                <w:lang w:val="en-US" w:eastAsia="zh-CN" w:bidi="ar-SA"/>
              </w:rPr>
            </w:pPr>
            <w:r>
              <w:rPr>
                <w:rFonts w:hint="eastAsia" w:ascii="宋体" w:hAnsi="宋体" w:cs="宋体"/>
                <w:b/>
                <w:bCs/>
                <w:color w:val="000000"/>
                <w:sz w:val="22"/>
              </w:rPr>
              <w:t>基础设施环境运维保障</w:t>
            </w:r>
          </w:p>
        </w:tc>
        <w:tc>
          <w:tcPr>
            <w:tcW w:w="3612" w:type="dxa"/>
            <w:tcBorders>
              <w:top w:val="nil"/>
              <w:left w:val="nil"/>
              <w:bottom w:val="single" w:color="auto" w:sz="4" w:space="0"/>
              <w:right w:val="single" w:color="auto" w:sz="4" w:space="0"/>
            </w:tcBorders>
            <w:noWrap/>
            <w:vAlign w:val="center"/>
          </w:tcPr>
          <w:p w14:paraId="62A2A660">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738" w:type="dxa"/>
            <w:tcBorders>
              <w:top w:val="nil"/>
              <w:left w:val="nil"/>
              <w:bottom w:val="single" w:color="auto" w:sz="4" w:space="0"/>
              <w:right w:val="single" w:color="auto" w:sz="4" w:space="0"/>
            </w:tcBorders>
            <w:noWrap/>
            <w:vAlign w:val="center"/>
          </w:tcPr>
          <w:p w14:paraId="27EE809F">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725" w:type="dxa"/>
            <w:tcBorders>
              <w:top w:val="nil"/>
              <w:left w:val="nil"/>
              <w:bottom w:val="single" w:color="auto" w:sz="4" w:space="0"/>
              <w:right w:val="single" w:color="auto" w:sz="4" w:space="0"/>
            </w:tcBorders>
            <w:noWrap/>
            <w:vAlign w:val="center"/>
          </w:tcPr>
          <w:p w14:paraId="2E136B8F">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1639" w:type="dxa"/>
            <w:tcBorders>
              <w:top w:val="nil"/>
              <w:left w:val="nil"/>
              <w:bottom w:val="single" w:color="auto" w:sz="4" w:space="0"/>
              <w:right w:val="single" w:color="auto" w:sz="4" w:space="0"/>
            </w:tcBorders>
            <w:noWrap/>
            <w:vAlign w:val="center"/>
          </w:tcPr>
          <w:p w14:paraId="41DE557D">
            <w:pPr>
              <w:spacing w:after="0" w:line="240" w:lineRule="auto"/>
              <w:ind w:firstLine="0" w:firstLineChars="0"/>
              <w:jc w:val="center"/>
              <w:rPr>
                <w:rFonts w:hint="eastAsia" w:ascii="宋体" w:hAnsi="宋体" w:cs="宋体"/>
                <w:b/>
                <w:bCs/>
                <w:color w:val="auto"/>
                <w:sz w:val="22"/>
              </w:rPr>
            </w:pPr>
          </w:p>
        </w:tc>
      </w:tr>
      <w:tr w14:paraId="06278532">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5AFFDBBD">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744" w:type="dxa"/>
            <w:tcBorders>
              <w:top w:val="nil"/>
              <w:left w:val="nil"/>
              <w:bottom w:val="single" w:color="auto" w:sz="4" w:space="0"/>
              <w:right w:val="single" w:color="auto" w:sz="4" w:space="0"/>
            </w:tcBorders>
            <w:noWrap w:val="0"/>
            <w:vAlign w:val="center"/>
          </w:tcPr>
          <w:p w14:paraId="6F07EBC5">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网络环境</w:t>
            </w:r>
          </w:p>
        </w:tc>
        <w:tc>
          <w:tcPr>
            <w:tcW w:w="3612" w:type="dxa"/>
            <w:tcBorders>
              <w:top w:val="nil"/>
              <w:left w:val="nil"/>
              <w:bottom w:val="single" w:color="auto" w:sz="4" w:space="0"/>
              <w:right w:val="single" w:color="auto" w:sz="4" w:space="0"/>
            </w:tcBorders>
            <w:noWrap/>
            <w:vAlign w:val="center"/>
          </w:tcPr>
          <w:p w14:paraId="731BD95C">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5570F303">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6F44EDD8">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06EE7C22">
            <w:pPr>
              <w:spacing w:after="0" w:line="240" w:lineRule="auto"/>
              <w:ind w:firstLine="0" w:firstLineChars="0"/>
              <w:jc w:val="center"/>
              <w:rPr>
                <w:rFonts w:hint="eastAsia" w:ascii="宋体" w:hAnsi="宋体" w:cs="宋体"/>
                <w:b/>
                <w:bCs/>
                <w:color w:val="auto"/>
                <w:sz w:val="22"/>
              </w:rPr>
            </w:pPr>
            <w:r>
              <w:rPr>
                <w:rFonts w:hint="eastAsia" w:ascii="宋体" w:hAnsi="宋体" w:cs="宋体"/>
                <w:color w:val="000000"/>
                <w:sz w:val="20"/>
                <w:szCs w:val="20"/>
              </w:rPr>
              <w:t>不包含通信费用</w:t>
            </w:r>
          </w:p>
        </w:tc>
      </w:tr>
      <w:tr w14:paraId="46A43CD4">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282F5007">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1.1</w:t>
            </w:r>
          </w:p>
        </w:tc>
        <w:tc>
          <w:tcPr>
            <w:tcW w:w="1744" w:type="dxa"/>
            <w:tcBorders>
              <w:top w:val="nil"/>
              <w:left w:val="nil"/>
              <w:bottom w:val="single" w:color="auto" w:sz="4" w:space="0"/>
              <w:right w:val="single" w:color="auto" w:sz="4" w:space="0"/>
            </w:tcBorders>
            <w:noWrap w:val="0"/>
            <w:vAlign w:val="center"/>
          </w:tcPr>
          <w:p w14:paraId="19351FD8">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互联网业务运维</w:t>
            </w:r>
          </w:p>
        </w:tc>
        <w:tc>
          <w:tcPr>
            <w:tcW w:w="3612" w:type="dxa"/>
            <w:tcBorders>
              <w:top w:val="nil"/>
              <w:left w:val="nil"/>
              <w:bottom w:val="single" w:color="auto" w:sz="4" w:space="0"/>
              <w:right w:val="single" w:color="auto" w:sz="4" w:space="0"/>
            </w:tcBorders>
            <w:noWrap/>
            <w:vAlign w:val="center"/>
          </w:tcPr>
          <w:p w14:paraId="00AD88DE">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总控中心内互联网业务的日常维护与管理</w:t>
            </w:r>
          </w:p>
        </w:tc>
        <w:tc>
          <w:tcPr>
            <w:tcW w:w="738" w:type="dxa"/>
            <w:tcBorders>
              <w:top w:val="nil"/>
              <w:left w:val="nil"/>
              <w:bottom w:val="single" w:color="auto" w:sz="4" w:space="0"/>
              <w:right w:val="single" w:color="auto" w:sz="4" w:space="0"/>
            </w:tcBorders>
            <w:noWrap/>
            <w:vAlign w:val="center"/>
          </w:tcPr>
          <w:p w14:paraId="719BFF4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8F275C5">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4EFD57DE">
            <w:pPr>
              <w:spacing w:after="0" w:line="240" w:lineRule="auto"/>
              <w:ind w:firstLine="0" w:firstLineChars="0"/>
              <w:jc w:val="center"/>
              <w:rPr>
                <w:rFonts w:hint="eastAsia" w:ascii="宋体" w:hAnsi="宋体" w:cs="宋体"/>
                <w:b/>
                <w:bCs/>
                <w:color w:val="auto"/>
                <w:sz w:val="22"/>
              </w:rPr>
            </w:pPr>
          </w:p>
        </w:tc>
      </w:tr>
      <w:tr w14:paraId="5BBD8114">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1D72219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1.2</w:t>
            </w:r>
          </w:p>
        </w:tc>
        <w:tc>
          <w:tcPr>
            <w:tcW w:w="1744" w:type="dxa"/>
            <w:tcBorders>
              <w:top w:val="nil"/>
              <w:left w:val="nil"/>
              <w:bottom w:val="single" w:color="auto" w:sz="4" w:space="0"/>
              <w:right w:val="single" w:color="auto" w:sz="4" w:space="0"/>
            </w:tcBorders>
            <w:noWrap w:val="0"/>
            <w:vAlign w:val="center"/>
          </w:tcPr>
          <w:p w14:paraId="006CE85A">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县局到市局的网络运维</w:t>
            </w:r>
          </w:p>
        </w:tc>
        <w:tc>
          <w:tcPr>
            <w:tcW w:w="3612" w:type="dxa"/>
            <w:tcBorders>
              <w:top w:val="nil"/>
              <w:left w:val="nil"/>
              <w:bottom w:val="single" w:color="auto" w:sz="4" w:space="0"/>
              <w:right w:val="single" w:color="auto" w:sz="4" w:space="0"/>
            </w:tcBorders>
            <w:noWrap/>
            <w:vAlign w:val="center"/>
          </w:tcPr>
          <w:p w14:paraId="4B1A46ED">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总控中心水利专网业务及规格的日常维护管理，确保市县三级畅通</w:t>
            </w:r>
          </w:p>
        </w:tc>
        <w:tc>
          <w:tcPr>
            <w:tcW w:w="738" w:type="dxa"/>
            <w:tcBorders>
              <w:top w:val="nil"/>
              <w:left w:val="nil"/>
              <w:bottom w:val="single" w:color="auto" w:sz="4" w:space="0"/>
              <w:right w:val="single" w:color="auto" w:sz="4" w:space="0"/>
            </w:tcBorders>
            <w:noWrap/>
            <w:vAlign w:val="center"/>
          </w:tcPr>
          <w:p w14:paraId="713D2652">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C122FC5">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DBF9E68">
            <w:pPr>
              <w:spacing w:after="0" w:line="240" w:lineRule="auto"/>
              <w:ind w:firstLine="0" w:firstLineChars="0"/>
              <w:jc w:val="center"/>
              <w:rPr>
                <w:rFonts w:hint="eastAsia" w:ascii="宋体" w:hAnsi="宋体" w:cs="宋体"/>
                <w:b/>
                <w:bCs/>
                <w:color w:val="auto"/>
                <w:sz w:val="22"/>
              </w:rPr>
            </w:pPr>
          </w:p>
        </w:tc>
      </w:tr>
      <w:tr w14:paraId="7939671B">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649B22C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1.3</w:t>
            </w:r>
          </w:p>
        </w:tc>
        <w:tc>
          <w:tcPr>
            <w:tcW w:w="1744" w:type="dxa"/>
            <w:tcBorders>
              <w:top w:val="nil"/>
              <w:left w:val="nil"/>
              <w:bottom w:val="single" w:color="auto" w:sz="4" w:space="0"/>
              <w:right w:val="single" w:color="auto" w:sz="4" w:space="0"/>
            </w:tcBorders>
            <w:noWrap w:val="0"/>
            <w:vAlign w:val="center"/>
          </w:tcPr>
          <w:p w14:paraId="48AAB033">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6处分中心网络运行保障</w:t>
            </w:r>
          </w:p>
        </w:tc>
        <w:tc>
          <w:tcPr>
            <w:tcW w:w="3612" w:type="dxa"/>
            <w:tcBorders>
              <w:top w:val="nil"/>
              <w:left w:val="nil"/>
              <w:bottom w:val="single" w:color="auto" w:sz="4" w:space="0"/>
              <w:right w:val="single" w:color="auto" w:sz="4" w:space="0"/>
            </w:tcBorders>
            <w:noWrap/>
            <w:vAlign w:val="center"/>
          </w:tcPr>
          <w:p w14:paraId="01326105">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由总控中心至四道白杨沟，淖毛湖渠首，下马崖水库，峡沟水库，阿腊通盖水库，石门沟水库等6处分中心日常网络运行畅通。</w:t>
            </w:r>
          </w:p>
        </w:tc>
        <w:tc>
          <w:tcPr>
            <w:tcW w:w="738" w:type="dxa"/>
            <w:tcBorders>
              <w:top w:val="nil"/>
              <w:left w:val="nil"/>
              <w:bottom w:val="single" w:color="auto" w:sz="4" w:space="0"/>
              <w:right w:val="single" w:color="auto" w:sz="4" w:space="0"/>
            </w:tcBorders>
            <w:noWrap/>
            <w:vAlign w:val="center"/>
          </w:tcPr>
          <w:p w14:paraId="05A526A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5095C48">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639" w:type="dxa"/>
            <w:tcBorders>
              <w:top w:val="nil"/>
              <w:left w:val="nil"/>
              <w:bottom w:val="single" w:color="auto" w:sz="4" w:space="0"/>
              <w:right w:val="single" w:color="auto" w:sz="4" w:space="0"/>
            </w:tcBorders>
            <w:noWrap/>
            <w:vAlign w:val="center"/>
          </w:tcPr>
          <w:p w14:paraId="7B91304A">
            <w:pPr>
              <w:spacing w:after="0" w:line="240" w:lineRule="auto"/>
              <w:ind w:firstLine="0" w:firstLineChars="0"/>
              <w:jc w:val="center"/>
              <w:rPr>
                <w:rFonts w:hint="eastAsia" w:ascii="宋体" w:hAnsi="宋体" w:cs="宋体"/>
                <w:b/>
                <w:bCs/>
                <w:color w:val="auto"/>
                <w:sz w:val="22"/>
              </w:rPr>
            </w:pPr>
          </w:p>
        </w:tc>
      </w:tr>
      <w:tr w14:paraId="100202EC">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2CA48A12">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1.4</w:t>
            </w:r>
          </w:p>
        </w:tc>
        <w:tc>
          <w:tcPr>
            <w:tcW w:w="1744" w:type="dxa"/>
            <w:tcBorders>
              <w:top w:val="nil"/>
              <w:left w:val="nil"/>
              <w:bottom w:val="single" w:color="auto" w:sz="4" w:space="0"/>
              <w:right w:val="single" w:color="auto" w:sz="4" w:space="0"/>
            </w:tcBorders>
            <w:noWrap w:val="0"/>
            <w:vAlign w:val="center"/>
          </w:tcPr>
          <w:p w14:paraId="03DE1DE1">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局中心日常办公系统运行保障</w:t>
            </w:r>
          </w:p>
        </w:tc>
        <w:tc>
          <w:tcPr>
            <w:tcW w:w="3612" w:type="dxa"/>
            <w:tcBorders>
              <w:top w:val="nil"/>
              <w:left w:val="nil"/>
              <w:bottom w:val="single" w:color="auto" w:sz="4" w:space="0"/>
              <w:right w:val="single" w:color="auto" w:sz="4" w:space="0"/>
            </w:tcBorders>
            <w:noWrap/>
            <w:vAlign w:val="center"/>
          </w:tcPr>
          <w:p w14:paraId="2E29837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为县水利局提供日常办公网络环境，办公设备等的运行维护保障，确保OA业务系统日常稳定运行</w:t>
            </w:r>
          </w:p>
        </w:tc>
        <w:tc>
          <w:tcPr>
            <w:tcW w:w="738" w:type="dxa"/>
            <w:tcBorders>
              <w:top w:val="nil"/>
              <w:left w:val="nil"/>
              <w:bottom w:val="single" w:color="auto" w:sz="4" w:space="0"/>
              <w:right w:val="single" w:color="auto" w:sz="4" w:space="0"/>
            </w:tcBorders>
            <w:noWrap/>
            <w:vAlign w:val="center"/>
          </w:tcPr>
          <w:p w14:paraId="09CE6E51">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26F98E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67A1552E">
            <w:pPr>
              <w:spacing w:after="0" w:line="240" w:lineRule="auto"/>
              <w:ind w:firstLine="0" w:firstLineChars="0"/>
              <w:jc w:val="center"/>
              <w:rPr>
                <w:rFonts w:hint="eastAsia" w:ascii="宋体" w:hAnsi="宋体" w:cs="宋体"/>
                <w:b/>
                <w:bCs/>
                <w:color w:val="auto"/>
                <w:sz w:val="22"/>
              </w:rPr>
            </w:pPr>
          </w:p>
        </w:tc>
      </w:tr>
      <w:tr w14:paraId="7A47D2A3">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66F7AC15">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1.5</w:t>
            </w:r>
          </w:p>
        </w:tc>
        <w:tc>
          <w:tcPr>
            <w:tcW w:w="1744" w:type="dxa"/>
            <w:tcBorders>
              <w:top w:val="nil"/>
              <w:left w:val="nil"/>
              <w:bottom w:val="single" w:color="auto" w:sz="4" w:space="0"/>
              <w:right w:val="single" w:color="auto" w:sz="4" w:space="0"/>
            </w:tcBorders>
            <w:noWrap w:val="0"/>
            <w:vAlign w:val="center"/>
          </w:tcPr>
          <w:p w14:paraId="35B1D843">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自建光缆线路日常维护管理</w:t>
            </w:r>
          </w:p>
        </w:tc>
        <w:tc>
          <w:tcPr>
            <w:tcW w:w="3612" w:type="dxa"/>
            <w:tcBorders>
              <w:top w:val="nil"/>
              <w:left w:val="nil"/>
              <w:bottom w:val="single" w:color="auto" w:sz="4" w:space="0"/>
              <w:right w:val="single" w:color="auto" w:sz="4" w:space="0"/>
            </w:tcBorders>
            <w:noWrap/>
            <w:vAlign w:val="center"/>
          </w:tcPr>
          <w:p w14:paraId="5FD7C53E">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负责水利信息化项目中共计76公里的光缆线路日常维护管理，负责将已损坏的部分恢复并保障线路畅通，定期巡线等</w:t>
            </w:r>
          </w:p>
        </w:tc>
        <w:tc>
          <w:tcPr>
            <w:tcW w:w="738" w:type="dxa"/>
            <w:tcBorders>
              <w:top w:val="nil"/>
              <w:left w:val="nil"/>
              <w:bottom w:val="single" w:color="auto" w:sz="4" w:space="0"/>
              <w:right w:val="single" w:color="auto" w:sz="4" w:space="0"/>
            </w:tcBorders>
            <w:noWrap/>
            <w:vAlign w:val="center"/>
          </w:tcPr>
          <w:p w14:paraId="40063B4E">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公里</w:t>
            </w:r>
          </w:p>
        </w:tc>
        <w:tc>
          <w:tcPr>
            <w:tcW w:w="725" w:type="dxa"/>
            <w:tcBorders>
              <w:top w:val="nil"/>
              <w:left w:val="nil"/>
              <w:bottom w:val="single" w:color="auto" w:sz="4" w:space="0"/>
              <w:right w:val="single" w:color="auto" w:sz="4" w:space="0"/>
            </w:tcBorders>
            <w:noWrap/>
            <w:vAlign w:val="center"/>
          </w:tcPr>
          <w:p w14:paraId="374248B7">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76</w:t>
            </w:r>
          </w:p>
        </w:tc>
        <w:tc>
          <w:tcPr>
            <w:tcW w:w="1639" w:type="dxa"/>
            <w:tcBorders>
              <w:top w:val="nil"/>
              <w:left w:val="nil"/>
              <w:bottom w:val="single" w:color="auto" w:sz="4" w:space="0"/>
              <w:right w:val="single" w:color="auto" w:sz="4" w:space="0"/>
            </w:tcBorders>
            <w:noWrap/>
            <w:vAlign w:val="center"/>
          </w:tcPr>
          <w:p w14:paraId="5724A84C">
            <w:pPr>
              <w:spacing w:after="0" w:line="240" w:lineRule="auto"/>
              <w:ind w:firstLine="0" w:firstLineChars="0"/>
              <w:jc w:val="center"/>
              <w:rPr>
                <w:rFonts w:hint="eastAsia" w:ascii="宋体" w:hAnsi="宋体" w:cs="宋体"/>
                <w:b/>
                <w:bCs/>
                <w:color w:val="auto"/>
                <w:sz w:val="22"/>
              </w:rPr>
            </w:pPr>
          </w:p>
        </w:tc>
      </w:tr>
      <w:tr w14:paraId="4041DD23">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639DAD98">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2</w:t>
            </w:r>
          </w:p>
        </w:tc>
        <w:tc>
          <w:tcPr>
            <w:tcW w:w="1744" w:type="dxa"/>
            <w:tcBorders>
              <w:top w:val="nil"/>
              <w:left w:val="nil"/>
              <w:bottom w:val="single" w:color="auto" w:sz="4" w:space="0"/>
              <w:right w:val="single" w:color="auto" w:sz="4" w:space="0"/>
            </w:tcBorders>
            <w:noWrap w:val="0"/>
            <w:vAlign w:val="center"/>
          </w:tcPr>
          <w:p w14:paraId="3F273554">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总中心运维</w:t>
            </w:r>
          </w:p>
        </w:tc>
        <w:tc>
          <w:tcPr>
            <w:tcW w:w="3612" w:type="dxa"/>
            <w:tcBorders>
              <w:top w:val="nil"/>
              <w:left w:val="nil"/>
              <w:bottom w:val="single" w:color="auto" w:sz="4" w:space="0"/>
              <w:right w:val="single" w:color="auto" w:sz="4" w:space="0"/>
            </w:tcBorders>
            <w:noWrap/>
            <w:vAlign w:val="center"/>
          </w:tcPr>
          <w:p w14:paraId="38E50918">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2C653A6A">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196A23A0">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5628312D">
            <w:pPr>
              <w:spacing w:after="0" w:line="240" w:lineRule="auto"/>
              <w:ind w:firstLine="0" w:firstLineChars="0"/>
              <w:jc w:val="center"/>
              <w:rPr>
                <w:rFonts w:hint="eastAsia" w:ascii="宋体" w:hAnsi="宋体" w:cs="宋体"/>
                <w:b/>
                <w:bCs/>
                <w:color w:val="auto"/>
                <w:sz w:val="22"/>
              </w:rPr>
            </w:pPr>
          </w:p>
        </w:tc>
      </w:tr>
      <w:tr w14:paraId="337FB7BE">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7F9B752E">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2.1</w:t>
            </w:r>
          </w:p>
        </w:tc>
        <w:tc>
          <w:tcPr>
            <w:tcW w:w="1744" w:type="dxa"/>
            <w:tcBorders>
              <w:top w:val="nil"/>
              <w:left w:val="nil"/>
              <w:bottom w:val="single" w:color="auto" w:sz="4" w:space="0"/>
              <w:right w:val="single" w:color="auto" w:sz="4" w:space="0"/>
            </w:tcBorders>
            <w:noWrap w:val="0"/>
            <w:vAlign w:val="center"/>
          </w:tcPr>
          <w:p w14:paraId="2751F7B1">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主要网络设备日常运行维护</w:t>
            </w:r>
          </w:p>
        </w:tc>
        <w:tc>
          <w:tcPr>
            <w:tcW w:w="3612" w:type="dxa"/>
            <w:tcBorders>
              <w:top w:val="nil"/>
              <w:left w:val="nil"/>
              <w:bottom w:val="single" w:color="auto" w:sz="4" w:space="0"/>
              <w:right w:val="single" w:color="auto" w:sz="4" w:space="0"/>
            </w:tcBorders>
            <w:noWrap/>
            <w:vAlign w:val="center"/>
          </w:tcPr>
          <w:p w14:paraId="4D93E08D">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负责总控中心内所有网络设备的日常运行管理，包括设备配置，参数及操作过程，安全机制及网络安全等。</w:t>
            </w:r>
          </w:p>
        </w:tc>
        <w:tc>
          <w:tcPr>
            <w:tcW w:w="738" w:type="dxa"/>
            <w:tcBorders>
              <w:top w:val="nil"/>
              <w:left w:val="nil"/>
              <w:bottom w:val="single" w:color="auto" w:sz="4" w:space="0"/>
              <w:right w:val="single" w:color="auto" w:sz="4" w:space="0"/>
            </w:tcBorders>
            <w:noWrap/>
            <w:vAlign w:val="center"/>
          </w:tcPr>
          <w:p w14:paraId="0C1E2396">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CD30AF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8B10C37">
            <w:pPr>
              <w:spacing w:after="0" w:line="240" w:lineRule="auto"/>
              <w:ind w:firstLine="0" w:firstLineChars="0"/>
              <w:jc w:val="center"/>
              <w:rPr>
                <w:rFonts w:hint="eastAsia" w:ascii="宋体" w:hAnsi="宋体" w:cs="宋体"/>
                <w:b/>
                <w:bCs/>
                <w:color w:val="auto"/>
                <w:sz w:val="22"/>
              </w:rPr>
            </w:pPr>
          </w:p>
        </w:tc>
      </w:tr>
      <w:tr w14:paraId="76F595B1">
        <w:tblPrEx>
          <w:tblCellMar>
            <w:top w:w="0" w:type="dxa"/>
            <w:left w:w="108" w:type="dxa"/>
            <w:bottom w:w="0" w:type="dxa"/>
            <w:right w:w="108" w:type="dxa"/>
          </w:tblCellMar>
        </w:tblPrEx>
        <w:trPr>
          <w:trHeight w:val="90" w:hRule="atLeast"/>
          <w:jc w:val="center"/>
        </w:trPr>
        <w:tc>
          <w:tcPr>
            <w:tcW w:w="685" w:type="dxa"/>
            <w:tcBorders>
              <w:top w:val="nil"/>
              <w:left w:val="single" w:color="auto" w:sz="4" w:space="0"/>
              <w:bottom w:val="single" w:color="auto" w:sz="4" w:space="0"/>
              <w:right w:val="single" w:color="auto" w:sz="4" w:space="0"/>
            </w:tcBorders>
            <w:noWrap/>
            <w:vAlign w:val="center"/>
          </w:tcPr>
          <w:p w14:paraId="63732DF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2.2</w:t>
            </w:r>
          </w:p>
        </w:tc>
        <w:tc>
          <w:tcPr>
            <w:tcW w:w="1744" w:type="dxa"/>
            <w:tcBorders>
              <w:top w:val="nil"/>
              <w:left w:val="nil"/>
              <w:bottom w:val="single" w:color="auto" w:sz="4" w:space="0"/>
              <w:right w:val="single" w:color="auto" w:sz="4" w:space="0"/>
            </w:tcBorders>
            <w:noWrap w:val="0"/>
            <w:vAlign w:val="center"/>
          </w:tcPr>
          <w:p w14:paraId="260684A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服务器日常运行维护</w:t>
            </w:r>
          </w:p>
        </w:tc>
        <w:tc>
          <w:tcPr>
            <w:tcW w:w="3612" w:type="dxa"/>
            <w:tcBorders>
              <w:top w:val="nil"/>
              <w:left w:val="nil"/>
              <w:bottom w:val="single" w:color="auto" w:sz="4" w:space="0"/>
              <w:right w:val="single" w:color="auto" w:sz="4" w:space="0"/>
            </w:tcBorders>
            <w:noWrap w:val="0"/>
            <w:vAlign w:val="center"/>
          </w:tcPr>
          <w:p w14:paraId="5B88292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负责总控中心的服务器的日常运行管理，负责服务器信息安全管理，数据安全管理等。</w:t>
            </w:r>
          </w:p>
        </w:tc>
        <w:tc>
          <w:tcPr>
            <w:tcW w:w="738" w:type="dxa"/>
            <w:tcBorders>
              <w:top w:val="nil"/>
              <w:left w:val="nil"/>
              <w:bottom w:val="single" w:color="auto" w:sz="4" w:space="0"/>
              <w:right w:val="single" w:color="auto" w:sz="4" w:space="0"/>
            </w:tcBorders>
            <w:noWrap/>
            <w:vAlign w:val="center"/>
          </w:tcPr>
          <w:p w14:paraId="14EE0EE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EDEA06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8</w:t>
            </w:r>
          </w:p>
        </w:tc>
        <w:tc>
          <w:tcPr>
            <w:tcW w:w="1639" w:type="dxa"/>
            <w:tcBorders>
              <w:top w:val="nil"/>
              <w:left w:val="nil"/>
              <w:bottom w:val="single" w:color="auto" w:sz="4" w:space="0"/>
              <w:right w:val="single" w:color="auto" w:sz="4" w:space="0"/>
            </w:tcBorders>
            <w:noWrap/>
            <w:vAlign w:val="center"/>
          </w:tcPr>
          <w:p w14:paraId="4A1616E1">
            <w:pPr>
              <w:spacing w:after="0" w:line="240" w:lineRule="auto"/>
              <w:ind w:firstLine="0" w:firstLineChars="0"/>
              <w:jc w:val="center"/>
              <w:rPr>
                <w:rFonts w:ascii="宋体" w:hAnsi="宋体" w:cs="宋体"/>
                <w:b w:val="0"/>
                <w:bCs w:val="0"/>
                <w:color w:val="auto"/>
                <w:sz w:val="20"/>
                <w:szCs w:val="20"/>
              </w:rPr>
            </w:pPr>
          </w:p>
        </w:tc>
      </w:tr>
      <w:tr w14:paraId="5F2FB2F0">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37AA024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2.3</w:t>
            </w:r>
          </w:p>
        </w:tc>
        <w:tc>
          <w:tcPr>
            <w:tcW w:w="1744" w:type="dxa"/>
            <w:tcBorders>
              <w:top w:val="nil"/>
              <w:left w:val="nil"/>
              <w:bottom w:val="single" w:color="auto" w:sz="4" w:space="0"/>
              <w:right w:val="single" w:color="auto" w:sz="4" w:space="0"/>
            </w:tcBorders>
            <w:noWrap w:val="0"/>
            <w:vAlign w:val="center"/>
          </w:tcPr>
          <w:p w14:paraId="1C35EB6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供电系统日常运行维护</w:t>
            </w:r>
          </w:p>
        </w:tc>
        <w:tc>
          <w:tcPr>
            <w:tcW w:w="3612" w:type="dxa"/>
            <w:tcBorders>
              <w:top w:val="nil"/>
              <w:left w:val="nil"/>
              <w:bottom w:val="single" w:color="auto" w:sz="4" w:space="0"/>
              <w:right w:val="single" w:color="auto" w:sz="4" w:space="0"/>
            </w:tcBorders>
            <w:noWrap w:val="0"/>
            <w:vAlign w:val="center"/>
          </w:tcPr>
          <w:p w14:paraId="1785CBF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主供电线路及后备电源系统维护与更新</w:t>
            </w:r>
          </w:p>
        </w:tc>
        <w:tc>
          <w:tcPr>
            <w:tcW w:w="738" w:type="dxa"/>
            <w:tcBorders>
              <w:top w:val="nil"/>
              <w:left w:val="nil"/>
              <w:bottom w:val="single" w:color="auto" w:sz="4" w:space="0"/>
              <w:right w:val="single" w:color="auto" w:sz="4" w:space="0"/>
            </w:tcBorders>
            <w:noWrap/>
            <w:vAlign w:val="center"/>
          </w:tcPr>
          <w:p w14:paraId="1BD7713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024C912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w:t>
            </w:r>
          </w:p>
        </w:tc>
        <w:tc>
          <w:tcPr>
            <w:tcW w:w="1639" w:type="dxa"/>
            <w:tcBorders>
              <w:top w:val="nil"/>
              <w:left w:val="nil"/>
              <w:bottom w:val="single" w:color="auto" w:sz="4" w:space="0"/>
              <w:right w:val="single" w:color="auto" w:sz="4" w:space="0"/>
            </w:tcBorders>
            <w:noWrap/>
            <w:vAlign w:val="center"/>
          </w:tcPr>
          <w:p w14:paraId="7CFE27E6">
            <w:pPr>
              <w:spacing w:after="0" w:line="240" w:lineRule="auto"/>
              <w:ind w:firstLine="0" w:firstLineChars="0"/>
              <w:jc w:val="center"/>
              <w:rPr>
                <w:rFonts w:ascii="宋体" w:hAnsi="宋体" w:cs="宋体"/>
                <w:color w:val="auto"/>
                <w:sz w:val="20"/>
                <w:szCs w:val="20"/>
              </w:rPr>
            </w:pPr>
          </w:p>
        </w:tc>
      </w:tr>
      <w:tr w14:paraId="637D2545">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7CBDD95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2.4</w:t>
            </w:r>
          </w:p>
        </w:tc>
        <w:tc>
          <w:tcPr>
            <w:tcW w:w="1744" w:type="dxa"/>
            <w:tcBorders>
              <w:top w:val="nil"/>
              <w:left w:val="nil"/>
              <w:bottom w:val="single" w:color="auto" w:sz="4" w:space="0"/>
              <w:right w:val="single" w:color="auto" w:sz="4" w:space="0"/>
            </w:tcBorders>
            <w:noWrap w:val="0"/>
            <w:vAlign w:val="center"/>
          </w:tcPr>
          <w:p w14:paraId="47351DB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大屏显示系统及音响系统日常维护</w:t>
            </w:r>
          </w:p>
        </w:tc>
        <w:tc>
          <w:tcPr>
            <w:tcW w:w="3612" w:type="dxa"/>
            <w:tcBorders>
              <w:top w:val="nil"/>
              <w:left w:val="nil"/>
              <w:bottom w:val="single" w:color="auto" w:sz="4" w:space="0"/>
              <w:right w:val="single" w:color="auto" w:sz="4" w:space="0"/>
            </w:tcBorders>
            <w:noWrap w:val="0"/>
            <w:vAlign w:val="center"/>
          </w:tcPr>
          <w:p w14:paraId="43618D9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会议室大屏显示系统的日常运行管理，矩阵、显示处理器、通讯线路等的维护管理与日常运行优化，音响系统的线路、供电调音台的日常操作管理，音响等的维护与管理工作。</w:t>
            </w:r>
          </w:p>
        </w:tc>
        <w:tc>
          <w:tcPr>
            <w:tcW w:w="738" w:type="dxa"/>
            <w:tcBorders>
              <w:top w:val="nil"/>
              <w:left w:val="nil"/>
              <w:bottom w:val="single" w:color="auto" w:sz="4" w:space="0"/>
              <w:right w:val="single" w:color="auto" w:sz="4" w:space="0"/>
            </w:tcBorders>
            <w:noWrap/>
            <w:vAlign w:val="center"/>
          </w:tcPr>
          <w:p w14:paraId="61C6586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EAF252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180A0DFF">
            <w:pPr>
              <w:spacing w:after="0" w:line="240" w:lineRule="auto"/>
              <w:ind w:firstLine="0" w:firstLineChars="0"/>
              <w:jc w:val="center"/>
              <w:rPr>
                <w:rFonts w:ascii="宋体" w:hAnsi="宋体" w:cs="宋体"/>
                <w:color w:val="auto"/>
                <w:sz w:val="20"/>
                <w:szCs w:val="20"/>
              </w:rPr>
            </w:pPr>
          </w:p>
        </w:tc>
      </w:tr>
      <w:tr w14:paraId="33619D6A">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0B2C760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744" w:type="dxa"/>
            <w:tcBorders>
              <w:top w:val="nil"/>
              <w:left w:val="nil"/>
              <w:bottom w:val="single" w:color="auto" w:sz="4" w:space="0"/>
              <w:right w:val="single" w:color="auto" w:sz="4" w:space="0"/>
            </w:tcBorders>
            <w:noWrap w:val="0"/>
            <w:vAlign w:val="center"/>
          </w:tcPr>
          <w:p w14:paraId="788E677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视频会商系统日常维护</w:t>
            </w:r>
          </w:p>
        </w:tc>
        <w:tc>
          <w:tcPr>
            <w:tcW w:w="3612" w:type="dxa"/>
            <w:tcBorders>
              <w:top w:val="nil"/>
              <w:left w:val="nil"/>
              <w:bottom w:val="single" w:color="auto" w:sz="4" w:space="0"/>
              <w:right w:val="single" w:color="auto" w:sz="4" w:space="0"/>
            </w:tcBorders>
            <w:noWrap w:val="0"/>
            <w:vAlign w:val="center"/>
          </w:tcPr>
          <w:p w14:paraId="798679B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确保视频会商系统的正常运行，确保视频畅通，保障省市县三级连通，负责会商设备的日常维护管理与配置优化。</w:t>
            </w:r>
          </w:p>
        </w:tc>
        <w:tc>
          <w:tcPr>
            <w:tcW w:w="738" w:type="dxa"/>
            <w:tcBorders>
              <w:top w:val="nil"/>
              <w:left w:val="nil"/>
              <w:bottom w:val="single" w:color="auto" w:sz="4" w:space="0"/>
              <w:right w:val="single" w:color="auto" w:sz="4" w:space="0"/>
            </w:tcBorders>
            <w:noWrap/>
            <w:vAlign w:val="center"/>
          </w:tcPr>
          <w:p w14:paraId="1CC9E3A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4D49C61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2E768C2E">
            <w:pPr>
              <w:spacing w:after="0" w:line="240" w:lineRule="auto"/>
              <w:ind w:firstLine="0" w:firstLineChars="0"/>
              <w:jc w:val="center"/>
              <w:rPr>
                <w:rFonts w:ascii="宋体" w:hAnsi="宋体" w:cs="宋体"/>
                <w:color w:val="auto"/>
                <w:sz w:val="20"/>
                <w:szCs w:val="20"/>
              </w:rPr>
            </w:pPr>
          </w:p>
        </w:tc>
      </w:tr>
      <w:tr w14:paraId="4DDD2EEE">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26CE694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2.6</w:t>
            </w:r>
          </w:p>
        </w:tc>
        <w:tc>
          <w:tcPr>
            <w:tcW w:w="1744" w:type="dxa"/>
            <w:tcBorders>
              <w:top w:val="nil"/>
              <w:left w:val="nil"/>
              <w:bottom w:val="single" w:color="auto" w:sz="4" w:space="0"/>
              <w:right w:val="single" w:color="auto" w:sz="4" w:space="0"/>
            </w:tcBorders>
            <w:noWrap w:val="0"/>
            <w:vAlign w:val="center"/>
          </w:tcPr>
          <w:p w14:paraId="4CF919E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等保一体机运维</w:t>
            </w:r>
          </w:p>
        </w:tc>
        <w:tc>
          <w:tcPr>
            <w:tcW w:w="3612" w:type="dxa"/>
            <w:tcBorders>
              <w:top w:val="nil"/>
              <w:left w:val="nil"/>
              <w:bottom w:val="single" w:color="auto" w:sz="4" w:space="0"/>
              <w:right w:val="single" w:color="auto" w:sz="4" w:space="0"/>
            </w:tcBorders>
            <w:noWrap w:val="0"/>
            <w:vAlign w:val="center"/>
          </w:tcPr>
          <w:p w14:paraId="38B0D13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等保设备的堡垒机，日志审计系统，数据库审计系统，EDR系统的正常运行。</w:t>
            </w:r>
          </w:p>
        </w:tc>
        <w:tc>
          <w:tcPr>
            <w:tcW w:w="738" w:type="dxa"/>
            <w:tcBorders>
              <w:top w:val="nil"/>
              <w:left w:val="nil"/>
              <w:bottom w:val="single" w:color="auto" w:sz="4" w:space="0"/>
              <w:right w:val="single" w:color="auto" w:sz="4" w:space="0"/>
            </w:tcBorders>
            <w:noWrap/>
            <w:vAlign w:val="center"/>
          </w:tcPr>
          <w:p w14:paraId="5CF2B86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3C9796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6872E9F9">
            <w:pPr>
              <w:spacing w:after="0" w:line="240" w:lineRule="auto"/>
              <w:ind w:firstLine="0" w:firstLineChars="0"/>
              <w:jc w:val="center"/>
              <w:rPr>
                <w:rFonts w:ascii="宋体" w:hAnsi="宋体" w:cs="宋体"/>
                <w:color w:val="auto"/>
                <w:sz w:val="20"/>
                <w:szCs w:val="20"/>
              </w:rPr>
            </w:pPr>
          </w:p>
        </w:tc>
      </w:tr>
      <w:tr w14:paraId="7FA42343">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34D564A4">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二</w:t>
            </w:r>
          </w:p>
        </w:tc>
        <w:tc>
          <w:tcPr>
            <w:tcW w:w="1744" w:type="dxa"/>
            <w:tcBorders>
              <w:top w:val="nil"/>
              <w:left w:val="nil"/>
              <w:bottom w:val="single" w:color="auto" w:sz="4" w:space="0"/>
              <w:right w:val="single" w:color="auto" w:sz="4" w:space="0"/>
            </w:tcBorders>
            <w:noWrap w:val="0"/>
            <w:vAlign w:val="center"/>
          </w:tcPr>
          <w:p w14:paraId="4054A0B0">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水利信息化业务系统维护管理</w:t>
            </w:r>
          </w:p>
        </w:tc>
        <w:tc>
          <w:tcPr>
            <w:tcW w:w="3612" w:type="dxa"/>
            <w:tcBorders>
              <w:top w:val="nil"/>
              <w:left w:val="nil"/>
              <w:bottom w:val="single" w:color="auto" w:sz="4" w:space="0"/>
              <w:right w:val="single" w:color="auto" w:sz="4" w:space="0"/>
            </w:tcBorders>
            <w:noWrap w:val="0"/>
            <w:vAlign w:val="center"/>
          </w:tcPr>
          <w:p w14:paraId="32A53D15">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30A3A6A5">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27B75FD6">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59EBB452">
            <w:pPr>
              <w:spacing w:after="0" w:line="240" w:lineRule="auto"/>
              <w:ind w:firstLine="0" w:firstLineChars="0"/>
              <w:jc w:val="center"/>
              <w:rPr>
                <w:rFonts w:ascii="宋体" w:hAnsi="宋体" w:cs="宋体"/>
                <w:color w:val="auto"/>
                <w:sz w:val="20"/>
                <w:szCs w:val="20"/>
              </w:rPr>
            </w:pPr>
          </w:p>
        </w:tc>
      </w:tr>
      <w:tr w14:paraId="51D40CFD">
        <w:tblPrEx>
          <w:tblCellMar>
            <w:top w:w="0" w:type="dxa"/>
            <w:left w:w="108" w:type="dxa"/>
            <w:bottom w:w="0" w:type="dxa"/>
            <w:right w:w="108" w:type="dxa"/>
          </w:tblCellMar>
        </w:tblPrEx>
        <w:trPr>
          <w:trHeight w:val="395" w:hRule="atLeast"/>
          <w:jc w:val="center"/>
        </w:trPr>
        <w:tc>
          <w:tcPr>
            <w:tcW w:w="685" w:type="dxa"/>
            <w:tcBorders>
              <w:top w:val="nil"/>
              <w:left w:val="single" w:color="auto" w:sz="4" w:space="0"/>
              <w:bottom w:val="single" w:color="auto" w:sz="4" w:space="0"/>
              <w:right w:val="single" w:color="auto" w:sz="4" w:space="0"/>
            </w:tcBorders>
            <w:noWrap/>
            <w:vAlign w:val="center"/>
          </w:tcPr>
          <w:p w14:paraId="41A72A7D">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744" w:type="dxa"/>
            <w:tcBorders>
              <w:top w:val="nil"/>
              <w:left w:val="nil"/>
              <w:bottom w:val="single" w:color="auto" w:sz="4" w:space="0"/>
              <w:right w:val="single" w:color="auto" w:sz="4" w:space="0"/>
            </w:tcBorders>
            <w:noWrap w:val="0"/>
            <w:vAlign w:val="center"/>
          </w:tcPr>
          <w:p w14:paraId="6E2A98B9">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水库视频监控系统日常运行维护管理</w:t>
            </w:r>
          </w:p>
        </w:tc>
        <w:tc>
          <w:tcPr>
            <w:tcW w:w="3612" w:type="dxa"/>
            <w:tcBorders>
              <w:top w:val="nil"/>
              <w:left w:val="nil"/>
              <w:bottom w:val="single" w:color="auto" w:sz="4" w:space="0"/>
              <w:right w:val="single" w:color="auto" w:sz="4" w:space="0"/>
            </w:tcBorders>
            <w:noWrap w:val="0"/>
            <w:vAlign w:val="center"/>
          </w:tcPr>
          <w:p w14:paraId="50BF771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主要是针对县城内各水库已建完成的视频监控系统进行日常保障性运行维护，确保各视频点正常运行</w:t>
            </w:r>
          </w:p>
        </w:tc>
        <w:tc>
          <w:tcPr>
            <w:tcW w:w="738" w:type="dxa"/>
            <w:tcBorders>
              <w:top w:val="nil"/>
              <w:left w:val="nil"/>
              <w:bottom w:val="single" w:color="auto" w:sz="4" w:space="0"/>
              <w:right w:val="single" w:color="auto" w:sz="4" w:space="0"/>
            </w:tcBorders>
            <w:noWrap/>
            <w:vAlign w:val="center"/>
          </w:tcPr>
          <w:p w14:paraId="152107B2">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51A6D47B">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6862702A">
            <w:pPr>
              <w:spacing w:after="0" w:line="240" w:lineRule="auto"/>
              <w:ind w:firstLine="0" w:firstLineChars="0"/>
              <w:jc w:val="center"/>
              <w:rPr>
                <w:rFonts w:ascii="宋体" w:hAnsi="宋体" w:cs="宋体"/>
                <w:b/>
                <w:bCs/>
                <w:color w:val="auto"/>
                <w:sz w:val="20"/>
                <w:szCs w:val="20"/>
              </w:rPr>
            </w:pPr>
          </w:p>
        </w:tc>
      </w:tr>
      <w:tr w14:paraId="12F26BE9">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2355448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1.1</w:t>
            </w:r>
          </w:p>
        </w:tc>
        <w:tc>
          <w:tcPr>
            <w:tcW w:w="1744" w:type="dxa"/>
            <w:tcBorders>
              <w:top w:val="nil"/>
              <w:left w:val="nil"/>
              <w:bottom w:val="single" w:color="auto" w:sz="4" w:space="0"/>
              <w:right w:val="single" w:color="auto" w:sz="4" w:space="0"/>
            </w:tcBorders>
            <w:noWrap w:val="0"/>
            <w:vAlign w:val="center"/>
          </w:tcPr>
          <w:p w14:paraId="7824252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峡沟水库</w:t>
            </w:r>
          </w:p>
        </w:tc>
        <w:tc>
          <w:tcPr>
            <w:tcW w:w="3612" w:type="dxa"/>
            <w:tcBorders>
              <w:top w:val="nil"/>
              <w:left w:val="nil"/>
              <w:bottom w:val="single" w:color="auto" w:sz="4" w:space="0"/>
              <w:right w:val="single" w:color="auto" w:sz="4" w:space="0"/>
            </w:tcBorders>
            <w:noWrap w:val="0"/>
            <w:vAlign w:val="center"/>
          </w:tcPr>
          <w:p w14:paraId="3CDB38C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包括恢复门口铁桥视频</w:t>
            </w:r>
          </w:p>
        </w:tc>
        <w:tc>
          <w:tcPr>
            <w:tcW w:w="738" w:type="dxa"/>
            <w:tcBorders>
              <w:top w:val="nil"/>
              <w:left w:val="nil"/>
              <w:bottom w:val="single" w:color="auto" w:sz="4" w:space="0"/>
              <w:right w:val="single" w:color="auto" w:sz="4" w:space="0"/>
            </w:tcBorders>
            <w:noWrap/>
            <w:vAlign w:val="center"/>
          </w:tcPr>
          <w:p w14:paraId="0BB000F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4E07C46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639" w:type="dxa"/>
            <w:tcBorders>
              <w:top w:val="nil"/>
              <w:left w:val="nil"/>
              <w:bottom w:val="single" w:color="auto" w:sz="4" w:space="0"/>
              <w:right w:val="single" w:color="auto" w:sz="4" w:space="0"/>
            </w:tcBorders>
            <w:noWrap/>
            <w:vAlign w:val="center"/>
          </w:tcPr>
          <w:p w14:paraId="3DBB55EA">
            <w:pPr>
              <w:spacing w:after="0" w:line="240" w:lineRule="auto"/>
              <w:ind w:firstLine="0" w:firstLineChars="0"/>
              <w:jc w:val="center"/>
              <w:rPr>
                <w:rFonts w:ascii="宋体" w:hAnsi="宋体" w:cs="宋体"/>
                <w:color w:val="auto"/>
                <w:sz w:val="20"/>
                <w:szCs w:val="20"/>
              </w:rPr>
            </w:pPr>
          </w:p>
        </w:tc>
      </w:tr>
      <w:tr w14:paraId="530628D9">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23B67D2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1.2</w:t>
            </w:r>
          </w:p>
        </w:tc>
        <w:tc>
          <w:tcPr>
            <w:tcW w:w="1744" w:type="dxa"/>
            <w:tcBorders>
              <w:top w:val="nil"/>
              <w:left w:val="nil"/>
              <w:bottom w:val="single" w:color="auto" w:sz="4" w:space="0"/>
              <w:right w:val="single" w:color="auto" w:sz="4" w:space="0"/>
            </w:tcBorders>
            <w:noWrap w:val="0"/>
            <w:vAlign w:val="center"/>
          </w:tcPr>
          <w:p w14:paraId="57CFFB6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下马崖水库</w:t>
            </w:r>
          </w:p>
        </w:tc>
        <w:tc>
          <w:tcPr>
            <w:tcW w:w="3612" w:type="dxa"/>
            <w:tcBorders>
              <w:top w:val="nil"/>
              <w:left w:val="nil"/>
              <w:bottom w:val="single" w:color="auto" w:sz="4" w:space="0"/>
              <w:right w:val="single" w:color="auto" w:sz="4" w:space="0"/>
            </w:tcBorders>
            <w:noWrap w:val="0"/>
            <w:vAlign w:val="center"/>
          </w:tcPr>
          <w:p w14:paraId="141C63D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包括恢复库秋布拉克塘坝视频</w:t>
            </w:r>
          </w:p>
        </w:tc>
        <w:tc>
          <w:tcPr>
            <w:tcW w:w="738" w:type="dxa"/>
            <w:tcBorders>
              <w:top w:val="nil"/>
              <w:left w:val="nil"/>
              <w:bottom w:val="single" w:color="auto" w:sz="4" w:space="0"/>
              <w:right w:val="single" w:color="auto" w:sz="4" w:space="0"/>
            </w:tcBorders>
            <w:noWrap/>
            <w:vAlign w:val="center"/>
          </w:tcPr>
          <w:p w14:paraId="77245E3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037DF26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639" w:type="dxa"/>
            <w:tcBorders>
              <w:top w:val="nil"/>
              <w:left w:val="nil"/>
              <w:bottom w:val="single" w:color="auto" w:sz="4" w:space="0"/>
              <w:right w:val="single" w:color="auto" w:sz="4" w:space="0"/>
            </w:tcBorders>
            <w:noWrap/>
            <w:vAlign w:val="center"/>
          </w:tcPr>
          <w:p w14:paraId="33EAFAB8">
            <w:pPr>
              <w:spacing w:after="0" w:line="240" w:lineRule="auto"/>
              <w:ind w:firstLine="0" w:firstLineChars="0"/>
              <w:jc w:val="center"/>
              <w:rPr>
                <w:rFonts w:ascii="宋体" w:hAnsi="宋体" w:cs="宋体"/>
                <w:color w:val="auto"/>
                <w:sz w:val="20"/>
                <w:szCs w:val="20"/>
              </w:rPr>
            </w:pPr>
          </w:p>
        </w:tc>
      </w:tr>
      <w:tr w14:paraId="410FA691">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0E59105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1.3</w:t>
            </w:r>
          </w:p>
        </w:tc>
        <w:tc>
          <w:tcPr>
            <w:tcW w:w="1744" w:type="dxa"/>
            <w:tcBorders>
              <w:top w:val="nil"/>
              <w:left w:val="nil"/>
              <w:bottom w:val="single" w:color="auto" w:sz="4" w:space="0"/>
              <w:right w:val="single" w:color="auto" w:sz="4" w:space="0"/>
            </w:tcBorders>
            <w:noWrap w:val="0"/>
            <w:vAlign w:val="center"/>
          </w:tcPr>
          <w:p w14:paraId="65ACD57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四道白杨沟水库</w:t>
            </w:r>
          </w:p>
        </w:tc>
        <w:tc>
          <w:tcPr>
            <w:tcW w:w="3612" w:type="dxa"/>
            <w:tcBorders>
              <w:top w:val="nil"/>
              <w:left w:val="nil"/>
              <w:bottom w:val="single" w:color="auto" w:sz="4" w:space="0"/>
              <w:right w:val="single" w:color="auto" w:sz="4" w:space="0"/>
            </w:tcBorders>
            <w:noWrap w:val="0"/>
            <w:vAlign w:val="center"/>
          </w:tcPr>
          <w:p w14:paraId="280FA6A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包括恢复闸室内视频，水库门口视频</w:t>
            </w:r>
          </w:p>
        </w:tc>
        <w:tc>
          <w:tcPr>
            <w:tcW w:w="738" w:type="dxa"/>
            <w:tcBorders>
              <w:top w:val="nil"/>
              <w:left w:val="nil"/>
              <w:bottom w:val="single" w:color="auto" w:sz="4" w:space="0"/>
              <w:right w:val="single" w:color="auto" w:sz="4" w:space="0"/>
            </w:tcBorders>
            <w:noWrap/>
            <w:vAlign w:val="center"/>
          </w:tcPr>
          <w:p w14:paraId="506F9CA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DD3A02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7</w:t>
            </w:r>
          </w:p>
        </w:tc>
        <w:tc>
          <w:tcPr>
            <w:tcW w:w="1639" w:type="dxa"/>
            <w:tcBorders>
              <w:top w:val="nil"/>
              <w:left w:val="nil"/>
              <w:bottom w:val="single" w:color="auto" w:sz="4" w:space="0"/>
              <w:right w:val="single" w:color="auto" w:sz="4" w:space="0"/>
            </w:tcBorders>
            <w:noWrap w:val="0"/>
            <w:vAlign w:val="center"/>
          </w:tcPr>
          <w:p w14:paraId="7EE913BB">
            <w:pPr>
              <w:spacing w:after="0" w:line="240" w:lineRule="auto"/>
              <w:ind w:firstLine="0" w:firstLineChars="0"/>
              <w:jc w:val="center"/>
              <w:rPr>
                <w:rFonts w:hint="default" w:ascii="宋体" w:hAnsi="宋体" w:eastAsia="宋体" w:cs="宋体"/>
                <w:color w:val="auto"/>
                <w:sz w:val="20"/>
                <w:szCs w:val="20"/>
                <w:lang w:eastAsia="zh-Hans"/>
              </w:rPr>
            </w:pPr>
          </w:p>
        </w:tc>
      </w:tr>
      <w:tr w14:paraId="79B6CDB0">
        <w:tblPrEx>
          <w:tblCellMar>
            <w:top w:w="0" w:type="dxa"/>
            <w:left w:w="108" w:type="dxa"/>
            <w:bottom w:w="0" w:type="dxa"/>
            <w:right w:w="108" w:type="dxa"/>
          </w:tblCellMar>
        </w:tblPrEx>
        <w:trPr>
          <w:trHeight w:val="960" w:hRule="atLeast"/>
          <w:jc w:val="center"/>
        </w:trPr>
        <w:tc>
          <w:tcPr>
            <w:tcW w:w="685" w:type="dxa"/>
            <w:tcBorders>
              <w:top w:val="nil"/>
              <w:left w:val="single" w:color="auto" w:sz="4" w:space="0"/>
              <w:bottom w:val="single" w:color="auto" w:sz="4" w:space="0"/>
              <w:right w:val="single" w:color="auto" w:sz="4" w:space="0"/>
            </w:tcBorders>
            <w:noWrap/>
            <w:vAlign w:val="center"/>
          </w:tcPr>
          <w:p w14:paraId="6B85F6E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1.4</w:t>
            </w:r>
          </w:p>
        </w:tc>
        <w:tc>
          <w:tcPr>
            <w:tcW w:w="1744" w:type="dxa"/>
            <w:tcBorders>
              <w:top w:val="nil"/>
              <w:left w:val="nil"/>
              <w:bottom w:val="single" w:color="auto" w:sz="4" w:space="0"/>
              <w:right w:val="single" w:color="auto" w:sz="4" w:space="0"/>
            </w:tcBorders>
            <w:noWrap w:val="0"/>
            <w:vAlign w:val="center"/>
          </w:tcPr>
          <w:p w14:paraId="56AC9F4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阿腊通盖水库</w:t>
            </w:r>
          </w:p>
        </w:tc>
        <w:tc>
          <w:tcPr>
            <w:tcW w:w="3612" w:type="dxa"/>
            <w:tcBorders>
              <w:top w:val="nil"/>
              <w:left w:val="nil"/>
              <w:bottom w:val="single" w:color="auto" w:sz="4" w:space="0"/>
              <w:right w:val="single" w:color="auto" w:sz="4" w:space="0"/>
            </w:tcBorders>
            <w:noWrap w:val="0"/>
            <w:vAlign w:val="center"/>
          </w:tcPr>
          <w:p w14:paraId="4533CEC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包括恢复柳树沟、羊头沟、黑山头、科拓沟塘坝视频</w:t>
            </w:r>
          </w:p>
        </w:tc>
        <w:tc>
          <w:tcPr>
            <w:tcW w:w="738" w:type="dxa"/>
            <w:tcBorders>
              <w:top w:val="nil"/>
              <w:left w:val="nil"/>
              <w:bottom w:val="single" w:color="auto" w:sz="4" w:space="0"/>
              <w:right w:val="single" w:color="auto" w:sz="4" w:space="0"/>
            </w:tcBorders>
            <w:noWrap/>
            <w:vAlign w:val="center"/>
          </w:tcPr>
          <w:p w14:paraId="1FBA76A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D4ADBE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8</w:t>
            </w:r>
          </w:p>
        </w:tc>
        <w:tc>
          <w:tcPr>
            <w:tcW w:w="1639" w:type="dxa"/>
            <w:tcBorders>
              <w:top w:val="nil"/>
              <w:left w:val="nil"/>
              <w:bottom w:val="single" w:color="auto" w:sz="4" w:space="0"/>
              <w:right w:val="single" w:color="auto" w:sz="4" w:space="0"/>
            </w:tcBorders>
            <w:noWrap/>
            <w:vAlign w:val="center"/>
          </w:tcPr>
          <w:p w14:paraId="1B0674ED">
            <w:pPr>
              <w:spacing w:after="0" w:line="240" w:lineRule="auto"/>
              <w:ind w:firstLine="0" w:firstLineChars="0"/>
              <w:jc w:val="center"/>
              <w:rPr>
                <w:rFonts w:ascii="宋体" w:hAnsi="宋体" w:cs="宋体"/>
                <w:color w:val="auto"/>
                <w:sz w:val="20"/>
                <w:szCs w:val="20"/>
              </w:rPr>
            </w:pPr>
          </w:p>
        </w:tc>
      </w:tr>
      <w:tr w14:paraId="46DEC27B">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3FF2901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1.5</w:t>
            </w:r>
          </w:p>
        </w:tc>
        <w:tc>
          <w:tcPr>
            <w:tcW w:w="1744" w:type="dxa"/>
            <w:tcBorders>
              <w:top w:val="nil"/>
              <w:left w:val="nil"/>
              <w:bottom w:val="single" w:color="auto" w:sz="4" w:space="0"/>
              <w:right w:val="single" w:color="auto" w:sz="4" w:space="0"/>
            </w:tcBorders>
            <w:noWrap w:val="0"/>
            <w:vAlign w:val="center"/>
          </w:tcPr>
          <w:p w14:paraId="1F5D319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石门沟水库</w:t>
            </w:r>
          </w:p>
        </w:tc>
        <w:tc>
          <w:tcPr>
            <w:tcW w:w="3612" w:type="dxa"/>
            <w:tcBorders>
              <w:top w:val="nil"/>
              <w:left w:val="nil"/>
              <w:bottom w:val="single" w:color="auto" w:sz="4" w:space="0"/>
              <w:right w:val="single" w:color="auto" w:sz="4" w:space="0"/>
            </w:tcBorders>
            <w:noWrap w:val="0"/>
            <w:vAlign w:val="center"/>
          </w:tcPr>
          <w:p w14:paraId="31321F5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包括恢复墙墙沟、塔拉布拉克塘坝视频</w:t>
            </w:r>
          </w:p>
        </w:tc>
        <w:tc>
          <w:tcPr>
            <w:tcW w:w="738" w:type="dxa"/>
            <w:tcBorders>
              <w:top w:val="nil"/>
              <w:left w:val="nil"/>
              <w:bottom w:val="single" w:color="auto" w:sz="4" w:space="0"/>
              <w:right w:val="single" w:color="auto" w:sz="4" w:space="0"/>
            </w:tcBorders>
            <w:noWrap/>
            <w:vAlign w:val="center"/>
          </w:tcPr>
          <w:p w14:paraId="73BEBBB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7872273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7</w:t>
            </w:r>
          </w:p>
        </w:tc>
        <w:tc>
          <w:tcPr>
            <w:tcW w:w="1639" w:type="dxa"/>
            <w:tcBorders>
              <w:top w:val="nil"/>
              <w:left w:val="nil"/>
              <w:bottom w:val="single" w:color="auto" w:sz="4" w:space="0"/>
              <w:right w:val="single" w:color="auto" w:sz="4" w:space="0"/>
            </w:tcBorders>
            <w:noWrap/>
            <w:vAlign w:val="center"/>
          </w:tcPr>
          <w:p w14:paraId="4B955833">
            <w:pPr>
              <w:spacing w:after="0" w:line="240" w:lineRule="auto"/>
              <w:ind w:firstLine="0" w:firstLineChars="0"/>
              <w:jc w:val="center"/>
              <w:rPr>
                <w:rFonts w:ascii="宋体" w:hAnsi="宋体" w:cs="宋体"/>
                <w:color w:val="auto"/>
                <w:sz w:val="20"/>
                <w:szCs w:val="20"/>
              </w:rPr>
            </w:pPr>
          </w:p>
        </w:tc>
      </w:tr>
      <w:tr w14:paraId="7EDEA9B1">
        <w:tblPrEx>
          <w:tblCellMar>
            <w:top w:w="0" w:type="dxa"/>
            <w:left w:w="108" w:type="dxa"/>
            <w:bottom w:w="0" w:type="dxa"/>
            <w:right w:w="108" w:type="dxa"/>
          </w:tblCellMar>
        </w:tblPrEx>
        <w:trPr>
          <w:trHeight w:val="581" w:hRule="atLeast"/>
          <w:jc w:val="center"/>
        </w:trPr>
        <w:tc>
          <w:tcPr>
            <w:tcW w:w="685" w:type="dxa"/>
            <w:tcBorders>
              <w:top w:val="nil"/>
              <w:left w:val="single" w:color="auto" w:sz="4" w:space="0"/>
              <w:bottom w:val="single" w:color="auto" w:sz="4" w:space="0"/>
              <w:right w:val="single" w:color="auto" w:sz="4" w:space="0"/>
            </w:tcBorders>
            <w:noWrap/>
            <w:vAlign w:val="center"/>
          </w:tcPr>
          <w:p w14:paraId="26E36F4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1.6</w:t>
            </w:r>
          </w:p>
        </w:tc>
        <w:tc>
          <w:tcPr>
            <w:tcW w:w="1744" w:type="dxa"/>
            <w:tcBorders>
              <w:top w:val="nil"/>
              <w:left w:val="nil"/>
              <w:bottom w:val="single" w:color="auto" w:sz="4" w:space="0"/>
              <w:right w:val="single" w:color="auto" w:sz="4" w:space="0"/>
            </w:tcBorders>
            <w:noWrap w:val="0"/>
            <w:vAlign w:val="center"/>
          </w:tcPr>
          <w:p w14:paraId="787D59C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淖毛湖渠首</w:t>
            </w:r>
          </w:p>
        </w:tc>
        <w:tc>
          <w:tcPr>
            <w:tcW w:w="3612" w:type="dxa"/>
            <w:tcBorders>
              <w:top w:val="nil"/>
              <w:left w:val="nil"/>
              <w:bottom w:val="single" w:color="auto" w:sz="4" w:space="0"/>
              <w:right w:val="single" w:color="auto" w:sz="4" w:space="0"/>
            </w:tcBorders>
            <w:noWrap w:val="0"/>
            <w:vAlign w:val="center"/>
          </w:tcPr>
          <w:p w14:paraId="377730A0">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22B94D2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566DA43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639" w:type="dxa"/>
            <w:tcBorders>
              <w:top w:val="nil"/>
              <w:left w:val="nil"/>
              <w:bottom w:val="single" w:color="auto" w:sz="4" w:space="0"/>
              <w:right w:val="single" w:color="auto" w:sz="4" w:space="0"/>
            </w:tcBorders>
            <w:noWrap/>
            <w:vAlign w:val="center"/>
          </w:tcPr>
          <w:p w14:paraId="5B4353EF">
            <w:pPr>
              <w:spacing w:after="0" w:line="240" w:lineRule="auto"/>
              <w:ind w:firstLine="0" w:firstLineChars="0"/>
              <w:jc w:val="center"/>
              <w:rPr>
                <w:rFonts w:ascii="宋体" w:hAnsi="宋体" w:cs="宋体"/>
                <w:b/>
                <w:bCs/>
                <w:color w:val="auto"/>
                <w:sz w:val="20"/>
                <w:szCs w:val="20"/>
              </w:rPr>
            </w:pPr>
          </w:p>
        </w:tc>
      </w:tr>
      <w:tr w14:paraId="161324A0">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17B10CA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1.7</w:t>
            </w:r>
          </w:p>
        </w:tc>
        <w:tc>
          <w:tcPr>
            <w:tcW w:w="1744" w:type="dxa"/>
            <w:tcBorders>
              <w:top w:val="nil"/>
              <w:left w:val="nil"/>
              <w:bottom w:val="single" w:color="auto" w:sz="4" w:space="0"/>
              <w:right w:val="single" w:color="auto" w:sz="4" w:space="0"/>
            </w:tcBorders>
            <w:noWrap w:val="0"/>
            <w:vAlign w:val="center"/>
          </w:tcPr>
          <w:p w14:paraId="2264B6A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吐尔干渠首</w:t>
            </w:r>
          </w:p>
        </w:tc>
        <w:tc>
          <w:tcPr>
            <w:tcW w:w="3612" w:type="dxa"/>
            <w:tcBorders>
              <w:top w:val="nil"/>
              <w:left w:val="nil"/>
              <w:bottom w:val="single" w:color="auto" w:sz="4" w:space="0"/>
              <w:right w:val="single" w:color="auto" w:sz="4" w:space="0"/>
            </w:tcBorders>
            <w:noWrap w:val="0"/>
            <w:vAlign w:val="center"/>
          </w:tcPr>
          <w:p w14:paraId="1A89D72C">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71EAFC7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67C3940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639" w:type="dxa"/>
            <w:tcBorders>
              <w:top w:val="nil"/>
              <w:left w:val="nil"/>
              <w:bottom w:val="single" w:color="auto" w:sz="4" w:space="0"/>
              <w:right w:val="single" w:color="auto" w:sz="4" w:space="0"/>
            </w:tcBorders>
            <w:noWrap/>
            <w:vAlign w:val="center"/>
          </w:tcPr>
          <w:p w14:paraId="2133B265">
            <w:pPr>
              <w:spacing w:after="0" w:line="240" w:lineRule="auto"/>
              <w:ind w:firstLine="0" w:firstLineChars="0"/>
              <w:jc w:val="center"/>
              <w:rPr>
                <w:rFonts w:ascii="宋体" w:hAnsi="宋体" w:cs="宋体"/>
                <w:b/>
                <w:bCs/>
                <w:color w:val="auto"/>
                <w:sz w:val="20"/>
                <w:szCs w:val="20"/>
              </w:rPr>
            </w:pPr>
          </w:p>
        </w:tc>
      </w:tr>
      <w:tr w14:paraId="3BECCC60">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BFE890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744" w:type="dxa"/>
            <w:tcBorders>
              <w:top w:val="nil"/>
              <w:left w:val="nil"/>
              <w:bottom w:val="single" w:color="auto" w:sz="4" w:space="0"/>
              <w:right w:val="single" w:color="auto" w:sz="4" w:space="0"/>
            </w:tcBorders>
            <w:noWrap w:val="0"/>
            <w:vAlign w:val="center"/>
          </w:tcPr>
          <w:p w14:paraId="0A5C2DF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科拓沟渠首</w:t>
            </w:r>
          </w:p>
        </w:tc>
        <w:tc>
          <w:tcPr>
            <w:tcW w:w="3612" w:type="dxa"/>
            <w:tcBorders>
              <w:top w:val="nil"/>
              <w:left w:val="nil"/>
              <w:bottom w:val="single" w:color="auto" w:sz="4" w:space="0"/>
              <w:right w:val="single" w:color="auto" w:sz="4" w:space="0"/>
            </w:tcBorders>
            <w:noWrap w:val="0"/>
            <w:vAlign w:val="center"/>
          </w:tcPr>
          <w:p w14:paraId="4921AD3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科拓沟渠首视频恢复，供电系统维护需要建设远程供电系统</w:t>
            </w:r>
          </w:p>
        </w:tc>
        <w:tc>
          <w:tcPr>
            <w:tcW w:w="738" w:type="dxa"/>
            <w:tcBorders>
              <w:top w:val="nil"/>
              <w:left w:val="nil"/>
              <w:bottom w:val="single" w:color="auto" w:sz="4" w:space="0"/>
              <w:right w:val="single" w:color="auto" w:sz="4" w:space="0"/>
            </w:tcBorders>
            <w:noWrap/>
            <w:vAlign w:val="center"/>
          </w:tcPr>
          <w:p w14:paraId="5182325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55EBF1D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4</w:t>
            </w:r>
          </w:p>
        </w:tc>
        <w:tc>
          <w:tcPr>
            <w:tcW w:w="1639" w:type="dxa"/>
            <w:tcBorders>
              <w:top w:val="nil"/>
              <w:left w:val="nil"/>
              <w:bottom w:val="single" w:color="auto" w:sz="4" w:space="0"/>
              <w:right w:val="single" w:color="auto" w:sz="4" w:space="0"/>
            </w:tcBorders>
            <w:noWrap/>
            <w:vAlign w:val="center"/>
          </w:tcPr>
          <w:p w14:paraId="4A584A73">
            <w:pPr>
              <w:spacing w:after="0" w:line="240" w:lineRule="auto"/>
              <w:ind w:firstLine="0" w:firstLineChars="0"/>
              <w:jc w:val="center"/>
              <w:rPr>
                <w:rFonts w:ascii="宋体" w:hAnsi="宋体" w:cs="宋体"/>
                <w:color w:val="auto"/>
                <w:sz w:val="20"/>
                <w:szCs w:val="20"/>
              </w:rPr>
            </w:pPr>
          </w:p>
        </w:tc>
      </w:tr>
      <w:tr w14:paraId="6E6EABE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F1BD3F7">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2</w:t>
            </w:r>
          </w:p>
        </w:tc>
        <w:tc>
          <w:tcPr>
            <w:tcW w:w="1744" w:type="dxa"/>
            <w:tcBorders>
              <w:top w:val="nil"/>
              <w:left w:val="nil"/>
              <w:bottom w:val="single" w:color="auto" w:sz="4" w:space="0"/>
              <w:right w:val="single" w:color="auto" w:sz="4" w:space="0"/>
            </w:tcBorders>
            <w:noWrap w:val="0"/>
            <w:vAlign w:val="center"/>
          </w:tcPr>
          <w:p w14:paraId="461CB662">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山洪灾害预警系统日常运行维护管理</w:t>
            </w:r>
          </w:p>
        </w:tc>
        <w:tc>
          <w:tcPr>
            <w:tcW w:w="3612" w:type="dxa"/>
            <w:tcBorders>
              <w:top w:val="nil"/>
              <w:left w:val="nil"/>
              <w:bottom w:val="single" w:color="auto" w:sz="4" w:space="0"/>
              <w:right w:val="single" w:color="auto" w:sz="4" w:space="0"/>
            </w:tcBorders>
            <w:noWrap w:val="0"/>
            <w:vAlign w:val="center"/>
          </w:tcPr>
          <w:p w14:paraId="3F39D91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主要针对县城内18处自动雨量站、6处自动水位站测站及配套的预警广播系统日常运行保障维护管理，确保各监测站点正常运行</w:t>
            </w:r>
          </w:p>
        </w:tc>
        <w:tc>
          <w:tcPr>
            <w:tcW w:w="738" w:type="dxa"/>
            <w:tcBorders>
              <w:top w:val="nil"/>
              <w:left w:val="nil"/>
              <w:bottom w:val="single" w:color="auto" w:sz="4" w:space="0"/>
              <w:right w:val="single" w:color="auto" w:sz="4" w:space="0"/>
            </w:tcBorders>
            <w:noWrap/>
            <w:vAlign w:val="center"/>
          </w:tcPr>
          <w:p w14:paraId="5DF7D911">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56AD469E">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0650FD50">
            <w:pPr>
              <w:spacing w:after="0" w:line="240" w:lineRule="auto"/>
              <w:ind w:firstLine="0" w:firstLineChars="0"/>
              <w:jc w:val="center"/>
              <w:rPr>
                <w:rFonts w:ascii="宋体" w:hAnsi="宋体" w:cs="宋体"/>
                <w:color w:val="auto"/>
                <w:sz w:val="20"/>
                <w:szCs w:val="20"/>
              </w:rPr>
            </w:pPr>
          </w:p>
        </w:tc>
      </w:tr>
      <w:tr w14:paraId="31EBCEC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ABA270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2.1</w:t>
            </w:r>
          </w:p>
        </w:tc>
        <w:tc>
          <w:tcPr>
            <w:tcW w:w="1744" w:type="dxa"/>
            <w:tcBorders>
              <w:top w:val="nil"/>
              <w:left w:val="nil"/>
              <w:bottom w:val="single" w:color="auto" w:sz="4" w:space="0"/>
              <w:right w:val="single" w:color="auto" w:sz="4" w:space="0"/>
            </w:tcBorders>
            <w:noWrap w:val="0"/>
            <w:vAlign w:val="center"/>
          </w:tcPr>
          <w:p w14:paraId="671527B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雨量站维护</w:t>
            </w:r>
          </w:p>
        </w:tc>
        <w:tc>
          <w:tcPr>
            <w:tcW w:w="3612" w:type="dxa"/>
            <w:tcBorders>
              <w:top w:val="nil"/>
              <w:left w:val="nil"/>
              <w:bottom w:val="single" w:color="auto" w:sz="4" w:space="0"/>
              <w:right w:val="single" w:color="auto" w:sz="4" w:space="0"/>
            </w:tcBorders>
            <w:noWrap w:val="0"/>
            <w:vAlign w:val="center"/>
          </w:tcPr>
          <w:p w14:paraId="5CE1409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更换RTU</w:t>
            </w:r>
          </w:p>
        </w:tc>
        <w:tc>
          <w:tcPr>
            <w:tcW w:w="738" w:type="dxa"/>
            <w:tcBorders>
              <w:top w:val="nil"/>
              <w:left w:val="nil"/>
              <w:bottom w:val="single" w:color="auto" w:sz="4" w:space="0"/>
              <w:right w:val="single" w:color="auto" w:sz="4" w:space="0"/>
            </w:tcBorders>
            <w:noWrap/>
            <w:vAlign w:val="center"/>
          </w:tcPr>
          <w:p w14:paraId="66121AD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D5A723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639" w:type="dxa"/>
            <w:tcBorders>
              <w:top w:val="nil"/>
              <w:left w:val="nil"/>
              <w:bottom w:val="single" w:color="auto" w:sz="4" w:space="0"/>
              <w:right w:val="single" w:color="auto" w:sz="4" w:space="0"/>
            </w:tcBorders>
            <w:noWrap/>
            <w:vAlign w:val="center"/>
          </w:tcPr>
          <w:p w14:paraId="2D805DE1">
            <w:pPr>
              <w:spacing w:after="0" w:line="240" w:lineRule="auto"/>
              <w:ind w:firstLine="0" w:firstLineChars="0"/>
              <w:jc w:val="center"/>
              <w:rPr>
                <w:rFonts w:ascii="宋体" w:hAnsi="宋体" w:cs="宋体"/>
                <w:color w:val="auto"/>
                <w:sz w:val="20"/>
                <w:szCs w:val="20"/>
              </w:rPr>
            </w:pPr>
            <w:r>
              <w:rPr>
                <w:rFonts w:hint="eastAsia" w:ascii="宋体" w:hAnsi="宋体" w:cs="宋体"/>
                <w:color w:val="000000"/>
                <w:sz w:val="20"/>
                <w:szCs w:val="20"/>
              </w:rPr>
              <w:t>需要更换RTU</w:t>
            </w:r>
          </w:p>
        </w:tc>
      </w:tr>
      <w:tr w14:paraId="68F61E7D">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43A2AD7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2.2</w:t>
            </w:r>
          </w:p>
        </w:tc>
        <w:tc>
          <w:tcPr>
            <w:tcW w:w="1744" w:type="dxa"/>
            <w:tcBorders>
              <w:top w:val="nil"/>
              <w:left w:val="nil"/>
              <w:bottom w:val="single" w:color="auto" w:sz="4" w:space="0"/>
              <w:right w:val="single" w:color="auto" w:sz="4" w:space="0"/>
            </w:tcBorders>
            <w:noWrap w:val="0"/>
            <w:vAlign w:val="center"/>
          </w:tcPr>
          <w:p w14:paraId="1C5F37F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水位站</w:t>
            </w:r>
          </w:p>
        </w:tc>
        <w:tc>
          <w:tcPr>
            <w:tcW w:w="3612" w:type="dxa"/>
            <w:tcBorders>
              <w:top w:val="nil"/>
              <w:left w:val="nil"/>
              <w:bottom w:val="single" w:color="auto" w:sz="4" w:space="0"/>
              <w:right w:val="single" w:color="auto" w:sz="4" w:space="0"/>
            </w:tcBorders>
            <w:noWrap w:val="0"/>
            <w:vAlign w:val="center"/>
          </w:tcPr>
          <w:p w14:paraId="1257184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更换RTU</w:t>
            </w:r>
          </w:p>
        </w:tc>
        <w:tc>
          <w:tcPr>
            <w:tcW w:w="738" w:type="dxa"/>
            <w:tcBorders>
              <w:top w:val="nil"/>
              <w:left w:val="nil"/>
              <w:bottom w:val="single" w:color="auto" w:sz="4" w:space="0"/>
              <w:right w:val="single" w:color="auto" w:sz="4" w:space="0"/>
            </w:tcBorders>
            <w:noWrap/>
            <w:vAlign w:val="center"/>
          </w:tcPr>
          <w:p w14:paraId="6BCB430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9D9DB7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w:t>
            </w:r>
          </w:p>
        </w:tc>
        <w:tc>
          <w:tcPr>
            <w:tcW w:w="1639" w:type="dxa"/>
            <w:tcBorders>
              <w:top w:val="nil"/>
              <w:left w:val="nil"/>
              <w:bottom w:val="single" w:color="auto" w:sz="4" w:space="0"/>
              <w:right w:val="single" w:color="auto" w:sz="4" w:space="0"/>
            </w:tcBorders>
            <w:noWrap/>
            <w:vAlign w:val="center"/>
          </w:tcPr>
          <w:p w14:paraId="56B55859">
            <w:pPr>
              <w:spacing w:after="0" w:line="240" w:lineRule="auto"/>
              <w:ind w:firstLine="0" w:firstLineChars="0"/>
              <w:jc w:val="center"/>
              <w:rPr>
                <w:rFonts w:ascii="宋体" w:hAnsi="宋体" w:cs="宋体"/>
                <w:color w:val="auto"/>
                <w:sz w:val="20"/>
                <w:szCs w:val="20"/>
              </w:rPr>
            </w:pPr>
            <w:r>
              <w:rPr>
                <w:rFonts w:hint="eastAsia" w:ascii="宋体" w:hAnsi="宋体" w:cs="宋体"/>
                <w:color w:val="000000"/>
                <w:sz w:val="20"/>
                <w:szCs w:val="20"/>
              </w:rPr>
              <w:t>峡沟水位站还重建,其他测站更换RTU</w:t>
            </w:r>
          </w:p>
        </w:tc>
      </w:tr>
      <w:tr w14:paraId="479C2C2A">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BD7A94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2.3</w:t>
            </w:r>
          </w:p>
        </w:tc>
        <w:tc>
          <w:tcPr>
            <w:tcW w:w="1744" w:type="dxa"/>
            <w:tcBorders>
              <w:top w:val="nil"/>
              <w:left w:val="nil"/>
              <w:bottom w:val="single" w:color="auto" w:sz="4" w:space="0"/>
              <w:right w:val="single" w:color="auto" w:sz="4" w:space="0"/>
            </w:tcBorders>
            <w:noWrap w:val="0"/>
            <w:vAlign w:val="center"/>
          </w:tcPr>
          <w:p w14:paraId="56FF5DA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视频站</w:t>
            </w:r>
          </w:p>
        </w:tc>
        <w:tc>
          <w:tcPr>
            <w:tcW w:w="3612" w:type="dxa"/>
            <w:tcBorders>
              <w:top w:val="nil"/>
              <w:left w:val="nil"/>
              <w:bottom w:val="single" w:color="auto" w:sz="4" w:space="0"/>
              <w:right w:val="single" w:color="auto" w:sz="4" w:space="0"/>
            </w:tcBorders>
            <w:noWrap w:val="0"/>
            <w:vAlign w:val="center"/>
          </w:tcPr>
          <w:p w14:paraId="38B9815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视频站的供电系统，以及水尺</w:t>
            </w:r>
          </w:p>
        </w:tc>
        <w:tc>
          <w:tcPr>
            <w:tcW w:w="738" w:type="dxa"/>
            <w:tcBorders>
              <w:top w:val="nil"/>
              <w:left w:val="nil"/>
              <w:bottom w:val="single" w:color="auto" w:sz="4" w:space="0"/>
              <w:right w:val="single" w:color="auto" w:sz="4" w:space="0"/>
            </w:tcBorders>
            <w:noWrap/>
            <w:vAlign w:val="center"/>
          </w:tcPr>
          <w:p w14:paraId="1389ED2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AE1F0E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w:t>
            </w:r>
          </w:p>
        </w:tc>
        <w:tc>
          <w:tcPr>
            <w:tcW w:w="1639" w:type="dxa"/>
            <w:tcBorders>
              <w:top w:val="nil"/>
              <w:left w:val="nil"/>
              <w:bottom w:val="single" w:color="auto" w:sz="4" w:space="0"/>
              <w:right w:val="single" w:color="auto" w:sz="4" w:space="0"/>
            </w:tcBorders>
            <w:noWrap/>
            <w:vAlign w:val="center"/>
          </w:tcPr>
          <w:p w14:paraId="0D700E2B">
            <w:pPr>
              <w:spacing w:after="0" w:line="240" w:lineRule="auto"/>
              <w:ind w:firstLine="0" w:firstLineChars="0"/>
              <w:jc w:val="center"/>
              <w:rPr>
                <w:rFonts w:ascii="宋体" w:hAnsi="宋体" w:cs="宋体"/>
                <w:color w:val="auto"/>
                <w:sz w:val="20"/>
                <w:szCs w:val="20"/>
              </w:rPr>
            </w:pPr>
          </w:p>
        </w:tc>
      </w:tr>
      <w:tr w14:paraId="3EDE77AB">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20C0E40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2.4</w:t>
            </w:r>
          </w:p>
        </w:tc>
        <w:tc>
          <w:tcPr>
            <w:tcW w:w="1744" w:type="dxa"/>
            <w:tcBorders>
              <w:top w:val="nil"/>
              <w:left w:val="nil"/>
              <w:bottom w:val="single" w:color="auto" w:sz="4" w:space="0"/>
              <w:right w:val="single" w:color="auto" w:sz="4" w:space="0"/>
            </w:tcBorders>
            <w:noWrap w:val="0"/>
            <w:vAlign w:val="center"/>
          </w:tcPr>
          <w:p w14:paraId="622A1C7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预警广播站</w:t>
            </w:r>
          </w:p>
        </w:tc>
        <w:tc>
          <w:tcPr>
            <w:tcW w:w="3612" w:type="dxa"/>
            <w:tcBorders>
              <w:top w:val="nil"/>
              <w:left w:val="nil"/>
              <w:bottom w:val="single" w:color="auto" w:sz="4" w:space="0"/>
              <w:right w:val="single" w:color="auto" w:sz="4" w:space="0"/>
            </w:tcBorders>
            <w:noWrap w:val="0"/>
            <w:vAlign w:val="center"/>
          </w:tcPr>
          <w:p w14:paraId="18ECB4B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预警广播站的喇叭，预警广播站白名单</w:t>
            </w:r>
          </w:p>
        </w:tc>
        <w:tc>
          <w:tcPr>
            <w:tcW w:w="738" w:type="dxa"/>
            <w:tcBorders>
              <w:top w:val="nil"/>
              <w:left w:val="nil"/>
              <w:bottom w:val="single" w:color="auto" w:sz="4" w:space="0"/>
              <w:right w:val="single" w:color="auto" w:sz="4" w:space="0"/>
            </w:tcBorders>
            <w:noWrap/>
            <w:vAlign w:val="center"/>
          </w:tcPr>
          <w:p w14:paraId="713FC09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1CE8A1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639" w:type="dxa"/>
            <w:tcBorders>
              <w:top w:val="nil"/>
              <w:left w:val="nil"/>
              <w:bottom w:val="single" w:color="auto" w:sz="4" w:space="0"/>
              <w:right w:val="single" w:color="auto" w:sz="4" w:space="0"/>
            </w:tcBorders>
            <w:noWrap/>
            <w:vAlign w:val="center"/>
          </w:tcPr>
          <w:p w14:paraId="5AA0779B">
            <w:pPr>
              <w:spacing w:after="0" w:line="240" w:lineRule="auto"/>
              <w:ind w:firstLine="0" w:firstLineChars="0"/>
              <w:jc w:val="center"/>
              <w:rPr>
                <w:rFonts w:ascii="宋体" w:hAnsi="宋体" w:cs="宋体"/>
                <w:color w:val="auto"/>
                <w:sz w:val="20"/>
                <w:szCs w:val="20"/>
              </w:rPr>
            </w:pPr>
            <w:r>
              <w:rPr>
                <w:rFonts w:hint="eastAsia" w:ascii="宋体" w:hAnsi="宋体" w:cs="宋体"/>
                <w:color w:val="000000"/>
                <w:sz w:val="20"/>
                <w:szCs w:val="20"/>
              </w:rPr>
              <w:t>缺失的预警广播主机补充</w:t>
            </w:r>
          </w:p>
        </w:tc>
      </w:tr>
      <w:tr w14:paraId="29364B66">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52AA8C2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744" w:type="dxa"/>
            <w:tcBorders>
              <w:top w:val="nil"/>
              <w:left w:val="nil"/>
              <w:bottom w:val="single" w:color="auto" w:sz="4" w:space="0"/>
              <w:right w:val="single" w:color="auto" w:sz="4" w:space="0"/>
            </w:tcBorders>
            <w:noWrap w:val="0"/>
            <w:vAlign w:val="center"/>
          </w:tcPr>
          <w:p w14:paraId="1FAEC64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生态测流站</w:t>
            </w:r>
          </w:p>
        </w:tc>
        <w:tc>
          <w:tcPr>
            <w:tcW w:w="3612" w:type="dxa"/>
            <w:tcBorders>
              <w:top w:val="nil"/>
              <w:left w:val="nil"/>
              <w:bottom w:val="single" w:color="auto" w:sz="4" w:space="0"/>
              <w:right w:val="single" w:color="auto" w:sz="4" w:space="0"/>
            </w:tcBorders>
            <w:noWrap w:val="0"/>
            <w:vAlign w:val="center"/>
          </w:tcPr>
          <w:p w14:paraId="62C448C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生态测流站的供电系统，测流设备</w:t>
            </w:r>
          </w:p>
        </w:tc>
        <w:tc>
          <w:tcPr>
            <w:tcW w:w="738" w:type="dxa"/>
            <w:tcBorders>
              <w:top w:val="nil"/>
              <w:left w:val="nil"/>
              <w:bottom w:val="single" w:color="auto" w:sz="4" w:space="0"/>
              <w:right w:val="single" w:color="auto" w:sz="4" w:space="0"/>
            </w:tcBorders>
            <w:noWrap/>
            <w:vAlign w:val="center"/>
          </w:tcPr>
          <w:p w14:paraId="6DA54AE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8F3B5C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745BF54E">
            <w:pPr>
              <w:spacing w:after="0" w:line="240" w:lineRule="auto"/>
              <w:ind w:firstLine="0" w:firstLineChars="0"/>
              <w:jc w:val="center"/>
              <w:rPr>
                <w:rFonts w:ascii="宋体" w:hAnsi="宋体" w:cs="宋体"/>
                <w:b/>
                <w:bCs/>
                <w:color w:val="auto"/>
                <w:sz w:val="20"/>
                <w:szCs w:val="20"/>
              </w:rPr>
            </w:pPr>
          </w:p>
        </w:tc>
      </w:tr>
      <w:tr w14:paraId="2C7570CE">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70C27F9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2.6</w:t>
            </w:r>
          </w:p>
        </w:tc>
        <w:tc>
          <w:tcPr>
            <w:tcW w:w="1744" w:type="dxa"/>
            <w:tcBorders>
              <w:top w:val="nil"/>
              <w:left w:val="nil"/>
              <w:bottom w:val="single" w:color="auto" w:sz="4" w:space="0"/>
              <w:right w:val="single" w:color="auto" w:sz="4" w:space="0"/>
            </w:tcBorders>
            <w:noWrap w:val="0"/>
            <w:vAlign w:val="center"/>
          </w:tcPr>
          <w:p w14:paraId="70F9E69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采集系统维护</w:t>
            </w:r>
          </w:p>
        </w:tc>
        <w:tc>
          <w:tcPr>
            <w:tcW w:w="3612" w:type="dxa"/>
            <w:tcBorders>
              <w:top w:val="nil"/>
              <w:left w:val="nil"/>
              <w:bottom w:val="single" w:color="auto" w:sz="4" w:space="0"/>
              <w:right w:val="single" w:color="auto" w:sz="4" w:space="0"/>
            </w:tcBorders>
            <w:noWrap w:val="0"/>
            <w:vAlign w:val="center"/>
          </w:tcPr>
          <w:p w14:paraId="44D928F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包括雨量站，水位站，生态测流站，预警广播</w:t>
            </w:r>
          </w:p>
        </w:tc>
        <w:tc>
          <w:tcPr>
            <w:tcW w:w="738" w:type="dxa"/>
            <w:tcBorders>
              <w:top w:val="nil"/>
              <w:left w:val="nil"/>
              <w:bottom w:val="single" w:color="auto" w:sz="4" w:space="0"/>
              <w:right w:val="single" w:color="auto" w:sz="4" w:space="0"/>
            </w:tcBorders>
            <w:noWrap/>
            <w:vAlign w:val="center"/>
          </w:tcPr>
          <w:p w14:paraId="765B1F9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715E93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8AD48FD">
            <w:pPr>
              <w:spacing w:after="0" w:line="240" w:lineRule="auto"/>
              <w:ind w:firstLine="0" w:firstLineChars="0"/>
              <w:jc w:val="center"/>
              <w:rPr>
                <w:rFonts w:ascii="宋体" w:hAnsi="宋体" w:cs="宋体"/>
                <w:color w:val="auto"/>
                <w:sz w:val="20"/>
                <w:szCs w:val="20"/>
              </w:rPr>
            </w:pPr>
          </w:p>
        </w:tc>
      </w:tr>
      <w:tr w14:paraId="5A98E180">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4E354048">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3</w:t>
            </w:r>
          </w:p>
        </w:tc>
        <w:tc>
          <w:tcPr>
            <w:tcW w:w="1744" w:type="dxa"/>
            <w:tcBorders>
              <w:top w:val="nil"/>
              <w:left w:val="nil"/>
              <w:bottom w:val="single" w:color="auto" w:sz="4" w:space="0"/>
              <w:right w:val="single" w:color="auto" w:sz="4" w:space="0"/>
            </w:tcBorders>
            <w:noWrap w:val="0"/>
            <w:vAlign w:val="center"/>
          </w:tcPr>
          <w:p w14:paraId="6D6804E0">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科拓沟渠首供电系统及网络恢复</w:t>
            </w:r>
          </w:p>
        </w:tc>
        <w:tc>
          <w:tcPr>
            <w:tcW w:w="3612" w:type="dxa"/>
            <w:tcBorders>
              <w:top w:val="nil"/>
              <w:left w:val="nil"/>
              <w:bottom w:val="single" w:color="auto" w:sz="4" w:space="0"/>
              <w:right w:val="single" w:color="auto" w:sz="4" w:space="0"/>
            </w:tcBorders>
            <w:noWrap w:val="0"/>
            <w:vAlign w:val="center"/>
          </w:tcPr>
          <w:p w14:paraId="1BABA749">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5242000F">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0C662A80">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0"/>
            <w:vAlign w:val="center"/>
          </w:tcPr>
          <w:p w14:paraId="35DA763C">
            <w:pPr>
              <w:spacing w:after="0" w:line="240" w:lineRule="auto"/>
              <w:ind w:firstLine="0" w:firstLineChars="0"/>
              <w:jc w:val="center"/>
              <w:rPr>
                <w:rFonts w:hint="default" w:ascii="宋体" w:hAnsi="宋体" w:eastAsia="宋体" w:cs="宋体"/>
                <w:color w:val="auto"/>
                <w:sz w:val="20"/>
                <w:szCs w:val="20"/>
                <w:lang w:val="en-US" w:eastAsia="zh-Hans"/>
              </w:rPr>
            </w:pPr>
          </w:p>
        </w:tc>
      </w:tr>
      <w:tr w14:paraId="2DFE4A10">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63B67B7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3.1</w:t>
            </w:r>
          </w:p>
        </w:tc>
        <w:tc>
          <w:tcPr>
            <w:tcW w:w="1744" w:type="dxa"/>
            <w:tcBorders>
              <w:top w:val="nil"/>
              <w:left w:val="nil"/>
              <w:bottom w:val="single" w:color="auto" w:sz="4" w:space="0"/>
              <w:right w:val="single" w:color="auto" w:sz="4" w:space="0"/>
            </w:tcBorders>
            <w:noWrap w:val="0"/>
            <w:vAlign w:val="center"/>
          </w:tcPr>
          <w:p w14:paraId="7719E75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供电系统</w:t>
            </w:r>
          </w:p>
        </w:tc>
        <w:tc>
          <w:tcPr>
            <w:tcW w:w="3612" w:type="dxa"/>
            <w:tcBorders>
              <w:top w:val="nil"/>
              <w:left w:val="nil"/>
              <w:bottom w:val="single" w:color="auto" w:sz="4" w:space="0"/>
              <w:right w:val="single" w:color="auto" w:sz="4" w:space="0"/>
            </w:tcBorders>
            <w:noWrap/>
            <w:vAlign w:val="center"/>
          </w:tcPr>
          <w:p w14:paraId="3AF8748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包括太阳能板蓄电池控制器</w:t>
            </w:r>
          </w:p>
        </w:tc>
        <w:tc>
          <w:tcPr>
            <w:tcW w:w="738" w:type="dxa"/>
            <w:tcBorders>
              <w:top w:val="nil"/>
              <w:left w:val="nil"/>
              <w:bottom w:val="single" w:color="auto" w:sz="4" w:space="0"/>
              <w:right w:val="single" w:color="auto" w:sz="4" w:space="0"/>
            </w:tcBorders>
            <w:noWrap/>
            <w:vAlign w:val="center"/>
          </w:tcPr>
          <w:p w14:paraId="7E029CF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0DFD01F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5454E1A">
            <w:pPr>
              <w:spacing w:after="0" w:line="240" w:lineRule="auto"/>
              <w:ind w:firstLine="0" w:firstLineChars="0"/>
              <w:jc w:val="center"/>
              <w:rPr>
                <w:rFonts w:ascii="宋体" w:hAnsi="宋体" w:cs="宋体"/>
                <w:color w:val="auto"/>
                <w:sz w:val="20"/>
                <w:szCs w:val="20"/>
              </w:rPr>
            </w:pPr>
          </w:p>
        </w:tc>
      </w:tr>
      <w:tr w14:paraId="21B92F53">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5E4872B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3.2</w:t>
            </w:r>
          </w:p>
        </w:tc>
        <w:tc>
          <w:tcPr>
            <w:tcW w:w="1744" w:type="dxa"/>
            <w:tcBorders>
              <w:top w:val="nil"/>
              <w:left w:val="nil"/>
              <w:bottom w:val="single" w:color="auto" w:sz="4" w:space="0"/>
              <w:right w:val="single" w:color="auto" w:sz="4" w:space="0"/>
            </w:tcBorders>
            <w:noWrap w:val="0"/>
            <w:vAlign w:val="center"/>
          </w:tcPr>
          <w:p w14:paraId="7429C0F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网络系统</w:t>
            </w:r>
          </w:p>
        </w:tc>
        <w:tc>
          <w:tcPr>
            <w:tcW w:w="3612" w:type="dxa"/>
            <w:tcBorders>
              <w:top w:val="nil"/>
              <w:left w:val="nil"/>
              <w:bottom w:val="single" w:color="auto" w:sz="4" w:space="0"/>
              <w:right w:val="single" w:color="auto" w:sz="4" w:space="0"/>
            </w:tcBorders>
            <w:noWrap/>
            <w:vAlign w:val="center"/>
          </w:tcPr>
          <w:p w14:paraId="1109EBB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包括光纤，光纤收发器20KM，网络交换机</w:t>
            </w:r>
          </w:p>
        </w:tc>
        <w:tc>
          <w:tcPr>
            <w:tcW w:w="738" w:type="dxa"/>
            <w:tcBorders>
              <w:top w:val="nil"/>
              <w:left w:val="nil"/>
              <w:bottom w:val="single" w:color="auto" w:sz="4" w:space="0"/>
              <w:right w:val="single" w:color="auto" w:sz="4" w:space="0"/>
            </w:tcBorders>
            <w:noWrap/>
            <w:vAlign w:val="center"/>
          </w:tcPr>
          <w:p w14:paraId="2931970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505BF9B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D48D418">
            <w:pPr>
              <w:spacing w:after="0" w:line="240" w:lineRule="auto"/>
              <w:ind w:firstLine="0" w:firstLineChars="0"/>
              <w:jc w:val="center"/>
              <w:rPr>
                <w:rFonts w:ascii="宋体" w:hAnsi="宋体" w:cs="宋体"/>
                <w:color w:val="auto"/>
                <w:sz w:val="20"/>
                <w:szCs w:val="20"/>
              </w:rPr>
            </w:pPr>
          </w:p>
        </w:tc>
      </w:tr>
      <w:tr w14:paraId="7A0FD83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E3628ED">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4</w:t>
            </w:r>
          </w:p>
        </w:tc>
        <w:tc>
          <w:tcPr>
            <w:tcW w:w="1744" w:type="dxa"/>
            <w:tcBorders>
              <w:top w:val="nil"/>
              <w:left w:val="nil"/>
              <w:bottom w:val="single" w:color="auto" w:sz="4" w:space="0"/>
              <w:right w:val="single" w:color="auto" w:sz="4" w:space="0"/>
            </w:tcBorders>
            <w:noWrap w:val="0"/>
            <w:vAlign w:val="center"/>
          </w:tcPr>
          <w:p w14:paraId="5550677E">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淖毛湖智能灌溉系统</w:t>
            </w:r>
          </w:p>
        </w:tc>
        <w:tc>
          <w:tcPr>
            <w:tcW w:w="3612" w:type="dxa"/>
            <w:tcBorders>
              <w:top w:val="nil"/>
              <w:left w:val="nil"/>
              <w:bottom w:val="single" w:color="auto" w:sz="4" w:space="0"/>
              <w:right w:val="single" w:color="auto" w:sz="4" w:space="0"/>
            </w:tcBorders>
            <w:noWrap/>
            <w:vAlign w:val="center"/>
          </w:tcPr>
          <w:p w14:paraId="51C06B1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监控平台及平台服务器的维护，硬件设备未过质保</w:t>
            </w:r>
          </w:p>
        </w:tc>
        <w:tc>
          <w:tcPr>
            <w:tcW w:w="738" w:type="dxa"/>
            <w:tcBorders>
              <w:top w:val="nil"/>
              <w:left w:val="nil"/>
              <w:bottom w:val="single" w:color="auto" w:sz="4" w:space="0"/>
              <w:right w:val="single" w:color="auto" w:sz="4" w:space="0"/>
            </w:tcBorders>
            <w:noWrap/>
            <w:vAlign w:val="center"/>
          </w:tcPr>
          <w:p w14:paraId="5EA83193">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项</w:t>
            </w:r>
          </w:p>
        </w:tc>
        <w:tc>
          <w:tcPr>
            <w:tcW w:w="725" w:type="dxa"/>
            <w:tcBorders>
              <w:top w:val="nil"/>
              <w:left w:val="nil"/>
              <w:bottom w:val="single" w:color="auto" w:sz="4" w:space="0"/>
              <w:right w:val="single" w:color="auto" w:sz="4" w:space="0"/>
            </w:tcBorders>
            <w:noWrap/>
            <w:vAlign w:val="center"/>
          </w:tcPr>
          <w:p w14:paraId="1197C15D">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639" w:type="dxa"/>
            <w:tcBorders>
              <w:top w:val="nil"/>
              <w:left w:val="nil"/>
              <w:bottom w:val="single" w:color="auto" w:sz="4" w:space="0"/>
              <w:right w:val="single" w:color="auto" w:sz="4" w:space="0"/>
            </w:tcBorders>
            <w:noWrap/>
            <w:vAlign w:val="center"/>
          </w:tcPr>
          <w:p w14:paraId="5B0D0845">
            <w:pPr>
              <w:spacing w:after="0" w:line="240" w:lineRule="auto"/>
              <w:ind w:firstLine="0" w:firstLineChars="0"/>
              <w:jc w:val="center"/>
              <w:rPr>
                <w:rFonts w:ascii="宋体" w:hAnsi="宋体" w:cs="宋体"/>
                <w:color w:val="auto"/>
                <w:sz w:val="20"/>
                <w:szCs w:val="20"/>
              </w:rPr>
            </w:pPr>
          </w:p>
        </w:tc>
      </w:tr>
      <w:tr w14:paraId="79AA77E1">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2B5186E8">
            <w:pPr>
              <w:spacing w:after="0" w:line="240" w:lineRule="auto"/>
              <w:ind w:firstLine="0" w:firstLineChars="0"/>
              <w:jc w:val="center"/>
              <w:rPr>
                <w:rFonts w:hint="default" w:ascii="宋体" w:hAnsi="宋体" w:cs="宋体"/>
                <w:b/>
                <w:bCs/>
                <w:color w:val="000000"/>
                <w:kern w:val="2"/>
                <w:sz w:val="20"/>
                <w:szCs w:val="20"/>
                <w:lang w:val="en-US" w:eastAsia="zh-CN" w:bidi="ar-SA"/>
              </w:rPr>
            </w:pPr>
            <w:r>
              <w:rPr>
                <w:rFonts w:hint="eastAsia" w:ascii="宋体" w:hAnsi="宋体" w:cs="宋体"/>
                <w:b/>
                <w:bCs/>
                <w:color w:val="000000"/>
                <w:sz w:val="20"/>
                <w:szCs w:val="20"/>
              </w:rPr>
              <w:t>5</w:t>
            </w:r>
          </w:p>
        </w:tc>
        <w:tc>
          <w:tcPr>
            <w:tcW w:w="1744" w:type="dxa"/>
            <w:tcBorders>
              <w:top w:val="nil"/>
              <w:left w:val="nil"/>
              <w:bottom w:val="single" w:color="auto" w:sz="4" w:space="0"/>
              <w:right w:val="single" w:color="auto" w:sz="4" w:space="0"/>
            </w:tcBorders>
            <w:noWrap w:val="0"/>
            <w:vAlign w:val="center"/>
          </w:tcPr>
          <w:p w14:paraId="5569EB99">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水厂视频监控及监测数据维护</w:t>
            </w:r>
          </w:p>
        </w:tc>
        <w:tc>
          <w:tcPr>
            <w:tcW w:w="3612" w:type="dxa"/>
            <w:tcBorders>
              <w:top w:val="nil"/>
              <w:left w:val="nil"/>
              <w:bottom w:val="single" w:color="auto" w:sz="4" w:space="0"/>
              <w:right w:val="single" w:color="auto" w:sz="4" w:space="0"/>
            </w:tcBorders>
            <w:noWrap/>
            <w:vAlign w:val="center"/>
          </w:tcPr>
          <w:p w14:paraId="0DA30DA7">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782E3E75">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1F22A7A2">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0"/>
            <w:vAlign w:val="center"/>
          </w:tcPr>
          <w:p w14:paraId="28F68554">
            <w:pPr>
              <w:spacing w:after="0" w:line="240" w:lineRule="auto"/>
              <w:ind w:firstLine="0" w:firstLineChars="0"/>
              <w:jc w:val="center"/>
              <w:rPr>
                <w:rFonts w:ascii="宋体" w:hAnsi="宋体" w:cs="宋体"/>
                <w:b/>
                <w:bCs/>
                <w:color w:val="auto"/>
                <w:sz w:val="20"/>
                <w:szCs w:val="20"/>
              </w:rPr>
            </w:pPr>
          </w:p>
        </w:tc>
      </w:tr>
      <w:tr w14:paraId="630861D5">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51FF903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5.1</w:t>
            </w:r>
          </w:p>
        </w:tc>
        <w:tc>
          <w:tcPr>
            <w:tcW w:w="1744" w:type="dxa"/>
            <w:tcBorders>
              <w:top w:val="nil"/>
              <w:left w:val="nil"/>
              <w:bottom w:val="single" w:color="auto" w:sz="4" w:space="0"/>
              <w:right w:val="single" w:color="auto" w:sz="4" w:space="0"/>
            </w:tcBorders>
            <w:noWrap w:val="0"/>
            <w:vAlign w:val="center"/>
          </w:tcPr>
          <w:p w14:paraId="11390BC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淖毛湖水厂视频监控</w:t>
            </w:r>
          </w:p>
        </w:tc>
        <w:tc>
          <w:tcPr>
            <w:tcW w:w="3612" w:type="dxa"/>
            <w:tcBorders>
              <w:top w:val="nil"/>
              <w:left w:val="nil"/>
              <w:bottom w:val="single" w:color="auto" w:sz="4" w:space="0"/>
              <w:right w:val="single" w:color="auto" w:sz="4" w:space="0"/>
            </w:tcBorders>
            <w:noWrap/>
            <w:vAlign w:val="center"/>
          </w:tcPr>
          <w:p w14:paraId="6A0A0AC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淖毛湖水厂15路视频正常上传至县局</w:t>
            </w:r>
          </w:p>
        </w:tc>
        <w:tc>
          <w:tcPr>
            <w:tcW w:w="738" w:type="dxa"/>
            <w:tcBorders>
              <w:top w:val="nil"/>
              <w:left w:val="nil"/>
              <w:bottom w:val="single" w:color="auto" w:sz="4" w:space="0"/>
              <w:right w:val="single" w:color="auto" w:sz="4" w:space="0"/>
            </w:tcBorders>
            <w:noWrap/>
            <w:vAlign w:val="center"/>
          </w:tcPr>
          <w:p w14:paraId="040DD21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D95A9E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1869ABA">
            <w:pPr>
              <w:spacing w:after="0" w:line="240" w:lineRule="auto"/>
              <w:ind w:firstLine="0" w:firstLineChars="0"/>
              <w:jc w:val="center"/>
              <w:rPr>
                <w:rFonts w:ascii="宋体" w:hAnsi="宋体" w:cs="宋体"/>
                <w:color w:val="auto"/>
                <w:sz w:val="20"/>
                <w:szCs w:val="20"/>
              </w:rPr>
            </w:pPr>
          </w:p>
        </w:tc>
      </w:tr>
      <w:tr w14:paraId="5892A587">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3C9F2AF9">
            <w:pPr>
              <w:spacing w:after="0" w:line="240" w:lineRule="auto"/>
              <w:ind w:firstLine="0" w:firstLineChars="0"/>
              <w:jc w:val="center"/>
              <w:rPr>
                <w:rFonts w:hint="default" w:ascii="宋体" w:hAnsi="宋体" w:cs="宋体"/>
                <w:color w:val="000000"/>
                <w:kern w:val="2"/>
                <w:sz w:val="20"/>
                <w:szCs w:val="20"/>
                <w:lang w:val="en-US" w:eastAsia="zh-CN" w:bidi="ar-SA"/>
              </w:rPr>
            </w:pPr>
            <w:r>
              <w:rPr>
                <w:rFonts w:hint="eastAsia" w:ascii="宋体" w:hAnsi="宋体" w:cs="宋体"/>
                <w:color w:val="000000"/>
                <w:sz w:val="20"/>
                <w:szCs w:val="20"/>
              </w:rPr>
              <w:t>5.2</w:t>
            </w:r>
          </w:p>
        </w:tc>
        <w:tc>
          <w:tcPr>
            <w:tcW w:w="1744" w:type="dxa"/>
            <w:tcBorders>
              <w:top w:val="nil"/>
              <w:left w:val="nil"/>
              <w:bottom w:val="single" w:color="auto" w:sz="4" w:space="0"/>
              <w:right w:val="single" w:color="auto" w:sz="4" w:space="0"/>
            </w:tcBorders>
            <w:noWrap w:val="0"/>
            <w:vAlign w:val="center"/>
          </w:tcPr>
          <w:p w14:paraId="70E37A0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盐池水厂视频监控</w:t>
            </w:r>
          </w:p>
        </w:tc>
        <w:tc>
          <w:tcPr>
            <w:tcW w:w="3612" w:type="dxa"/>
            <w:tcBorders>
              <w:top w:val="nil"/>
              <w:left w:val="nil"/>
              <w:bottom w:val="single" w:color="auto" w:sz="4" w:space="0"/>
              <w:right w:val="single" w:color="auto" w:sz="4" w:space="0"/>
            </w:tcBorders>
            <w:noWrap/>
            <w:vAlign w:val="center"/>
          </w:tcPr>
          <w:p w14:paraId="0D59BCD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盐池水厂视频正常上传至县局，需要更换硬盘录像机</w:t>
            </w:r>
          </w:p>
        </w:tc>
        <w:tc>
          <w:tcPr>
            <w:tcW w:w="738" w:type="dxa"/>
            <w:tcBorders>
              <w:top w:val="nil"/>
              <w:left w:val="nil"/>
              <w:bottom w:val="single" w:color="auto" w:sz="4" w:space="0"/>
              <w:right w:val="single" w:color="auto" w:sz="4" w:space="0"/>
            </w:tcBorders>
            <w:noWrap/>
            <w:vAlign w:val="center"/>
          </w:tcPr>
          <w:p w14:paraId="4B65720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22F401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19770D1C">
            <w:pPr>
              <w:spacing w:after="0" w:line="240" w:lineRule="auto"/>
              <w:ind w:firstLine="0" w:firstLineChars="0"/>
              <w:jc w:val="center"/>
              <w:rPr>
                <w:rFonts w:ascii="宋体" w:hAnsi="宋体" w:cs="宋体"/>
                <w:color w:val="auto"/>
                <w:sz w:val="20"/>
                <w:szCs w:val="20"/>
              </w:rPr>
            </w:pPr>
          </w:p>
        </w:tc>
      </w:tr>
      <w:tr w14:paraId="350EEE45">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572B854E">
            <w:pPr>
              <w:spacing w:after="0" w:line="240" w:lineRule="auto"/>
              <w:ind w:firstLine="0" w:firstLineChars="0"/>
              <w:jc w:val="center"/>
              <w:rPr>
                <w:rFonts w:hint="default" w:ascii="宋体" w:hAnsi="宋体" w:cs="宋体"/>
                <w:color w:val="000000"/>
                <w:kern w:val="2"/>
                <w:sz w:val="20"/>
                <w:szCs w:val="20"/>
                <w:lang w:val="en-US" w:eastAsia="zh-CN" w:bidi="ar-SA"/>
              </w:rPr>
            </w:pPr>
            <w:r>
              <w:rPr>
                <w:rFonts w:hint="eastAsia" w:ascii="宋体" w:hAnsi="宋体" w:cs="宋体"/>
                <w:color w:val="000000"/>
                <w:sz w:val="20"/>
                <w:szCs w:val="20"/>
              </w:rPr>
              <w:t>5.3</w:t>
            </w:r>
          </w:p>
        </w:tc>
        <w:tc>
          <w:tcPr>
            <w:tcW w:w="1744" w:type="dxa"/>
            <w:tcBorders>
              <w:top w:val="nil"/>
              <w:left w:val="nil"/>
              <w:bottom w:val="single" w:color="auto" w:sz="4" w:space="0"/>
              <w:right w:val="single" w:color="auto" w:sz="4" w:space="0"/>
            </w:tcBorders>
            <w:noWrap w:val="0"/>
            <w:vAlign w:val="center"/>
          </w:tcPr>
          <w:p w14:paraId="1BA0A95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前山水厂视频监控</w:t>
            </w:r>
          </w:p>
        </w:tc>
        <w:tc>
          <w:tcPr>
            <w:tcW w:w="3612" w:type="dxa"/>
            <w:tcBorders>
              <w:top w:val="nil"/>
              <w:left w:val="nil"/>
              <w:bottom w:val="single" w:color="auto" w:sz="4" w:space="0"/>
              <w:right w:val="single" w:color="auto" w:sz="4" w:space="0"/>
            </w:tcBorders>
            <w:noWrap/>
            <w:vAlign w:val="center"/>
          </w:tcPr>
          <w:p w14:paraId="06A74EC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前山水厂视频正常上传至县局，需要架设光缆1KM</w:t>
            </w:r>
          </w:p>
        </w:tc>
        <w:tc>
          <w:tcPr>
            <w:tcW w:w="738" w:type="dxa"/>
            <w:tcBorders>
              <w:top w:val="nil"/>
              <w:left w:val="nil"/>
              <w:bottom w:val="single" w:color="auto" w:sz="4" w:space="0"/>
              <w:right w:val="single" w:color="auto" w:sz="4" w:space="0"/>
            </w:tcBorders>
            <w:noWrap/>
            <w:vAlign w:val="center"/>
          </w:tcPr>
          <w:p w14:paraId="32BB933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1F5A4F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0"/>
            <w:vAlign w:val="center"/>
          </w:tcPr>
          <w:p w14:paraId="63A1F48F">
            <w:pPr>
              <w:spacing w:after="0" w:line="240" w:lineRule="auto"/>
              <w:ind w:firstLine="0" w:firstLineChars="0"/>
              <w:jc w:val="center"/>
              <w:rPr>
                <w:rFonts w:ascii="宋体" w:hAnsi="宋体" w:cs="宋体"/>
                <w:b/>
                <w:bCs/>
                <w:color w:val="auto"/>
                <w:sz w:val="20"/>
                <w:szCs w:val="20"/>
              </w:rPr>
            </w:pPr>
          </w:p>
        </w:tc>
      </w:tr>
      <w:tr w14:paraId="232E105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E3C675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5.4</w:t>
            </w:r>
          </w:p>
        </w:tc>
        <w:tc>
          <w:tcPr>
            <w:tcW w:w="1744" w:type="dxa"/>
            <w:tcBorders>
              <w:top w:val="nil"/>
              <w:left w:val="nil"/>
              <w:bottom w:val="single" w:color="auto" w:sz="4" w:space="0"/>
              <w:right w:val="single" w:color="auto" w:sz="4" w:space="0"/>
            </w:tcBorders>
            <w:noWrap w:val="0"/>
            <w:vAlign w:val="center"/>
          </w:tcPr>
          <w:p w14:paraId="6C3ABF7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淖毛湖水厂数据接入维护</w:t>
            </w:r>
          </w:p>
        </w:tc>
        <w:tc>
          <w:tcPr>
            <w:tcW w:w="3612" w:type="dxa"/>
            <w:tcBorders>
              <w:top w:val="nil"/>
              <w:left w:val="nil"/>
              <w:bottom w:val="single" w:color="auto" w:sz="4" w:space="0"/>
              <w:right w:val="single" w:color="auto" w:sz="4" w:space="0"/>
            </w:tcBorders>
            <w:noWrap/>
            <w:vAlign w:val="center"/>
          </w:tcPr>
          <w:p w14:paraId="25F26B1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淖毛湖水厂的监测数据上传至县局</w:t>
            </w:r>
          </w:p>
        </w:tc>
        <w:tc>
          <w:tcPr>
            <w:tcW w:w="738" w:type="dxa"/>
            <w:tcBorders>
              <w:top w:val="nil"/>
              <w:left w:val="nil"/>
              <w:bottom w:val="single" w:color="auto" w:sz="4" w:space="0"/>
              <w:right w:val="single" w:color="auto" w:sz="4" w:space="0"/>
            </w:tcBorders>
            <w:noWrap/>
            <w:vAlign w:val="center"/>
          </w:tcPr>
          <w:p w14:paraId="1677472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4DCB226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11F21F37">
            <w:pPr>
              <w:spacing w:after="0" w:line="240" w:lineRule="auto"/>
              <w:ind w:firstLine="0" w:firstLineChars="0"/>
              <w:jc w:val="center"/>
              <w:rPr>
                <w:rFonts w:ascii="宋体" w:hAnsi="宋体" w:cs="宋体"/>
                <w:color w:val="auto"/>
                <w:sz w:val="20"/>
                <w:szCs w:val="20"/>
              </w:rPr>
            </w:pPr>
          </w:p>
        </w:tc>
      </w:tr>
      <w:tr w14:paraId="52D6F81C">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DDBBF8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5.5</w:t>
            </w:r>
          </w:p>
        </w:tc>
        <w:tc>
          <w:tcPr>
            <w:tcW w:w="1744" w:type="dxa"/>
            <w:tcBorders>
              <w:top w:val="nil"/>
              <w:left w:val="nil"/>
              <w:bottom w:val="single" w:color="auto" w:sz="4" w:space="0"/>
              <w:right w:val="single" w:color="auto" w:sz="4" w:space="0"/>
            </w:tcBorders>
            <w:noWrap w:val="0"/>
            <w:vAlign w:val="center"/>
          </w:tcPr>
          <w:p w14:paraId="000713E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盐池水厂维护</w:t>
            </w:r>
          </w:p>
        </w:tc>
        <w:tc>
          <w:tcPr>
            <w:tcW w:w="3612" w:type="dxa"/>
            <w:tcBorders>
              <w:top w:val="nil"/>
              <w:left w:val="nil"/>
              <w:bottom w:val="single" w:color="auto" w:sz="4" w:space="0"/>
              <w:right w:val="single" w:color="auto" w:sz="4" w:space="0"/>
            </w:tcBorders>
            <w:noWrap/>
            <w:vAlign w:val="center"/>
          </w:tcPr>
          <w:p w14:paraId="6C9B5E4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盐池水厂的监测数据上传至县局</w:t>
            </w:r>
          </w:p>
        </w:tc>
        <w:tc>
          <w:tcPr>
            <w:tcW w:w="738" w:type="dxa"/>
            <w:tcBorders>
              <w:top w:val="nil"/>
              <w:left w:val="nil"/>
              <w:bottom w:val="single" w:color="auto" w:sz="4" w:space="0"/>
              <w:right w:val="single" w:color="auto" w:sz="4" w:space="0"/>
            </w:tcBorders>
            <w:noWrap/>
            <w:vAlign w:val="center"/>
          </w:tcPr>
          <w:p w14:paraId="3B6ED5D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6A8DEEE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72F8C17D">
            <w:pPr>
              <w:spacing w:after="0" w:line="240" w:lineRule="auto"/>
              <w:ind w:firstLine="0" w:firstLineChars="0"/>
              <w:jc w:val="center"/>
              <w:rPr>
                <w:rFonts w:ascii="宋体" w:hAnsi="宋体" w:cs="宋体"/>
                <w:color w:val="000000"/>
                <w:sz w:val="20"/>
                <w:szCs w:val="20"/>
              </w:rPr>
            </w:pPr>
          </w:p>
        </w:tc>
      </w:tr>
      <w:tr w14:paraId="47BDF5CA">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6DB45A5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5.6</w:t>
            </w:r>
          </w:p>
        </w:tc>
        <w:tc>
          <w:tcPr>
            <w:tcW w:w="1744" w:type="dxa"/>
            <w:tcBorders>
              <w:top w:val="nil"/>
              <w:left w:val="nil"/>
              <w:bottom w:val="single" w:color="auto" w:sz="4" w:space="0"/>
              <w:right w:val="single" w:color="auto" w:sz="4" w:space="0"/>
            </w:tcBorders>
            <w:noWrap w:val="0"/>
            <w:vAlign w:val="center"/>
          </w:tcPr>
          <w:p w14:paraId="547CCEE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前山水厂维护</w:t>
            </w:r>
          </w:p>
        </w:tc>
        <w:tc>
          <w:tcPr>
            <w:tcW w:w="3612" w:type="dxa"/>
            <w:tcBorders>
              <w:top w:val="nil"/>
              <w:left w:val="nil"/>
              <w:bottom w:val="single" w:color="auto" w:sz="4" w:space="0"/>
              <w:right w:val="single" w:color="auto" w:sz="4" w:space="0"/>
            </w:tcBorders>
            <w:noWrap w:val="0"/>
            <w:vAlign w:val="center"/>
          </w:tcPr>
          <w:p w14:paraId="46049E0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前山水厂的监测数据上传至县局</w:t>
            </w:r>
          </w:p>
        </w:tc>
        <w:tc>
          <w:tcPr>
            <w:tcW w:w="738" w:type="dxa"/>
            <w:tcBorders>
              <w:top w:val="nil"/>
              <w:left w:val="nil"/>
              <w:bottom w:val="single" w:color="auto" w:sz="4" w:space="0"/>
              <w:right w:val="single" w:color="auto" w:sz="4" w:space="0"/>
            </w:tcBorders>
            <w:noWrap/>
            <w:vAlign w:val="center"/>
          </w:tcPr>
          <w:p w14:paraId="2B29C76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A075C9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32FDC17D">
            <w:pPr>
              <w:spacing w:after="0" w:line="240" w:lineRule="auto"/>
              <w:ind w:firstLine="0" w:firstLineChars="0"/>
              <w:jc w:val="center"/>
              <w:rPr>
                <w:rFonts w:ascii="宋体" w:hAnsi="宋体" w:cs="宋体"/>
                <w:b/>
                <w:bCs/>
                <w:color w:val="000000"/>
                <w:sz w:val="20"/>
                <w:szCs w:val="20"/>
              </w:rPr>
            </w:pPr>
          </w:p>
        </w:tc>
      </w:tr>
      <w:tr w14:paraId="24B523D2">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2BB3D787">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6</w:t>
            </w:r>
          </w:p>
        </w:tc>
        <w:tc>
          <w:tcPr>
            <w:tcW w:w="1744" w:type="dxa"/>
            <w:tcBorders>
              <w:top w:val="nil"/>
              <w:left w:val="nil"/>
              <w:bottom w:val="single" w:color="auto" w:sz="4" w:space="0"/>
              <w:right w:val="single" w:color="auto" w:sz="4" w:space="0"/>
            </w:tcBorders>
            <w:noWrap w:val="0"/>
            <w:vAlign w:val="center"/>
          </w:tcPr>
          <w:p w14:paraId="74430AFF">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地表水监测系统</w:t>
            </w:r>
          </w:p>
        </w:tc>
        <w:tc>
          <w:tcPr>
            <w:tcW w:w="3612" w:type="dxa"/>
            <w:tcBorders>
              <w:top w:val="nil"/>
              <w:left w:val="nil"/>
              <w:bottom w:val="single" w:color="auto" w:sz="4" w:space="0"/>
              <w:right w:val="single" w:color="auto" w:sz="4" w:space="0"/>
            </w:tcBorders>
            <w:noWrap/>
            <w:vAlign w:val="center"/>
          </w:tcPr>
          <w:p w14:paraId="6633A2E8">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395792E5">
            <w:pPr>
              <w:spacing w:after="0" w:line="240" w:lineRule="auto"/>
              <w:ind w:firstLine="0" w:firstLineChars="0"/>
              <w:jc w:val="center"/>
              <w:rPr>
                <w:rFonts w:ascii="宋体" w:hAnsi="宋体" w:cs="宋体"/>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2390598E">
            <w:pPr>
              <w:spacing w:after="0" w:line="240" w:lineRule="auto"/>
              <w:ind w:firstLine="0" w:firstLineChars="0"/>
              <w:jc w:val="center"/>
              <w:rPr>
                <w:rFonts w:ascii="宋体" w:hAnsi="宋体" w:cs="宋体"/>
                <w:color w:val="000000"/>
                <w:kern w:val="2"/>
                <w:sz w:val="20"/>
                <w:szCs w:val="20"/>
                <w:lang w:val="en-US" w:eastAsia="zh-CN" w:bidi="ar-SA"/>
              </w:rPr>
            </w:pPr>
          </w:p>
        </w:tc>
        <w:tc>
          <w:tcPr>
            <w:tcW w:w="1639" w:type="dxa"/>
            <w:tcBorders>
              <w:top w:val="nil"/>
              <w:left w:val="nil"/>
              <w:bottom w:val="single" w:color="auto" w:sz="4" w:space="0"/>
              <w:right w:val="single" w:color="auto" w:sz="4" w:space="0"/>
            </w:tcBorders>
            <w:noWrap/>
            <w:vAlign w:val="center"/>
          </w:tcPr>
          <w:p w14:paraId="1707ED90">
            <w:pPr>
              <w:spacing w:after="0" w:line="240" w:lineRule="auto"/>
              <w:ind w:firstLine="0" w:firstLineChars="0"/>
              <w:jc w:val="center"/>
              <w:rPr>
                <w:rFonts w:ascii="宋体" w:hAnsi="宋体" w:cs="宋体"/>
                <w:b/>
                <w:bCs/>
                <w:color w:val="000000"/>
                <w:sz w:val="20"/>
                <w:szCs w:val="20"/>
              </w:rPr>
            </w:pPr>
          </w:p>
        </w:tc>
      </w:tr>
      <w:tr w14:paraId="35F1EC17">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7AF9C24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6.1</w:t>
            </w:r>
          </w:p>
        </w:tc>
        <w:tc>
          <w:tcPr>
            <w:tcW w:w="1744" w:type="dxa"/>
            <w:tcBorders>
              <w:top w:val="nil"/>
              <w:left w:val="nil"/>
              <w:bottom w:val="single" w:color="auto" w:sz="4" w:space="0"/>
              <w:right w:val="single" w:color="auto" w:sz="4" w:space="0"/>
            </w:tcBorders>
            <w:noWrap w:val="0"/>
            <w:vAlign w:val="center"/>
          </w:tcPr>
          <w:p w14:paraId="1A1CF49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地表水测站维护</w:t>
            </w:r>
          </w:p>
        </w:tc>
        <w:tc>
          <w:tcPr>
            <w:tcW w:w="3612" w:type="dxa"/>
            <w:tcBorders>
              <w:top w:val="nil"/>
              <w:left w:val="nil"/>
              <w:bottom w:val="single" w:color="auto" w:sz="4" w:space="0"/>
              <w:right w:val="single" w:color="auto" w:sz="4" w:space="0"/>
            </w:tcBorders>
            <w:noWrap/>
            <w:vAlign w:val="center"/>
          </w:tcPr>
          <w:p w14:paraId="7DC6FCC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包括测站的RTU 供电系统，以及测流雷达流量计</w:t>
            </w:r>
          </w:p>
        </w:tc>
        <w:tc>
          <w:tcPr>
            <w:tcW w:w="738" w:type="dxa"/>
            <w:tcBorders>
              <w:top w:val="nil"/>
              <w:left w:val="nil"/>
              <w:bottom w:val="single" w:color="auto" w:sz="4" w:space="0"/>
              <w:right w:val="single" w:color="auto" w:sz="4" w:space="0"/>
            </w:tcBorders>
            <w:noWrap/>
            <w:vAlign w:val="center"/>
          </w:tcPr>
          <w:p w14:paraId="4E19366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BA1382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56</w:t>
            </w:r>
          </w:p>
        </w:tc>
        <w:tc>
          <w:tcPr>
            <w:tcW w:w="1639" w:type="dxa"/>
            <w:tcBorders>
              <w:top w:val="nil"/>
              <w:left w:val="nil"/>
              <w:bottom w:val="single" w:color="auto" w:sz="4" w:space="0"/>
              <w:right w:val="single" w:color="auto" w:sz="4" w:space="0"/>
            </w:tcBorders>
            <w:noWrap/>
            <w:vAlign w:val="center"/>
          </w:tcPr>
          <w:p w14:paraId="444DCC4B">
            <w:pPr>
              <w:spacing w:after="0" w:line="240" w:lineRule="auto"/>
              <w:ind w:firstLine="0" w:firstLineChars="0"/>
              <w:jc w:val="center"/>
              <w:rPr>
                <w:rFonts w:ascii="宋体" w:hAnsi="宋体" w:cs="宋体"/>
                <w:color w:val="000000"/>
                <w:sz w:val="20"/>
                <w:szCs w:val="20"/>
              </w:rPr>
            </w:pPr>
          </w:p>
        </w:tc>
      </w:tr>
      <w:tr w14:paraId="156FD5B8">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5913208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6.2</w:t>
            </w:r>
          </w:p>
        </w:tc>
        <w:tc>
          <w:tcPr>
            <w:tcW w:w="1744" w:type="dxa"/>
            <w:tcBorders>
              <w:top w:val="nil"/>
              <w:left w:val="nil"/>
              <w:bottom w:val="single" w:color="auto" w:sz="4" w:space="0"/>
              <w:right w:val="single" w:color="auto" w:sz="4" w:space="0"/>
            </w:tcBorders>
            <w:noWrap w:val="0"/>
            <w:vAlign w:val="center"/>
          </w:tcPr>
          <w:p w14:paraId="7A7C022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地表水系统维护</w:t>
            </w:r>
          </w:p>
        </w:tc>
        <w:tc>
          <w:tcPr>
            <w:tcW w:w="3612" w:type="dxa"/>
            <w:tcBorders>
              <w:top w:val="nil"/>
              <w:left w:val="nil"/>
              <w:bottom w:val="single" w:color="auto" w:sz="4" w:space="0"/>
              <w:right w:val="single" w:color="auto" w:sz="4" w:space="0"/>
            </w:tcBorders>
            <w:noWrap/>
            <w:vAlign w:val="center"/>
          </w:tcPr>
          <w:p w14:paraId="4F390556">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0747093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31C05D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639" w:type="dxa"/>
            <w:tcBorders>
              <w:top w:val="nil"/>
              <w:left w:val="nil"/>
              <w:bottom w:val="single" w:color="auto" w:sz="4" w:space="0"/>
              <w:right w:val="single" w:color="auto" w:sz="4" w:space="0"/>
            </w:tcBorders>
            <w:noWrap/>
            <w:vAlign w:val="center"/>
          </w:tcPr>
          <w:p w14:paraId="7B016A12">
            <w:pPr>
              <w:spacing w:after="0" w:line="240" w:lineRule="auto"/>
              <w:ind w:firstLine="0" w:firstLineChars="0"/>
              <w:jc w:val="center"/>
              <w:rPr>
                <w:rFonts w:ascii="宋体" w:hAnsi="宋体" w:cs="宋体"/>
                <w:color w:val="000000"/>
                <w:sz w:val="20"/>
                <w:szCs w:val="20"/>
              </w:rPr>
            </w:pPr>
          </w:p>
        </w:tc>
      </w:tr>
    </w:tbl>
    <w:p w14:paraId="33C4746A">
      <w:pPr>
        <w:pStyle w:val="95"/>
        <w:adjustRightInd w:val="0"/>
        <w:snapToGrid w:val="0"/>
        <w:spacing w:line="336" w:lineRule="auto"/>
        <w:rPr>
          <w:rFonts w:hint="eastAsia" w:ascii="宋体" w:hAnsi="宋体" w:eastAsia="宋体" w:cs="宋体"/>
          <w:bCs/>
          <w:sz w:val="24"/>
        </w:rPr>
      </w:pPr>
      <w:r>
        <w:rPr>
          <w:rFonts w:hint="eastAsia" w:ascii="宋体" w:hAnsi="宋体" w:eastAsia="宋体" w:cs="宋体"/>
          <w:b/>
          <w:sz w:val="24"/>
        </w:rPr>
        <w:t>一、项目目标</w:t>
      </w:r>
    </w:p>
    <w:p w14:paraId="2C7CE3AC">
      <w:pPr>
        <w:ind w:firstLine="480"/>
        <w:rPr>
          <w:rFonts w:hint="eastAsia" w:ascii="宋体" w:hAnsi="宋体" w:cs="宋体"/>
          <w:sz w:val="24"/>
          <w:szCs w:val="28"/>
        </w:rPr>
      </w:pPr>
      <w:r>
        <w:rPr>
          <w:rFonts w:hint="eastAsia" w:ascii="宋体" w:hAnsi="宋体" w:cs="宋体"/>
          <w:sz w:val="24"/>
          <w:szCs w:val="28"/>
        </w:rPr>
        <w:t>结合伊吾县水利信息化项目业务工作及信息化建设实际，完善运行维护管理体系的建设，加强信息系统正常运行保障，“以流程为导向，以服务为核心”提高服务质量水平、转变服务理念、拓宽服务范围、提高服务效率、提升用户服务满意度。确保水利信息化现场的设备运行正常，数据上报完整，为水利信息建设提供有力完善的数据保证，进一步推进水利改革，确保民生水利的安全运行。</w:t>
      </w:r>
    </w:p>
    <w:p w14:paraId="1C0687C7">
      <w:pPr>
        <w:ind w:firstLine="480"/>
        <w:rPr>
          <w:rFonts w:hint="eastAsia" w:ascii="宋体" w:hAnsi="宋体" w:cs="宋体"/>
          <w:sz w:val="24"/>
          <w:szCs w:val="28"/>
        </w:rPr>
      </w:pPr>
      <w:r>
        <w:rPr>
          <w:rFonts w:hint="eastAsia" w:ascii="宋体" w:hAnsi="宋体" w:cs="宋体"/>
          <w:sz w:val="24"/>
          <w:szCs w:val="28"/>
        </w:rPr>
        <w:t>1）、确保本次运维范围内所有硬件设备能够正常的采集数据，还要确保数据的准确性。设备能够及时的把采集数据传输到采集平台。</w:t>
      </w:r>
    </w:p>
    <w:p w14:paraId="77D6AB6B">
      <w:pPr>
        <w:ind w:firstLine="480"/>
        <w:rPr>
          <w:rFonts w:hint="eastAsia" w:ascii="宋体" w:hAnsi="宋体" w:cs="宋体"/>
          <w:sz w:val="24"/>
          <w:szCs w:val="28"/>
        </w:rPr>
      </w:pPr>
      <w:r>
        <w:rPr>
          <w:rFonts w:hint="eastAsia" w:ascii="宋体" w:hAnsi="宋体" w:cs="宋体"/>
          <w:sz w:val="24"/>
          <w:szCs w:val="28"/>
        </w:rPr>
        <w:t>2）、确保本次运维范围内系统的正常运行。山洪预警系统实现数据的采集以及预警系统整合，降雨量大于阀值时，能够及时发布报警信息。地下水监控系统数据上报及时确定上报率达到100%。</w:t>
      </w:r>
    </w:p>
    <w:p w14:paraId="4104AA2B">
      <w:pPr>
        <w:ind w:firstLine="480"/>
        <w:rPr>
          <w:rFonts w:hint="eastAsia" w:ascii="宋体" w:hAnsi="宋体" w:cs="宋体"/>
          <w:sz w:val="24"/>
          <w:szCs w:val="28"/>
        </w:rPr>
      </w:pPr>
      <w:r>
        <w:rPr>
          <w:rFonts w:hint="eastAsia" w:ascii="宋体" w:hAnsi="宋体" w:cs="宋体"/>
          <w:sz w:val="24"/>
          <w:szCs w:val="28"/>
        </w:rPr>
        <w:t>3）、确保本次运维范围内核心业务系统平台的正常运行。山洪预警的平台要根据降雨量及时发布报警信息，同时统计年降雨量月降雨量。地下水监测平台也要实现水位监测阀值，超过阀值也要做相应的报警，并实现报表统计。地表渠系监测平台监控渠系的水位值，同时设置阀值做相应的报警，并实现数据报表统计。土壤墒情监测平台实现土壤数据的及时统计及报表，从而指导农业精准化灌溉及施肥。视频监控平台，实时监控各个水利设施正常运行，确保故障率小于1%。</w:t>
      </w:r>
    </w:p>
    <w:p w14:paraId="39C66E57">
      <w:pPr>
        <w:ind w:firstLine="480"/>
        <w:outlineLvl w:val="9"/>
        <w:rPr>
          <w:rFonts w:hint="eastAsia" w:ascii="宋体" w:hAnsi="宋体" w:eastAsia="宋体" w:cs="宋体"/>
          <w:sz w:val="24"/>
          <w:szCs w:val="28"/>
        </w:rPr>
      </w:pPr>
      <w:bookmarkStart w:id="484" w:name="_Toc13857"/>
      <w:bookmarkStart w:id="485" w:name="_Toc22114"/>
      <w:r>
        <w:rPr>
          <w:rFonts w:hint="eastAsia" w:ascii="宋体" w:hAnsi="宋体" w:eastAsia="宋体" w:cs="宋体"/>
          <w:sz w:val="24"/>
          <w:szCs w:val="28"/>
        </w:rPr>
        <w:t>4）、及时提供系统必要的升级。</w:t>
      </w:r>
      <w:bookmarkEnd w:id="484"/>
      <w:bookmarkEnd w:id="485"/>
    </w:p>
    <w:p w14:paraId="282166FD">
      <w:pPr>
        <w:ind w:firstLine="480"/>
        <w:rPr>
          <w:rFonts w:hint="eastAsia" w:ascii="宋体" w:hAnsi="宋体" w:cs="宋体"/>
          <w:sz w:val="24"/>
          <w:szCs w:val="28"/>
        </w:rPr>
      </w:pPr>
      <w:r>
        <w:rPr>
          <w:rFonts w:hint="eastAsia" w:ascii="宋体" w:hAnsi="宋体" w:cs="宋体"/>
          <w:sz w:val="24"/>
          <w:szCs w:val="28"/>
        </w:rPr>
        <w:t>5）、协助用户建立运维服务范围内的所有硬件设备各种故障的恢复流程及应急措施。建立运行维护仓库，并做好备品备件的统计，确保备品备件率达到100%，以便在发生故障时能够及时更换右问题设备。</w:t>
      </w:r>
    </w:p>
    <w:p w14:paraId="64BAC2CC">
      <w:pPr>
        <w:ind w:firstLine="480"/>
        <w:rPr>
          <w:rFonts w:hint="eastAsia" w:ascii="宋体" w:hAnsi="宋体" w:cs="宋体"/>
          <w:sz w:val="24"/>
          <w:szCs w:val="28"/>
        </w:rPr>
      </w:pPr>
      <w:r>
        <w:rPr>
          <w:rFonts w:hint="eastAsia" w:ascii="宋体" w:hAnsi="宋体" w:cs="宋体"/>
          <w:sz w:val="24"/>
          <w:szCs w:val="28"/>
        </w:rPr>
        <w:t>6）、提供特殊时段（如：春节、劳动节、国庆节、年终、系统停机维护、数据集中及用户认为必须的重要时段），以及产品安装和客户化、系统变更和迁移等的现场支持服务。运维羡慕部实行轮流倒班制度，确保在节假日及时提供保障服务。</w:t>
      </w:r>
    </w:p>
    <w:p w14:paraId="54E22D14">
      <w:pPr>
        <w:spacing w:line="360" w:lineRule="auto"/>
        <w:rPr>
          <w:rFonts w:hint="eastAsia" w:ascii="宋体" w:hAnsi="宋体" w:eastAsia="宋体" w:cs="宋体"/>
          <w:bCs/>
          <w:sz w:val="24"/>
        </w:rPr>
      </w:pPr>
      <w:r>
        <w:rPr>
          <w:rFonts w:hint="eastAsia" w:ascii="宋体" w:hAnsi="宋体" w:eastAsia="宋体" w:cs="宋体"/>
          <w:b/>
          <w:sz w:val="24"/>
        </w:rPr>
        <w:t>二、服务流程的要求</w:t>
      </w:r>
    </w:p>
    <w:p w14:paraId="4791EAB4">
      <w:pPr>
        <w:ind w:firstLine="480"/>
        <w:rPr>
          <w:rFonts w:hint="eastAsia" w:ascii="宋体" w:hAnsi="宋体" w:cs="宋体"/>
          <w:sz w:val="24"/>
          <w:szCs w:val="28"/>
        </w:rPr>
      </w:pPr>
      <w:r>
        <w:rPr>
          <w:rFonts w:hint="eastAsia" w:ascii="宋体" w:hAnsi="宋体" w:cs="宋体"/>
          <w:sz w:val="24"/>
          <w:szCs w:val="28"/>
        </w:rPr>
        <w:t>伊吾县水利局信息化项目运维服务需求主要体现在管理和服务两个方面。</w:t>
      </w:r>
    </w:p>
    <w:p w14:paraId="4205A10B">
      <w:pPr>
        <w:ind w:firstLine="480"/>
        <w:rPr>
          <w:rFonts w:hint="eastAsia" w:ascii="宋体" w:hAnsi="宋体" w:cs="宋体"/>
          <w:sz w:val="24"/>
          <w:szCs w:val="28"/>
        </w:rPr>
      </w:pPr>
      <w:r>
        <w:rPr>
          <w:rFonts w:hint="eastAsia" w:ascii="宋体" w:hAnsi="宋体" w:cs="宋体"/>
          <w:sz w:val="24"/>
          <w:szCs w:val="28"/>
        </w:rPr>
        <w:t>管理需求：将伊吾县水利局信息化项目中的系统和设备纳入运维服务管理体系</w:t>
      </w:r>
    </w:p>
    <w:p w14:paraId="3AE2837F">
      <w:pPr>
        <w:ind w:firstLine="480"/>
        <w:rPr>
          <w:rFonts w:ascii="仿宋" w:hAnsi="仿宋" w:eastAsia="仿宋"/>
          <w:bCs/>
          <w:sz w:val="32"/>
          <w:szCs w:val="28"/>
        </w:rPr>
      </w:pPr>
      <w:r>
        <w:rPr>
          <w:rFonts w:hint="eastAsia" w:ascii="宋体" w:hAnsi="宋体" w:cs="宋体"/>
          <w:sz w:val="24"/>
          <w:szCs w:val="28"/>
        </w:rPr>
        <w:t>服务需求：对伊吾县水利局信息化项目中的系统和设备的运行状态进行监控，对系统和设备进行定期或不定期的巡检，提供系统和设备的维护和升级服务。</w:t>
      </w:r>
    </w:p>
    <w:p w14:paraId="42B42974">
      <w:pPr>
        <w:numPr>
          <w:ilvl w:val="0"/>
          <w:numId w:val="2"/>
        </w:numPr>
        <w:spacing w:line="360" w:lineRule="auto"/>
        <w:ind w:left="510" w:leftChars="0" w:hanging="510" w:firstLineChars="0"/>
        <w:rPr>
          <w:rFonts w:hint="eastAsia" w:ascii="宋体" w:hAnsi="宋体" w:eastAsia="宋体" w:cs="宋体"/>
          <w:b/>
          <w:sz w:val="24"/>
        </w:rPr>
      </w:pPr>
      <w:r>
        <w:rPr>
          <w:rFonts w:hint="eastAsia" w:ascii="宋体" w:hAnsi="宋体" w:eastAsia="宋体" w:cs="宋体"/>
          <w:b/>
          <w:sz w:val="24"/>
        </w:rPr>
        <w:t>工作内容理解</w:t>
      </w:r>
      <w:bookmarkEnd w:id="483"/>
      <w:bookmarkStart w:id="486" w:name="_Toc17398"/>
      <w:bookmarkStart w:id="487" w:name="_Toc23104"/>
      <w:bookmarkStart w:id="488" w:name="_Toc37660784"/>
      <w:bookmarkStart w:id="489" w:name="_Toc13128"/>
      <w:bookmarkStart w:id="490" w:name="_Toc529952602"/>
      <w:bookmarkStart w:id="491" w:name="_Toc16170"/>
      <w:bookmarkStart w:id="492" w:name="_Toc8374"/>
    </w:p>
    <w:p w14:paraId="4913C3DA">
      <w:pPr>
        <w:numPr>
          <w:ilvl w:val="0"/>
          <w:numId w:val="0"/>
        </w:numPr>
        <w:spacing w:line="360" w:lineRule="auto"/>
        <w:ind w:leftChars="0"/>
        <w:rPr>
          <w:rFonts w:hint="eastAsia" w:ascii="宋体" w:hAnsi="宋体" w:cs="宋体"/>
          <w:sz w:val="24"/>
          <w:szCs w:val="28"/>
        </w:rPr>
      </w:pPr>
      <w:r>
        <w:rPr>
          <w:rFonts w:hint="eastAsia" w:ascii="宋体" w:hAnsi="宋体" w:cs="宋体"/>
          <w:sz w:val="24"/>
          <w:szCs w:val="28"/>
          <w:lang w:val="en-US" w:eastAsia="zh-CN"/>
        </w:rPr>
        <w:t>1、</w:t>
      </w:r>
      <w:r>
        <w:rPr>
          <w:rFonts w:hint="eastAsia" w:ascii="宋体" w:hAnsi="宋体" w:cs="宋体"/>
          <w:sz w:val="24"/>
          <w:szCs w:val="28"/>
        </w:rPr>
        <w:t>运行维护对象</w:t>
      </w:r>
      <w:bookmarkEnd w:id="486"/>
      <w:bookmarkEnd w:id="487"/>
      <w:bookmarkEnd w:id="488"/>
      <w:bookmarkEnd w:id="489"/>
    </w:p>
    <w:p w14:paraId="2318C234">
      <w:pPr>
        <w:ind w:firstLine="480"/>
        <w:rPr>
          <w:rFonts w:hint="eastAsia" w:ascii="宋体" w:hAnsi="宋体" w:cs="宋体"/>
          <w:sz w:val="24"/>
          <w:szCs w:val="28"/>
        </w:rPr>
      </w:pPr>
      <w:r>
        <w:rPr>
          <w:rFonts w:hint="eastAsia" w:ascii="宋体" w:hAnsi="宋体" w:cs="宋体"/>
          <w:sz w:val="24"/>
          <w:szCs w:val="28"/>
        </w:rPr>
        <w:t>运行维护活动应完成下列各类基础设施的维护工作：</w:t>
      </w:r>
    </w:p>
    <w:p w14:paraId="1F9F6F1B">
      <w:pPr>
        <w:ind w:firstLine="480"/>
        <w:rPr>
          <w:rFonts w:hint="eastAsia" w:ascii="宋体" w:hAnsi="宋体" w:cs="宋体"/>
          <w:sz w:val="24"/>
          <w:szCs w:val="28"/>
        </w:rPr>
      </w:pPr>
      <w:r>
        <w:rPr>
          <w:rFonts w:hint="eastAsia" w:ascii="宋体" w:hAnsi="宋体" w:cs="宋体"/>
          <w:sz w:val="24"/>
          <w:szCs w:val="28"/>
        </w:rPr>
        <w:t>物理环境：水利信息化系统运行的机房环境和机房辅助设施，主要包括机房、空调、UPS、供电系统、消防、门禁、环境监控、中心调度室等。</w:t>
      </w:r>
    </w:p>
    <w:p w14:paraId="5037FF24">
      <w:pPr>
        <w:ind w:firstLine="480"/>
        <w:rPr>
          <w:rFonts w:hint="eastAsia" w:ascii="宋体" w:hAnsi="宋体" w:cs="宋体"/>
          <w:sz w:val="24"/>
          <w:szCs w:val="28"/>
        </w:rPr>
      </w:pPr>
      <w:r>
        <w:rPr>
          <w:rFonts w:hint="eastAsia" w:ascii="宋体" w:hAnsi="宋体" w:cs="宋体"/>
          <w:sz w:val="24"/>
          <w:szCs w:val="28"/>
        </w:rPr>
        <w:t>信息采集设施：收集、传输和处理水情、雨情、工情、旱情等各种水利信息的设施，主要包括各类传感器、传输设备和接收处理设备。</w:t>
      </w:r>
    </w:p>
    <w:p w14:paraId="5E07F023">
      <w:pPr>
        <w:ind w:firstLine="480"/>
        <w:rPr>
          <w:rFonts w:hint="eastAsia" w:ascii="宋体" w:hAnsi="宋体" w:cs="宋体"/>
          <w:sz w:val="24"/>
          <w:szCs w:val="28"/>
        </w:rPr>
      </w:pPr>
      <w:r>
        <w:rPr>
          <w:rFonts w:hint="eastAsia" w:ascii="宋体" w:hAnsi="宋体" w:cs="宋体"/>
          <w:sz w:val="24"/>
          <w:szCs w:val="28"/>
        </w:rPr>
        <w:t>通信系统：信息传输的通信设备及附属设施，主要包括GPRS传输设备、光纤传输设备、交换机、路由器等。</w:t>
      </w:r>
    </w:p>
    <w:p w14:paraId="737B8E50">
      <w:pPr>
        <w:ind w:firstLine="480"/>
        <w:rPr>
          <w:rFonts w:hint="eastAsia" w:ascii="宋体" w:hAnsi="宋体" w:eastAsia="宋体" w:cs="宋体"/>
          <w:sz w:val="24"/>
          <w:szCs w:val="28"/>
          <w:lang w:eastAsia="zh-CN"/>
        </w:rPr>
      </w:pPr>
      <w:r>
        <w:rPr>
          <w:rFonts w:hint="eastAsia" w:ascii="宋体" w:hAnsi="宋体" w:cs="宋体"/>
          <w:sz w:val="24"/>
          <w:szCs w:val="28"/>
        </w:rPr>
        <w:t>主机：各类服务器及用户终端，主要包括小型计算机、服务器、台式机、笔记本等</w:t>
      </w:r>
      <w:r>
        <w:rPr>
          <w:rFonts w:hint="eastAsia" w:ascii="宋体" w:hAnsi="宋体" w:cs="宋体"/>
          <w:sz w:val="24"/>
          <w:szCs w:val="28"/>
          <w:lang w:eastAsia="zh-CN"/>
        </w:rPr>
        <w:t>。</w:t>
      </w:r>
    </w:p>
    <w:p w14:paraId="4F214E65">
      <w:pPr>
        <w:ind w:firstLine="480"/>
        <w:rPr>
          <w:rFonts w:hint="eastAsia" w:ascii="宋体" w:hAnsi="宋体" w:cs="宋体"/>
          <w:sz w:val="24"/>
          <w:szCs w:val="28"/>
        </w:rPr>
      </w:pPr>
      <w:r>
        <w:rPr>
          <w:rFonts w:hint="eastAsia" w:ascii="宋体" w:hAnsi="宋体" w:cs="宋体"/>
          <w:sz w:val="24"/>
          <w:szCs w:val="28"/>
        </w:rPr>
        <w:t>存储备份：存储备份水利信息系统的各类硬件设备及管理软件，主要包括存储网络设备硬件设备及存储管理系统备份管理系统等管理软件。</w:t>
      </w:r>
    </w:p>
    <w:p w14:paraId="510AF15E">
      <w:pPr>
        <w:ind w:firstLine="480"/>
        <w:rPr>
          <w:rFonts w:hint="eastAsia" w:ascii="宋体" w:hAnsi="宋体" w:cs="宋体"/>
          <w:sz w:val="24"/>
          <w:szCs w:val="28"/>
        </w:rPr>
      </w:pPr>
      <w:r>
        <w:rPr>
          <w:rFonts w:hint="eastAsia" w:ascii="宋体" w:hAnsi="宋体" w:cs="宋体"/>
          <w:sz w:val="24"/>
          <w:szCs w:val="28"/>
        </w:rPr>
        <w:t>基础软件：支持水利信息系统的各类业务应用运行的支撑软件，主要包括数据库管理软件，数据采集软件、平台软件等。</w:t>
      </w:r>
    </w:p>
    <w:p w14:paraId="0B821604">
      <w:pPr>
        <w:ind w:firstLine="480"/>
        <w:rPr>
          <w:rFonts w:hint="eastAsia" w:ascii="宋体" w:hAnsi="宋体" w:cs="宋体"/>
          <w:sz w:val="24"/>
          <w:szCs w:val="28"/>
        </w:rPr>
      </w:pPr>
      <w:r>
        <w:rPr>
          <w:rFonts w:hint="eastAsia" w:ascii="宋体" w:hAnsi="宋体" w:cs="宋体"/>
          <w:sz w:val="24"/>
          <w:szCs w:val="28"/>
        </w:rPr>
        <w:t>数据资源：水利信息系统运行所需的数据 ，主要包括文本、图片、音视频等通用数据及水文水资源等专用数据。</w:t>
      </w:r>
    </w:p>
    <w:p w14:paraId="0FD24EB2">
      <w:pPr>
        <w:ind w:firstLine="480"/>
        <w:rPr>
          <w:rFonts w:hint="eastAsia" w:ascii="宋体" w:hAnsi="宋体" w:cs="宋体"/>
          <w:sz w:val="24"/>
          <w:szCs w:val="28"/>
        </w:rPr>
      </w:pPr>
      <w:r>
        <w:rPr>
          <w:rFonts w:hint="eastAsia" w:ascii="宋体" w:hAnsi="宋体" w:cs="宋体"/>
          <w:sz w:val="24"/>
          <w:szCs w:val="28"/>
        </w:rPr>
        <w:t>安全设施：水利信息系统安全防护的硬件设备及软件系统，主要包括安全防控设备、安全监测设备，用户认证软件等。</w:t>
      </w:r>
      <w:bookmarkStart w:id="493" w:name="_Toc30199"/>
      <w:bookmarkStart w:id="494" w:name="_Toc37660785"/>
      <w:bookmarkStart w:id="495" w:name="_Toc2816"/>
      <w:bookmarkStart w:id="496" w:name="_Toc18279"/>
    </w:p>
    <w:p w14:paraId="407132A0">
      <w:pPr>
        <w:numPr>
          <w:ilvl w:val="0"/>
          <w:numId w:val="4"/>
        </w:numPr>
        <w:ind w:left="0" w:leftChars="0" w:firstLine="0" w:firstLineChars="0"/>
        <w:rPr>
          <w:rFonts w:hint="eastAsia" w:ascii="宋体" w:hAnsi="宋体" w:cs="宋体"/>
          <w:sz w:val="24"/>
          <w:szCs w:val="24"/>
        </w:rPr>
      </w:pPr>
      <w:r>
        <w:rPr>
          <w:rFonts w:hint="eastAsia" w:ascii="宋体" w:hAnsi="宋体" w:cs="宋体"/>
          <w:sz w:val="24"/>
          <w:szCs w:val="24"/>
        </w:rPr>
        <w:t>维护工作分类</w:t>
      </w:r>
      <w:bookmarkEnd w:id="493"/>
      <w:bookmarkEnd w:id="494"/>
      <w:bookmarkEnd w:id="495"/>
      <w:bookmarkEnd w:id="496"/>
      <w:bookmarkStart w:id="497" w:name="_Toc29755"/>
      <w:bookmarkStart w:id="498" w:name="_Toc27004"/>
      <w:bookmarkStart w:id="499" w:name="_Toc12738"/>
    </w:p>
    <w:p w14:paraId="6F9DA75C">
      <w:pPr>
        <w:numPr>
          <w:ilvl w:val="0"/>
          <w:numId w:val="0"/>
        </w:numPr>
        <w:ind w:leftChars="0" w:firstLine="480" w:firstLineChars="200"/>
        <w:rPr>
          <w:rFonts w:hint="eastAsia" w:ascii="宋体" w:hAnsi="宋体" w:cs="宋体"/>
          <w:sz w:val="24"/>
          <w:szCs w:val="24"/>
        </w:rPr>
      </w:pPr>
      <w:r>
        <w:rPr>
          <w:rFonts w:hint="eastAsia" w:ascii="宋体" w:hAnsi="宋体" w:cs="宋体"/>
          <w:sz w:val="24"/>
          <w:szCs w:val="24"/>
          <w:lang w:val="en-US" w:eastAsia="zh-CN"/>
        </w:rPr>
        <w:t>2.1</w:t>
      </w:r>
      <w:r>
        <w:rPr>
          <w:rFonts w:hint="eastAsia" w:ascii="宋体" w:hAnsi="宋体" w:cs="宋体"/>
          <w:sz w:val="24"/>
          <w:szCs w:val="24"/>
        </w:rPr>
        <w:t>监控巡查</w:t>
      </w:r>
      <w:bookmarkEnd w:id="497"/>
      <w:bookmarkEnd w:id="498"/>
      <w:bookmarkEnd w:id="499"/>
    </w:p>
    <w:p w14:paraId="52EE9745">
      <w:pPr>
        <w:ind w:firstLine="480"/>
        <w:rPr>
          <w:rFonts w:hint="eastAsia" w:ascii="宋体" w:hAnsi="宋体" w:cs="宋体"/>
          <w:sz w:val="24"/>
          <w:szCs w:val="24"/>
        </w:rPr>
      </w:pPr>
      <w:r>
        <w:rPr>
          <w:rFonts w:hint="eastAsia" w:ascii="宋体" w:hAnsi="宋体" w:cs="宋体"/>
          <w:sz w:val="24"/>
          <w:szCs w:val="24"/>
        </w:rPr>
        <w:t>运行维护服务机构应提供监控巡查服务，应实施或定期对信息系统运行状态进行监控，并定期对物理环境和硬件设备进行人工巡检，重要的信息系统应实时自动监控，并定期人工监控，非重要的信息系统及暂时不具备实时监控条件的信息系统可定期监控。</w:t>
      </w:r>
    </w:p>
    <w:p w14:paraId="2C4142D9">
      <w:pPr>
        <w:ind w:firstLine="480"/>
        <w:rPr>
          <w:rFonts w:hint="eastAsia" w:ascii="宋体" w:hAnsi="宋体" w:cs="宋体"/>
          <w:sz w:val="24"/>
          <w:szCs w:val="24"/>
        </w:rPr>
      </w:pPr>
      <w:r>
        <w:rPr>
          <w:rFonts w:hint="eastAsia" w:ascii="宋体" w:hAnsi="宋体" w:cs="宋体"/>
          <w:sz w:val="24"/>
          <w:szCs w:val="24"/>
        </w:rPr>
        <w:t>运行维护服务机构应根据服务级别要求制动监控及巡检服务计划，应做好监控巡检记录，对于监控巡检中发现的问题应根据事先制定的工作流程进行通知并处理。</w:t>
      </w:r>
      <w:bookmarkStart w:id="500" w:name="_Toc25222"/>
      <w:bookmarkStart w:id="501" w:name="_Toc30203"/>
      <w:bookmarkStart w:id="502" w:name="_Toc5377"/>
    </w:p>
    <w:p w14:paraId="2AE5C82D">
      <w:pPr>
        <w:ind w:firstLine="480"/>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例行维护</w:t>
      </w:r>
      <w:bookmarkEnd w:id="500"/>
      <w:bookmarkEnd w:id="501"/>
      <w:bookmarkEnd w:id="502"/>
    </w:p>
    <w:p w14:paraId="22FC9F07">
      <w:pPr>
        <w:ind w:firstLine="480"/>
        <w:rPr>
          <w:rFonts w:hint="eastAsia" w:ascii="宋体" w:hAnsi="宋体" w:cs="宋体"/>
          <w:sz w:val="24"/>
          <w:szCs w:val="24"/>
        </w:rPr>
      </w:pPr>
      <w:r>
        <w:rPr>
          <w:rFonts w:hint="eastAsia" w:ascii="宋体" w:hAnsi="宋体" w:cs="宋体"/>
          <w:sz w:val="24"/>
          <w:szCs w:val="24"/>
        </w:rPr>
        <w:t>运行维护服务应做好例行维护服务，定期对信息系统进行保养、健康检查、系统更新及周期性维护。运行维护应根据服务几倍要求制定例行维护的服务计划，应做好例行维护工作记录，发现问题可根据事先编制的工作流程进行通知处理。</w:t>
      </w:r>
      <w:bookmarkStart w:id="503" w:name="_Toc31007"/>
      <w:bookmarkStart w:id="504" w:name="_Toc22564"/>
    </w:p>
    <w:p w14:paraId="10F91E67">
      <w:pPr>
        <w:ind w:firstLine="480"/>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响应式维护</w:t>
      </w:r>
      <w:bookmarkEnd w:id="503"/>
      <w:bookmarkEnd w:id="504"/>
    </w:p>
    <w:p w14:paraId="36D4869A">
      <w:pPr>
        <w:ind w:firstLine="480"/>
        <w:rPr>
          <w:rFonts w:hint="eastAsia" w:ascii="宋体" w:hAnsi="宋体" w:cs="宋体"/>
          <w:sz w:val="24"/>
          <w:szCs w:val="24"/>
        </w:rPr>
      </w:pPr>
      <w:r>
        <w:rPr>
          <w:rFonts w:hint="eastAsia" w:ascii="宋体" w:hAnsi="宋体" w:cs="宋体"/>
          <w:sz w:val="24"/>
          <w:szCs w:val="24"/>
        </w:rPr>
        <w:t>运行维护应根据业务需求进行配置变更、系统优化、信息更新等响应式维护，应做好响应式维护工作记录。</w:t>
      </w:r>
    </w:p>
    <w:p w14:paraId="1F66AA3D">
      <w:pPr>
        <w:ind w:firstLine="480"/>
        <w:rPr>
          <w:rFonts w:hint="eastAsia" w:ascii="宋体" w:hAnsi="宋体" w:cs="宋体"/>
          <w:sz w:val="24"/>
          <w:szCs w:val="24"/>
        </w:rPr>
      </w:pPr>
      <w:r>
        <w:rPr>
          <w:rFonts w:hint="eastAsia" w:ascii="宋体" w:hAnsi="宋体" w:cs="宋体"/>
          <w:sz w:val="24"/>
          <w:szCs w:val="24"/>
        </w:rPr>
        <w:t>响应式维护开展前宜根据事先制定的工作流程进行申请审批通知。</w:t>
      </w:r>
    </w:p>
    <w:p w14:paraId="5CA375D6">
      <w:pPr>
        <w:ind w:firstLine="480"/>
        <w:rPr>
          <w:rFonts w:hint="eastAsia" w:ascii="宋体" w:hAnsi="宋体" w:cs="宋体"/>
          <w:sz w:val="24"/>
          <w:szCs w:val="24"/>
        </w:rPr>
      </w:pPr>
      <w:r>
        <w:rPr>
          <w:rFonts w:hint="eastAsia" w:ascii="宋体" w:hAnsi="宋体" w:cs="宋体"/>
          <w:sz w:val="24"/>
          <w:szCs w:val="24"/>
        </w:rPr>
        <w:t>响应式维护实施期应制动实施方案，重点是应急恢复方案，保证系统的安全可靠性及可恢复性。</w:t>
      </w:r>
      <w:bookmarkStart w:id="505" w:name="_Toc13108"/>
      <w:bookmarkStart w:id="506" w:name="_Toc30168"/>
      <w:bookmarkStart w:id="507" w:name="_Toc22654"/>
    </w:p>
    <w:p w14:paraId="2E1F195C">
      <w:pPr>
        <w:ind w:firstLine="480"/>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故障处理</w:t>
      </w:r>
      <w:bookmarkEnd w:id="505"/>
      <w:bookmarkEnd w:id="506"/>
      <w:bookmarkEnd w:id="507"/>
    </w:p>
    <w:p w14:paraId="1A8D640C">
      <w:pPr>
        <w:ind w:firstLine="480"/>
        <w:rPr>
          <w:rFonts w:hint="eastAsia" w:ascii="宋体" w:hAnsi="宋体" w:cs="宋体"/>
          <w:sz w:val="24"/>
          <w:szCs w:val="24"/>
        </w:rPr>
      </w:pPr>
      <w:r>
        <w:rPr>
          <w:rFonts w:hint="eastAsia" w:ascii="宋体" w:hAnsi="宋体" w:cs="宋体"/>
          <w:sz w:val="24"/>
          <w:szCs w:val="24"/>
        </w:rPr>
        <w:t>运行维护服务机构应提供故障处理服务，在信息系统发生故障时，根据服务级别要求，在规定的时间内消除故障影响，并最终清除故障。</w:t>
      </w:r>
    </w:p>
    <w:p w14:paraId="6E11DDBC">
      <w:pPr>
        <w:ind w:firstLine="480"/>
        <w:rPr>
          <w:rFonts w:hint="eastAsia" w:ascii="宋体" w:hAnsi="宋体" w:cs="宋体"/>
          <w:sz w:val="24"/>
          <w:szCs w:val="24"/>
        </w:rPr>
      </w:pPr>
      <w:r>
        <w:rPr>
          <w:rFonts w:hint="eastAsia" w:ascii="宋体" w:hAnsi="宋体" w:cs="宋体"/>
          <w:sz w:val="24"/>
          <w:szCs w:val="24"/>
        </w:rPr>
        <w:t>依据GB/T 28827分类分级标准，信息系统故障根据故障严重性和受影响系统的重要性分为特别重大、重大、较大和一般四个等级。故障处置宜遵循“先抢通，后修复。先核心，后边缘”的原则，优先保证重要业务的恢复，特殊情况酌情处理。故障处理应根据预设工作流程开展，根据故障情况适时启动应急响应机制。故障处置完成后应及时记录故障处理方法、做好故障总结，并定期进行统计分析，对发生频次较多的故障现象应进行重点分析，应采取相应的措施，降低故障发生率。</w:t>
      </w:r>
      <w:bookmarkStart w:id="508" w:name="_Toc32463"/>
      <w:bookmarkStart w:id="509" w:name="_Toc24999"/>
      <w:bookmarkStart w:id="510" w:name="_Toc28488"/>
    </w:p>
    <w:p w14:paraId="36EC0B8D">
      <w:pPr>
        <w:ind w:firstLine="480"/>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应急响应</w:t>
      </w:r>
      <w:bookmarkEnd w:id="508"/>
      <w:bookmarkEnd w:id="509"/>
      <w:bookmarkEnd w:id="510"/>
    </w:p>
    <w:p w14:paraId="4F2FF197">
      <w:pPr>
        <w:ind w:firstLine="480"/>
        <w:rPr>
          <w:rFonts w:hint="eastAsia" w:ascii="宋体" w:hAnsi="宋体" w:cs="宋体"/>
          <w:sz w:val="24"/>
          <w:szCs w:val="24"/>
        </w:rPr>
      </w:pPr>
      <w:r>
        <w:rPr>
          <w:rFonts w:hint="eastAsia" w:ascii="宋体" w:hAnsi="宋体" w:cs="宋体"/>
          <w:sz w:val="24"/>
          <w:szCs w:val="24"/>
        </w:rPr>
        <w:t>运行维护机构提供应急响应服务，确保按预先制定的应急处置流程处置信息突发事件。应根据应急响应流程，依据《水利网络与信息安全应急预案》相关规定，应急响应流程宜包括事故发现、事件接报、事件类型判断、应急预案启动、时态控制、应急恢复、应急结束。</w:t>
      </w:r>
      <w:bookmarkStart w:id="511" w:name="_Toc14180"/>
      <w:bookmarkStart w:id="512" w:name="_Toc28942"/>
      <w:bookmarkStart w:id="513" w:name="_Toc2734"/>
    </w:p>
    <w:p w14:paraId="275E081A">
      <w:pPr>
        <w:ind w:firstLine="480"/>
        <w:rPr>
          <w:rFonts w:hint="eastAsia" w:ascii="宋体" w:hAnsi="宋体" w:cs="宋体"/>
          <w:sz w:val="24"/>
          <w:szCs w:val="24"/>
        </w:rPr>
      </w:pPr>
      <w:r>
        <w:rPr>
          <w:rFonts w:hint="eastAsia" w:ascii="宋体" w:hAnsi="宋体" w:cs="宋体"/>
          <w:sz w:val="24"/>
          <w:szCs w:val="24"/>
          <w:lang w:val="en-US" w:eastAsia="zh-CN"/>
        </w:rPr>
        <w:t>2.6</w:t>
      </w:r>
      <w:r>
        <w:rPr>
          <w:rFonts w:hint="eastAsia" w:ascii="宋体" w:hAnsi="宋体" w:cs="宋体"/>
          <w:sz w:val="24"/>
          <w:szCs w:val="24"/>
        </w:rPr>
        <w:t>安全管理</w:t>
      </w:r>
      <w:bookmarkEnd w:id="511"/>
      <w:bookmarkEnd w:id="512"/>
      <w:bookmarkEnd w:id="513"/>
    </w:p>
    <w:p w14:paraId="5AC2AB3B">
      <w:pPr>
        <w:ind w:firstLine="480"/>
        <w:rPr>
          <w:rFonts w:hint="eastAsia" w:ascii="宋体" w:hAnsi="宋体" w:cs="宋体"/>
          <w:sz w:val="24"/>
          <w:szCs w:val="24"/>
        </w:rPr>
      </w:pPr>
      <w:r>
        <w:rPr>
          <w:rFonts w:hint="eastAsia" w:ascii="宋体" w:hAnsi="宋体" w:cs="宋体"/>
          <w:sz w:val="24"/>
          <w:szCs w:val="24"/>
        </w:rPr>
        <w:t>系统维护应提供安全管理服务，包括系统脆弱性评估、安全威胁监测、安全攻击事件处置。应定期进行系统脆弱性评估，分析系统存在的安全隐患，并提出改进建议。实时监测系统安全威胁，对于发现的安全威胁可根据预设工作流程进行通知处理。及时对安全事件进行处置，处置的原则是先阻断后处理。</w:t>
      </w:r>
      <w:bookmarkStart w:id="514" w:name="_Toc26156"/>
      <w:bookmarkStart w:id="515" w:name="_Toc21286"/>
      <w:bookmarkStart w:id="516" w:name="_Toc23293"/>
    </w:p>
    <w:p w14:paraId="7E1C8484">
      <w:pPr>
        <w:ind w:firstLine="480"/>
        <w:rPr>
          <w:rFonts w:hint="eastAsia" w:ascii="宋体" w:hAnsi="宋体" w:cs="宋体"/>
          <w:sz w:val="24"/>
          <w:szCs w:val="24"/>
        </w:rPr>
      </w:pPr>
      <w:r>
        <w:rPr>
          <w:rFonts w:hint="eastAsia" w:ascii="宋体" w:hAnsi="宋体" w:cs="宋体"/>
          <w:sz w:val="24"/>
          <w:szCs w:val="24"/>
          <w:lang w:val="en-US" w:eastAsia="zh-CN"/>
        </w:rPr>
        <w:t>2.7</w:t>
      </w:r>
      <w:r>
        <w:rPr>
          <w:rFonts w:hint="eastAsia" w:ascii="宋体" w:hAnsi="宋体" w:cs="宋体"/>
          <w:sz w:val="24"/>
          <w:szCs w:val="24"/>
        </w:rPr>
        <w:t>分析总结</w:t>
      </w:r>
      <w:bookmarkEnd w:id="514"/>
      <w:bookmarkEnd w:id="515"/>
      <w:bookmarkEnd w:id="516"/>
    </w:p>
    <w:p w14:paraId="2A31CC6E">
      <w:pPr>
        <w:ind w:firstLine="480"/>
        <w:rPr>
          <w:rFonts w:hint="eastAsia" w:ascii="宋体" w:hAnsi="宋体" w:cs="宋体"/>
          <w:sz w:val="24"/>
          <w:szCs w:val="24"/>
        </w:rPr>
      </w:pPr>
      <w:r>
        <w:rPr>
          <w:rFonts w:hint="eastAsia" w:ascii="宋体" w:hAnsi="宋体" w:cs="宋体"/>
          <w:sz w:val="24"/>
          <w:szCs w:val="24"/>
        </w:rPr>
        <w:t>运行维护应定期进行分析总结，包括信息系统运行状况的分析总结、运行维护工作的分析总结及安全状况分析总结，提出优化完善建议，并优化改进运行维护工作。</w:t>
      </w:r>
    </w:p>
    <w:p w14:paraId="4D9E43CF">
      <w:pPr>
        <w:pStyle w:val="2"/>
        <w:pageBreakBefore/>
        <w:rPr>
          <w:rFonts w:hint="eastAsia" w:ascii="宋体" w:hAnsi="宋体" w:cs="宋体"/>
          <w:highlight w:val="red"/>
        </w:rPr>
      </w:pPr>
      <w:r>
        <w:rPr>
          <w:rFonts w:hint="eastAsia" w:ascii="宋体" w:hAnsi="宋体" w:cs="宋体"/>
          <w:sz w:val="36"/>
          <w:szCs w:val="36"/>
          <w:highlight w:val="white"/>
        </w:rPr>
        <w:t>第六章 响应文件格式</w:t>
      </w:r>
      <w:bookmarkEnd w:id="490"/>
      <w:bookmarkEnd w:id="491"/>
      <w:bookmarkEnd w:id="492"/>
      <w:bookmarkStart w:id="517" w:name="EB77e84d16e8514e3d843450083f22a83d"/>
    </w:p>
    <w:p w14:paraId="31F042A9">
      <w:pPr>
        <w:pStyle w:val="154"/>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宋体" w:hAnsi="宋体" w:eastAsia="宋体" w:cs="宋体"/>
        </w:rPr>
      </w:pPr>
      <w:bookmarkStart w:id="518" w:name="_Toc22030"/>
      <w:bookmarkStart w:id="519" w:name="_Toc21410"/>
      <w:bookmarkStart w:id="520" w:name="_Toc106276273"/>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518"/>
      <w:bookmarkEnd w:id="519"/>
      <w:bookmarkEnd w:id="520"/>
    </w:p>
    <w:p w14:paraId="3C2AD016">
      <w:pPr>
        <w:pStyle w:val="154"/>
        <w:numPr>
          <w:ilvl w:val="0"/>
          <w:numId w:val="0"/>
        </w:numPr>
        <w:spacing w:line="360" w:lineRule="auto"/>
        <w:outlineLvl w:val="0"/>
        <w:rPr>
          <w:rFonts w:hint="eastAsia" w:ascii="宋体" w:hAnsi="宋体" w:eastAsia="宋体" w:cs="宋体"/>
        </w:rPr>
      </w:pPr>
      <w:bookmarkStart w:id="521" w:name="_Toc17700"/>
      <w:bookmarkStart w:id="522" w:name="_Toc106276274"/>
      <w:bookmarkStart w:id="523" w:name="_Toc9914"/>
      <w:r>
        <w:rPr>
          <w:rFonts w:hint="eastAsia" w:ascii="宋体" w:hAnsi="宋体" w:eastAsia="宋体" w:cs="宋体"/>
          <w:lang w:val="en-US" w:eastAsia="zh-CN"/>
        </w:rPr>
        <w:t>一、</w:t>
      </w:r>
      <w:r>
        <w:rPr>
          <w:rFonts w:hint="eastAsia" w:ascii="宋体" w:hAnsi="宋体" w:eastAsia="宋体" w:cs="宋体"/>
        </w:rPr>
        <w:t>投标文件封面</w:t>
      </w:r>
      <w:bookmarkEnd w:id="521"/>
      <w:bookmarkEnd w:id="522"/>
      <w:bookmarkEnd w:id="523"/>
    </w:p>
    <w:p w14:paraId="0DCE7248">
      <w:pPr>
        <w:pStyle w:val="154"/>
        <w:numPr>
          <w:ilvl w:val="0"/>
          <w:numId w:val="0"/>
        </w:numPr>
        <w:spacing w:line="360" w:lineRule="auto"/>
        <w:outlineLvl w:val="0"/>
        <w:rPr>
          <w:rFonts w:hint="eastAsia" w:ascii="宋体" w:hAnsi="宋体" w:eastAsia="宋体" w:cs="宋体"/>
          <w:lang w:eastAsia="zh-CN"/>
        </w:rPr>
      </w:pPr>
      <w:bookmarkStart w:id="524" w:name="_Toc19676"/>
      <w:bookmarkStart w:id="525" w:name="_Toc21481"/>
      <w:bookmarkStart w:id="526" w:name="_Toc106276275"/>
      <w:r>
        <w:rPr>
          <w:rFonts w:hint="eastAsia" w:ascii="宋体" w:hAnsi="宋体" w:eastAsia="宋体" w:cs="宋体"/>
          <w:lang w:val="en-US" w:eastAsia="zh-CN"/>
        </w:rPr>
        <w:t>二、</w:t>
      </w:r>
      <w:r>
        <w:rPr>
          <w:rFonts w:hint="eastAsia" w:ascii="宋体" w:hAnsi="宋体" w:eastAsia="宋体" w:cs="宋体"/>
          <w:lang w:eastAsia="zh-CN"/>
        </w:rPr>
        <w:t>资格响应文件</w:t>
      </w:r>
      <w:bookmarkEnd w:id="524"/>
      <w:bookmarkEnd w:id="525"/>
      <w:bookmarkEnd w:id="526"/>
    </w:p>
    <w:p w14:paraId="42238727">
      <w:pPr>
        <w:pStyle w:val="154"/>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1FB0FC78">
      <w:pPr>
        <w:pStyle w:val="154"/>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0ED3EFBD">
      <w:pPr>
        <w:pStyle w:val="154"/>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5B491C5D">
      <w:pPr>
        <w:pStyle w:val="154"/>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154"/>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154"/>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4FAD2881">
      <w:pPr>
        <w:pStyle w:val="154"/>
        <w:spacing w:line="360" w:lineRule="auto"/>
        <w:outlineLvl w:val="0"/>
        <w:rPr>
          <w:rFonts w:hint="eastAsia" w:ascii="宋体" w:hAnsi="宋体" w:eastAsia="宋体" w:cs="宋体"/>
          <w:lang w:eastAsia="zh-CN"/>
        </w:rPr>
      </w:pPr>
      <w:bookmarkStart w:id="527" w:name="_Toc106276276"/>
      <w:bookmarkStart w:id="528" w:name="_Toc5673"/>
      <w:bookmarkStart w:id="529" w:name="_Toc18800"/>
      <w:r>
        <w:rPr>
          <w:rFonts w:hint="eastAsia" w:ascii="宋体" w:hAnsi="宋体" w:eastAsia="宋体" w:cs="宋体"/>
          <w:lang w:eastAsia="zh-CN"/>
        </w:rPr>
        <w:t>三、报价响应文件</w:t>
      </w:r>
      <w:bookmarkEnd w:id="527"/>
      <w:bookmarkEnd w:id="528"/>
      <w:bookmarkEnd w:id="529"/>
    </w:p>
    <w:p w14:paraId="1BDE99C8">
      <w:pPr>
        <w:pStyle w:val="154"/>
        <w:spacing w:line="360" w:lineRule="auto"/>
        <w:rPr>
          <w:rFonts w:hint="eastAsia" w:ascii="宋体" w:hAnsi="宋体" w:eastAsia="宋体" w:cs="宋体"/>
        </w:rPr>
      </w:pPr>
      <w:r>
        <w:rPr>
          <w:rFonts w:hint="eastAsia" w:ascii="宋体" w:hAnsi="宋体" w:eastAsia="宋体" w:cs="宋体"/>
          <w:lang w:eastAsia="zh-CN"/>
        </w:rPr>
        <w:t>（一）开标一览表</w:t>
      </w:r>
    </w:p>
    <w:p w14:paraId="4DFCA7B4">
      <w:pPr>
        <w:pStyle w:val="154"/>
        <w:spacing w:line="360" w:lineRule="auto"/>
        <w:outlineLvl w:val="0"/>
        <w:rPr>
          <w:rFonts w:hint="eastAsia" w:ascii="宋体" w:hAnsi="宋体" w:eastAsia="宋体" w:cs="宋体"/>
          <w:lang w:eastAsia="zh-CN"/>
        </w:rPr>
      </w:pPr>
      <w:bookmarkStart w:id="530" w:name="_Toc106276277"/>
      <w:bookmarkStart w:id="531" w:name="_Toc31343"/>
      <w:bookmarkStart w:id="532" w:name="_Toc8309"/>
      <w:r>
        <w:rPr>
          <w:rFonts w:hint="eastAsia" w:ascii="宋体" w:hAnsi="宋体" w:eastAsia="宋体" w:cs="宋体"/>
          <w:lang w:eastAsia="zh-CN"/>
        </w:rPr>
        <w:t>四、商务、技术响应文件</w:t>
      </w:r>
      <w:bookmarkEnd w:id="530"/>
      <w:bookmarkEnd w:id="531"/>
      <w:bookmarkEnd w:id="532"/>
    </w:p>
    <w:p w14:paraId="703E92C8">
      <w:pPr>
        <w:pStyle w:val="154"/>
        <w:spacing w:line="360" w:lineRule="auto"/>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2B8DDF3B">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613E0B0">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1、业绩</w:t>
      </w:r>
    </w:p>
    <w:p w14:paraId="676415E1">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760A5F8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总体方案</w:t>
      </w:r>
    </w:p>
    <w:p w14:paraId="05E2E8D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项目团队人员</w:t>
      </w:r>
    </w:p>
    <w:p w14:paraId="6A8DD4F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硬件设备</w:t>
      </w:r>
    </w:p>
    <w:p w14:paraId="79A5A054">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服务承诺</w:t>
      </w:r>
    </w:p>
    <w:p w14:paraId="21BF9E6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优惠条件</w:t>
      </w:r>
    </w:p>
    <w:p w14:paraId="584E66DC">
      <w:pPr>
        <w:pStyle w:val="154"/>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对磋商文件响应情况</w:t>
      </w:r>
    </w:p>
    <w:p w14:paraId="019C7E65">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3"/>
        <w:bidi w:val="0"/>
        <w:rPr>
          <w:rFonts w:hint="eastAsia" w:ascii="宋体" w:hAnsi="宋体" w:cs="宋体"/>
          <w:color w:val="FF0000"/>
          <w:kern w:val="0"/>
          <w:szCs w:val="24"/>
        </w:rPr>
      </w:pPr>
      <w:r>
        <w:rPr>
          <w:rFonts w:hint="eastAsia" w:ascii="宋体" w:hAnsi="宋体" w:cs="宋体"/>
        </w:rPr>
        <w:br w:type="page"/>
      </w:r>
      <w:bookmarkStart w:id="533" w:name="_Toc29053"/>
      <w:bookmarkStart w:id="534" w:name="_Toc21071"/>
      <w:r>
        <w:rPr>
          <w:rStyle w:val="55"/>
          <w:rFonts w:hint="eastAsia"/>
          <w:b/>
          <w:bCs/>
          <w:sz w:val="36"/>
          <w:szCs w:val="44"/>
          <w:lang w:eastAsia="zh-CN"/>
        </w:rPr>
        <w:t>一、响应文件封面</w:t>
      </w:r>
      <w:bookmarkEnd w:id="533"/>
      <w:bookmarkEnd w:id="534"/>
    </w:p>
    <w:p w14:paraId="4A4FC125">
      <w:pPr>
        <w:pStyle w:val="128"/>
        <w:spacing w:line="360" w:lineRule="auto"/>
        <w:rPr>
          <w:rFonts w:hint="eastAsia" w:ascii="宋体" w:hAnsi="宋体" w:cs="宋体"/>
          <w:b/>
          <w:color w:val="000000"/>
          <w:sz w:val="24"/>
        </w:rPr>
      </w:pPr>
    </w:p>
    <w:p w14:paraId="6BB26799">
      <w:pPr>
        <w:pStyle w:val="128"/>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535" w:name="_Toc106276278"/>
      <w:bookmarkStart w:id="536" w:name="_Toc14830"/>
      <w:r>
        <w:rPr>
          <w:rFonts w:hint="eastAsia" w:ascii="宋体" w:hAnsi="宋体" w:cs="宋体"/>
          <w:color w:val="000000"/>
          <w:sz w:val="28"/>
          <w:szCs w:val="28"/>
        </w:rPr>
        <w:t>（项目名称）</w:t>
      </w:r>
      <w:bookmarkEnd w:id="535"/>
      <w:bookmarkEnd w:id="536"/>
    </w:p>
    <w:p w14:paraId="41D1E502">
      <w:pPr>
        <w:pStyle w:val="128"/>
        <w:spacing w:line="360" w:lineRule="auto"/>
        <w:jc w:val="center"/>
        <w:rPr>
          <w:rFonts w:hint="eastAsia" w:ascii="宋体" w:hAnsi="宋体" w:cs="宋体"/>
          <w:color w:val="000000"/>
          <w:sz w:val="28"/>
          <w:szCs w:val="28"/>
        </w:rPr>
      </w:pPr>
    </w:p>
    <w:p w14:paraId="28A61BF9">
      <w:pPr>
        <w:pStyle w:val="128"/>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128"/>
        <w:spacing w:line="360" w:lineRule="auto"/>
        <w:jc w:val="center"/>
        <w:rPr>
          <w:rFonts w:hint="eastAsia" w:ascii="宋体" w:hAnsi="宋体" w:cs="宋体"/>
          <w:color w:val="000000"/>
          <w:sz w:val="24"/>
        </w:rPr>
      </w:pPr>
    </w:p>
    <w:p w14:paraId="151342F0">
      <w:pPr>
        <w:pStyle w:val="128"/>
        <w:spacing w:line="360" w:lineRule="auto"/>
        <w:jc w:val="center"/>
        <w:rPr>
          <w:rFonts w:hint="eastAsia" w:ascii="宋体" w:hAnsi="宋体" w:cs="宋体"/>
          <w:color w:val="000000"/>
          <w:sz w:val="24"/>
        </w:rPr>
      </w:pPr>
    </w:p>
    <w:p w14:paraId="2B3AFE5C">
      <w:pPr>
        <w:pStyle w:val="128"/>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128"/>
        <w:spacing w:line="360" w:lineRule="auto"/>
        <w:jc w:val="center"/>
        <w:rPr>
          <w:rFonts w:hint="eastAsia" w:ascii="宋体" w:hAnsi="宋体" w:cs="宋体"/>
          <w:color w:val="000000"/>
          <w:sz w:val="24"/>
        </w:rPr>
      </w:pPr>
    </w:p>
    <w:p w14:paraId="524806EA">
      <w:pPr>
        <w:pStyle w:val="128"/>
        <w:spacing w:line="360" w:lineRule="auto"/>
        <w:jc w:val="center"/>
        <w:rPr>
          <w:rFonts w:hint="eastAsia" w:ascii="宋体" w:hAnsi="宋体" w:cs="宋体"/>
          <w:color w:val="000000"/>
          <w:sz w:val="24"/>
        </w:rPr>
      </w:pPr>
    </w:p>
    <w:p w14:paraId="1F1677FF">
      <w:pPr>
        <w:pStyle w:val="128"/>
        <w:spacing w:line="360" w:lineRule="auto"/>
        <w:jc w:val="center"/>
        <w:rPr>
          <w:rFonts w:hint="eastAsia" w:ascii="宋体" w:hAnsi="宋体" w:cs="宋体"/>
          <w:b/>
          <w:color w:val="000000"/>
          <w:sz w:val="24"/>
        </w:rPr>
      </w:pPr>
    </w:p>
    <w:p w14:paraId="3A9BEB7A">
      <w:pPr>
        <w:pStyle w:val="128"/>
        <w:spacing w:line="360" w:lineRule="auto"/>
        <w:jc w:val="center"/>
        <w:rPr>
          <w:rFonts w:hint="eastAsia" w:ascii="宋体" w:hAnsi="宋体" w:cs="宋体"/>
          <w:b/>
          <w:color w:val="000000"/>
          <w:sz w:val="24"/>
        </w:rPr>
      </w:pPr>
    </w:p>
    <w:p w14:paraId="6624ED05">
      <w:pPr>
        <w:pStyle w:val="128"/>
        <w:spacing w:line="360" w:lineRule="auto"/>
        <w:jc w:val="center"/>
        <w:rPr>
          <w:rFonts w:hint="eastAsia" w:ascii="宋体" w:hAnsi="宋体" w:cs="宋体"/>
          <w:b/>
          <w:color w:val="000000"/>
          <w:sz w:val="24"/>
        </w:rPr>
      </w:pPr>
    </w:p>
    <w:p w14:paraId="633099A7">
      <w:pPr>
        <w:pStyle w:val="128"/>
        <w:spacing w:line="360" w:lineRule="auto"/>
        <w:jc w:val="center"/>
        <w:rPr>
          <w:rFonts w:hint="eastAsia" w:ascii="宋体" w:hAnsi="宋体" w:cs="宋体"/>
          <w:b/>
          <w:color w:val="000000"/>
          <w:sz w:val="24"/>
        </w:rPr>
      </w:pPr>
    </w:p>
    <w:p w14:paraId="5E2A7AA9">
      <w:pPr>
        <w:pStyle w:val="128"/>
        <w:spacing w:line="360" w:lineRule="auto"/>
        <w:jc w:val="center"/>
        <w:rPr>
          <w:rFonts w:hint="eastAsia" w:ascii="宋体" w:hAnsi="宋体" w:cs="宋体"/>
          <w:b/>
          <w:color w:val="000000"/>
          <w:sz w:val="24"/>
        </w:rPr>
      </w:pPr>
    </w:p>
    <w:p w14:paraId="364D21FD">
      <w:pPr>
        <w:pStyle w:val="128"/>
        <w:spacing w:line="360" w:lineRule="auto"/>
        <w:jc w:val="center"/>
        <w:rPr>
          <w:rFonts w:hint="eastAsia" w:ascii="宋体" w:hAnsi="宋体" w:cs="宋体"/>
          <w:b/>
          <w:color w:val="000000"/>
          <w:sz w:val="24"/>
        </w:rPr>
      </w:pPr>
    </w:p>
    <w:p w14:paraId="0684CC80">
      <w:pPr>
        <w:pStyle w:val="128"/>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537" w:name="_Toc106276279"/>
      <w:bookmarkStart w:id="538" w:name="_Toc28221"/>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537"/>
      <w:bookmarkEnd w:id="538"/>
    </w:p>
    <w:p w14:paraId="0539B8A2">
      <w:pPr>
        <w:pStyle w:val="204"/>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204"/>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128"/>
        <w:spacing w:line="360" w:lineRule="auto"/>
        <w:ind w:firstLine="1680" w:firstLineChars="600"/>
        <w:jc w:val="both"/>
        <w:rPr>
          <w:rFonts w:hint="eastAsia" w:ascii="宋体" w:hAnsi="宋体" w:eastAsia="宋体" w:cs="宋体"/>
          <w:lang w:eastAsia="zh-CN"/>
        </w:rPr>
        <w:sectPr>
          <w:footerReference r:id="rId8"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5F4A147C">
      <w:pPr>
        <w:pStyle w:val="3"/>
        <w:bidi w:val="0"/>
        <w:rPr>
          <w:rFonts w:hint="eastAsia"/>
          <w:sz w:val="36"/>
          <w:szCs w:val="44"/>
          <w:lang w:eastAsia="zh-CN"/>
        </w:rPr>
      </w:pPr>
      <w:bookmarkStart w:id="539" w:name="_Toc106276280"/>
      <w:bookmarkStart w:id="540" w:name="_Toc6840"/>
      <w:bookmarkStart w:id="541" w:name="_Toc2129"/>
      <w:r>
        <w:rPr>
          <w:rFonts w:hint="eastAsia"/>
          <w:sz w:val="36"/>
          <w:szCs w:val="44"/>
          <w:lang w:eastAsia="zh-CN"/>
        </w:rPr>
        <w:t>二、</w:t>
      </w:r>
      <w:r>
        <w:rPr>
          <w:rFonts w:hint="eastAsia"/>
          <w:sz w:val="36"/>
          <w:szCs w:val="44"/>
        </w:rPr>
        <w:t>资格</w:t>
      </w:r>
      <w:r>
        <w:rPr>
          <w:rFonts w:hint="eastAsia"/>
          <w:sz w:val="36"/>
          <w:szCs w:val="44"/>
          <w:lang w:eastAsia="zh-CN"/>
        </w:rPr>
        <w:t>响应</w:t>
      </w:r>
      <w:bookmarkEnd w:id="539"/>
      <w:bookmarkEnd w:id="540"/>
    </w:p>
    <w:p w14:paraId="3CDCD84A">
      <w:pPr>
        <w:pStyle w:val="3"/>
        <w:bidi w:val="0"/>
        <w:rPr>
          <w:rFonts w:hint="eastAsia" w:ascii="宋体" w:hAnsi="宋体" w:eastAsia="宋体" w:cs="宋体"/>
          <w:b/>
          <w:sz w:val="30"/>
          <w:szCs w:val="30"/>
          <w:lang w:bidi="ar-SA"/>
        </w:rPr>
      </w:pPr>
      <w:bookmarkStart w:id="542" w:name="_Toc3324"/>
      <w:bookmarkStart w:id="543" w:name="_Toc106276281"/>
      <w:r>
        <w:rPr>
          <w:rFonts w:hint="eastAsia" w:ascii="宋体" w:hAnsi="宋体" w:eastAsia="宋体" w:cs="宋体"/>
          <w:b/>
          <w:sz w:val="30"/>
          <w:szCs w:val="30"/>
          <w:lang w:eastAsia="zh-CN" w:bidi="ar-SA"/>
        </w:rPr>
        <w:t>（</w:t>
      </w:r>
      <w:r>
        <w:rPr>
          <w:rFonts w:hint="eastAsia" w:ascii="宋体" w:hAnsi="宋体" w:eastAsia="宋体" w:cs="宋体"/>
          <w:b/>
          <w:sz w:val="30"/>
          <w:szCs w:val="30"/>
          <w:lang w:val="en-US" w:eastAsia="zh-CN" w:bidi="ar-SA"/>
        </w:rPr>
        <w:t>一</w:t>
      </w:r>
      <w:r>
        <w:rPr>
          <w:rFonts w:hint="eastAsia" w:ascii="宋体" w:hAnsi="宋体" w:eastAsia="宋体" w:cs="宋体"/>
          <w:b/>
          <w:sz w:val="30"/>
          <w:szCs w:val="30"/>
          <w:lang w:eastAsia="zh-CN" w:bidi="ar-SA"/>
        </w:rPr>
        <w:t>）</w:t>
      </w:r>
      <w:r>
        <w:rPr>
          <w:rFonts w:hint="eastAsia" w:ascii="宋体" w:hAnsi="宋体" w:eastAsia="宋体" w:cs="宋体"/>
          <w:b/>
          <w:sz w:val="30"/>
          <w:szCs w:val="30"/>
          <w:lang w:bidi="ar-SA"/>
        </w:rPr>
        <w:t>投标供应商资格要求</w:t>
      </w:r>
      <w:bookmarkEnd w:id="542"/>
    </w:p>
    <w:p w14:paraId="1ACC7E12">
      <w:pPr>
        <w:pStyle w:val="21"/>
        <w:spacing w:line="360" w:lineRule="auto"/>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满足《中华人民共和国政府采购法》第二十二条规定</w:t>
      </w:r>
      <w:r>
        <w:rPr>
          <w:rFonts w:hint="eastAsia" w:ascii="宋体" w:hAnsi="宋体" w:eastAsia="宋体" w:cs="宋体"/>
          <w:b/>
          <w:bCs/>
          <w:sz w:val="32"/>
          <w:szCs w:val="32"/>
          <w:lang w:eastAsia="zh-CN"/>
        </w:rPr>
        <w:t>：</w:t>
      </w:r>
      <w:r>
        <w:rPr>
          <w:rFonts w:hint="eastAsia" w:ascii="宋体" w:hAnsi="宋体" w:eastAsia="宋体" w:cs="宋体"/>
          <w:sz w:val="32"/>
          <w:szCs w:val="32"/>
        </w:rPr>
        <w:t xml:space="preserve">  </w:t>
      </w:r>
    </w:p>
    <w:p w14:paraId="28A33A3F">
      <w:pPr>
        <w:pStyle w:val="21"/>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一、合法有效的法人营业执照</w:t>
      </w:r>
    </w:p>
    <w:p w14:paraId="451CB0D3">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009FD4">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144DE9">
      <w:pPr>
        <w:pStyle w:val="21"/>
        <w:spacing w:line="360" w:lineRule="auto"/>
        <w:ind w:firstLine="602" w:firstLineChars="200"/>
        <w:rPr>
          <w:rFonts w:ascii="宋体" w:hAnsi="宋体"/>
          <w:szCs w:val="21"/>
        </w:rPr>
      </w:pPr>
      <w:r>
        <w:rPr>
          <w:rFonts w:hint="eastAsia" w:ascii="仿宋" w:hAnsi="仿宋" w:eastAsia="仿宋" w:cs="仿宋_GB2312"/>
          <w:b/>
          <w:sz w:val="30"/>
          <w:szCs w:val="30"/>
        </w:rPr>
        <w:t>二、提供2023年度经会计师事务所审计的完整财务报告，成立不足一年的提供成立至今的财务报表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46ED0B">
      <w:pPr>
        <w:autoSpaceDE w:val="0"/>
        <w:autoSpaceDN w:val="0"/>
        <w:spacing w:line="360" w:lineRule="auto"/>
        <w:ind w:firstLine="6120" w:firstLineChars="2550"/>
        <w:rPr>
          <w:rFonts w:ascii="宋体" w:hAnsi="宋体"/>
          <w:szCs w:val="21"/>
        </w:rPr>
      </w:pPr>
      <w:r>
        <w:rPr>
          <w:rFonts w:hint="eastAsia" w:ascii="仿宋_GB2312" w:hAnsi="仿宋" w:eastAsia="仿宋_GB2312" w:cs="仿宋_GB2312"/>
          <w:kern w:val="0"/>
          <w:sz w:val="24"/>
          <w:lang w:val="zh-CN"/>
        </w:rPr>
        <w:t>日期：  年  月   日</w:t>
      </w:r>
    </w:p>
    <w:p w14:paraId="1D481B33">
      <w:pPr>
        <w:spacing w:line="300" w:lineRule="auto"/>
        <w:ind w:firstLine="596" w:firstLineChars="198"/>
        <w:rPr>
          <w:rFonts w:ascii="宋体" w:hAnsi="宋体"/>
          <w:szCs w:val="21"/>
        </w:rPr>
      </w:pPr>
      <w:r>
        <w:rPr>
          <w:rFonts w:hint="eastAsia" w:ascii="仿宋" w:hAnsi="仿宋" w:eastAsia="仿宋" w:cs="仿宋_GB2312"/>
          <w:b/>
          <w:kern w:val="0"/>
          <w:sz w:val="30"/>
          <w:szCs w:val="30"/>
        </w:rPr>
        <w:t>三、根据项目需求提供履行合同所必需的设备和专业技术能力的加盖单位公章的书面承诺函。</w:t>
      </w:r>
    </w:p>
    <w:p w14:paraId="6FF99A56">
      <w:pPr>
        <w:bidi w:val="0"/>
        <w:jc w:val="center"/>
        <w:rPr>
          <w:rFonts w:hint="eastAsia" w:ascii="仿宋" w:hAnsi="仿宋" w:eastAsia="仿宋" w:cs="仿宋"/>
          <w:b/>
          <w:bCs/>
          <w:sz w:val="24"/>
          <w:szCs w:val="32"/>
        </w:rPr>
      </w:pPr>
      <w:r>
        <w:rPr>
          <w:rFonts w:hint="eastAsia" w:ascii="仿宋" w:hAnsi="仿宋" w:eastAsia="仿宋" w:cs="仿宋"/>
          <w:b/>
          <w:bCs/>
          <w:sz w:val="24"/>
          <w:szCs w:val="32"/>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（采购人）：</w:t>
      </w:r>
    </w:p>
    <w:p w14:paraId="59D7CE33">
      <w:pPr>
        <w:tabs>
          <w:tab w:val="left" w:pos="6300"/>
        </w:tabs>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pPr>
      <w:r>
        <w:rPr>
          <w:rFonts w:hint="eastAsia" w:ascii="仿宋" w:hAnsi="仿宋" w:eastAsia="仿宋" w:cs="仿宋"/>
          <w:sz w:val="24"/>
          <w:szCs w:val="20"/>
        </w:rPr>
        <w:t>特此声明。</w:t>
      </w:r>
    </w:p>
    <w:p w14:paraId="4FEE27D8">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4986E025">
      <w:pPr>
        <w:autoSpaceDE w:val="0"/>
        <w:autoSpaceDN w:val="0"/>
        <w:spacing w:line="360" w:lineRule="auto"/>
        <w:ind w:firstLine="6120" w:firstLineChars="2550"/>
        <w:rPr>
          <w:rFonts w:ascii="宋体" w:hAnsi="宋体"/>
          <w:b/>
          <w:sz w:val="24"/>
        </w:rPr>
      </w:pPr>
      <w:r>
        <w:rPr>
          <w:rFonts w:hint="eastAsia" w:ascii="仿宋_GB2312" w:hAnsi="仿宋" w:eastAsia="仿宋_GB2312" w:cs="仿宋_GB2312"/>
          <w:kern w:val="0"/>
          <w:sz w:val="24"/>
          <w:lang w:val="zh-CN"/>
        </w:rPr>
        <w:t>日期：  年  月   日</w:t>
      </w:r>
    </w:p>
    <w:p w14:paraId="0C5709A7">
      <w:pPr>
        <w:spacing w:line="360" w:lineRule="auto"/>
        <w:ind w:firstLine="596" w:firstLineChars="198"/>
        <w:rPr>
          <w:rFonts w:ascii="宋体" w:hAnsi="宋体" w:cs="宋体"/>
          <w:sz w:val="24"/>
        </w:rPr>
      </w:pPr>
      <w:r>
        <w:rPr>
          <w:rFonts w:hint="eastAsia" w:ascii="仿宋" w:hAnsi="仿宋" w:eastAsia="仿宋" w:cs="仿宋_GB2312"/>
          <w:b/>
          <w:kern w:val="0"/>
          <w:sz w:val="30"/>
          <w:szCs w:val="30"/>
        </w:rPr>
        <w:t>四、提供参加本次政府采购活动前近</w:t>
      </w:r>
      <w:r>
        <w:rPr>
          <w:rFonts w:ascii="仿宋" w:hAnsi="仿宋" w:eastAsia="仿宋" w:cs="仿宋_GB2312"/>
          <w:b/>
          <w:kern w:val="0"/>
          <w:sz w:val="30"/>
          <w:szCs w:val="30"/>
        </w:rPr>
        <w:t>半年内任意一个月</w:t>
      </w:r>
      <w:r>
        <w:rPr>
          <w:rFonts w:hint="eastAsia" w:ascii="仿宋" w:hAnsi="仿宋" w:eastAsia="仿宋" w:cs="仿宋_GB2312"/>
          <w:b/>
          <w:kern w:val="0"/>
          <w:sz w:val="30"/>
          <w:szCs w:val="30"/>
        </w:rPr>
        <w:t>的依法缴纳税收和社会保障资金的相关材料</w:t>
      </w:r>
    </w:p>
    <w:p w14:paraId="22A37D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A92B12">
      <w:pPr>
        <w:autoSpaceDE w:val="0"/>
        <w:autoSpaceDN w:val="0"/>
        <w:spacing w:line="360" w:lineRule="auto"/>
        <w:ind w:firstLine="6120" w:firstLineChars="2550"/>
        <w:rPr>
          <w:rFonts w:ascii="仿宋" w:hAnsi="仿宋" w:eastAsia="仿宋" w:cs="仿宋_GB2312"/>
          <w:b/>
          <w:kern w:val="0"/>
          <w:sz w:val="30"/>
          <w:szCs w:val="30"/>
        </w:rPr>
      </w:pPr>
      <w:r>
        <w:rPr>
          <w:rFonts w:hint="eastAsia" w:ascii="仿宋_GB2312" w:hAnsi="仿宋" w:eastAsia="仿宋_GB2312" w:cs="仿宋_GB2312"/>
          <w:kern w:val="0"/>
          <w:sz w:val="24"/>
          <w:lang w:val="zh-CN"/>
        </w:rPr>
        <w:t>日期：  年  月   日</w:t>
      </w:r>
    </w:p>
    <w:p w14:paraId="2049534B">
      <w:pPr>
        <w:snapToGrid w:val="0"/>
        <w:ind w:firstLine="596" w:firstLineChars="198"/>
        <w:rPr>
          <w:sz w:val="24"/>
        </w:rPr>
      </w:pPr>
      <w:r>
        <w:rPr>
          <w:rFonts w:hint="eastAsia" w:ascii="仿宋" w:hAnsi="仿宋" w:eastAsia="仿宋" w:cs="仿宋_GB2312"/>
          <w:b/>
          <w:kern w:val="0"/>
          <w:sz w:val="30"/>
          <w:szCs w:val="30"/>
        </w:rPr>
        <w:t>五、提供参加本次政府采购活动前3年内在经营活动中没有重大违法记录的书面承诺函并加盖单位公章</w:t>
      </w:r>
    </w:p>
    <w:p w14:paraId="4DE830A9">
      <w:pPr>
        <w:bidi w:val="0"/>
        <w:jc w:val="center"/>
        <w:rPr>
          <w:rFonts w:hint="eastAsia" w:ascii="仿宋" w:hAnsi="仿宋" w:eastAsia="仿宋" w:cs="仿宋"/>
          <w:b/>
          <w:bCs/>
          <w:sz w:val="24"/>
          <w:szCs w:val="32"/>
        </w:rPr>
      </w:pPr>
      <w:r>
        <w:rPr>
          <w:rFonts w:hint="eastAsia" w:ascii="仿宋" w:hAnsi="仿宋" w:eastAsia="仿宋" w:cs="仿宋"/>
          <w:b/>
          <w:bCs/>
          <w:sz w:val="24"/>
          <w:szCs w:val="32"/>
        </w:rPr>
        <w:t>参与政府采购活动前三年内在经营活动中没有重大违法记录的书面声明函</w:t>
      </w:r>
    </w:p>
    <w:p w14:paraId="74A8A3DF">
      <w:pPr>
        <w:widowControl/>
        <w:spacing w:line="360" w:lineRule="auto"/>
        <w:ind w:firstLine="115" w:firstLineChars="48"/>
        <w:rPr>
          <w:rFonts w:hint="eastAsia" w:ascii="仿宋" w:hAnsi="仿宋" w:eastAsia="仿宋" w:cs="仿宋"/>
          <w:sz w:val="24"/>
        </w:rPr>
      </w:pPr>
      <w:r>
        <w:rPr>
          <w:rFonts w:hint="eastAsia" w:ascii="仿宋" w:hAnsi="仿宋" w:eastAsia="仿宋" w:cs="仿宋"/>
          <w:sz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bCs/>
          <w:szCs w:val="21"/>
        </w:rPr>
      </w:pPr>
      <w:r>
        <w:rPr>
          <w:rFonts w:hint="eastAsia" w:ascii="仿宋" w:hAnsi="仿宋" w:eastAsia="仿宋" w:cs="仿宋"/>
          <w:sz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11"/>
      </w:pPr>
    </w:p>
    <w:p w14:paraId="029C338F">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74CC9ADA">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56D1D57">
      <w:pPr>
        <w:pStyle w:val="11"/>
        <w:ind w:left="0" w:leftChars="0" w:firstLine="602" w:firstLineChars="200"/>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val="en-US" w:eastAsia="zh-CN"/>
        </w:rPr>
        <w:t>六、</w:t>
      </w:r>
      <w:r>
        <w:rPr>
          <w:rFonts w:hint="eastAsia" w:ascii="仿宋" w:hAnsi="仿宋" w:eastAsia="仿宋" w:cs="仿宋_GB2312"/>
          <w:b/>
          <w:kern w:val="0"/>
          <w:sz w:val="30"/>
          <w:szCs w:val="30"/>
        </w:rPr>
        <w:t>法律、行政法规规定的其他条件</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自行提供</w:t>
      </w:r>
      <w:r>
        <w:rPr>
          <w:rFonts w:hint="eastAsia" w:ascii="仿宋" w:hAnsi="仿宋" w:eastAsia="仿宋" w:cs="仿宋_GB2312"/>
          <w:b/>
          <w:kern w:val="0"/>
          <w:sz w:val="30"/>
          <w:szCs w:val="30"/>
          <w:lang w:eastAsia="zh-CN"/>
        </w:rPr>
        <w:t>）</w:t>
      </w:r>
    </w:p>
    <w:p w14:paraId="2E72448C">
      <w:pPr>
        <w:widowControl/>
        <w:spacing w:line="360" w:lineRule="auto"/>
        <w:ind w:firstLine="116" w:firstLineChars="48"/>
        <w:jc w:val="center"/>
        <w:rPr>
          <w:rFonts w:hint="eastAsia" w:ascii="仿宋" w:hAnsi="仿宋" w:eastAsia="仿宋" w:cs="仿宋"/>
          <w:b/>
          <w:bCs/>
          <w:sz w:val="24"/>
        </w:rPr>
      </w:pPr>
      <w:r>
        <w:rPr>
          <w:rFonts w:hint="eastAsia" w:ascii="仿宋" w:hAnsi="仿宋" w:eastAsia="仿宋" w:cs="仿宋"/>
          <w:b/>
          <w:bCs/>
          <w:sz w:val="24"/>
          <w:szCs w:val="32"/>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仿宋" w:hAnsi="仿宋" w:eastAsia="仿宋" w:cs="仿宋"/>
          <w:sz w:val="24"/>
        </w:rPr>
      </w:pPr>
      <w:r>
        <w:rPr>
          <w:rFonts w:hint="eastAsia" w:ascii="仿宋" w:hAnsi="仿宋" w:eastAsia="仿宋" w:cs="仿宋"/>
          <w:sz w:val="24"/>
        </w:rPr>
        <w:t>我公司承诺，</w:t>
      </w:r>
      <w:r>
        <w:rPr>
          <w:rFonts w:hint="eastAsia" w:ascii="仿宋" w:hAnsi="仿宋" w:eastAsia="仿宋" w:cs="仿宋"/>
          <w:sz w:val="24"/>
          <w:lang w:val="en-US" w:eastAsia="zh-CN"/>
        </w:rPr>
        <w:t>不存在</w:t>
      </w:r>
      <w:r>
        <w:rPr>
          <w:rFonts w:hint="eastAsia" w:ascii="仿宋" w:hAnsi="仿宋" w:eastAsia="仿宋" w:cs="仿宋"/>
          <w:sz w:val="24"/>
        </w:rPr>
        <w:t>法律、行政法规规定的其他条件</w:t>
      </w:r>
      <w:r>
        <w:rPr>
          <w:rFonts w:hint="eastAsia" w:ascii="仿宋" w:hAnsi="仿宋" w:eastAsia="仿宋" w:cs="仿宋"/>
          <w:sz w:val="24"/>
          <w:lang w:eastAsia="zh-CN"/>
        </w:rPr>
        <w:t>，</w:t>
      </w:r>
      <w:r>
        <w:rPr>
          <w:rFonts w:hint="eastAsia" w:ascii="仿宋" w:hAnsi="仿宋" w:eastAsia="仿宋" w:cs="仿宋"/>
          <w:sz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仿宋_GB2312" w:hAnsi="仿宋" w:eastAsia="仿宋_GB2312" w:cs="仿宋_GB2312"/>
          <w:kern w:val="0"/>
          <w:sz w:val="24"/>
        </w:rPr>
      </w:pPr>
    </w:p>
    <w:p w14:paraId="4F5BDE15">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0D3DFF9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29"/>
        <w:numPr>
          <w:ilvl w:val="0"/>
          <w:numId w:val="0"/>
        </w:numPr>
      </w:pPr>
    </w:p>
    <w:p w14:paraId="24BC1FAD">
      <w:pPr>
        <w:pStyle w:val="29"/>
        <w:numPr>
          <w:ilvl w:val="0"/>
          <w:numId w:val="0"/>
        </w:numPr>
      </w:pPr>
    </w:p>
    <w:p w14:paraId="5642071B">
      <w:pPr>
        <w:pStyle w:val="29"/>
        <w:numPr>
          <w:ilvl w:val="0"/>
          <w:numId w:val="0"/>
        </w:numPr>
      </w:pPr>
    </w:p>
    <w:p w14:paraId="2A394DF8">
      <w:pPr>
        <w:pStyle w:val="29"/>
        <w:numPr>
          <w:ilvl w:val="0"/>
          <w:numId w:val="0"/>
        </w:numPr>
      </w:pPr>
    </w:p>
    <w:p w14:paraId="6A38F91B">
      <w:pPr>
        <w:pStyle w:val="29"/>
        <w:numPr>
          <w:ilvl w:val="0"/>
          <w:numId w:val="0"/>
        </w:numPr>
      </w:pPr>
    </w:p>
    <w:p w14:paraId="68544595">
      <w:pPr>
        <w:pStyle w:val="29"/>
        <w:numPr>
          <w:ilvl w:val="0"/>
          <w:numId w:val="0"/>
        </w:numPr>
      </w:pPr>
    </w:p>
    <w:p w14:paraId="57104957">
      <w:pPr>
        <w:pStyle w:val="29"/>
        <w:numPr>
          <w:ilvl w:val="0"/>
          <w:numId w:val="0"/>
        </w:numPr>
      </w:pPr>
    </w:p>
    <w:p w14:paraId="688E1385">
      <w:pPr>
        <w:pStyle w:val="29"/>
        <w:numPr>
          <w:ilvl w:val="0"/>
          <w:numId w:val="0"/>
        </w:numPr>
      </w:pPr>
    </w:p>
    <w:p w14:paraId="00EE650B">
      <w:pPr>
        <w:pStyle w:val="29"/>
        <w:numPr>
          <w:ilvl w:val="0"/>
          <w:numId w:val="0"/>
        </w:numPr>
      </w:pPr>
    </w:p>
    <w:p w14:paraId="0796F566">
      <w:pPr>
        <w:pStyle w:val="29"/>
        <w:numPr>
          <w:ilvl w:val="0"/>
          <w:numId w:val="0"/>
        </w:numPr>
      </w:pPr>
    </w:p>
    <w:p w14:paraId="65BF2471">
      <w:pPr>
        <w:pStyle w:val="29"/>
        <w:numPr>
          <w:ilvl w:val="0"/>
          <w:numId w:val="0"/>
        </w:numPr>
      </w:pPr>
    </w:p>
    <w:p w14:paraId="08F588BA">
      <w:pPr>
        <w:pStyle w:val="29"/>
        <w:numPr>
          <w:ilvl w:val="0"/>
          <w:numId w:val="0"/>
        </w:numPr>
      </w:pPr>
    </w:p>
    <w:p w14:paraId="5AA739A4">
      <w:pPr>
        <w:pStyle w:val="29"/>
        <w:numPr>
          <w:ilvl w:val="0"/>
          <w:numId w:val="0"/>
        </w:numPr>
      </w:pPr>
    </w:p>
    <w:p w14:paraId="18DBD135">
      <w:pPr>
        <w:pStyle w:val="29"/>
        <w:numPr>
          <w:ilvl w:val="0"/>
          <w:numId w:val="0"/>
        </w:numPr>
      </w:pPr>
    </w:p>
    <w:p w14:paraId="4DE22FBA">
      <w:pPr>
        <w:pStyle w:val="29"/>
        <w:numPr>
          <w:ilvl w:val="0"/>
          <w:numId w:val="0"/>
        </w:numPr>
      </w:pPr>
    </w:p>
    <w:p w14:paraId="5C688FCB">
      <w:pPr>
        <w:pStyle w:val="29"/>
        <w:numPr>
          <w:ilvl w:val="0"/>
          <w:numId w:val="0"/>
        </w:numPr>
      </w:pPr>
    </w:p>
    <w:p w14:paraId="5AC27A6D">
      <w:pPr>
        <w:pStyle w:val="29"/>
        <w:numPr>
          <w:ilvl w:val="0"/>
          <w:numId w:val="0"/>
        </w:numPr>
      </w:pPr>
    </w:p>
    <w:p w14:paraId="5830D54B">
      <w:pPr>
        <w:pStyle w:val="29"/>
        <w:numPr>
          <w:ilvl w:val="0"/>
          <w:numId w:val="0"/>
        </w:numPr>
      </w:pPr>
    </w:p>
    <w:p w14:paraId="3B96AAB2">
      <w:pPr>
        <w:pStyle w:val="29"/>
        <w:numPr>
          <w:ilvl w:val="0"/>
          <w:numId w:val="0"/>
        </w:numPr>
      </w:pPr>
    </w:p>
    <w:p w14:paraId="04B1B421">
      <w:pPr>
        <w:pStyle w:val="29"/>
        <w:numPr>
          <w:ilvl w:val="0"/>
          <w:numId w:val="0"/>
        </w:numPr>
      </w:pPr>
    </w:p>
    <w:p w14:paraId="6B2374F0">
      <w:pPr>
        <w:pStyle w:val="158"/>
        <w:outlineLvl w:val="1"/>
        <w:rPr>
          <w:rFonts w:hint="eastAsia" w:ascii="宋体" w:hAnsi="宋体" w:eastAsia="宋体" w:cs="宋体"/>
          <w:sz w:val="30"/>
          <w:szCs w:val="30"/>
        </w:rPr>
      </w:pPr>
      <w:bookmarkStart w:id="544" w:name="_Toc12708"/>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rPr>
        <w:t>供应商资格声明</w:t>
      </w:r>
      <w:bookmarkEnd w:id="541"/>
      <w:bookmarkEnd w:id="543"/>
      <w:bookmarkEnd w:id="544"/>
    </w:p>
    <w:p w14:paraId="57C0C18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1．供应商概况：                                   </w:t>
      </w:r>
    </w:p>
    <w:p w14:paraId="4EB12338">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81"/>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81"/>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81"/>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2．我方在此声明，我方具备并满足下列各项条款的规定。本声明如有虚假或不实之处，我方将失去合格供应商资格且我方的磋商保证金将不予退还。</w:t>
      </w:r>
    </w:p>
    <w:p w14:paraId="4F2F8CA9">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81"/>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81"/>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81"/>
        <w:spacing w:line="360" w:lineRule="auto"/>
        <w:ind w:firstLine="420"/>
        <w:rPr>
          <w:rFonts w:hint="eastAsia" w:ascii="宋体" w:hAnsi="宋体" w:cs="宋体"/>
          <w:sz w:val="24"/>
          <w:szCs w:val="24"/>
        </w:rPr>
      </w:pPr>
    </w:p>
    <w:p w14:paraId="2D1865F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81"/>
        <w:spacing w:line="360" w:lineRule="auto"/>
        <w:ind w:firstLine="420"/>
        <w:rPr>
          <w:rFonts w:hint="eastAsia" w:ascii="宋体" w:hAnsi="宋体" w:cs="宋体"/>
          <w:sz w:val="24"/>
          <w:szCs w:val="24"/>
        </w:rPr>
      </w:pPr>
    </w:p>
    <w:p w14:paraId="522D45DA">
      <w:pPr>
        <w:pStyle w:val="93"/>
        <w:outlineLvl w:val="1"/>
        <w:rPr>
          <w:rFonts w:hint="eastAsia" w:ascii="宋体" w:hAnsi="宋体" w:cs="宋体"/>
          <w:szCs w:val="21"/>
        </w:rPr>
      </w:pPr>
      <w:r>
        <w:rPr>
          <w:rFonts w:hint="eastAsia" w:ascii="宋体" w:hAnsi="宋体" w:eastAsia="宋体" w:cs="宋体"/>
        </w:rPr>
        <w:br w:type="page"/>
      </w:r>
      <w:bookmarkStart w:id="545" w:name="_Toc2908"/>
      <w:bookmarkStart w:id="546" w:name="_Toc30592"/>
      <w:bookmarkStart w:id="547" w:name="_Toc106276282"/>
      <w:r>
        <w:rPr>
          <w:rFonts w:hint="eastAsia" w:ascii="宋体" w:hAnsi="宋体" w:eastAsia="宋体" w:cs="宋体"/>
          <w:sz w:val="30"/>
          <w:szCs w:val="30"/>
          <w:lang w:eastAsia="zh-CN"/>
        </w:rPr>
        <w:t>（二）</w:t>
      </w:r>
      <w:r>
        <w:rPr>
          <w:rFonts w:hint="eastAsia" w:ascii="宋体" w:hAnsi="宋体" w:eastAsia="宋体" w:cs="宋体"/>
          <w:sz w:val="30"/>
          <w:szCs w:val="30"/>
        </w:rPr>
        <w:t>法定代表人身份证明或附有法定代表人身份证明的授权书</w:t>
      </w:r>
      <w:bookmarkEnd w:id="545"/>
      <w:bookmarkEnd w:id="546"/>
      <w:bookmarkEnd w:id="547"/>
    </w:p>
    <w:p w14:paraId="60AFB373">
      <w:pPr>
        <w:pStyle w:val="74"/>
        <w:spacing w:line="360" w:lineRule="auto"/>
        <w:jc w:val="center"/>
        <w:rPr>
          <w:rFonts w:hint="eastAsia" w:ascii="宋体" w:hAnsi="宋体" w:cs="宋体"/>
          <w:szCs w:val="21"/>
        </w:rPr>
      </w:pPr>
      <w:r>
        <w:rPr>
          <w:rFonts w:hint="eastAsia" w:ascii="宋体" w:hAnsi="宋体" w:cs="宋体"/>
          <w:b/>
          <w:bCs/>
          <w:sz w:val="24"/>
        </w:rPr>
        <w:t>法定代表人身份证明</w:t>
      </w:r>
    </w:p>
    <w:p w14:paraId="41EAB6F5">
      <w:pPr>
        <w:pStyle w:val="74"/>
        <w:spacing w:line="360" w:lineRule="auto"/>
        <w:ind w:firstLine="42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74"/>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74"/>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74"/>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74"/>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74"/>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74"/>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74"/>
        <w:spacing w:line="360" w:lineRule="auto"/>
        <w:ind w:firstLine="420"/>
        <w:rPr>
          <w:rFonts w:hint="eastAsia" w:ascii="宋体" w:hAnsi="宋体" w:cs="宋体"/>
          <w:sz w:val="24"/>
          <w:szCs w:val="24"/>
        </w:rPr>
      </w:pPr>
    </w:p>
    <w:p w14:paraId="75330D77">
      <w:pPr>
        <w:pStyle w:val="74"/>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74"/>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74"/>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74"/>
        <w:spacing w:line="360" w:lineRule="auto"/>
        <w:ind w:firstLine="420"/>
        <w:rPr>
          <w:rFonts w:hint="eastAsia" w:ascii="宋体" w:hAnsi="宋体" w:cs="宋体"/>
          <w:sz w:val="24"/>
          <w:szCs w:val="24"/>
        </w:rPr>
      </w:pPr>
    </w:p>
    <w:p w14:paraId="6FDC457A">
      <w:pPr>
        <w:pStyle w:val="74"/>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74"/>
        <w:spacing w:line="360" w:lineRule="auto"/>
        <w:ind w:firstLine="420"/>
        <w:rPr>
          <w:rFonts w:hint="eastAsia" w:ascii="宋体" w:hAnsi="宋体" w:cs="宋体"/>
          <w:sz w:val="24"/>
          <w:szCs w:val="24"/>
        </w:rPr>
      </w:pPr>
    </w:p>
    <w:p w14:paraId="61A4EF66">
      <w:pPr>
        <w:pStyle w:val="74"/>
        <w:spacing w:line="360" w:lineRule="auto"/>
        <w:ind w:firstLine="420"/>
        <w:rPr>
          <w:rFonts w:hint="eastAsia" w:ascii="宋体" w:hAnsi="宋体" w:cs="宋体"/>
          <w:sz w:val="24"/>
          <w:szCs w:val="24"/>
        </w:rPr>
      </w:pPr>
    </w:p>
    <w:p w14:paraId="43C49505">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74"/>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74"/>
        <w:spacing w:line="360" w:lineRule="auto"/>
        <w:ind w:firstLine="420"/>
        <w:rPr>
          <w:rFonts w:hint="eastAsia" w:ascii="宋体" w:hAnsi="宋体" w:cs="宋体"/>
          <w:szCs w:val="21"/>
        </w:rPr>
      </w:pPr>
    </w:p>
    <w:p w14:paraId="52C7D7CF">
      <w:pPr>
        <w:pStyle w:val="74"/>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73"/>
        <w:adjustRightInd w:val="0"/>
        <w:snapToGrid w:val="0"/>
        <w:spacing w:line="360" w:lineRule="auto"/>
        <w:rPr>
          <w:rFonts w:hint="eastAsia" w:hAnsi="宋体" w:cs="宋体"/>
        </w:rPr>
      </w:pPr>
    </w:p>
    <w:p w14:paraId="22B6EA62">
      <w:pPr>
        <w:pStyle w:val="7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(姓名)为我公司本次磋商活动的授权代表，参加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项目的磋商活动。授权代表在磋商、合同签订过程中所签署的一切文件和处理与之有关的一切事务，我均予以承认。</w:t>
      </w:r>
    </w:p>
    <w:p w14:paraId="3AC2DCA9">
      <w:pPr>
        <w:pStyle w:val="73"/>
        <w:adjustRightInd w:val="0"/>
        <w:snapToGrid w:val="0"/>
        <w:spacing w:line="360" w:lineRule="auto"/>
        <w:rPr>
          <w:rFonts w:hint="eastAsia" w:hAnsi="宋体" w:cs="宋体"/>
          <w:sz w:val="24"/>
          <w:szCs w:val="24"/>
        </w:rPr>
      </w:pPr>
    </w:p>
    <w:p w14:paraId="57B5C0FC">
      <w:pPr>
        <w:pStyle w:val="7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73"/>
        <w:adjustRightInd w:val="0"/>
        <w:snapToGrid w:val="0"/>
        <w:spacing w:line="360" w:lineRule="auto"/>
        <w:ind w:left="412"/>
        <w:rPr>
          <w:rFonts w:hint="eastAsia" w:hAnsi="宋体" w:cs="宋体"/>
          <w:sz w:val="24"/>
          <w:szCs w:val="24"/>
        </w:rPr>
      </w:pPr>
    </w:p>
    <w:p w14:paraId="52AF3CD6">
      <w:pPr>
        <w:pStyle w:val="7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7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73"/>
        <w:adjustRightInd w:val="0"/>
        <w:snapToGrid w:val="0"/>
        <w:spacing w:line="360" w:lineRule="auto"/>
        <w:ind w:firstLine="420"/>
        <w:rPr>
          <w:rFonts w:hint="eastAsia" w:hAnsi="宋体" w:cs="宋体"/>
          <w:sz w:val="24"/>
          <w:szCs w:val="24"/>
          <w:u w:val="single"/>
        </w:rPr>
      </w:pPr>
    </w:p>
    <w:p w14:paraId="1537BBE3">
      <w:pPr>
        <w:pStyle w:val="7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73"/>
        <w:adjustRightInd w:val="0"/>
        <w:snapToGrid w:val="0"/>
        <w:spacing w:line="360" w:lineRule="auto"/>
        <w:ind w:firstLine="420"/>
        <w:rPr>
          <w:rFonts w:hint="eastAsia" w:hAnsi="宋体" w:cs="宋体"/>
          <w:sz w:val="24"/>
          <w:szCs w:val="24"/>
        </w:rPr>
      </w:pPr>
    </w:p>
    <w:p w14:paraId="79CE19B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152"/>
        <w:outlineLvl w:val="1"/>
        <w:rPr>
          <w:rFonts w:hint="eastAsia" w:ascii="宋体" w:hAnsi="宋体" w:eastAsia="宋体" w:cs="宋体"/>
        </w:rPr>
      </w:pPr>
      <w:r>
        <w:rPr>
          <w:rFonts w:hint="eastAsia" w:ascii="宋体" w:hAnsi="宋体" w:eastAsia="宋体" w:cs="宋体"/>
        </w:rPr>
        <w:br w:type="page"/>
      </w:r>
      <w:bookmarkStart w:id="548" w:name="_Toc106276283"/>
      <w:bookmarkStart w:id="549" w:name="_Toc18333"/>
      <w:bookmarkStart w:id="550" w:name="_Toc22495"/>
      <w:r>
        <w:rPr>
          <w:rFonts w:hint="eastAsia" w:ascii="宋体" w:hAnsi="宋体" w:eastAsia="宋体" w:cs="宋体"/>
          <w:sz w:val="30"/>
          <w:szCs w:val="30"/>
          <w:lang w:eastAsia="zh-CN"/>
        </w:rPr>
        <w:t>（三）</w:t>
      </w:r>
      <w:bookmarkEnd w:id="548"/>
      <w:bookmarkEnd w:id="549"/>
      <w:bookmarkStart w:id="551" w:name="_Toc3747"/>
      <w:bookmarkStart w:id="552" w:name="_Toc106276284"/>
      <w:r>
        <w:rPr>
          <w:rStyle w:val="56"/>
          <w:rFonts w:hint="eastAsia"/>
          <w:b/>
        </w:rPr>
        <w:t>不参与围标串标承诺书</w:t>
      </w:r>
      <w:bookmarkEnd w:id="550"/>
      <w:bookmarkEnd w:id="551"/>
      <w:bookmarkEnd w:id="552"/>
    </w:p>
    <w:p w14:paraId="4515AEAE">
      <w:pPr>
        <w:pStyle w:val="170"/>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170"/>
        <w:spacing w:line="640" w:lineRule="exact"/>
        <w:jc w:val="left"/>
        <w:rPr>
          <w:rFonts w:hint="eastAsia" w:ascii="宋体" w:hAnsi="宋体" w:cs="宋体"/>
          <w:sz w:val="24"/>
        </w:rPr>
      </w:pPr>
    </w:p>
    <w:p w14:paraId="70560E5B">
      <w:pPr>
        <w:pStyle w:val="170"/>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170"/>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170"/>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170"/>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170"/>
        <w:spacing w:line="360" w:lineRule="auto"/>
        <w:jc w:val="left"/>
        <w:rPr>
          <w:rFonts w:hint="eastAsia" w:ascii="宋体" w:hAnsi="宋体" w:cs="宋体"/>
          <w:sz w:val="24"/>
        </w:rPr>
      </w:pPr>
    </w:p>
    <w:p w14:paraId="006EAB19">
      <w:pPr>
        <w:pStyle w:val="170"/>
        <w:spacing w:line="360" w:lineRule="auto"/>
        <w:jc w:val="left"/>
        <w:rPr>
          <w:rFonts w:hint="eastAsia" w:ascii="宋体" w:hAnsi="宋体" w:cs="宋体"/>
          <w:sz w:val="24"/>
        </w:rPr>
      </w:pPr>
      <w:r>
        <w:rPr>
          <w:rFonts w:hint="eastAsia" w:ascii="宋体" w:hAnsi="宋体" w:cs="宋体"/>
          <w:sz w:val="24"/>
        </w:rPr>
        <w:t xml:space="preserve">     </w:t>
      </w:r>
    </w:p>
    <w:p w14:paraId="6EB769C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170"/>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170"/>
        <w:spacing w:line="640" w:lineRule="exact"/>
        <w:jc w:val="left"/>
        <w:rPr>
          <w:rFonts w:hint="eastAsia" w:ascii="宋体" w:hAnsi="宋体" w:cs="宋体"/>
          <w:sz w:val="24"/>
        </w:rPr>
      </w:pPr>
    </w:p>
    <w:p w14:paraId="128F46A3">
      <w:pPr>
        <w:pStyle w:val="170"/>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91"/>
        <w:outlineLvl w:val="1"/>
        <w:rPr>
          <w:rFonts w:hint="eastAsia" w:ascii="宋体" w:hAnsi="宋体" w:eastAsia="宋体" w:cs="宋体"/>
        </w:rPr>
      </w:pPr>
      <w:r>
        <w:rPr>
          <w:rFonts w:hint="eastAsia" w:ascii="宋体" w:hAnsi="宋体" w:eastAsia="宋体" w:cs="宋体"/>
        </w:rPr>
        <w:br w:type="page"/>
      </w:r>
      <w:bookmarkStart w:id="553" w:name="_Toc30875"/>
      <w:bookmarkStart w:id="554" w:name="_Toc106276285"/>
      <w:bookmarkStart w:id="555" w:name="_Toc8804"/>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w:t>
      </w:r>
      <w:r>
        <w:rPr>
          <w:rFonts w:hint="eastAsia" w:ascii="宋体" w:hAnsi="宋体" w:eastAsia="宋体" w:cs="宋体"/>
          <w:sz w:val="30"/>
          <w:szCs w:val="30"/>
        </w:rPr>
        <w:t>投标保证金</w:t>
      </w:r>
      <w:bookmarkEnd w:id="553"/>
      <w:bookmarkEnd w:id="554"/>
      <w:bookmarkEnd w:id="555"/>
    </w:p>
    <w:p w14:paraId="02D0BA32">
      <w:pPr>
        <w:pStyle w:val="124"/>
        <w:spacing w:line="360" w:lineRule="auto"/>
        <w:ind w:firstLine="480" w:firstLineChars="200"/>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FF0000"/>
          <w:sz w:val="32"/>
          <w:szCs w:val="32"/>
          <w:highlight w:val="lightGray"/>
          <w:lang w:val="en-US" w:eastAsia="zh-CN"/>
        </w:rPr>
        <w:t>后附企业基本账户信息</w:t>
      </w:r>
      <w:r>
        <w:rPr>
          <w:rFonts w:hint="eastAsia" w:ascii="宋体" w:hAnsi="宋体" w:cs="宋体"/>
          <w:sz w:val="24"/>
          <w:szCs w:val="24"/>
          <w:lang w:eastAsia="zh-CN"/>
        </w:rPr>
        <w:t>）</w:t>
      </w:r>
    </w:p>
    <w:p w14:paraId="6E8FABB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124"/>
        <w:spacing w:line="360" w:lineRule="auto"/>
        <w:ind w:firstLine="5520" w:firstLineChars="2300"/>
        <w:rPr>
          <w:rFonts w:hint="eastAsia" w:ascii="宋体" w:hAnsi="宋体" w:cs="宋体"/>
          <w:sz w:val="24"/>
          <w:szCs w:val="24"/>
        </w:rPr>
      </w:pPr>
    </w:p>
    <w:p w14:paraId="4D5C1576">
      <w:pPr>
        <w:pStyle w:val="164"/>
        <w:outlineLvl w:val="1"/>
        <w:rPr>
          <w:rFonts w:hint="eastAsia" w:ascii="宋体" w:hAnsi="宋体" w:cs="宋体"/>
        </w:rPr>
      </w:pPr>
      <w:r>
        <w:rPr>
          <w:rFonts w:hint="eastAsia" w:ascii="宋体" w:hAnsi="宋体" w:eastAsia="宋体" w:cs="宋体"/>
        </w:rPr>
        <w:br w:type="page"/>
      </w:r>
      <w:bookmarkStart w:id="556" w:name="_Toc22550"/>
      <w:bookmarkStart w:id="557" w:name="_Toc2508"/>
      <w:bookmarkStart w:id="558" w:name="_Toc106276286"/>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w:t>
      </w:r>
      <w:r>
        <w:rPr>
          <w:rFonts w:hint="eastAsia" w:ascii="宋体" w:hAnsi="宋体" w:eastAsia="宋体" w:cs="宋体"/>
          <w:sz w:val="30"/>
          <w:szCs w:val="30"/>
        </w:rPr>
        <w:t>中、小微企业声明函</w:t>
      </w:r>
      <w:bookmarkEnd w:id="556"/>
      <w:bookmarkEnd w:id="557"/>
      <w:bookmarkEnd w:id="558"/>
    </w:p>
    <w:p w14:paraId="2DBFE541">
      <w:pPr>
        <w:pStyle w:val="143"/>
        <w:spacing w:line="360" w:lineRule="auto"/>
        <w:ind w:right="-97"/>
        <w:jc w:val="center"/>
        <w:rPr>
          <w:rFonts w:hint="eastAsia" w:ascii="宋体" w:hAnsi="宋体"/>
          <w:b/>
          <w:bCs/>
          <w:sz w:val="24"/>
          <w:szCs w:val="24"/>
        </w:rPr>
      </w:pPr>
      <w:r>
        <w:rPr>
          <w:rFonts w:hint="eastAsia" w:ascii="宋体" w:hAnsi="宋体"/>
          <w:b/>
          <w:bCs/>
          <w:sz w:val="24"/>
          <w:szCs w:val="24"/>
        </w:rPr>
        <w:t>中小企业声明函</w:t>
      </w:r>
    </w:p>
    <w:p w14:paraId="4C421B64">
      <w:pPr>
        <w:pStyle w:val="143"/>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rPr>
        <w:t>本公司郑重声明，根据《政府采购促进中小企业发展暂行办法》（财库[2020]46号）的规定，本公司参加</w:t>
      </w:r>
      <w:r>
        <w:rPr>
          <w:rFonts w:hint="eastAsia" w:ascii="宋体" w:hAnsi="宋体"/>
          <w:color w:val="000000"/>
          <w:spacing w:val="6"/>
          <w:sz w:val="24"/>
          <w:szCs w:val="24"/>
          <w:u w:val="single"/>
        </w:rPr>
        <w:t xml:space="preserve">  （单位名称）  </w:t>
      </w:r>
      <w:r>
        <w:rPr>
          <w:rFonts w:hint="eastAsia" w:ascii="宋体" w:hAnsi="宋体"/>
          <w:color w:val="000000"/>
          <w:spacing w:val="6"/>
          <w:sz w:val="24"/>
          <w:szCs w:val="24"/>
        </w:rPr>
        <w:t>的</w:t>
      </w:r>
      <w:r>
        <w:rPr>
          <w:rFonts w:hint="eastAsia" w:ascii="宋体" w:hAnsi="宋体"/>
          <w:color w:val="000000"/>
          <w:spacing w:val="6"/>
          <w:sz w:val="24"/>
          <w:szCs w:val="24"/>
          <w:u w:val="single"/>
        </w:rPr>
        <w:t xml:space="preserve">  （项目名称）   </w:t>
      </w:r>
      <w:r>
        <w:rPr>
          <w:rFonts w:hint="eastAsia" w:ascii="宋体" w:hAnsi="宋体"/>
          <w:color w:val="000000"/>
          <w:spacing w:val="6"/>
          <w:sz w:val="24"/>
          <w:szCs w:val="24"/>
        </w:rPr>
        <w:t>采购活动，服务</w:t>
      </w:r>
    </w:p>
    <w:p w14:paraId="38CEE47D">
      <w:pPr>
        <w:pStyle w:val="143"/>
        <w:spacing w:line="360" w:lineRule="auto"/>
        <w:ind w:right="-97"/>
        <w:rPr>
          <w:rFonts w:hint="eastAsia" w:ascii="宋体" w:hAnsi="宋体"/>
          <w:b/>
          <w:bCs/>
          <w:color w:val="000000"/>
          <w:sz w:val="24"/>
          <w:szCs w:val="24"/>
        </w:rPr>
      </w:pPr>
      <w:r>
        <w:rPr>
          <w:rFonts w:hint="eastAsia" w:ascii="宋体" w:hAnsi="宋体"/>
          <w:color w:val="000000"/>
          <w:spacing w:val="6"/>
          <w:sz w:val="24"/>
          <w:szCs w:val="24"/>
        </w:rPr>
        <w:t>全部由符合政策要求的中小企业承接。相关企业的具体情况如下：</w:t>
      </w:r>
    </w:p>
    <w:p w14:paraId="5F97B96C">
      <w:pPr>
        <w:pStyle w:val="143"/>
        <w:numPr>
          <w:ilvl w:val="0"/>
          <w:numId w:val="5"/>
        </w:numPr>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 xml:space="preserve"> （采购文件中明确的所属行业）  </w:t>
      </w:r>
      <w:r>
        <w:rPr>
          <w:rFonts w:hint="eastAsia" w:ascii="宋体" w:hAnsi="宋体"/>
          <w:color w:val="000000"/>
          <w:spacing w:val="6"/>
          <w:sz w:val="24"/>
          <w:szCs w:val="24"/>
        </w:rPr>
        <w:t>，承接企业为</w:t>
      </w:r>
      <w:r>
        <w:rPr>
          <w:rFonts w:hint="eastAsia" w:ascii="宋体" w:hAnsi="宋体"/>
          <w:color w:val="000000"/>
          <w:spacing w:val="6"/>
          <w:sz w:val="24"/>
          <w:szCs w:val="24"/>
          <w:u w:val="single"/>
        </w:rPr>
        <w:t xml:space="preserve">   （企业名称）  </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 xml:space="preserve"> （中型企业、小型企业、微型企业）  </w:t>
      </w:r>
      <w:r>
        <w:rPr>
          <w:rFonts w:hint="eastAsia" w:ascii="宋体" w:hAnsi="宋体"/>
          <w:color w:val="000000"/>
          <w:spacing w:val="6"/>
          <w:sz w:val="24"/>
          <w:szCs w:val="24"/>
        </w:rPr>
        <w:t xml:space="preserve">； </w:t>
      </w:r>
    </w:p>
    <w:p w14:paraId="5320129D">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 xml:space="preserve">   ........</w:t>
      </w:r>
    </w:p>
    <w:p w14:paraId="184EE377">
      <w:pPr>
        <w:pStyle w:val="143"/>
        <w:spacing w:line="360" w:lineRule="auto"/>
        <w:ind w:right="-97" w:firstLine="504" w:firstLineChars="200"/>
        <w:rPr>
          <w:rFonts w:hint="eastAsia" w:ascii="宋体" w:hAnsi="宋体"/>
          <w:color w:val="000000"/>
          <w:spacing w:val="6"/>
          <w:sz w:val="24"/>
          <w:szCs w:val="24"/>
        </w:rPr>
      </w:pPr>
      <w:r>
        <w:rPr>
          <w:rFonts w:hint="eastAsia" w:ascii="宋体" w:hAnsi="宋体"/>
          <w:color w:val="000000"/>
          <w:spacing w:val="6"/>
          <w:sz w:val="24"/>
          <w:szCs w:val="24"/>
        </w:rPr>
        <w:t>本企业对上述声明内容的真实性负责。如有虚假，将依法承担相应责任。</w:t>
      </w:r>
    </w:p>
    <w:p w14:paraId="0EE33B5B">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注：</w:t>
      </w:r>
    </w:p>
    <w:p w14:paraId="32DE9703">
      <w:pPr>
        <w:pStyle w:val="143"/>
        <w:spacing w:line="360" w:lineRule="auto"/>
        <w:ind w:right="-97" w:firstLine="252" w:firstLineChars="100"/>
        <w:rPr>
          <w:rFonts w:hint="eastAsia" w:ascii="宋体" w:hAnsi="宋体"/>
          <w:color w:val="000000"/>
          <w:spacing w:val="6"/>
          <w:sz w:val="24"/>
          <w:szCs w:val="24"/>
        </w:rPr>
      </w:pPr>
      <w:r>
        <w:rPr>
          <w:rFonts w:hint="eastAsia" w:ascii="宋体" w:hAnsi="宋体"/>
          <w:color w:val="000000"/>
          <w:spacing w:val="6"/>
          <w:sz w:val="24"/>
          <w:szCs w:val="24"/>
        </w:rPr>
        <w:t>1、以上提及的企业，不属于大企业的分支机构，不存在控股股东为大企业的情形，也不存在与大企业的负责人为同一人的情形。</w:t>
      </w:r>
    </w:p>
    <w:p w14:paraId="3816479A">
      <w:pPr>
        <w:pStyle w:val="143"/>
        <w:spacing w:line="360" w:lineRule="auto"/>
        <w:ind w:right="-97" w:firstLine="252" w:firstLineChars="100"/>
        <w:rPr>
          <w:rFonts w:hint="eastAsia" w:ascii="宋体" w:hAnsi="宋体"/>
          <w:spacing w:val="-2"/>
          <w:sz w:val="24"/>
        </w:rPr>
      </w:pPr>
      <w:r>
        <w:rPr>
          <w:rFonts w:hint="eastAsia" w:ascii="宋体" w:hAnsi="宋体"/>
          <w:color w:val="000000"/>
          <w:spacing w:val="6"/>
          <w:sz w:val="24"/>
          <w:szCs w:val="24"/>
        </w:rPr>
        <w:t>2、标的名称指所投货物、产品、服务的名称。</w:t>
      </w:r>
      <w:r>
        <w:rPr>
          <w:rFonts w:hint="eastAsia" w:ascii="宋体" w:hAnsi="宋体"/>
          <w:spacing w:val="-2"/>
          <w:sz w:val="24"/>
        </w:rPr>
        <w:t>。</w:t>
      </w:r>
    </w:p>
    <w:p w14:paraId="6362C5B9">
      <w:pPr>
        <w:pStyle w:val="44"/>
        <w:spacing w:before="35" w:line="316" w:lineRule="auto"/>
        <w:ind w:right="2166" w:firstLine="4012" w:firstLineChars="1700"/>
        <w:rPr>
          <w:rFonts w:hint="eastAsia" w:ascii="宋体" w:hAnsi="宋体" w:cs="宋体"/>
          <w:spacing w:val="-2"/>
          <w:sz w:val="24"/>
        </w:rPr>
      </w:pPr>
    </w:p>
    <w:p w14:paraId="79F2A4F8">
      <w:pPr>
        <w:pStyle w:val="81"/>
        <w:spacing w:line="360" w:lineRule="auto"/>
        <w:ind w:firstLine="420"/>
        <w:jc w:val="left"/>
        <w:rPr>
          <w:rFonts w:hint="eastAsia" w:ascii="宋体" w:hAnsi="宋体" w:cs="宋体"/>
          <w:sz w:val="24"/>
          <w:szCs w:val="24"/>
          <w:u w:val="single"/>
        </w:rPr>
      </w:pPr>
      <w:bookmarkStart w:id="559" w:name="_Toc25422"/>
      <w:bookmarkStart w:id="560" w:name="_Toc8660"/>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供应商（电子签章）：</w:t>
      </w:r>
    </w:p>
    <w:p w14:paraId="13D5418F">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47CD5C6">
      <w:pPr>
        <w:pStyle w:val="147"/>
        <w:spacing w:line="500" w:lineRule="exact"/>
        <w:ind w:firstLine="4080" w:firstLineChars="1700"/>
        <w:rPr>
          <w:rFonts w:hint="eastAsia" w:ascii="宋体" w:hAnsi="宋体" w:cs="宋体"/>
          <w:sz w:val="24"/>
          <w:szCs w:val="24"/>
          <w:lang w:eastAsia="zh-CN"/>
        </w:rPr>
      </w:pPr>
    </w:p>
    <w:p w14:paraId="56D524D3">
      <w:pPr>
        <w:bidi w:val="0"/>
        <w:ind w:firstLine="504" w:firstLineChars="200"/>
        <w:rPr>
          <w:rFonts w:hint="eastAsia" w:ascii="宋体" w:hAnsi="宋体" w:eastAsia="宋体" w:cs="宋体"/>
          <w:bCs/>
          <w:sz w:val="24"/>
          <w:lang w:val="en-US" w:eastAsia="zh-CN"/>
        </w:rPr>
      </w:pPr>
      <w:bookmarkStart w:id="561"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561"/>
      <w:r>
        <w:rPr>
          <w:rFonts w:hint="eastAsia" w:ascii="宋体" w:hAnsi="宋体" w:eastAsia="宋体" w:cs="宋体"/>
          <w:color w:val="000000"/>
          <w:spacing w:val="6"/>
          <w:kern w:val="2"/>
          <w:sz w:val="24"/>
          <w:szCs w:val="24"/>
          <w:lang w:val="en-US" w:eastAsia="zh-CN" w:bidi="ar-SA"/>
        </w:rPr>
        <w:t xml:space="preserve"> </w:t>
      </w:r>
    </w:p>
    <w:p w14:paraId="3C0E9E20">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62" w:name="_Toc106276288"/>
      <w:r>
        <w:rPr>
          <w:rFonts w:hint="eastAsia" w:ascii="宋体" w:hAnsi="宋体" w:eastAsia="宋体" w:cs="宋体"/>
          <w:b/>
          <w:bCs/>
          <w:color w:val="000000"/>
          <w:spacing w:val="6"/>
          <w:kern w:val="2"/>
          <w:sz w:val="24"/>
          <w:szCs w:val="24"/>
          <w:lang w:val="en-US" w:eastAsia="zh-CN" w:bidi="ar-SA"/>
        </w:rPr>
        <w:t>注：</w:t>
      </w:r>
      <w:bookmarkEnd w:id="562"/>
    </w:p>
    <w:p w14:paraId="217A26C1">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63"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563"/>
    </w:p>
    <w:p w14:paraId="5C76A989">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64"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564"/>
    </w:p>
    <w:p w14:paraId="147396B6">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65"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565"/>
    </w:p>
    <w:p w14:paraId="750C64E1">
      <w:pPr>
        <w:pStyle w:val="29"/>
        <w:rPr>
          <w:rFonts w:hint="eastAsia" w:ascii="宋体" w:hAnsi="宋体" w:eastAsia="宋体" w:cs="宋体"/>
          <w:b/>
          <w:bCs/>
          <w:color w:val="000000"/>
          <w:spacing w:val="6"/>
          <w:kern w:val="2"/>
          <w:sz w:val="24"/>
          <w:szCs w:val="24"/>
          <w:lang w:val="en-US" w:eastAsia="zh-CN" w:bidi="ar-SA"/>
        </w:rPr>
      </w:pPr>
    </w:p>
    <w:p w14:paraId="7C32F84C">
      <w:pPr>
        <w:pStyle w:val="29"/>
        <w:rPr>
          <w:rFonts w:hint="eastAsia" w:ascii="宋体" w:hAnsi="宋体" w:eastAsia="宋体" w:cs="宋体"/>
          <w:b/>
          <w:bCs/>
          <w:color w:val="000000"/>
          <w:spacing w:val="6"/>
          <w:kern w:val="2"/>
          <w:sz w:val="24"/>
          <w:szCs w:val="24"/>
          <w:lang w:val="en-US" w:eastAsia="zh-CN" w:bidi="ar-SA"/>
        </w:rPr>
      </w:pPr>
    </w:p>
    <w:p w14:paraId="2A7F8FD4">
      <w:pPr>
        <w:pStyle w:val="29"/>
        <w:rPr>
          <w:rFonts w:hint="eastAsia" w:ascii="宋体" w:hAnsi="宋体" w:eastAsia="宋体" w:cs="宋体"/>
          <w:b/>
          <w:bCs/>
          <w:color w:val="000000"/>
          <w:spacing w:val="6"/>
          <w:kern w:val="2"/>
          <w:sz w:val="24"/>
          <w:szCs w:val="24"/>
          <w:lang w:val="en-US" w:eastAsia="zh-CN" w:bidi="ar-SA"/>
        </w:rPr>
      </w:pPr>
    </w:p>
    <w:p w14:paraId="2E737AB2">
      <w:pPr>
        <w:pStyle w:val="29"/>
        <w:rPr>
          <w:rFonts w:hint="eastAsia" w:ascii="宋体" w:hAnsi="宋体" w:eastAsia="宋体" w:cs="宋体"/>
          <w:b/>
          <w:bCs/>
          <w:color w:val="000000"/>
          <w:spacing w:val="6"/>
          <w:kern w:val="2"/>
          <w:sz w:val="24"/>
          <w:szCs w:val="24"/>
          <w:lang w:val="en-US" w:eastAsia="zh-CN" w:bidi="ar-SA"/>
        </w:rPr>
      </w:pPr>
    </w:p>
    <w:p w14:paraId="4A4EF95B">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46"/>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29"/>
        <w:rPr>
          <w:rFonts w:hint="eastAsia" w:ascii="宋体" w:hAnsi="宋体" w:eastAsia="宋体" w:cs="宋体"/>
          <w:b/>
          <w:bCs/>
          <w:color w:val="000000"/>
          <w:spacing w:val="6"/>
          <w:kern w:val="2"/>
          <w:sz w:val="24"/>
          <w:szCs w:val="24"/>
          <w:lang w:val="en-US" w:eastAsia="zh-CN" w:bidi="ar-SA"/>
        </w:rPr>
      </w:pPr>
    </w:p>
    <w:p w14:paraId="20985D39">
      <w:pPr>
        <w:pStyle w:val="29"/>
        <w:rPr>
          <w:rFonts w:hint="eastAsia" w:ascii="宋体" w:hAnsi="宋体" w:eastAsia="宋体" w:cs="宋体"/>
          <w:b/>
          <w:bCs/>
          <w:color w:val="000000"/>
          <w:spacing w:val="6"/>
          <w:kern w:val="2"/>
          <w:sz w:val="24"/>
          <w:szCs w:val="24"/>
          <w:lang w:val="en-US" w:eastAsia="zh-CN" w:bidi="ar-SA"/>
        </w:rPr>
      </w:pPr>
    </w:p>
    <w:p w14:paraId="7048F43A">
      <w:pPr>
        <w:pStyle w:val="29"/>
        <w:rPr>
          <w:rFonts w:hint="eastAsia" w:ascii="宋体" w:hAnsi="宋体" w:eastAsia="宋体" w:cs="宋体"/>
          <w:b/>
          <w:bCs/>
          <w:color w:val="000000"/>
          <w:spacing w:val="6"/>
          <w:kern w:val="2"/>
          <w:sz w:val="24"/>
          <w:szCs w:val="24"/>
          <w:lang w:val="en-US" w:eastAsia="zh-CN" w:bidi="ar-SA"/>
        </w:rPr>
      </w:pPr>
    </w:p>
    <w:p w14:paraId="69FEFCC5">
      <w:pPr>
        <w:pStyle w:val="29"/>
        <w:rPr>
          <w:rFonts w:hint="eastAsia" w:ascii="宋体" w:hAnsi="宋体" w:eastAsia="宋体" w:cs="宋体"/>
          <w:b/>
          <w:bCs/>
          <w:color w:val="000000"/>
          <w:spacing w:val="6"/>
          <w:kern w:val="2"/>
          <w:sz w:val="24"/>
          <w:szCs w:val="24"/>
          <w:lang w:val="en-US" w:eastAsia="zh-CN" w:bidi="ar-SA"/>
        </w:rPr>
      </w:pPr>
    </w:p>
    <w:p w14:paraId="55076E23">
      <w:pPr>
        <w:pStyle w:val="3"/>
        <w:bidi w:val="0"/>
        <w:rPr>
          <w:rFonts w:hint="eastAsia"/>
          <w:sz w:val="30"/>
          <w:szCs w:val="30"/>
        </w:rPr>
      </w:pPr>
      <w:bookmarkStart w:id="566" w:name="_Toc4414"/>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rFonts w:hint="eastAsia"/>
          <w:sz w:val="30"/>
          <w:szCs w:val="30"/>
        </w:rPr>
        <w:t>其他资格证明文件</w:t>
      </w:r>
      <w:bookmarkEnd w:id="566"/>
    </w:p>
    <w:p w14:paraId="3976DF27">
      <w:pPr>
        <w:pStyle w:val="81"/>
        <w:numPr>
          <w:ilvl w:val="0"/>
          <w:numId w:val="0"/>
        </w:numPr>
        <w:spacing w:line="360" w:lineRule="auto"/>
        <w:ind w:firstLine="480" w:firstLineChars="200"/>
        <w:jc w:val="left"/>
        <w:rPr>
          <w:rFonts w:hint="eastAsia"/>
          <w:kern w:val="0"/>
          <w:sz w:val="24"/>
        </w:rPr>
      </w:pPr>
      <w:r>
        <w:rPr>
          <w:rFonts w:hint="eastAsia"/>
          <w:kern w:val="0"/>
          <w:sz w:val="24"/>
        </w:rPr>
        <w:t>其他说明：（1）与</w:t>
      </w:r>
      <w:r>
        <w:rPr>
          <w:rFonts w:hint="eastAsia"/>
          <w:kern w:val="0"/>
          <w:sz w:val="24"/>
          <w:lang w:eastAsia="zh-CN"/>
        </w:rPr>
        <w:t>采购人</w:t>
      </w:r>
      <w:r>
        <w:rPr>
          <w:rFonts w:hint="eastAsia"/>
          <w:kern w:val="0"/>
          <w:sz w:val="24"/>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2"/>
        <w:keepNext w:val="0"/>
        <w:keepLines w:val="0"/>
        <w:numPr>
          <w:ilvl w:val="0"/>
          <w:numId w:val="0"/>
        </w:numPr>
        <w:spacing w:before="0" w:after="0" w:line="504" w:lineRule="atLeast"/>
        <w:jc w:val="center"/>
        <w:textAlignment w:val="baseline"/>
        <w:rPr>
          <w:rFonts w:hint="eastAsia" w:ascii="宋体" w:hAnsi="宋体" w:eastAsia="宋体" w:cs="宋体"/>
          <w:bCs/>
          <w:color w:val="auto"/>
          <w:sz w:val="24"/>
          <w:szCs w:val="24"/>
        </w:rPr>
      </w:pPr>
      <w:bookmarkStart w:id="567" w:name="_Toc19014"/>
      <w:bookmarkStart w:id="568" w:name="_Toc10263"/>
      <w:bookmarkStart w:id="569" w:name="_Toc6081"/>
      <w:r>
        <w:rPr>
          <w:rFonts w:hint="eastAsia" w:ascii="宋体" w:hAnsi="宋体" w:eastAsia="宋体" w:cs="宋体"/>
          <w:bCs/>
          <w:color w:val="auto"/>
          <w:sz w:val="24"/>
          <w:szCs w:val="24"/>
        </w:rPr>
        <w:t>直接控股、管理关系承诺</w:t>
      </w:r>
      <w:bookmarkEnd w:id="567"/>
      <w:bookmarkEnd w:id="568"/>
      <w:bookmarkEnd w:id="569"/>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1326B0A9">
      <w:pPr>
        <w:pStyle w:val="29"/>
        <w:rPr>
          <w:rFonts w:hint="eastAsia"/>
          <w:kern w:val="0"/>
          <w:sz w:val="24"/>
          <w:lang w:val="en-US" w:eastAsia="zh-CN"/>
        </w:rPr>
      </w:pPr>
    </w:p>
    <w:p w14:paraId="58EF73CA">
      <w:pPr>
        <w:pStyle w:val="29"/>
        <w:rPr>
          <w:rFonts w:hint="default"/>
          <w:lang w:val="en-US" w:eastAsia="zh-CN"/>
        </w:rPr>
      </w:pPr>
    </w:p>
    <w:p w14:paraId="4B5FB9C2">
      <w:pPr>
        <w:pStyle w:val="3"/>
        <w:numPr>
          <w:ilvl w:val="0"/>
          <w:numId w:val="2"/>
        </w:numPr>
        <w:bidi w:val="0"/>
        <w:ind w:left="510" w:leftChars="0" w:hanging="510" w:firstLineChars="0"/>
        <w:rPr>
          <w:rFonts w:hint="eastAsia"/>
          <w:b/>
          <w:bCs w:val="0"/>
          <w:sz w:val="32"/>
        </w:rPr>
      </w:pPr>
      <w:r>
        <w:rPr>
          <w:sz w:val="24"/>
        </w:rPr>
        <w:br w:type="page"/>
      </w:r>
      <w:bookmarkStart w:id="570" w:name="_Toc28607"/>
      <w:r>
        <w:rPr>
          <w:rFonts w:hint="eastAsia"/>
          <w:b/>
          <w:bCs w:val="0"/>
          <w:sz w:val="32"/>
          <w:lang w:val="en-US" w:eastAsia="zh-CN"/>
        </w:rPr>
        <w:t>报价</w:t>
      </w:r>
      <w:r>
        <w:rPr>
          <w:rFonts w:hint="eastAsia"/>
          <w:b/>
          <w:bCs w:val="0"/>
          <w:sz w:val="32"/>
        </w:rPr>
        <w:t>响应文件</w:t>
      </w:r>
      <w:bookmarkEnd w:id="559"/>
      <w:bookmarkEnd w:id="570"/>
      <w:bookmarkStart w:id="571" w:name="_Toc106276292"/>
      <w:bookmarkStart w:id="572" w:name="_Toc8324"/>
    </w:p>
    <w:p w14:paraId="79703244">
      <w:pPr>
        <w:pStyle w:val="3"/>
        <w:numPr>
          <w:ilvl w:val="0"/>
          <w:numId w:val="0"/>
        </w:numPr>
        <w:bidi w:val="0"/>
        <w:ind w:leftChars="0"/>
        <w:rPr>
          <w:rFonts w:hint="eastAsia" w:ascii="宋体" w:hAnsi="宋体" w:eastAsia="宋体" w:cs="宋体"/>
          <w:bCs w:val="0"/>
          <w:sz w:val="28"/>
          <w:szCs w:val="28"/>
        </w:rPr>
      </w:pPr>
      <w:bookmarkStart w:id="573" w:name="_Toc4502"/>
      <w:r>
        <w:rPr>
          <w:rFonts w:hint="eastAsia" w:ascii="宋体" w:hAnsi="宋体" w:eastAsia="宋体" w:cs="宋体"/>
          <w:bCs w:val="0"/>
          <w:sz w:val="28"/>
          <w:szCs w:val="28"/>
          <w:lang w:eastAsia="zh-CN"/>
        </w:rPr>
        <w:t>（一）</w:t>
      </w:r>
      <w:r>
        <w:rPr>
          <w:rFonts w:hint="eastAsia" w:ascii="宋体" w:hAnsi="宋体" w:eastAsia="宋体" w:cs="宋体"/>
          <w:bCs w:val="0"/>
          <w:sz w:val="28"/>
          <w:szCs w:val="28"/>
        </w:rPr>
        <w:t>开标一览表</w:t>
      </w:r>
      <w:bookmarkEnd w:id="571"/>
      <w:bookmarkEnd w:id="572"/>
      <w:bookmarkEnd w:id="573"/>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132"/>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132"/>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132"/>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0"/>
            <w:vAlign w:val="center"/>
          </w:tcPr>
          <w:p w14:paraId="27F7A939">
            <w:pPr>
              <w:pStyle w:val="132"/>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132"/>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132"/>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服务期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132"/>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132"/>
              <w:spacing w:line="360" w:lineRule="auto"/>
              <w:rPr>
                <w:rFonts w:hint="eastAsia" w:ascii="宋体" w:hAnsi="宋体"/>
                <w:sz w:val="24"/>
                <w:szCs w:val="24"/>
              </w:rPr>
            </w:pPr>
            <w:r>
              <w:rPr>
                <w:rFonts w:hint="eastAsia" w:ascii="宋体" w:hAnsi="宋体"/>
                <w:sz w:val="24"/>
                <w:szCs w:val="24"/>
              </w:rPr>
              <w:t>备注：</w:t>
            </w:r>
          </w:p>
        </w:tc>
      </w:tr>
    </w:tbl>
    <w:p w14:paraId="3BCE7AB9">
      <w:pPr>
        <w:pStyle w:val="133"/>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133"/>
        <w:spacing w:line="360" w:lineRule="auto"/>
        <w:ind w:firstLine="720" w:firstLineChars="300"/>
        <w:rPr>
          <w:rFonts w:hint="eastAsia" w:ascii="宋体" w:hAnsi="宋体" w:cs="宋体"/>
          <w:sz w:val="24"/>
        </w:rPr>
      </w:pPr>
      <w:r>
        <w:rPr>
          <w:rFonts w:hint="eastAsia" w:ascii="宋体" w:hAnsi="宋体" w:cs="宋体"/>
          <w:sz w:val="24"/>
        </w:rPr>
        <w:t>2、任何有选择或有条件的投标报价或表中某一包填写多个报价，均将导致投标被拒绝。</w:t>
      </w:r>
    </w:p>
    <w:p w14:paraId="6C714FDC">
      <w:pPr>
        <w:pStyle w:val="133"/>
        <w:spacing w:line="360" w:lineRule="auto"/>
        <w:ind w:firstLine="480" w:firstLineChars="200"/>
        <w:rPr>
          <w:rFonts w:hint="eastAsia" w:ascii="宋体" w:hAnsi="宋体" w:cs="宋体"/>
          <w:sz w:val="24"/>
        </w:rPr>
      </w:pPr>
    </w:p>
    <w:p w14:paraId="36DD2ED3">
      <w:pPr>
        <w:pStyle w:val="133"/>
        <w:spacing w:line="360" w:lineRule="auto"/>
        <w:ind w:firstLine="480" w:firstLineChars="200"/>
        <w:rPr>
          <w:rFonts w:hint="eastAsia" w:ascii="宋体" w:hAnsi="宋体" w:cs="宋体"/>
          <w:sz w:val="24"/>
          <w:u w:val="single"/>
        </w:rPr>
      </w:pPr>
    </w:p>
    <w:p w14:paraId="4F77B41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DEB1065">
      <w:pPr>
        <w:pStyle w:val="125"/>
        <w:spacing w:line="360" w:lineRule="auto"/>
        <w:ind w:firstLine="480" w:firstLineChars="200"/>
        <w:rPr>
          <w:rFonts w:hint="eastAsia" w:ascii="宋体" w:hAnsi="宋体" w:cs="宋体"/>
          <w:sz w:val="24"/>
        </w:rPr>
      </w:pPr>
    </w:p>
    <w:p w14:paraId="10FE2A74">
      <w:pPr>
        <w:pStyle w:val="125"/>
        <w:spacing w:line="360" w:lineRule="auto"/>
        <w:ind w:firstLine="480" w:firstLineChars="200"/>
        <w:rPr>
          <w:rFonts w:hint="eastAsia" w:ascii="宋体" w:hAnsi="宋体" w:cs="宋体"/>
          <w:sz w:val="24"/>
        </w:rPr>
      </w:pPr>
    </w:p>
    <w:p w14:paraId="54213753">
      <w:pPr>
        <w:pStyle w:val="125"/>
        <w:spacing w:line="360" w:lineRule="auto"/>
        <w:ind w:firstLine="480" w:firstLineChars="200"/>
        <w:rPr>
          <w:rFonts w:hint="eastAsia" w:ascii="宋体" w:hAnsi="宋体" w:cs="宋体"/>
          <w:sz w:val="24"/>
        </w:rPr>
      </w:pPr>
    </w:p>
    <w:p w14:paraId="529892E1">
      <w:pPr>
        <w:pStyle w:val="125"/>
        <w:spacing w:line="360" w:lineRule="auto"/>
        <w:ind w:firstLine="480" w:firstLineChars="200"/>
        <w:rPr>
          <w:rFonts w:hint="eastAsia" w:ascii="宋体" w:hAnsi="宋体" w:cs="宋体"/>
          <w:sz w:val="24"/>
        </w:rPr>
      </w:pPr>
    </w:p>
    <w:p w14:paraId="1176762E">
      <w:pPr>
        <w:pStyle w:val="125"/>
        <w:spacing w:line="360" w:lineRule="auto"/>
        <w:ind w:firstLine="480" w:firstLineChars="200"/>
        <w:rPr>
          <w:rFonts w:hint="eastAsia" w:ascii="宋体" w:hAnsi="宋体" w:cs="宋体"/>
          <w:sz w:val="24"/>
        </w:rPr>
      </w:pPr>
    </w:p>
    <w:p w14:paraId="5378443B">
      <w:pPr>
        <w:pStyle w:val="125"/>
        <w:numPr>
          <w:ilvl w:val="0"/>
          <w:numId w:val="6"/>
        </w:numPr>
        <w:spacing w:line="360" w:lineRule="auto"/>
        <w:rPr>
          <w:rFonts w:hint="eastAsia" w:ascii="宋体" w:hAnsi="宋体" w:cs="宋体"/>
          <w:b/>
          <w:bCs/>
          <w:sz w:val="28"/>
          <w:szCs w:val="24"/>
          <w:lang w:val="en-US" w:eastAsia="zh-CN"/>
        </w:rPr>
      </w:pPr>
      <w:r>
        <w:rPr>
          <w:rFonts w:hint="eastAsia" w:ascii="宋体" w:hAnsi="宋体" w:cs="宋体"/>
          <w:b/>
          <w:bCs/>
          <w:sz w:val="28"/>
          <w:szCs w:val="24"/>
          <w:lang w:val="en-US" w:eastAsia="zh-CN"/>
        </w:rPr>
        <w:t>明细报价表</w:t>
      </w:r>
    </w:p>
    <w:tbl>
      <w:tblPr>
        <w:tblStyle w:val="46"/>
        <w:tblW w:w="11301" w:type="dxa"/>
        <w:jc w:val="center"/>
        <w:tblLayout w:type="fixed"/>
        <w:tblCellMar>
          <w:top w:w="0" w:type="dxa"/>
          <w:left w:w="108" w:type="dxa"/>
          <w:bottom w:w="0" w:type="dxa"/>
          <w:right w:w="108" w:type="dxa"/>
        </w:tblCellMar>
      </w:tblPr>
      <w:tblGrid>
        <w:gridCol w:w="685"/>
        <w:gridCol w:w="1744"/>
        <w:gridCol w:w="3612"/>
        <w:gridCol w:w="738"/>
        <w:gridCol w:w="725"/>
        <w:gridCol w:w="1134"/>
        <w:gridCol w:w="1425"/>
        <w:gridCol w:w="1238"/>
      </w:tblGrid>
      <w:tr w14:paraId="6FDA2E15">
        <w:tblPrEx>
          <w:tblCellMar>
            <w:top w:w="0" w:type="dxa"/>
            <w:left w:w="108" w:type="dxa"/>
            <w:bottom w:w="0" w:type="dxa"/>
            <w:right w:w="108" w:type="dxa"/>
          </w:tblCellMar>
        </w:tblPrEx>
        <w:trPr>
          <w:trHeight w:val="462"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7C8C7951">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序号</w:t>
            </w:r>
          </w:p>
        </w:tc>
        <w:tc>
          <w:tcPr>
            <w:tcW w:w="1744" w:type="dxa"/>
            <w:tcBorders>
              <w:top w:val="single" w:color="auto" w:sz="4" w:space="0"/>
              <w:left w:val="nil"/>
              <w:bottom w:val="single" w:color="auto" w:sz="4" w:space="0"/>
              <w:right w:val="single" w:color="auto" w:sz="4" w:space="0"/>
            </w:tcBorders>
            <w:noWrap w:val="0"/>
            <w:vAlign w:val="center"/>
          </w:tcPr>
          <w:p w14:paraId="3E88CB7B">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运维工作项目</w:t>
            </w:r>
          </w:p>
        </w:tc>
        <w:tc>
          <w:tcPr>
            <w:tcW w:w="3612" w:type="dxa"/>
            <w:tcBorders>
              <w:top w:val="single" w:color="auto" w:sz="4" w:space="0"/>
              <w:left w:val="nil"/>
              <w:bottom w:val="single" w:color="auto" w:sz="4" w:space="0"/>
              <w:right w:val="single" w:color="auto" w:sz="4" w:space="0"/>
            </w:tcBorders>
            <w:noWrap w:val="0"/>
            <w:vAlign w:val="center"/>
          </w:tcPr>
          <w:p w14:paraId="3E7584AF">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具体工作内容及要求</w:t>
            </w:r>
          </w:p>
        </w:tc>
        <w:tc>
          <w:tcPr>
            <w:tcW w:w="738" w:type="dxa"/>
            <w:tcBorders>
              <w:top w:val="single" w:color="auto" w:sz="4" w:space="0"/>
              <w:left w:val="nil"/>
              <w:bottom w:val="single" w:color="auto" w:sz="4" w:space="0"/>
              <w:right w:val="single" w:color="auto" w:sz="4" w:space="0"/>
            </w:tcBorders>
            <w:noWrap w:val="0"/>
            <w:vAlign w:val="center"/>
          </w:tcPr>
          <w:p w14:paraId="6B459D06">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单位</w:t>
            </w:r>
          </w:p>
        </w:tc>
        <w:tc>
          <w:tcPr>
            <w:tcW w:w="725" w:type="dxa"/>
            <w:tcBorders>
              <w:top w:val="single" w:color="auto" w:sz="4" w:space="0"/>
              <w:left w:val="nil"/>
              <w:bottom w:val="single" w:color="auto" w:sz="4" w:space="0"/>
              <w:right w:val="single" w:color="auto" w:sz="4" w:space="0"/>
            </w:tcBorders>
            <w:noWrap w:val="0"/>
            <w:vAlign w:val="center"/>
          </w:tcPr>
          <w:p w14:paraId="0AC54D2B">
            <w:pPr>
              <w:spacing w:after="0" w:line="240" w:lineRule="auto"/>
              <w:ind w:firstLine="0" w:firstLineChars="0"/>
              <w:jc w:val="center"/>
              <w:rPr>
                <w:rFonts w:ascii="宋体" w:hAnsi="宋体" w:cs="宋体"/>
                <w:b/>
                <w:bCs/>
                <w:color w:val="000000"/>
                <w:sz w:val="22"/>
              </w:rPr>
            </w:pPr>
            <w:r>
              <w:rPr>
                <w:rFonts w:hint="eastAsia" w:ascii="宋体" w:hAnsi="宋体" w:cs="宋体"/>
                <w:b/>
                <w:bCs/>
                <w:color w:val="000000"/>
                <w:sz w:val="22"/>
              </w:rPr>
              <w:t>数量</w:t>
            </w:r>
          </w:p>
        </w:tc>
        <w:tc>
          <w:tcPr>
            <w:tcW w:w="1134" w:type="dxa"/>
            <w:tcBorders>
              <w:top w:val="single" w:color="auto" w:sz="4" w:space="0"/>
              <w:left w:val="nil"/>
              <w:bottom w:val="single" w:color="auto" w:sz="4" w:space="0"/>
              <w:right w:val="single" w:color="auto" w:sz="4" w:space="0"/>
            </w:tcBorders>
            <w:noWrap w:val="0"/>
            <w:vAlign w:val="center"/>
          </w:tcPr>
          <w:p w14:paraId="291F000A">
            <w:pPr>
              <w:spacing w:after="0" w:line="240" w:lineRule="auto"/>
              <w:ind w:firstLine="0" w:firstLineChars="0"/>
              <w:jc w:val="center"/>
              <w:rPr>
                <w:rFonts w:hint="eastAsia" w:ascii="宋体" w:hAnsi="宋体" w:eastAsia="宋体" w:cs="宋体"/>
                <w:b/>
                <w:bCs/>
                <w:color w:val="000000"/>
                <w:sz w:val="22"/>
                <w:lang w:eastAsia="zh-CN"/>
              </w:rPr>
            </w:pPr>
            <w:r>
              <w:rPr>
                <w:rFonts w:hint="eastAsia" w:ascii="宋体" w:hAnsi="宋体" w:cs="宋体"/>
                <w:b/>
                <w:bCs/>
                <w:color w:val="000000"/>
                <w:sz w:val="22"/>
                <w:lang w:val="en-US" w:eastAsia="zh-CN"/>
              </w:rPr>
              <w:t>单价</w:t>
            </w:r>
          </w:p>
        </w:tc>
        <w:tc>
          <w:tcPr>
            <w:tcW w:w="1425" w:type="dxa"/>
            <w:tcBorders>
              <w:top w:val="single" w:color="auto" w:sz="4" w:space="0"/>
              <w:left w:val="nil"/>
              <w:bottom w:val="single" w:color="auto" w:sz="4" w:space="0"/>
              <w:right w:val="single" w:color="auto" w:sz="4" w:space="0"/>
            </w:tcBorders>
            <w:noWrap w:val="0"/>
            <w:vAlign w:val="center"/>
          </w:tcPr>
          <w:p w14:paraId="31276DB7">
            <w:pPr>
              <w:spacing w:after="0" w:line="240" w:lineRule="auto"/>
              <w:ind w:firstLine="0" w:firstLineChars="0"/>
              <w:jc w:val="center"/>
              <w:rPr>
                <w:rFonts w:hint="default" w:ascii="宋体" w:hAnsi="宋体" w:eastAsia="宋体" w:cs="宋体"/>
                <w:b/>
                <w:bCs/>
                <w:color w:val="000000"/>
                <w:sz w:val="22"/>
                <w:lang w:val="en-US" w:eastAsia="zh-CN"/>
              </w:rPr>
            </w:pPr>
            <w:r>
              <w:rPr>
                <w:rFonts w:hint="eastAsia" w:ascii="宋体" w:hAnsi="宋体" w:cs="宋体"/>
                <w:b/>
                <w:bCs/>
                <w:color w:val="000000"/>
                <w:sz w:val="22"/>
                <w:lang w:val="en-US" w:eastAsia="zh-CN"/>
              </w:rPr>
              <w:t>合价</w:t>
            </w:r>
          </w:p>
        </w:tc>
        <w:tc>
          <w:tcPr>
            <w:tcW w:w="1238" w:type="dxa"/>
            <w:tcBorders>
              <w:top w:val="single" w:color="auto" w:sz="4" w:space="0"/>
              <w:left w:val="nil"/>
              <w:bottom w:val="single" w:color="auto" w:sz="4" w:space="0"/>
              <w:right w:val="single" w:color="auto" w:sz="4" w:space="0"/>
            </w:tcBorders>
            <w:noWrap w:val="0"/>
            <w:vAlign w:val="center"/>
          </w:tcPr>
          <w:p w14:paraId="129C5F4C">
            <w:pPr>
              <w:spacing w:after="0" w:line="240" w:lineRule="auto"/>
              <w:ind w:firstLine="0" w:firstLineChars="0"/>
              <w:jc w:val="center"/>
              <w:rPr>
                <w:rFonts w:hint="eastAsia" w:ascii="宋体" w:hAnsi="宋体" w:eastAsia="宋体" w:cs="宋体"/>
                <w:b/>
                <w:bCs/>
                <w:color w:val="000000"/>
                <w:sz w:val="22"/>
                <w:lang w:val="en-US" w:eastAsia="zh-CN"/>
              </w:rPr>
            </w:pPr>
            <w:r>
              <w:rPr>
                <w:rFonts w:hint="eastAsia" w:ascii="宋体" w:hAnsi="宋体" w:cs="宋体"/>
                <w:b/>
                <w:bCs/>
                <w:color w:val="000000"/>
                <w:sz w:val="22"/>
                <w:lang w:val="en-US" w:eastAsia="zh-CN"/>
              </w:rPr>
              <w:t>备注</w:t>
            </w:r>
          </w:p>
        </w:tc>
      </w:tr>
      <w:tr w14:paraId="36664663">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2E7FDF15">
            <w:pPr>
              <w:spacing w:after="0" w:line="240" w:lineRule="auto"/>
              <w:ind w:firstLine="0" w:firstLineChars="0"/>
              <w:jc w:val="center"/>
              <w:rPr>
                <w:rFonts w:hint="eastAsia" w:ascii="宋体" w:hAnsi="宋体" w:cs="宋体"/>
                <w:b/>
                <w:bCs/>
                <w:color w:val="000000"/>
                <w:kern w:val="2"/>
                <w:sz w:val="22"/>
                <w:szCs w:val="22"/>
                <w:lang w:val="en-US" w:eastAsia="zh-CN" w:bidi="ar-SA"/>
              </w:rPr>
            </w:pPr>
            <w:r>
              <w:rPr>
                <w:rFonts w:hint="eastAsia" w:ascii="宋体" w:hAnsi="宋体" w:cs="宋体"/>
                <w:b/>
                <w:bCs/>
                <w:color w:val="000000"/>
                <w:sz w:val="22"/>
              </w:rPr>
              <w:t>一</w:t>
            </w:r>
          </w:p>
        </w:tc>
        <w:tc>
          <w:tcPr>
            <w:tcW w:w="1744" w:type="dxa"/>
            <w:tcBorders>
              <w:top w:val="nil"/>
              <w:left w:val="nil"/>
              <w:bottom w:val="single" w:color="auto" w:sz="4" w:space="0"/>
              <w:right w:val="single" w:color="auto" w:sz="4" w:space="0"/>
            </w:tcBorders>
            <w:noWrap w:val="0"/>
            <w:vAlign w:val="center"/>
          </w:tcPr>
          <w:p w14:paraId="7ADF1583">
            <w:pPr>
              <w:spacing w:after="0" w:line="240" w:lineRule="auto"/>
              <w:ind w:firstLine="0" w:firstLineChars="0"/>
              <w:jc w:val="center"/>
              <w:rPr>
                <w:rFonts w:hint="eastAsia" w:ascii="宋体" w:hAnsi="宋体" w:cs="宋体"/>
                <w:b/>
                <w:bCs/>
                <w:color w:val="000000"/>
                <w:kern w:val="2"/>
                <w:sz w:val="22"/>
                <w:szCs w:val="22"/>
                <w:lang w:val="en-US" w:eastAsia="zh-CN" w:bidi="ar-SA"/>
              </w:rPr>
            </w:pPr>
            <w:r>
              <w:rPr>
                <w:rFonts w:hint="eastAsia" w:ascii="宋体" w:hAnsi="宋体" w:cs="宋体"/>
                <w:b/>
                <w:bCs/>
                <w:color w:val="000000"/>
                <w:sz w:val="22"/>
              </w:rPr>
              <w:t>基础设施环境运维保障</w:t>
            </w:r>
          </w:p>
        </w:tc>
        <w:tc>
          <w:tcPr>
            <w:tcW w:w="3612" w:type="dxa"/>
            <w:tcBorders>
              <w:top w:val="nil"/>
              <w:left w:val="nil"/>
              <w:bottom w:val="single" w:color="auto" w:sz="4" w:space="0"/>
              <w:right w:val="single" w:color="auto" w:sz="4" w:space="0"/>
            </w:tcBorders>
            <w:noWrap/>
            <w:vAlign w:val="center"/>
          </w:tcPr>
          <w:p w14:paraId="46378885">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738" w:type="dxa"/>
            <w:tcBorders>
              <w:top w:val="nil"/>
              <w:left w:val="nil"/>
              <w:bottom w:val="single" w:color="auto" w:sz="4" w:space="0"/>
              <w:right w:val="single" w:color="auto" w:sz="4" w:space="0"/>
            </w:tcBorders>
            <w:noWrap/>
            <w:vAlign w:val="center"/>
          </w:tcPr>
          <w:p w14:paraId="0807A773">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725" w:type="dxa"/>
            <w:tcBorders>
              <w:top w:val="nil"/>
              <w:left w:val="nil"/>
              <w:bottom w:val="single" w:color="auto" w:sz="4" w:space="0"/>
              <w:right w:val="single" w:color="auto" w:sz="4" w:space="0"/>
            </w:tcBorders>
            <w:noWrap/>
            <w:vAlign w:val="center"/>
          </w:tcPr>
          <w:p w14:paraId="4340FE51">
            <w:pPr>
              <w:spacing w:after="0" w:line="240" w:lineRule="auto"/>
              <w:ind w:firstLine="0" w:firstLineChars="0"/>
              <w:jc w:val="center"/>
              <w:rPr>
                <w:rFonts w:hint="eastAsia" w:ascii="宋体" w:hAnsi="宋体" w:cs="宋体"/>
                <w:b/>
                <w:bCs/>
                <w:color w:val="000000"/>
                <w:kern w:val="2"/>
                <w:sz w:val="22"/>
                <w:szCs w:val="22"/>
                <w:lang w:val="en-US" w:eastAsia="zh-CN" w:bidi="ar-SA"/>
              </w:rPr>
            </w:pPr>
          </w:p>
        </w:tc>
        <w:tc>
          <w:tcPr>
            <w:tcW w:w="1134" w:type="dxa"/>
            <w:tcBorders>
              <w:top w:val="nil"/>
              <w:left w:val="nil"/>
              <w:bottom w:val="single" w:color="auto" w:sz="4" w:space="0"/>
              <w:right w:val="single" w:color="auto" w:sz="4" w:space="0"/>
            </w:tcBorders>
            <w:noWrap/>
            <w:vAlign w:val="center"/>
          </w:tcPr>
          <w:p w14:paraId="07239002">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37EA15C3">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2C499B3A">
            <w:pPr>
              <w:spacing w:after="0" w:line="240" w:lineRule="auto"/>
              <w:ind w:firstLine="0" w:firstLineChars="0"/>
              <w:jc w:val="center"/>
              <w:rPr>
                <w:rFonts w:hint="eastAsia" w:ascii="宋体" w:hAnsi="宋体" w:cs="宋体"/>
                <w:b/>
                <w:bCs/>
                <w:color w:val="auto"/>
                <w:sz w:val="22"/>
              </w:rPr>
            </w:pPr>
          </w:p>
        </w:tc>
      </w:tr>
      <w:tr w14:paraId="09258961">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1530A31E">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744" w:type="dxa"/>
            <w:tcBorders>
              <w:top w:val="nil"/>
              <w:left w:val="nil"/>
              <w:bottom w:val="single" w:color="auto" w:sz="4" w:space="0"/>
              <w:right w:val="single" w:color="auto" w:sz="4" w:space="0"/>
            </w:tcBorders>
            <w:noWrap w:val="0"/>
            <w:vAlign w:val="center"/>
          </w:tcPr>
          <w:p w14:paraId="3E76A0EB">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网络环境</w:t>
            </w:r>
          </w:p>
        </w:tc>
        <w:tc>
          <w:tcPr>
            <w:tcW w:w="3612" w:type="dxa"/>
            <w:tcBorders>
              <w:top w:val="nil"/>
              <w:left w:val="nil"/>
              <w:bottom w:val="single" w:color="auto" w:sz="4" w:space="0"/>
              <w:right w:val="single" w:color="auto" w:sz="4" w:space="0"/>
            </w:tcBorders>
            <w:noWrap/>
            <w:vAlign w:val="center"/>
          </w:tcPr>
          <w:p w14:paraId="11C80900">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6858AB29">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752F8DC3">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086AFCAE">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7B4C5E65">
            <w:pPr>
              <w:spacing w:after="0" w:line="240" w:lineRule="auto"/>
              <w:ind w:firstLine="0" w:firstLineChars="0"/>
              <w:jc w:val="center"/>
              <w:rPr>
                <w:rFonts w:hint="eastAsia"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6786B7BE">
            <w:pPr>
              <w:spacing w:after="0" w:line="240" w:lineRule="auto"/>
              <w:ind w:firstLine="0" w:firstLineChars="0"/>
              <w:jc w:val="center"/>
              <w:rPr>
                <w:rFonts w:hint="eastAsia" w:ascii="宋体" w:hAnsi="宋体" w:cs="宋体"/>
                <w:color w:val="000000"/>
                <w:sz w:val="20"/>
                <w:szCs w:val="20"/>
              </w:rPr>
            </w:pPr>
          </w:p>
        </w:tc>
      </w:tr>
      <w:tr w14:paraId="71E3E81D">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68CCA63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1.1</w:t>
            </w:r>
          </w:p>
        </w:tc>
        <w:tc>
          <w:tcPr>
            <w:tcW w:w="1744" w:type="dxa"/>
            <w:tcBorders>
              <w:top w:val="nil"/>
              <w:left w:val="nil"/>
              <w:bottom w:val="single" w:color="auto" w:sz="4" w:space="0"/>
              <w:right w:val="single" w:color="auto" w:sz="4" w:space="0"/>
            </w:tcBorders>
            <w:noWrap w:val="0"/>
            <w:vAlign w:val="center"/>
          </w:tcPr>
          <w:p w14:paraId="1FAF347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互联网业务运维</w:t>
            </w:r>
          </w:p>
        </w:tc>
        <w:tc>
          <w:tcPr>
            <w:tcW w:w="3612" w:type="dxa"/>
            <w:tcBorders>
              <w:top w:val="nil"/>
              <w:left w:val="nil"/>
              <w:bottom w:val="single" w:color="auto" w:sz="4" w:space="0"/>
              <w:right w:val="single" w:color="auto" w:sz="4" w:space="0"/>
            </w:tcBorders>
            <w:noWrap/>
            <w:vAlign w:val="center"/>
          </w:tcPr>
          <w:p w14:paraId="289319D8">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总控中心内互联网业务的日常维护与管理</w:t>
            </w:r>
          </w:p>
        </w:tc>
        <w:tc>
          <w:tcPr>
            <w:tcW w:w="738" w:type="dxa"/>
            <w:tcBorders>
              <w:top w:val="nil"/>
              <w:left w:val="nil"/>
              <w:bottom w:val="single" w:color="auto" w:sz="4" w:space="0"/>
              <w:right w:val="single" w:color="auto" w:sz="4" w:space="0"/>
            </w:tcBorders>
            <w:noWrap/>
            <w:vAlign w:val="center"/>
          </w:tcPr>
          <w:p w14:paraId="3A8C5BF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DFA3A3A">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757BEC71">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1822B657">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4B0B1E40">
            <w:pPr>
              <w:spacing w:after="0" w:line="240" w:lineRule="auto"/>
              <w:ind w:firstLine="0" w:firstLineChars="0"/>
              <w:jc w:val="center"/>
              <w:rPr>
                <w:rFonts w:hint="eastAsia" w:ascii="宋体" w:hAnsi="宋体" w:cs="宋体"/>
                <w:b/>
                <w:bCs/>
                <w:color w:val="auto"/>
                <w:sz w:val="22"/>
              </w:rPr>
            </w:pPr>
          </w:p>
        </w:tc>
      </w:tr>
      <w:tr w14:paraId="707CAADE">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12D516A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1.2</w:t>
            </w:r>
          </w:p>
        </w:tc>
        <w:tc>
          <w:tcPr>
            <w:tcW w:w="1744" w:type="dxa"/>
            <w:tcBorders>
              <w:top w:val="nil"/>
              <w:left w:val="nil"/>
              <w:bottom w:val="single" w:color="auto" w:sz="4" w:space="0"/>
              <w:right w:val="single" w:color="auto" w:sz="4" w:space="0"/>
            </w:tcBorders>
            <w:noWrap w:val="0"/>
            <w:vAlign w:val="center"/>
          </w:tcPr>
          <w:p w14:paraId="1FCF2715">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县局到市局的网络运维</w:t>
            </w:r>
          </w:p>
        </w:tc>
        <w:tc>
          <w:tcPr>
            <w:tcW w:w="3612" w:type="dxa"/>
            <w:tcBorders>
              <w:top w:val="nil"/>
              <w:left w:val="nil"/>
              <w:bottom w:val="single" w:color="auto" w:sz="4" w:space="0"/>
              <w:right w:val="single" w:color="auto" w:sz="4" w:space="0"/>
            </w:tcBorders>
            <w:noWrap/>
            <w:vAlign w:val="center"/>
          </w:tcPr>
          <w:p w14:paraId="039B64E7">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总控中心水利专网业务及规格的日常维护管理，确保市县三级畅通</w:t>
            </w:r>
          </w:p>
        </w:tc>
        <w:tc>
          <w:tcPr>
            <w:tcW w:w="738" w:type="dxa"/>
            <w:tcBorders>
              <w:top w:val="nil"/>
              <w:left w:val="nil"/>
              <w:bottom w:val="single" w:color="auto" w:sz="4" w:space="0"/>
              <w:right w:val="single" w:color="auto" w:sz="4" w:space="0"/>
            </w:tcBorders>
            <w:noWrap/>
            <w:vAlign w:val="center"/>
          </w:tcPr>
          <w:p w14:paraId="76449A82">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FEEA98C">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71FB18E9">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5DF1B702">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65B7527B">
            <w:pPr>
              <w:spacing w:after="0" w:line="240" w:lineRule="auto"/>
              <w:ind w:firstLine="0" w:firstLineChars="0"/>
              <w:jc w:val="center"/>
              <w:rPr>
                <w:rFonts w:hint="eastAsia" w:ascii="宋体" w:hAnsi="宋体" w:cs="宋体"/>
                <w:b/>
                <w:bCs/>
                <w:color w:val="auto"/>
                <w:sz w:val="22"/>
              </w:rPr>
            </w:pPr>
          </w:p>
        </w:tc>
      </w:tr>
      <w:tr w14:paraId="78F79A4D">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01EAF29D">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1.3</w:t>
            </w:r>
          </w:p>
        </w:tc>
        <w:tc>
          <w:tcPr>
            <w:tcW w:w="1744" w:type="dxa"/>
            <w:tcBorders>
              <w:top w:val="nil"/>
              <w:left w:val="nil"/>
              <w:bottom w:val="single" w:color="auto" w:sz="4" w:space="0"/>
              <w:right w:val="single" w:color="auto" w:sz="4" w:space="0"/>
            </w:tcBorders>
            <w:noWrap w:val="0"/>
            <w:vAlign w:val="center"/>
          </w:tcPr>
          <w:p w14:paraId="41A25B1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6处分中心网络运行保障</w:t>
            </w:r>
          </w:p>
        </w:tc>
        <w:tc>
          <w:tcPr>
            <w:tcW w:w="3612" w:type="dxa"/>
            <w:tcBorders>
              <w:top w:val="nil"/>
              <w:left w:val="nil"/>
              <w:bottom w:val="single" w:color="auto" w:sz="4" w:space="0"/>
              <w:right w:val="single" w:color="auto" w:sz="4" w:space="0"/>
            </w:tcBorders>
            <w:noWrap/>
            <w:vAlign w:val="center"/>
          </w:tcPr>
          <w:p w14:paraId="21872AE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由总控中心至四道白杨沟，淖毛湖渠首，下马崖水库，峡沟水库，阿腊通盖水库，石门沟水库等6处分中心日常网络运行畅通。</w:t>
            </w:r>
          </w:p>
        </w:tc>
        <w:tc>
          <w:tcPr>
            <w:tcW w:w="738" w:type="dxa"/>
            <w:tcBorders>
              <w:top w:val="nil"/>
              <w:left w:val="nil"/>
              <w:bottom w:val="single" w:color="auto" w:sz="4" w:space="0"/>
              <w:right w:val="single" w:color="auto" w:sz="4" w:space="0"/>
            </w:tcBorders>
            <w:noWrap/>
            <w:vAlign w:val="center"/>
          </w:tcPr>
          <w:p w14:paraId="302123A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3DEF5C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134" w:type="dxa"/>
            <w:tcBorders>
              <w:top w:val="nil"/>
              <w:left w:val="nil"/>
              <w:bottom w:val="single" w:color="auto" w:sz="4" w:space="0"/>
              <w:right w:val="single" w:color="auto" w:sz="4" w:space="0"/>
            </w:tcBorders>
            <w:noWrap/>
            <w:vAlign w:val="center"/>
          </w:tcPr>
          <w:p w14:paraId="73FC648B">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00B370BE">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26E2EAA8">
            <w:pPr>
              <w:spacing w:after="0" w:line="240" w:lineRule="auto"/>
              <w:ind w:firstLine="0" w:firstLineChars="0"/>
              <w:jc w:val="center"/>
              <w:rPr>
                <w:rFonts w:hint="eastAsia" w:ascii="宋体" w:hAnsi="宋体" w:cs="宋体"/>
                <w:b/>
                <w:bCs/>
                <w:color w:val="auto"/>
                <w:sz w:val="22"/>
              </w:rPr>
            </w:pPr>
          </w:p>
        </w:tc>
      </w:tr>
      <w:tr w14:paraId="2405C35A">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5EF449DA">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1.4</w:t>
            </w:r>
          </w:p>
        </w:tc>
        <w:tc>
          <w:tcPr>
            <w:tcW w:w="1744" w:type="dxa"/>
            <w:tcBorders>
              <w:top w:val="nil"/>
              <w:left w:val="nil"/>
              <w:bottom w:val="single" w:color="auto" w:sz="4" w:space="0"/>
              <w:right w:val="single" w:color="auto" w:sz="4" w:space="0"/>
            </w:tcBorders>
            <w:noWrap w:val="0"/>
            <w:vAlign w:val="center"/>
          </w:tcPr>
          <w:p w14:paraId="377D1271">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局中心日常办公系统运行保障</w:t>
            </w:r>
          </w:p>
        </w:tc>
        <w:tc>
          <w:tcPr>
            <w:tcW w:w="3612" w:type="dxa"/>
            <w:tcBorders>
              <w:top w:val="nil"/>
              <w:left w:val="nil"/>
              <w:bottom w:val="single" w:color="auto" w:sz="4" w:space="0"/>
              <w:right w:val="single" w:color="auto" w:sz="4" w:space="0"/>
            </w:tcBorders>
            <w:noWrap/>
            <w:vAlign w:val="center"/>
          </w:tcPr>
          <w:p w14:paraId="103C162B">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为县水利局提供日常办公网络环境，办公设备等的运行维护保障，确保OA业务系统日常稳定运行</w:t>
            </w:r>
          </w:p>
        </w:tc>
        <w:tc>
          <w:tcPr>
            <w:tcW w:w="738" w:type="dxa"/>
            <w:tcBorders>
              <w:top w:val="nil"/>
              <w:left w:val="nil"/>
              <w:bottom w:val="single" w:color="auto" w:sz="4" w:space="0"/>
              <w:right w:val="single" w:color="auto" w:sz="4" w:space="0"/>
            </w:tcBorders>
            <w:noWrap/>
            <w:vAlign w:val="center"/>
          </w:tcPr>
          <w:p w14:paraId="4B386EDB">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425B6D16">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3962ACBD">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2CF2A91D">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4F18BA6E">
            <w:pPr>
              <w:spacing w:after="0" w:line="240" w:lineRule="auto"/>
              <w:ind w:firstLine="0" w:firstLineChars="0"/>
              <w:jc w:val="center"/>
              <w:rPr>
                <w:rFonts w:hint="eastAsia" w:ascii="宋体" w:hAnsi="宋体" w:cs="宋体"/>
                <w:b/>
                <w:bCs/>
                <w:color w:val="auto"/>
                <w:sz w:val="22"/>
              </w:rPr>
            </w:pPr>
          </w:p>
        </w:tc>
      </w:tr>
      <w:tr w14:paraId="7A5F1BC9">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12932FA6">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1.5</w:t>
            </w:r>
          </w:p>
        </w:tc>
        <w:tc>
          <w:tcPr>
            <w:tcW w:w="1744" w:type="dxa"/>
            <w:tcBorders>
              <w:top w:val="nil"/>
              <w:left w:val="nil"/>
              <w:bottom w:val="single" w:color="auto" w:sz="4" w:space="0"/>
              <w:right w:val="single" w:color="auto" w:sz="4" w:space="0"/>
            </w:tcBorders>
            <w:noWrap w:val="0"/>
            <w:vAlign w:val="center"/>
          </w:tcPr>
          <w:p w14:paraId="0E7D7DD6">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自建光缆线路日常维护管理</w:t>
            </w:r>
          </w:p>
        </w:tc>
        <w:tc>
          <w:tcPr>
            <w:tcW w:w="3612" w:type="dxa"/>
            <w:tcBorders>
              <w:top w:val="nil"/>
              <w:left w:val="nil"/>
              <w:bottom w:val="single" w:color="auto" w:sz="4" w:space="0"/>
              <w:right w:val="single" w:color="auto" w:sz="4" w:space="0"/>
            </w:tcBorders>
            <w:noWrap/>
            <w:vAlign w:val="center"/>
          </w:tcPr>
          <w:p w14:paraId="74D3670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负责水利信息化项目中共计76公里的光缆线路日常维护管理，负责将已损坏的部分恢复并保障线路畅通，定期巡线等</w:t>
            </w:r>
          </w:p>
        </w:tc>
        <w:tc>
          <w:tcPr>
            <w:tcW w:w="738" w:type="dxa"/>
            <w:tcBorders>
              <w:top w:val="nil"/>
              <w:left w:val="nil"/>
              <w:bottom w:val="single" w:color="auto" w:sz="4" w:space="0"/>
              <w:right w:val="single" w:color="auto" w:sz="4" w:space="0"/>
            </w:tcBorders>
            <w:noWrap/>
            <w:vAlign w:val="center"/>
          </w:tcPr>
          <w:p w14:paraId="1A153C76">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公里</w:t>
            </w:r>
          </w:p>
        </w:tc>
        <w:tc>
          <w:tcPr>
            <w:tcW w:w="725" w:type="dxa"/>
            <w:tcBorders>
              <w:top w:val="nil"/>
              <w:left w:val="nil"/>
              <w:bottom w:val="single" w:color="auto" w:sz="4" w:space="0"/>
              <w:right w:val="single" w:color="auto" w:sz="4" w:space="0"/>
            </w:tcBorders>
            <w:noWrap/>
            <w:vAlign w:val="center"/>
          </w:tcPr>
          <w:p w14:paraId="057786F7">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76</w:t>
            </w:r>
          </w:p>
        </w:tc>
        <w:tc>
          <w:tcPr>
            <w:tcW w:w="1134" w:type="dxa"/>
            <w:tcBorders>
              <w:top w:val="nil"/>
              <w:left w:val="nil"/>
              <w:bottom w:val="single" w:color="auto" w:sz="4" w:space="0"/>
              <w:right w:val="single" w:color="auto" w:sz="4" w:space="0"/>
            </w:tcBorders>
            <w:noWrap/>
            <w:vAlign w:val="center"/>
          </w:tcPr>
          <w:p w14:paraId="2D9060E8">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7CC8C4B9">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6852D1CD">
            <w:pPr>
              <w:spacing w:after="0" w:line="240" w:lineRule="auto"/>
              <w:ind w:firstLine="0" w:firstLineChars="0"/>
              <w:jc w:val="center"/>
              <w:rPr>
                <w:rFonts w:hint="eastAsia" w:ascii="宋体" w:hAnsi="宋体" w:cs="宋体"/>
                <w:b/>
                <w:bCs/>
                <w:color w:val="auto"/>
                <w:sz w:val="22"/>
              </w:rPr>
            </w:pPr>
          </w:p>
        </w:tc>
      </w:tr>
      <w:tr w14:paraId="7CAF618A">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42A80BFF">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2</w:t>
            </w:r>
          </w:p>
        </w:tc>
        <w:tc>
          <w:tcPr>
            <w:tcW w:w="1744" w:type="dxa"/>
            <w:tcBorders>
              <w:top w:val="nil"/>
              <w:left w:val="nil"/>
              <w:bottom w:val="single" w:color="auto" w:sz="4" w:space="0"/>
              <w:right w:val="single" w:color="auto" w:sz="4" w:space="0"/>
            </w:tcBorders>
            <w:noWrap w:val="0"/>
            <w:vAlign w:val="center"/>
          </w:tcPr>
          <w:p w14:paraId="675746DA">
            <w:pPr>
              <w:spacing w:after="0" w:line="240" w:lineRule="auto"/>
              <w:ind w:firstLine="0" w:firstLineChars="0"/>
              <w:jc w:val="center"/>
              <w:rPr>
                <w:rFonts w:hint="eastAsia" w:ascii="宋体" w:hAnsi="宋体" w:cs="宋体"/>
                <w:b/>
                <w:bCs/>
                <w:color w:val="000000"/>
                <w:kern w:val="2"/>
                <w:sz w:val="20"/>
                <w:szCs w:val="20"/>
                <w:lang w:val="en-US" w:eastAsia="zh-CN" w:bidi="ar-SA"/>
              </w:rPr>
            </w:pPr>
            <w:r>
              <w:rPr>
                <w:rFonts w:hint="eastAsia" w:ascii="宋体" w:hAnsi="宋体" w:cs="宋体"/>
                <w:b/>
                <w:bCs/>
                <w:color w:val="000000"/>
                <w:sz w:val="20"/>
                <w:szCs w:val="20"/>
              </w:rPr>
              <w:t>总中心运维</w:t>
            </w:r>
          </w:p>
        </w:tc>
        <w:tc>
          <w:tcPr>
            <w:tcW w:w="3612" w:type="dxa"/>
            <w:tcBorders>
              <w:top w:val="nil"/>
              <w:left w:val="nil"/>
              <w:bottom w:val="single" w:color="auto" w:sz="4" w:space="0"/>
              <w:right w:val="single" w:color="auto" w:sz="4" w:space="0"/>
            </w:tcBorders>
            <w:noWrap/>
            <w:vAlign w:val="center"/>
          </w:tcPr>
          <w:p w14:paraId="6564550C">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1BBD1F7F">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452D6AFA">
            <w:pPr>
              <w:spacing w:after="0" w:line="240" w:lineRule="auto"/>
              <w:ind w:firstLine="0" w:firstLineChars="0"/>
              <w:jc w:val="center"/>
              <w:rPr>
                <w:rFonts w:hint="eastAsia"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5DE417FF">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21AB0CFD">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4F4637F5">
            <w:pPr>
              <w:spacing w:after="0" w:line="240" w:lineRule="auto"/>
              <w:ind w:firstLine="0" w:firstLineChars="0"/>
              <w:jc w:val="center"/>
              <w:rPr>
                <w:rFonts w:hint="eastAsia" w:ascii="宋体" w:hAnsi="宋体" w:cs="宋体"/>
                <w:b/>
                <w:bCs/>
                <w:color w:val="auto"/>
                <w:sz w:val="22"/>
              </w:rPr>
            </w:pPr>
          </w:p>
        </w:tc>
      </w:tr>
      <w:tr w14:paraId="236FC267">
        <w:tblPrEx>
          <w:tblCellMar>
            <w:top w:w="0" w:type="dxa"/>
            <w:left w:w="108" w:type="dxa"/>
            <w:bottom w:w="0" w:type="dxa"/>
            <w:right w:w="108" w:type="dxa"/>
          </w:tblCellMar>
        </w:tblPrEx>
        <w:trPr>
          <w:trHeight w:val="540" w:hRule="atLeast"/>
          <w:jc w:val="center"/>
        </w:trPr>
        <w:tc>
          <w:tcPr>
            <w:tcW w:w="685" w:type="dxa"/>
            <w:tcBorders>
              <w:top w:val="nil"/>
              <w:left w:val="single" w:color="auto" w:sz="4" w:space="0"/>
              <w:bottom w:val="single" w:color="auto" w:sz="4" w:space="0"/>
              <w:right w:val="single" w:color="auto" w:sz="4" w:space="0"/>
            </w:tcBorders>
            <w:noWrap/>
            <w:vAlign w:val="center"/>
          </w:tcPr>
          <w:p w14:paraId="08BA7E3F">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2.1</w:t>
            </w:r>
          </w:p>
        </w:tc>
        <w:tc>
          <w:tcPr>
            <w:tcW w:w="1744" w:type="dxa"/>
            <w:tcBorders>
              <w:top w:val="nil"/>
              <w:left w:val="nil"/>
              <w:bottom w:val="single" w:color="auto" w:sz="4" w:space="0"/>
              <w:right w:val="single" w:color="auto" w:sz="4" w:space="0"/>
            </w:tcBorders>
            <w:noWrap w:val="0"/>
            <w:vAlign w:val="center"/>
          </w:tcPr>
          <w:p w14:paraId="1F85DCC3">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主要网络设备日常运行维护</w:t>
            </w:r>
          </w:p>
        </w:tc>
        <w:tc>
          <w:tcPr>
            <w:tcW w:w="3612" w:type="dxa"/>
            <w:tcBorders>
              <w:top w:val="nil"/>
              <w:left w:val="nil"/>
              <w:bottom w:val="single" w:color="auto" w:sz="4" w:space="0"/>
              <w:right w:val="single" w:color="auto" w:sz="4" w:space="0"/>
            </w:tcBorders>
            <w:noWrap/>
            <w:vAlign w:val="center"/>
          </w:tcPr>
          <w:p w14:paraId="64C37E61">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负责总控中心内所有网络设备的日常运行管理，包括设备配置，参数及操作过程，安全机制及网络安全等。</w:t>
            </w:r>
          </w:p>
        </w:tc>
        <w:tc>
          <w:tcPr>
            <w:tcW w:w="738" w:type="dxa"/>
            <w:tcBorders>
              <w:top w:val="nil"/>
              <w:left w:val="nil"/>
              <w:bottom w:val="single" w:color="auto" w:sz="4" w:space="0"/>
              <w:right w:val="single" w:color="auto" w:sz="4" w:space="0"/>
            </w:tcBorders>
            <w:noWrap/>
            <w:vAlign w:val="center"/>
          </w:tcPr>
          <w:p w14:paraId="625B6D7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43A06D4">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19812A1E">
            <w:pPr>
              <w:spacing w:after="0" w:line="240" w:lineRule="auto"/>
              <w:ind w:firstLine="0" w:firstLineChars="0"/>
              <w:jc w:val="center"/>
              <w:rPr>
                <w:rFonts w:hint="eastAsia" w:ascii="宋体" w:hAnsi="宋体" w:cs="宋体"/>
                <w:b/>
                <w:bCs/>
                <w:color w:val="auto"/>
                <w:sz w:val="22"/>
              </w:rPr>
            </w:pPr>
          </w:p>
        </w:tc>
        <w:tc>
          <w:tcPr>
            <w:tcW w:w="1425" w:type="dxa"/>
            <w:tcBorders>
              <w:top w:val="nil"/>
              <w:left w:val="nil"/>
              <w:bottom w:val="single" w:color="auto" w:sz="4" w:space="0"/>
              <w:right w:val="single" w:color="auto" w:sz="4" w:space="0"/>
            </w:tcBorders>
            <w:noWrap/>
            <w:vAlign w:val="center"/>
          </w:tcPr>
          <w:p w14:paraId="55067C23">
            <w:pPr>
              <w:spacing w:after="0" w:line="240" w:lineRule="auto"/>
              <w:ind w:firstLine="0" w:firstLineChars="0"/>
              <w:jc w:val="center"/>
              <w:rPr>
                <w:rFonts w:hint="eastAsia" w:ascii="宋体" w:hAnsi="宋体" w:cs="宋体"/>
                <w:b/>
                <w:bCs/>
                <w:color w:val="auto"/>
                <w:sz w:val="22"/>
              </w:rPr>
            </w:pPr>
          </w:p>
        </w:tc>
        <w:tc>
          <w:tcPr>
            <w:tcW w:w="1238" w:type="dxa"/>
            <w:tcBorders>
              <w:top w:val="nil"/>
              <w:left w:val="nil"/>
              <w:bottom w:val="single" w:color="auto" w:sz="4" w:space="0"/>
              <w:right w:val="single" w:color="auto" w:sz="4" w:space="0"/>
            </w:tcBorders>
            <w:noWrap/>
            <w:vAlign w:val="center"/>
          </w:tcPr>
          <w:p w14:paraId="481FCDC9">
            <w:pPr>
              <w:spacing w:after="0" w:line="240" w:lineRule="auto"/>
              <w:ind w:firstLine="0" w:firstLineChars="0"/>
              <w:jc w:val="center"/>
              <w:rPr>
                <w:rFonts w:hint="eastAsia" w:ascii="宋体" w:hAnsi="宋体" w:cs="宋体"/>
                <w:b/>
                <w:bCs/>
                <w:color w:val="auto"/>
                <w:sz w:val="22"/>
              </w:rPr>
            </w:pPr>
          </w:p>
        </w:tc>
      </w:tr>
      <w:tr w14:paraId="1A8CD952">
        <w:tblPrEx>
          <w:tblCellMar>
            <w:top w:w="0" w:type="dxa"/>
            <w:left w:w="108" w:type="dxa"/>
            <w:bottom w:w="0" w:type="dxa"/>
            <w:right w:w="108" w:type="dxa"/>
          </w:tblCellMar>
        </w:tblPrEx>
        <w:trPr>
          <w:trHeight w:val="90" w:hRule="atLeast"/>
          <w:jc w:val="center"/>
        </w:trPr>
        <w:tc>
          <w:tcPr>
            <w:tcW w:w="685" w:type="dxa"/>
            <w:tcBorders>
              <w:top w:val="nil"/>
              <w:left w:val="single" w:color="auto" w:sz="4" w:space="0"/>
              <w:bottom w:val="single" w:color="auto" w:sz="4" w:space="0"/>
              <w:right w:val="single" w:color="auto" w:sz="4" w:space="0"/>
            </w:tcBorders>
            <w:noWrap/>
            <w:vAlign w:val="center"/>
          </w:tcPr>
          <w:p w14:paraId="1AD94BD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2.2</w:t>
            </w:r>
          </w:p>
        </w:tc>
        <w:tc>
          <w:tcPr>
            <w:tcW w:w="1744" w:type="dxa"/>
            <w:tcBorders>
              <w:top w:val="nil"/>
              <w:left w:val="nil"/>
              <w:bottom w:val="single" w:color="auto" w:sz="4" w:space="0"/>
              <w:right w:val="single" w:color="auto" w:sz="4" w:space="0"/>
            </w:tcBorders>
            <w:noWrap w:val="0"/>
            <w:vAlign w:val="center"/>
          </w:tcPr>
          <w:p w14:paraId="14BA453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服务器日常运行维护</w:t>
            </w:r>
          </w:p>
        </w:tc>
        <w:tc>
          <w:tcPr>
            <w:tcW w:w="3612" w:type="dxa"/>
            <w:tcBorders>
              <w:top w:val="nil"/>
              <w:left w:val="nil"/>
              <w:bottom w:val="single" w:color="auto" w:sz="4" w:space="0"/>
              <w:right w:val="single" w:color="auto" w:sz="4" w:space="0"/>
            </w:tcBorders>
            <w:noWrap w:val="0"/>
            <w:vAlign w:val="center"/>
          </w:tcPr>
          <w:p w14:paraId="423B549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负责总控中心的服务器的日常运行管理，负责服务器信息安全管理，数据安全管理等。</w:t>
            </w:r>
          </w:p>
        </w:tc>
        <w:tc>
          <w:tcPr>
            <w:tcW w:w="738" w:type="dxa"/>
            <w:tcBorders>
              <w:top w:val="nil"/>
              <w:left w:val="nil"/>
              <w:bottom w:val="single" w:color="auto" w:sz="4" w:space="0"/>
              <w:right w:val="single" w:color="auto" w:sz="4" w:space="0"/>
            </w:tcBorders>
            <w:noWrap/>
            <w:vAlign w:val="center"/>
          </w:tcPr>
          <w:p w14:paraId="74EAD92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6CBCEB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8</w:t>
            </w:r>
          </w:p>
        </w:tc>
        <w:tc>
          <w:tcPr>
            <w:tcW w:w="1134" w:type="dxa"/>
            <w:tcBorders>
              <w:top w:val="nil"/>
              <w:left w:val="nil"/>
              <w:bottom w:val="single" w:color="auto" w:sz="4" w:space="0"/>
              <w:right w:val="single" w:color="auto" w:sz="4" w:space="0"/>
            </w:tcBorders>
            <w:noWrap/>
            <w:vAlign w:val="center"/>
          </w:tcPr>
          <w:p w14:paraId="6D0E308E">
            <w:pPr>
              <w:spacing w:after="0" w:line="240" w:lineRule="auto"/>
              <w:ind w:firstLine="0" w:firstLineChars="0"/>
              <w:jc w:val="center"/>
              <w:rPr>
                <w:rFonts w:ascii="宋体" w:hAnsi="宋体" w:cs="宋体"/>
                <w:b w:val="0"/>
                <w:bCs w:val="0"/>
                <w:color w:val="auto"/>
                <w:sz w:val="20"/>
                <w:szCs w:val="20"/>
              </w:rPr>
            </w:pPr>
          </w:p>
        </w:tc>
        <w:tc>
          <w:tcPr>
            <w:tcW w:w="1425" w:type="dxa"/>
            <w:tcBorders>
              <w:top w:val="nil"/>
              <w:left w:val="nil"/>
              <w:bottom w:val="single" w:color="auto" w:sz="4" w:space="0"/>
              <w:right w:val="single" w:color="auto" w:sz="4" w:space="0"/>
            </w:tcBorders>
            <w:noWrap/>
            <w:vAlign w:val="center"/>
          </w:tcPr>
          <w:p w14:paraId="2B799C5F">
            <w:pPr>
              <w:spacing w:after="0" w:line="240" w:lineRule="auto"/>
              <w:ind w:firstLine="0" w:firstLineChars="0"/>
              <w:jc w:val="center"/>
              <w:rPr>
                <w:rFonts w:ascii="宋体" w:hAnsi="宋体" w:cs="宋体"/>
                <w:b w:val="0"/>
                <w:bCs w:val="0"/>
                <w:color w:val="auto"/>
                <w:sz w:val="20"/>
                <w:szCs w:val="20"/>
              </w:rPr>
            </w:pPr>
          </w:p>
        </w:tc>
        <w:tc>
          <w:tcPr>
            <w:tcW w:w="1238" w:type="dxa"/>
            <w:tcBorders>
              <w:top w:val="nil"/>
              <w:left w:val="nil"/>
              <w:bottom w:val="single" w:color="auto" w:sz="4" w:space="0"/>
              <w:right w:val="single" w:color="auto" w:sz="4" w:space="0"/>
            </w:tcBorders>
            <w:noWrap/>
            <w:vAlign w:val="center"/>
          </w:tcPr>
          <w:p w14:paraId="43603F74">
            <w:pPr>
              <w:spacing w:after="0" w:line="240" w:lineRule="auto"/>
              <w:ind w:firstLine="0" w:firstLineChars="0"/>
              <w:jc w:val="center"/>
              <w:rPr>
                <w:rFonts w:ascii="宋体" w:hAnsi="宋体" w:cs="宋体"/>
                <w:b w:val="0"/>
                <w:bCs w:val="0"/>
                <w:color w:val="auto"/>
                <w:sz w:val="20"/>
                <w:szCs w:val="20"/>
              </w:rPr>
            </w:pPr>
          </w:p>
        </w:tc>
      </w:tr>
      <w:tr w14:paraId="05A97B13">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3370434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2.3</w:t>
            </w:r>
          </w:p>
        </w:tc>
        <w:tc>
          <w:tcPr>
            <w:tcW w:w="1744" w:type="dxa"/>
            <w:tcBorders>
              <w:top w:val="nil"/>
              <w:left w:val="nil"/>
              <w:bottom w:val="single" w:color="auto" w:sz="4" w:space="0"/>
              <w:right w:val="single" w:color="auto" w:sz="4" w:space="0"/>
            </w:tcBorders>
            <w:noWrap w:val="0"/>
            <w:vAlign w:val="center"/>
          </w:tcPr>
          <w:p w14:paraId="76141E7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供电系统日常运行维护</w:t>
            </w:r>
          </w:p>
        </w:tc>
        <w:tc>
          <w:tcPr>
            <w:tcW w:w="3612" w:type="dxa"/>
            <w:tcBorders>
              <w:top w:val="nil"/>
              <w:left w:val="nil"/>
              <w:bottom w:val="single" w:color="auto" w:sz="4" w:space="0"/>
              <w:right w:val="single" w:color="auto" w:sz="4" w:space="0"/>
            </w:tcBorders>
            <w:noWrap w:val="0"/>
            <w:vAlign w:val="center"/>
          </w:tcPr>
          <w:p w14:paraId="59EC63F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主供电线路及后备电源系统维护与更新</w:t>
            </w:r>
          </w:p>
        </w:tc>
        <w:tc>
          <w:tcPr>
            <w:tcW w:w="738" w:type="dxa"/>
            <w:tcBorders>
              <w:top w:val="nil"/>
              <w:left w:val="nil"/>
              <w:bottom w:val="single" w:color="auto" w:sz="4" w:space="0"/>
              <w:right w:val="single" w:color="auto" w:sz="4" w:space="0"/>
            </w:tcBorders>
            <w:noWrap/>
            <w:vAlign w:val="center"/>
          </w:tcPr>
          <w:p w14:paraId="4A39C14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7ADB473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w:t>
            </w:r>
          </w:p>
        </w:tc>
        <w:tc>
          <w:tcPr>
            <w:tcW w:w="1134" w:type="dxa"/>
            <w:tcBorders>
              <w:top w:val="nil"/>
              <w:left w:val="nil"/>
              <w:bottom w:val="single" w:color="auto" w:sz="4" w:space="0"/>
              <w:right w:val="single" w:color="auto" w:sz="4" w:space="0"/>
            </w:tcBorders>
            <w:noWrap/>
            <w:vAlign w:val="center"/>
          </w:tcPr>
          <w:p w14:paraId="6B7CC0EE">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DA9304E">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442B302A">
            <w:pPr>
              <w:spacing w:after="0" w:line="240" w:lineRule="auto"/>
              <w:ind w:firstLine="0" w:firstLineChars="0"/>
              <w:jc w:val="center"/>
              <w:rPr>
                <w:rFonts w:ascii="宋体" w:hAnsi="宋体" w:cs="宋体"/>
                <w:color w:val="auto"/>
                <w:sz w:val="20"/>
                <w:szCs w:val="20"/>
              </w:rPr>
            </w:pPr>
          </w:p>
        </w:tc>
      </w:tr>
      <w:tr w14:paraId="34C36A47">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7D7F911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2.4</w:t>
            </w:r>
          </w:p>
        </w:tc>
        <w:tc>
          <w:tcPr>
            <w:tcW w:w="1744" w:type="dxa"/>
            <w:tcBorders>
              <w:top w:val="nil"/>
              <w:left w:val="nil"/>
              <w:bottom w:val="single" w:color="auto" w:sz="4" w:space="0"/>
              <w:right w:val="single" w:color="auto" w:sz="4" w:space="0"/>
            </w:tcBorders>
            <w:noWrap w:val="0"/>
            <w:vAlign w:val="center"/>
          </w:tcPr>
          <w:p w14:paraId="0EEC44E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大屏显示系统及音响系统日常维护</w:t>
            </w:r>
          </w:p>
        </w:tc>
        <w:tc>
          <w:tcPr>
            <w:tcW w:w="3612" w:type="dxa"/>
            <w:tcBorders>
              <w:top w:val="nil"/>
              <w:left w:val="nil"/>
              <w:bottom w:val="single" w:color="auto" w:sz="4" w:space="0"/>
              <w:right w:val="single" w:color="auto" w:sz="4" w:space="0"/>
            </w:tcBorders>
            <w:noWrap w:val="0"/>
            <w:vAlign w:val="center"/>
          </w:tcPr>
          <w:p w14:paraId="0F50E98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会议室大屏显示系统的日常运行管理，矩阵、显示处理器、通讯线路等的维护管理与日常运行优化，音响系统的线路、供电调音台的日常操作管理，音响等的维护与管理工作。</w:t>
            </w:r>
          </w:p>
        </w:tc>
        <w:tc>
          <w:tcPr>
            <w:tcW w:w="738" w:type="dxa"/>
            <w:tcBorders>
              <w:top w:val="nil"/>
              <w:left w:val="nil"/>
              <w:bottom w:val="single" w:color="auto" w:sz="4" w:space="0"/>
              <w:right w:val="single" w:color="auto" w:sz="4" w:space="0"/>
            </w:tcBorders>
            <w:noWrap/>
            <w:vAlign w:val="center"/>
          </w:tcPr>
          <w:p w14:paraId="445B6D8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DC1DFE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589FB8CF">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D8CC193">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3C704CA9">
            <w:pPr>
              <w:spacing w:after="0" w:line="240" w:lineRule="auto"/>
              <w:ind w:firstLine="0" w:firstLineChars="0"/>
              <w:jc w:val="center"/>
              <w:rPr>
                <w:rFonts w:ascii="宋体" w:hAnsi="宋体" w:cs="宋体"/>
                <w:color w:val="auto"/>
                <w:sz w:val="20"/>
                <w:szCs w:val="20"/>
              </w:rPr>
            </w:pPr>
          </w:p>
        </w:tc>
      </w:tr>
      <w:tr w14:paraId="7C0BA12F">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32337A2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744" w:type="dxa"/>
            <w:tcBorders>
              <w:top w:val="nil"/>
              <w:left w:val="nil"/>
              <w:bottom w:val="single" w:color="auto" w:sz="4" w:space="0"/>
              <w:right w:val="single" w:color="auto" w:sz="4" w:space="0"/>
            </w:tcBorders>
            <w:noWrap w:val="0"/>
            <w:vAlign w:val="center"/>
          </w:tcPr>
          <w:p w14:paraId="0ABEE16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视频会商系统日常维护</w:t>
            </w:r>
          </w:p>
        </w:tc>
        <w:tc>
          <w:tcPr>
            <w:tcW w:w="3612" w:type="dxa"/>
            <w:tcBorders>
              <w:top w:val="nil"/>
              <w:left w:val="nil"/>
              <w:bottom w:val="single" w:color="auto" w:sz="4" w:space="0"/>
              <w:right w:val="single" w:color="auto" w:sz="4" w:space="0"/>
            </w:tcBorders>
            <w:noWrap w:val="0"/>
            <w:vAlign w:val="center"/>
          </w:tcPr>
          <w:p w14:paraId="0DA2487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确保视频会商系统的正常运行，确保视频畅通，保障省市县三级连通，负责会商设备的日常维护管理与配置优化。</w:t>
            </w:r>
          </w:p>
        </w:tc>
        <w:tc>
          <w:tcPr>
            <w:tcW w:w="738" w:type="dxa"/>
            <w:tcBorders>
              <w:top w:val="nil"/>
              <w:left w:val="nil"/>
              <w:bottom w:val="single" w:color="auto" w:sz="4" w:space="0"/>
              <w:right w:val="single" w:color="auto" w:sz="4" w:space="0"/>
            </w:tcBorders>
            <w:noWrap/>
            <w:vAlign w:val="center"/>
          </w:tcPr>
          <w:p w14:paraId="3A73612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3FBB664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75F87FD5">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29FE5E28">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1612F878">
            <w:pPr>
              <w:spacing w:after="0" w:line="240" w:lineRule="auto"/>
              <w:ind w:firstLine="0" w:firstLineChars="0"/>
              <w:jc w:val="center"/>
              <w:rPr>
                <w:rFonts w:ascii="宋体" w:hAnsi="宋体" w:cs="宋体"/>
                <w:color w:val="auto"/>
                <w:sz w:val="20"/>
                <w:szCs w:val="20"/>
              </w:rPr>
            </w:pPr>
          </w:p>
        </w:tc>
      </w:tr>
      <w:tr w14:paraId="415E3544">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53C1701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2.6</w:t>
            </w:r>
          </w:p>
        </w:tc>
        <w:tc>
          <w:tcPr>
            <w:tcW w:w="1744" w:type="dxa"/>
            <w:tcBorders>
              <w:top w:val="nil"/>
              <w:left w:val="nil"/>
              <w:bottom w:val="single" w:color="auto" w:sz="4" w:space="0"/>
              <w:right w:val="single" w:color="auto" w:sz="4" w:space="0"/>
            </w:tcBorders>
            <w:noWrap w:val="0"/>
            <w:vAlign w:val="center"/>
          </w:tcPr>
          <w:p w14:paraId="512DCCF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等保一体机运维</w:t>
            </w:r>
          </w:p>
        </w:tc>
        <w:tc>
          <w:tcPr>
            <w:tcW w:w="3612" w:type="dxa"/>
            <w:tcBorders>
              <w:top w:val="nil"/>
              <w:left w:val="nil"/>
              <w:bottom w:val="single" w:color="auto" w:sz="4" w:space="0"/>
              <w:right w:val="single" w:color="auto" w:sz="4" w:space="0"/>
            </w:tcBorders>
            <w:noWrap w:val="0"/>
            <w:vAlign w:val="center"/>
          </w:tcPr>
          <w:p w14:paraId="08A4F28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等保设备的堡垒机，日志审计系统，数据库审计系统，EDR系统的正常运行。</w:t>
            </w:r>
          </w:p>
        </w:tc>
        <w:tc>
          <w:tcPr>
            <w:tcW w:w="738" w:type="dxa"/>
            <w:tcBorders>
              <w:top w:val="nil"/>
              <w:left w:val="nil"/>
              <w:bottom w:val="single" w:color="auto" w:sz="4" w:space="0"/>
              <w:right w:val="single" w:color="auto" w:sz="4" w:space="0"/>
            </w:tcBorders>
            <w:noWrap/>
            <w:vAlign w:val="center"/>
          </w:tcPr>
          <w:p w14:paraId="2A306BE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C024B3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76AF1F2F">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0946ECA">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446BB05D">
            <w:pPr>
              <w:spacing w:after="0" w:line="240" w:lineRule="auto"/>
              <w:ind w:firstLine="0" w:firstLineChars="0"/>
              <w:jc w:val="center"/>
              <w:rPr>
                <w:rFonts w:ascii="宋体" w:hAnsi="宋体" w:cs="宋体"/>
                <w:color w:val="auto"/>
                <w:sz w:val="20"/>
                <w:szCs w:val="20"/>
              </w:rPr>
            </w:pPr>
          </w:p>
        </w:tc>
      </w:tr>
      <w:tr w14:paraId="3041705D">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400F8C8E">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二</w:t>
            </w:r>
          </w:p>
        </w:tc>
        <w:tc>
          <w:tcPr>
            <w:tcW w:w="1744" w:type="dxa"/>
            <w:tcBorders>
              <w:top w:val="nil"/>
              <w:left w:val="nil"/>
              <w:bottom w:val="single" w:color="auto" w:sz="4" w:space="0"/>
              <w:right w:val="single" w:color="auto" w:sz="4" w:space="0"/>
            </w:tcBorders>
            <w:noWrap w:val="0"/>
            <w:vAlign w:val="center"/>
          </w:tcPr>
          <w:p w14:paraId="1550D6AD">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水利信息化业务系统维护管理</w:t>
            </w:r>
          </w:p>
        </w:tc>
        <w:tc>
          <w:tcPr>
            <w:tcW w:w="3612" w:type="dxa"/>
            <w:tcBorders>
              <w:top w:val="nil"/>
              <w:left w:val="nil"/>
              <w:bottom w:val="single" w:color="auto" w:sz="4" w:space="0"/>
              <w:right w:val="single" w:color="auto" w:sz="4" w:space="0"/>
            </w:tcBorders>
            <w:noWrap w:val="0"/>
            <w:vAlign w:val="center"/>
          </w:tcPr>
          <w:p w14:paraId="6CA9C291">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554D07BA">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0D1AC7D3">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1F0A6763">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47821DAC">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5023A3CF">
            <w:pPr>
              <w:spacing w:after="0" w:line="240" w:lineRule="auto"/>
              <w:ind w:firstLine="0" w:firstLineChars="0"/>
              <w:jc w:val="center"/>
              <w:rPr>
                <w:rFonts w:ascii="宋体" w:hAnsi="宋体" w:cs="宋体"/>
                <w:color w:val="auto"/>
                <w:sz w:val="20"/>
                <w:szCs w:val="20"/>
              </w:rPr>
            </w:pPr>
          </w:p>
        </w:tc>
      </w:tr>
      <w:tr w14:paraId="145B918A">
        <w:tblPrEx>
          <w:tblCellMar>
            <w:top w:w="0" w:type="dxa"/>
            <w:left w:w="108" w:type="dxa"/>
            <w:bottom w:w="0" w:type="dxa"/>
            <w:right w:w="108" w:type="dxa"/>
          </w:tblCellMar>
        </w:tblPrEx>
        <w:trPr>
          <w:trHeight w:val="395" w:hRule="atLeast"/>
          <w:jc w:val="center"/>
        </w:trPr>
        <w:tc>
          <w:tcPr>
            <w:tcW w:w="685" w:type="dxa"/>
            <w:tcBorders>
              <w:top w:val="nil"/>
              <w:left w:val="single" w:color="auto" w:sz="4" w:space="0"/>
              <w:bottom w:val="single" w:color="auto" w:sz="4" w:space="0"/>
              <w:right w:val="single" w:color="auto" w:sz="4" w:space="0"/>
            </w:tcBorders>
            <w:noWrap/>
            <w:vAlign w:val="center"/>
          </w:tcPr>
          <w:p w14:paraId="3051C52A">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744" w:type="dxa"/>
            <w:tcBorders>
              <w:top w:val="nil"/>
              <w:left w:val="nil"/>
              <w:bottom w:val="single" w:color="auto" w:sz="4" w:space="0"/>
              <w:right w:val="single" w:color="auto" w:sz="4" w:space="0"/>
            </w:tcBorders>
            <w:noWrap w:val="0"/>
            <w:vAlign w:val="center"/>
          </w:tcPr>
          <w:p w14:paraId="38E755BD">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水库视频监控系统日常运行维护管理</w:t>
            </w:r>
          </w:p>
        </w:tc>
        <w:tc>
          <w:tcPr>
            <w:tcW w:w="3612" w:type="dxa"/>
            <w:tcBorders>
              <w:top w:val="nil"/>
              <w:left w:val="nil"/>
              <w:bottom w:val="single" w:color="auto" w:sz="4" w:space="0"/>
              <w:right w:val="single" w:color="auto" w:sz="4" w:space="0"/>
            </w:tcBorders>
            <w:noWrap w:val="0"/>
            <w:vAlign w:val="center"/>
          </w:tcPr>
          <w:p w14:paraId="2D6EFA4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主要是针对县城内各水库已建完成的视频监控系统进行日常保障性运行维护，确保各视频点正常运行</w:t>
            </w:r>
          </w:p>
        </w:tc>
        <w:tc>
          <w:tcPr>
            <w:tcW w:w="738" w:type="dxa"/>
            <w:tcBorders>
              <w:top w:val="nil"/>
              <w:left w:val="nil"/>
              <w:bottom w:val="single" w:color="auto" w:sz="4" w:space="0"/>
              <w:right w:val="single" w:color="auto" w:sz="4" w:space="0"/>
            </w:tcBorders>
            <w:noWrap/>
            <w:vAlign w:val="center"/>
          </w:tcPr>
          <w:p w14:paraId="1BAACEFC">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6BBB49AA">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27616F2B">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ign w:val="center"/>
          </w:tcPr>
          <w:p w14:paraId="3D3C9B6F">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ign w:val="center"/>
          </w:tcPr>
          <w:p w14:paraId="1FDEA056">
            <w:pPr>
              <w:spacing w:after="0" w:line="240" w:lineRule="auto"/>
              <w:ind w:firstLine="0" w:firstLineChars="0"/>
              <w:jc w:val="center"/>
              <w:rPr>
                <w:rFonts w:ascii="宋体" w:hAnsi="宋体" w:cs="宋体"/>
                <w:b/>
                <w:bCs/>
                <w:color w:val="auto"/>
                <w:sz w:val="20"/>
                <w:szCs w:val="20"/>
              </w:rPr>
            </w:pPr>
          </w:p>
        </w:tc>
      </w:tr>
      <w:tr w14:paraId="3A8AC3D1">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3859481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1.1</w:t>
            </w:r>
          </w:p>
        </w:tc>
        <w:tc>
          <w:tcPr>
            <w:tcW w:w="1744" w:type="dxa"/>
            <w:tcBorders>
              <w:top w:val="nil"/>
              <w:left w:val="nil"/>
              <w:bottom w:val="single" w:color="auto" w:sz="4" w:space="0"/>
              <w:right w:val="single" w:color="auto" w:sz="4" w:space="0"/>
            </w:tcBorders>
            <w:noWrap w:val="0"/>
            <w:vAlign w:val="center"/>
          </w:tcPr>
          <w:p w14:paraId="3B6DB3C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峡沟水库</w:t>
            </w:r>
          </w:p>
        </w:tc>
        <w:tc>
          <w:tcPr>
            <w:tcW w:w="3612" w:type="dxa"/>
            <w:tcBorders>
              <w:top w:val="nil"/>
              <w:left w:val="nil"/>
              <w:bottom w:val="single" w:color="auto" w:sz="4" w:space="0"/>
              <w:right w:val="single" w:color="auto" w:sz="4" w:space="0"/>
            </w:tcBorders>
            <w:noWrap w:val="0"/>
            <w:vAlign w:val="center"/>
          </w:tcPr>
          <w:p w14:paraId="7F27FE8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包括恢复门口铁桥视频</w:t>
            </w:r>
          </w:p>
        </w:tc>
        <w:tc>
          <w:tcPr>
            <w:tcW w:w="738" w:type="dxa"/>
            <w:tcBorders>
              <w:top w:val="nil"/>
              <w:left w:val="nil"/>
              <w:bottom w:val="single" w:color="auto" w:sz="4" w:space="0"/>
              <w:right w:val="single" w:color="auto" w:sz="4" w:space="0"/>
            </w:tcBorders>
            <w:noWrap/>
            <w:vAlign w:val="center"/>
          </w:tcPr>
          <w:p w14:paraId="18D47D7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4762BE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134" w:type="dxa"/>
            <w:tcBorders>
              <w:top w:val="nil"/>
              <w:left w:val="nil"/>
              <w:bottom w:val="single" w:color="auto" w:sz="4" w:space="0"/>
              <w:right w:val="single" w:color="auto" w:sz="4" w:space="0"/>
            </w:tcBorders>
            <w:noWrap/>
            <w:vAlign w:val="center"/>
          </w:tcPr>
          <w:p w14:paraId="43D051A5">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397EBCE6">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5AB3BA9C">
            <w:pPr>
              <w:spacing w:after="0" w:line="240" w:lineRule="auto"/>
              <w:ind w:firstLine="0" w:firstLineChars="0"/>
              <w:jc w:val="center"/>
              <w:rPr>
                <w:rFonts w:ascii="宋体" w:hAnsi="宋体" w:cs="宋体"/>
                <w:color w:val="auto"/>
                <w:sz w:val="20"/>
                <w:szCs w:val="20"/>
              </w:rPr>
            </w:pPr>
          </w:p>
        </w:tc>
      </w:tr>
      <w:tr w14:paraId="7255349C">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445DA17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1.2</w:t>
            </w:r>
          </w:p>
        </w:tc>
        <w:tc>
          <w:tcPr>
            <w:tcW w:w="1744" w:type="dxa"/>
            <w:tcBorders>
              <w:top w:val="nil"/>
              <w:left w:val="nil"/>
              <w:bottom w:val="single" w:color="auto" w:sz="4" w:space="0"/>
              <w:right w:val="single" w:color="auto" w:sz="4" w:space="0"/>
            </w:tcBorders>
            <w:noWrap w:val="0"/>
            <w:vAlign w:val="center"/>
          </w:tcPr>
          <w:p w14:paraId="081509E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下马崖水库</w:t>
            </w:r>
          </w:p>
        </w:tc>
        <w:tc>
          <w:tcPr>
            <w:tcW w:w="3612" w:type="dxa"/>
            <w:tcBorders>
              <w:top w:val="nil"/>
              <w:left w:val="nil"/>
              <w:bottom w:val="single" w:color="auto" w:sz="4" w:space="0"/>
              <w:right w:val="single" w:color="auto" w:sz="4" w:space="0"/>
            </w:tcBorders>
            <w:noWrap w:val="0"/>
            <w:vAlign w:val="center"/>
          </w:tcPr>
          <w:p w14:paraId="3D4A38A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包括恢复库秋布拉克塘坝视频</w:t>
            </w:r>
          </w:p>
        </w:tc>
        <w:tc>
          <w:tcPr>
            <w:tcW w:w="738" w:type="dxa"/>
            <w:tcBorders>
              <w:top w:val="nil"/>
              <w:left w:val="nil"/>
              <w:bottom w:val="single" w:color="auto" w:sz="4" w:space="0"/>
              <w:right w:val="single" w:color="auto" w:sz="4" w:space="0"/>
            </w:tcBorders>
            <w:noWrap/>
            <w:vAlign w:val="center"/>
          </w:tcPr>
          <w:p w14:paraId="6278095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E756D1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134" w:type="dxa"/>
            <w:tcBorders>
              <w:top w:val="nil"/>
              <w:left w:val="nil"/>
              <w:bottom w:val="single" w:color="auto" w:sz="4" w:space="0"/>
              <w:right w:val="single" w:color="auto" w:sz="4" w:space="0"/>
            </w:tcBorders>
            <w:noWrap/>
            <w:vAlign w:val="center"/>
          </w:tcPr>
          <w:p w14:paraId="3222DF84">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8F7E1F3">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70555ED7">
            <w:pPr>
              <w:spacing w:after="0" w:line="240" w:lineRule="auto"/>
              <w:ind w:firstLine="0" w:firstLineChars="0"/>
              <w:jc w:val="center"/>
              <w:rPr>
                <w:rFonts w:ascii="宋体" w:hAnsi="宋体" w:cs="宋体"/>
                <w:color w:val="auto"/>
                <w:sz w:val="20"/>
                <w:szCs w:val="20"/>
              </w:rPr>
            </w:pPr>
          </w:p>
        </w:tc>
      </w:tr>
      <w:tr w14:paraId="68ABB089">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61B28F1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1.3</w:t>
            </w:r>
          </w:p>
        </w:tc>
        <w:tc>
          <w:tcPr>
            <w:tcW w:w="1744" w:type="dxa"/>
            <w:tcBorders>
              <w:top w:val="nil"/>
              <w:left w:val="nil"/>
              <w:bottom w:val="single" w:color="auto" w:sz="4" w:space="0"/>
              <w:right w:val="single" w:color="auto" w:sz="4" w:space="0"/>
            </w:tcBorders>
            <w:noWrap w:val="0"/>
            <w:vAlign w:val="center"/>
          </w:tcPr>
          <w:p w14:paraId="1393BA9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四道白杨沟水库</w:t>
            </w:r>
          </w:p>
        </w:tc>
        <w:tc>
          <w:tcPr>
            <w:tcW w:w="3612" w:type="dxa"/>
            <w:tcBorders>
              <w:top w:val="nil"/>
              <w:left w:val="nil"/>
              <w:bottom w:val="single" w:color="auto" w:sz="4" w:space="0"/>
              <w:right w:val="single" w:color="auto" w:sz="4" w:space="0"/>
            </w:tcBorders>
            <w:noWrap w:val="0"/>
            <w:vAlign w:val="center"/>
          </w:tcPr>
          <w:p w14:paraId="2CD5078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包括恢复闸室内视频，水库门口视频</w:t>
            </w:r>
          </w:p>
        </w:tc>
        <w:tc>
          <w:tcPr>
            <w:tcW w:w="738" w:type="dxa"/>
            <w:tcBorders>
              <w:top w:val="nil"/>
              <w:left w:val="nil"/>
              <w:bottom w:val="single" w:color="auto" w:sz="4" w:space="0"/>
              <w:right w:val="single" w:color="auto" w:sz="4" w:space="0"/>
            </w:tcBorders>
            <w:noWrap/>
            <w:vAlign w:val="center"/>
          </w:tcPr>
          <w:p w14:paraId="79E85D1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3C31145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7</w:t>
            </w:r>
          </w:p>
        </w:tc>
        <w:tc>
          <w:tcPr>
            <w:tcW w:w="1134" w:type="dxa"/>
            <w:tcBorders>
              <w:top w:val="nil"/>
              <w:left w:val="nil"/>
              <w:bottom w:val="single" w:color="auto" w:sz="4" w:space="0"/>
              <w:right w:val="single" w:color="auto" w:sz="4" w:space="0"/>
            </w:tcBorders>
            <w:noWrap w:val="0"/>
            <w:vAlign w:val="center"/>
          </w:tcPr>
          <w:p w14:paraId="7468DAF8">
            <w:pPr>
              <w:spacing w:after="0" w:line="240" w:lineRule="auto"/>
              <w:ind w:firstLine="0" w:firstLineChars="0"/>
              <w:jc w:val="center"/>
              <w:rPr>
                <w:rFonts w:hint="default" w:ascii="宋体" w:hAnsi="宋体" w:eastAsia="宋体" w:cs="宋体"/>
                <w:color w:val="auto"/>
                <w:sz w:val="20"/>
                <w:szCs w:val="20"/>
                <w:lang w:eastAsia="zh-Hans"/>
              </w:rPr>
            </w:pPr>
          </w:p>
        </w:tc>
        <w:tc>
          <w:tcPr>
            <w:tcW w:w="1425" w:type="dxa"/>
            <w:tcBorders>
              <w:top w:val="nil"/>
              <w:left w:val="nil"/>
              <w:bottom w:val="single" w:color="auto" w:sz="4" w:space="0"/>
              <w:right w:val="single" w:color="auto" w:sz="4" w:space="0"/>
            </w:tcBorders>
            <w:noWrap w:val="0"/>
            <w:vAlign w:val="center"/>
          </w:tcPr>
          <w:p w14:paraId="42237FE1">
            <w:pPr>
              <w:spacing w:after="0" w:line="240" w:lineRule="auto"/>
              <w:ind w:firstLine="0" w:firstLineChars="0"/>
              <w:jc w:val="center"/>
              <w:rPr>
                <w:rFonts w:hint="default" w:ascii="宋体" w:hAnsi="宋体" w:eastAsia="宋体" w:cs="宋体"/>
                <w:color w:val="auto"/>
                <w:sz w:val="20"/>
                <w:szCs w:val="20"/>
                <w:lang w:eastAsia="zh-Hans"/>
              </w:rPr>
            </w:pPr>
          </w:p>
        </w:tc>
        <w:tc>
          <w:tcPr>
            <w:tcW w:w="1238" w:type="dxa"/>
            <w:tcBorders>
              <w:top w:val="nil"/>
              <w:left w:val="nil"/>
              <w:bottom w:val="single" w:color="auto" w:sz="4" w:space="0"/>
              <w:right w:val="single" w:color="auto" w:sz="4" w:space="0"/>
            </w:tcBorders>
            <w:noWrap w:val="0"/>
            <w:vAlign w:val="center"/>
          </w:tcPr>
          <w:p w14:paraId="7A644149">
            <w:pPr>
              <w:spacing w:after="0" w:line="240" w:lineRule="auto"/>
              <w:ind w:firstLine="0" w:firstLineChars="0"/>
              <w:jc w:val="center"/>
              <w:rPr>
                <w:rFonts w:hint="default" w:ascii="宋体" w:hAnsi="宋体" w:eastAsia="宋体" w:cs="宋体"/>
                <w:color w:val="auto"/>
                <w:sz w:val="20"/>
                <w:szCs w:val="20"/>
                <w:lang w:eastAsia="zh-Hans"/>
              </w:rPr>
            </w:pPr>
          </w:p>
        </w:tc>
      </w:tr>
      <w:tr w14:paraId="71BC60E1">
        <w:tblPrEx>
          <w:tblCellMar>
            <w:top w:w="0" w:type="dxa"/>
            <w:left w:w="108" w:type="dxa"/>
            <w:bottom w:w="0" w:type="dxa"/>
            <w:right w:w="108" w:type="dxa"/>
          </w:tblCellMar>
        </w:tblPrEx>
        <w:trPr>
          <w:trHeight w:val="960" w:hRule="atLeast"/>
          <w:jc w:val="center"/>
        </w:trPr>
        <w:tc>
          <w:tcPr>
            <w:tcW w:w="685" w:type="dxa"/>
            <w:tcBorders>
              <w:top w:val="nil"/>
              <w:left w:val="single" w:color="auto" w:sz="4" w:space="0"/>
              <w:bottom w:val="single" w:color="auto" w:sz="4" w:space="0"/>
              <w:right w:val="single" w:color="auto" w:sz="4" w:space="0"/>
            </w:tcBorders>
            <w:noWrap/>
            <w:vAlign w:val="center"/>
          </w:tcPr>
          <w:p w14:paraId="5C576A3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1.4</w:t>
            </w:r>
          </w:p>
        </w:tc>
        <w:tc>
          <w:tcPr>
            <w:tcW w:w="1744" w:type="dxa"/>
            <w:tcBorders>
              <w:top w:val="nil"/>
              <w:left w:val="nil"/>
              <w:bottom w:val="single" w:color="auto" w:sz="4" w:space="0"/>
              <w:right w:val="single" w:color="auto" w:sz="4" w:space="0"/>
            </w:tcBorders>
            <w:noWrap w:val="0"/>
            <w:vAlign w:val="center"/>
          </w:tcPr>
          <w:p w14:paraId="416E5BA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阿腊通盖水库</w:t>
            </w:r>
          </w:p>
        </w:tc>
        <w:tc>
          <w:tcPr>
            <w:tcW w:w="3612" w:type="dxa"/>
            <w:tcBorders>
              <w:top w:val="nil"/>
              <w:left w:val="nil"/>
              <w:bottom w:val="single" w:color="auto" w:sz="4" w:space="0"/>
              <w:right w:val="single" w:color="auto" w:sz="4" w:space="0"/>
            </w:tcBorders>
            <w:noWrap w:val="0"/>
            <w:vAlign w:val="center"/>
          </w:tcPr>
          <w:p w14:paraId="1D00BFA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包括恢复柳树沟、羊头沟、黑山头、科拓沟塘坝视频</w:t>
            </w:r>
          </w:p>
        </w:tc>
        <w:tc>
          <w:tcPr>
            <w:tcW w:w="738" w:type="dxa"/>
            <w:tcBorders>
              <w:top w:val="nil"/>
              <w:left w:val="nil"/>
              <w:bottom w:val="single" w:color="auto" w:sz="4" w:space="0"/>
              <w:right w:val="single" w:color="auto" w:sz="4" w:space="0"/>
            </w:tcBorders>
            <w:noWrap/>
            <w:vAlign w:val="center"/>
          </w:tcPr>
          <w:p w14:paraId="4CF8033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22328F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8</w:t>
            </w:r>
          </w:p>
        </w:tc>
        <w:tc>
          <w:tcPr>
            <w:tcW w:w="1134" w:type="dxa"/>
            <w:tcBorders>
              <w:top w:val="nil"/>
              <w:left w:val="nil"/>
              <w:bottom w:val="single" w:color="auto" w:sz="4" w:space="0"/>
              <w:right w:val="single" w:color="auto" w:sz="4" w:space="0"/>
            </w:tcBorders>
            <w:noWrap/>
            <w:vAlign w:val="center"/>
          </w:tcPr>
          <w:p w14:paraId="5188E664">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3E25412F">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44C769F3">
            <w:pPr>
              <w:spacing w:after="0" w:line="240" w:lineRule="auto"/>
              <w:ind w:firstLine="0" w:firstLineChars="0"/>
              <w:jc w:val="center"/>
              <w:rPr>
                <w:rFonts w:ascii="宋体" w:hAnsi="宋体" w:cs="宋体"/>
                <w:color w:val="auto"/>
                <w:sz w:val="20"/>
                <w:szCs w:val="20"/>
              </w:rPr>
            </w:pPr>
          </w:p>
        </w:tc>
      </w:tr>
      <w:tr w14:paraId="46E08F9F">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1656E83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1.5</w:t>
            </w:r>
          </w:p>
        </w:tc>
        <w:tc>
          <w:tcPr>
            <w:tcW w:w="1744" w:type="dxa"/>
            <w:tcBorders>
              <w:top w:val="nil"/>
              <w:left w:val="nil"/>
              <w:bottom w:val="single" w:color="auto" w:sz="4" w:space="0"/>
              <w:right w:val="single" w:color="auto" w:sz="4" w:space="0"/>
            </w:tcBorders>
            <w:noWrap w:val="0"/>
            <w:vAlign w:val="center"/>
          </w:tcPr>
          <w:p w14:paraId="3BF7E4F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石门沟水库</w:t>
            </w:r>
          </w:p>
        </w:tc>
        <w:tc>
          <w:tcPr>
            <w:tcW w:w="3612" w:type="dxa"/>
            <w:tcBorders>
              <w:top w:val="nil"/>
              <w:left w:val="nil"/>
              <w:bottom w:val="single" w:color="auto" w:sz="4" w:space="0"/>
              <w:right w:val="single" w:color="auto" w:sz="4" w:space="0"/>
            </w:tcBorders>
            <w:noWrap w:val="0"/>
            <w:vAlign w:val="center"/>
          </w:tcPr>
          <w:p w14:paraId="129A72F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包括恢复墙墙沟、塔拉布拉克塘坝视频</w:t>
            </w:r>
          </w:p>
        </w:tc>
        <w:tc>
          <w:tcPr>
            <w:tcW w:w="738" w:type="dxa"/>
            <w:tcBorders>
              <w:top w:val="nil"/>
              <w:left w:val="nil"/>
              <w:bottom w:val="single" w:color="auto" w:sz="4" w:space="0"/>
              <w:right w:val="single" w:color="auto" w:sz="4" w:space="0"/>
            </w:tcBorders>
            <w:noWrap/>
            <w:vAlign w:val="center"/>
          </w:tcPr>
          <w:p w14:paraId="37DD953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4E7AFE1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7</w:t>
            </w:r>
          </w:p>
        </w:tc>
        <w:tc>
          <w:tcPr>
            <w:tcW w:w="1134" w:type="dxa"/>
            <w:tcBorders>
              <w:top w:val="nil"/>
              <w:left w:val="nil"/>
              <w:bottom w:val="single" w:color="auto" w:sz="4" w:space="0"/>
              <w:right w:val="single" w:color="auto" w:sz="4" w:space="0"/>
            </w:tcBorders>
            <w:noWrap/>
            <w:vAlign w:val="center"/>
          </w:tcPr>
          <w:p w14:paraId="54EA85B1">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72E65A13">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7AE89EF4">
            <w:pPr>
              <w:spacing w:after="0" w:line="240" w:lineRule="auto"/>
              <w:ind w:firstLine="0" w:firstLineChars="0"/>
              <w:jc w:val="center"/>
              <w:rPr>
                <w:rFonts w:ascii="宋体" w:hAnsi="宋体" w:cs="宋体"/>
                <w:color w:val="auto"/>
                <w:sz w:val="20"/>
                <w:szCs w:val="20"/>
              </w:rPr>
            </w:pPr>
          </w:p>
        </w:tc>
      </w:tr>
      <w:tr w14:paraId="58B2C859">
        <w:tblPrEx>
          <w:tblCellMar>
            <w:top w:w="0" w:type="dxa"/>
            <w:left w:w="108" w:type="dxa"/>
            <w:bottom w:w="0" w:type="dxa"/>
            <w:right w:w="108" w:type="dxa"/>
          </w:tblCellMar>
        </w:tblPrEx>
        <w:trPr>
          <w:trHeight w:val="581" w:hRule="atLeast"/>
          <w:jc w:val="center"/>
        </w:trPr>
        <w:tc>
          <w:tcPr>
            <w:tcW w:w="685" w:type="dxa"/>
            <w:tcBorders>
              <w:top w:val="nil"/>
              <w:left w:val="single" w:color="auto" w:sz="4" w:space="0"/>
              <w:bottom w:val="single" w:color="auto" w:sz="4" w:space="0"/>
              <w:right w:val="single" w:color="auto" w:sz="4" w:space="0"/>
            </w:tcBorders>
            <w:noWrap/>
            <w:vAlign w:val="center"/>
          </w:tcPr>
          <w:p w14:paraId="44CE1D3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1.6</w:t>
            </w:r>
          </w:p>
        </w:tc>
        <w:tc>
          <w:tcPr>
            <w:tcW w:w="1744" w:type="dxa"/>
            <w:tcBorders>
              <w:top w:val="nil"/>
              <w:left w:val="nil"/>
              <w:bottom w:val="single" w:color="auto" w:sz="4" w:space="0"/>
              <w:right w:val="single" w:color="auto" w:sz="4" w:space="0"/>
            </w:tcBorders>
            <w:noWrap w:val="0"/>
            <w:vAlign w:val="center"/>
          </w:tcPr>
          <w:p w14:paraId="697A499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淖毛湖渠首</w:t>
            </w:r>
          </w:p>
        </w:tc>
        <w:tc>
          <w:tcPr>
            <w:tcW w:w="3612" w:type="dxa"/>
            <w:tcBorders>
              <w:top w:val="nil"/>
              <w:left w:val="nil"/>
              <w:bottom w:val="single" w:color="auto" w:sz="4" w:space="0"/>
              <w:right w:val="single" w:color="auto" w:sz="4" w:space="0"/>
            </w:tcBorders>
            <w:noWrap w:val="0"/>
            <w:vAlign w:val="center"/>
          </w:tcPr>
          <w:p w14:paraId="391825AB">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52FD6B6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525D1A5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134" w:type="dxa"/>
            <w:tcBorders>
              <w:top w:val="nil"/>
              <w:left w:val="nil"/>
              <w:bottom w:val="single" w:color="auto" w:sz="4" w:space="0"/>
              <w:right w:val="single" w:color="auto" w:sz="4" w:space="0"/>
            </w:tcBorders>
            <w:noWrap/>
            <w:vAlign w:val="center"/>
          </w:tcPr>
          <w:p w14:paraId="4B60F270">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ign w:val="center"/>
          </w:tcPr>
          <w:p w14:paraId="0C851779">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ign w:val="center"/>
          </w:tcPr>
          <w:p w14:paraId="3360C594">
            <w:pPr>
              <w:spacing w:after="0" w:line="240" w:lineRule="auto"/>
              <w:ind w:firstLine="0" w:firstLineChars="0"/>
              <w:jc w:val="center"/>
              <w:rPr>
                <w:rFonts w:ascii="宋体" w:hAnsi="宋体" w:cs="宋体"/>
                <w:b/>
                <w:bCs/>
                <w:color w:val="auto"/>
                <w:sz w:val="20"/>
                <w:szCs w:val="20"/>
              </w:rPr>
            </w:pPr>
          </w:p>
        </w:tc>
      </w:tr>
      <w:tr w14:paraId="5B8518F7">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46A6ABD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1.7</w:t>
            </w:r>
          </w:p>
        </w:tc>
        <w:tc>
          <w:tcPr>
            <w:tcW w:w="1744" w:type="dxa"/>
            <w:tcBorders>
              <w:top w:val="nil"/>
              <w:left w:val="nil"/>
              <w:bottom w:val="single" w:color="auto" w:sz="4" w:space="0"/>
              <w:right w:val="single" w:color="auto" w:sz="4" w:space="0"/>
            </w:tcBorders>
            <w:noWrap w:val="0"/>
            <w:vAlign w:val="center"/>
          </w:tcPr>
          <w:p w14:paraId="227424F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吐尔干渠首</w:t>
            </w:r>
          </w:p>
        </w:tc>
        <w:tc>
          <w:tcPr>
            <w:tcW w:w="3612" w:type="dxa"/>
            <w:tcBorders>
              <w:top w:val="nil"/>
              <w:left w:val="nil"/>
              <w:bottom w:val="single" w:color="auto" w:sz="4" w:space="0"/>
              <w:right w:val="single" w:color="auto" w:sz="4" w:space="0"/>
            </w:tcBorders>
            <w:noWrap w:val="0"/>
            <w:vAlign w:val="center"/>
          </w:tcPr>
          <w:p w14:paraId="6E3021CC">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483EAD7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6EB8EFA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w:t>
            </w:r>
          </w:p>
        </w:tc>
        <w:tc>
          <w:tcPr>
            <w:tcW w:w="1134" w:type="dxa"/>
            <w:tcBorders>
              <w:top w:val="nil"/>
              <w:left w:val="nil"/>
              <w:bottom w:val="single" w:color="auto" w:sz="4" w:space="0"/>
              <w:right w:val="single" w:color="auto" w:sz="4" w:space="0"/>
            </w:tcBorders>
            <w:noWrap/>
            <w:vAlign w:val="center"/>
          </w:tcPr>
          <w:p w14:paraId="35E57FBF">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ign w:val="center"/>
          </w:tcPr>
          <w:p w14:paraId="2BC5924F">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ign w:val="center"/>
          </w:tcPr>
          <w:p w14:paraId="5AC4C391">
            <w:pPr>
              <w:spacing w:after="0" w:line="240" w:lineRule="auto"/>
              <w:ind w:firstLine="0" w:firstLineChars="0"/>
              <w:jc w:val="center"/>
              <w:rPr>
                <w:rFonts w:ascii="宋体" w:hAnsi="宋体" w:cs="宋体"/>
                <w:b/>
                <w:bCs/>
                <w:color w:val="auto"/>
                <w:sz w:val="20"/>
                <w:szCs w:val="20"/>
              </w:rPr>
            </w:pPr>
          </w:p>
        </w:tc>
      </w:tr>
      <w:tr w14:paraId="409DB1E9">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5C7641A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744" w:type="dxa"/>
            <w:tcBorders>
              <w:top w:val="nil"/>
              <w:left w:val="nil"/>
              <w:bottom w:val="single" w:color="auto" w:sz="4" w:space="0"/>
              <w:right w:val="single" w:color="auto" w:sz="4" w:space="0"/>
            </w:tcBorders>
            <w:noWrap w:val="0"/>
            <w:vAlign w:val="center"/>
          </w:tcPr>
          <w:p w14:paraId="6B2C89C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科拓沟渠首</w:t>
            </w:r>
          </w:p>
        </w:tc>
        <w:tc>
          <w:tcPr>
            <w:tcW w:w="3612" w:type="dxa"/>
            <w:tcBorders>
              <w:top w:val="nil"/>
              <w:left w:val="nil"/>
              <w:bottom w:val="single" w:color="auto" w:sz="4" w:space="0"/>
              <w:right w:val="single" w:color="auto" w:sz="4" w:space="0"/>
            </w:tcBorders>
            <w:noWrap w:val="0"/>
            <w:vAlign w:val="center"/>
          </w:tcPr>
          <w:p w14:paraId="4EE3502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科拓沟渠首视频恢复，供电系统维护需要建设远程供电系统</w:t>
            </w:r>
          </w:p>
        </w:tc>
        <w:tc>
          <w:tcPr>
            <w:tcW w:w="738" w:type="dxa"/>
            <w:tcBorders>
              <w:top w:val="nil"/>
              <w:left w:val="nil"/>
              <w:bottom w:val="single" w:color="auto" w:sz="4" w:space="0"/>
              <w:right w:val="single" w:color="auto" w:sz="4" w:space="0"/>
            </w:tcBorders>
            <w:noWrap/>
            <w:vAlign w:val="center"/>
          </w:tcPr>
          <w:p w14:paraId="56FC975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129486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4</w:t>
            </w:r>
          </w:p>
        </w:tc>
        <w:tc>
          <w:tcPr>
            <w:tcW w:w="1134" w:type="dxa"/>
            <w:tcBorders>
              <w:top w:val="nil"/>
              <w:left w:val="nil"/>
              <w:bottom w:val="single" w:color="auto" w:sz="4" w:space="0"/>
              <w:right w:val="single" w:color="auto" w:sz="4" w:space="0"/>
            </w:tcBorders>
            <w:noWrap/>
            <w:vAlign w:val="center"/>
          </w:tcPr>
          <w:p w14:paraId="7F26CFE6">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50BFE98B">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133E30FD">
            <w:pPr>
              <w:spacing w:after="0" w:line="240" w:lineRule="auto"/>
              <w:ind w:firstLine="0" w:firstLineChars="0"/>
              <w:jc w:val="center"/>
              <w:rPr>
                <w:rFonts w:ascii="宋体" w:hAnsi="宋体" w:cs="宋体"/>
                <w:color w:val="auto"/>
                <w:sz w:val="20"/>
                <w:szCs w:val="20"/>
              </w:rPr>
            </w:pPr>
          </w:p>
        </w:tc>
      </w:tr>
      <w:tr w14:paraId="2601AA6E">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025247B">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2</w:t>
            </w:r>
          </w:p>
        </w:tc>
        <w:tc>
          <w:tcPr>
            <w:tcW w:w="1744" w:type="dxa"/>
            <w:tcBorders>
              <w:top w:val="nil"/>
              <w:left w:val="nil"/>
              <w:bottom w:val="single" w:color="auto" w:sz="4" w:space="0"/>
              <w:right w:val="single" w:color="auto" w:sz="4" w:space="0"/>
            </w:tcBorders>
            <w:noWrap w:val="0"/>
            <w:vAlign w:val="center"/>
          </w:tcPr>
          <w:p w14:paraId="25FF5AC8">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山洪灾害预警系统日常运行维护管理</w:t>
            </w:r>
          </w:p>
        </w:tc>
        <w:tc>
          <w:tcPr>
            <w:tcW w:w="3612" w:type="dxa"/>
            <w:tcBorders>
              <w:top w:val="nil"/>
              <w:left w:val="nil"/>
              <w:bottom w:val="single" w:color="auto" w:sz="4" w:space="0"/>
              <w:right w:val="single" w:color="auto" w:sz="4" w:space="0"/>
            </w:tcBorders>
            <w:noWrap w:val="0"/>
            <w:vAlign w:val="center"/>
          </w:tcPr>
          <w:p w14:paraId="3049A12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主要针对县城内18处自动雨量站、6处自动水位站测站及配套的预警广播系统日常运行保障维护管理，确保各监测站点正常运行</w:t>
            </w:r>
          </w:p>
        </w:tc>
        <w:tc>
          <w:tcPr>
            <w:tcW w:w="738" w:type="dxa"/>
            <w:tcBorders>
              <w:top w:val="nil"/>
              <w:left w:val="nil"/>
              <w:bottom w:val="single" w:color="auto" w:sz="4" w:space="0"/>
              <w:right w:val="single" w:color="auto" w:sz="4" w:space="0"/>
            </w:tcBorders>
            <w:noWrap/>
            <w:vAlign w:val="center"/>
          </w:tcPr>
          <w:p w14:paraId="4585355F">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018C6BB4">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3BDBF8F2">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4D8F8D99">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2338012C">
            <w:pPr>
              <w:spacing w:after="0" w:line="240" w:lineRule="auto"/>
              <w:ind w:firstLine="0" w:firstLineChars="0"/>
              <w:jc w:val="center"/>
              <w:rPr>
                <w:rFonts w:ascii="宋体" w:hAnsi="宋体" w:cs="宋体"/>
                <w:color w:val="auto"/>
                <w:sz w:val="20"/>
                <w:szCs w:val="20"/>
              </w:rPr>
            </w:pPr>
          </w:p>
        </w:tc>
      </w:tr>
      <w:tr w14:paraId="36135A99">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467963B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2.1</w:t>
            </w:r>
          </w:p>
        </w:tc>
        <w:tc>
          <w:tcPr>
            <w:tcW w:w="1744" w:type="dxa"/>
            <w:tcBorders>
              <w:top w:val="nil"/>
              <w:left w:val="nil"/>
              <w:bottom w:val="single" w:color="auto" w:sz="4" w:space="0"/>
              <w:right w:val="single" w:color="auto" w:sz="4" w:space="0"/>
            </w:tcBorders>
            <w:noWrap w:val="0"/>
            <w:vAlign w:val="center"/>
          </w:tcPr>
          <w:p w14:paraId="463AF27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雨量站维护</w:t>
            </w:r>
          </w:p>
        </w:tc>
        <w:tc>
          <w:tcPr>
            <w:tcW w:w="3612" w:type="dxa"/>
            <w:tcBorders>
              <w:top w:val="nil"/>
              <w:left w:val="nil"/>
              <w:bottom w:val="single" w:color="auto" w:sz="4" w:space="0"/>
              <w:right w:val="single" w:color="auto" w:sz="4" w:space="0"/>
            </w:tcBorders>
            <w:noWrap w:val="0"/>
            <w:vAlign w:val="center"/>
          </w:tcPr>
          <w:p w14:paraId="027AE68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更换RTU</w:t>
            </w:r>
          </w:p>
        </w:tc>
        <w:tc>
          <w:tcPr>
            <w:tcW w:w="738" w:type="dxa"/>
            <w:tcBorders>
              <w:top w:val="nil"/>
              <w:left w:val="nil"/>
              <w:bottom w:val="single" w:color="auto" w:sz="4" w:space="0"/>
              <w:right w:val="single" w:color="auto" w:sz="4" w:space="0"/>
            </w:tcBorders>
            <w:noWrap/>
            <w:vAlign w:val="center"/>
          </w:tcPr>
          <w:p w14:paraId="5349398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9CE254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134" w:type="dxa"/>
            <w:tcBorders>
              <w:top w:val="nil"/>
              <w:left w:val="nil"/>
              <w:bottom w:val="single" w:color="auto" w:sz="4" w:space="0"/>
              <w:right w:val="single" w:color="auto" w:sz="4" w:space="0"/>
            </w:tcBorders>
            <w:noWrap/>
            <w:vAlign w:val="center"/>
          </w:tcPr>
          <w:p w14:paraId="22E401C9">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7F32FB8">
            <w:pPr>
              <w:spacing w:after="0" w:line="240" w:lineRule="auto"/>
              <w:ind w:firstLine="0" w:firstLineChars="0"/>
              <w:jc w:val="center"/>
              <w:rPr>
                <w:rFonts w:hint="eastAsia"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57A9D019">
            <w:pPr>
              <w:spacing w:after="0" w:line="240" w:lineRule="auto"/>
              <w:ind w:firstLine="0" w:firstLineChars="0"/>
              <w:jc w:val="center"/>
              <w:rPr>
                <w:rFonts w:hint="eastAsia" w:ascii="宋体" w:hAnsi="宋体" w:cs="宋体"/>
                <w:color w:val="000000"/>
                <w:sz w:val="20"/>
                <w:szCs w:val="20"/>
              </w:rPr>
            </w:pPr>
          </w:p>
        </w:tc>
      </w:tr>
      <w:tr w14:paraId="1891CEC6">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046C43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2.2</w:t>
            </w:r>
          </w:p>
        </w:tc>
        <w:tc>
          <w:tcPr>
            <w:tcW w:w="1744" w:type="dxa"/>
            <w:tcBorders>
              <w:top w:val="nil"/>
              <w:left w:val="nil"/>
              <w:bottom w:val="single" w:color="auto" w:sz="4" w:space="0"/>
              <w:right w:val="single" w:color="auto" w:sz="4" w:space="0"/>
            </w:tcBorders>
            <w:noWrap w:val="0"/>
            <w:vAlign w:val="center"/>
          </w:tcPr>
          <w:p w14:paraId="19A1FCF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水位站</w:t>
            </w:r>
          </w:p>
        </w:tc>
        <w:tc>
          <w:tcPr>
            <w:tcW w:w="3612" w:type="dxa"/>
            <w:tcBorders>
              <w:top w:val="nil"/>
              <w:left w:val="nil"/>
              <w:bottom w:val="single" w:color="auto" w:sz="4" w:space="0"/>
              <w:right w:val="single" w:color="auto" w:sz="4" w:space="0"/>
            </w:tcBorders>
            <w:noWrap w:val="0"/>
            <w:vAlign w:val="center"/>
          </w:tcPr>
          <w:p w14:paraId="159B67A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更换RTU</w:t>
            </w:r>
          </w:p>
        </w:tc>
        <w:tc>
          <w:tcPr>
            <w:tcW w:w="738" w:type="dxa"/>
            <w:tcBorders>
              <w:top w:val="nil"/>
              <w:left w:val="nil"/>
              <w:bottom w:val="single" w:color="auto" w:sz="4" w:space="0"/>
              <w:right w:val="single" w:color="auto" w:sz="4" w:space="0"/>
            </w:tcBorders>
            <w:noWrap/>
            <w:vAlign w:val="center"/>
          </w:tcPr>
          <w:p w14:paraId="3C12345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6AA450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w:t>
            </w:r>
          </w:p>
        </w:tc>
        <w:tc>
          <w:tcPr>
            <w:tcW w:w="1134" w:type="dxa"/>
            <w:tcBorders>
              <w:top w:val="nil"/>
              <w:left w:val="nil"/>
              <w:bottom w:val="single" w:color="auto" w:sz="4" w:space="0"/>
              <w:right w:val="single" w:color="auto" w:sz="4" w:space="0"/>
            </w:tcBorders>
            <w:noWrap/>
            <w:vAlign w:val="center"/>
          </w:tcPr>
          <w:p w14:paraId="2D50BD81">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FF3662F">
            <w:pPr>
              <w:spacing w:after="0" w:line="240" w:lineRule="auto"/>
              <w:ind w:firstLine="0" w:firstLineChars="0"/>
              <w:jc w:val="center"/>
              <w:rPr>
                <w:rFonts w:hint="eastAsia"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6B4EF3A9">
            <w:pPr>
              <w:spacing w:after="0" w:line="240" w:lineRule="auto"/>
              <w:ind w:firstLine="0" w:firstLineChars="0"/>
              <w:jc w:val="center"/>
              <w:rPr>
                <w:rFonts w:hint="eastAsia" w:ascii="宋体" w:hAnsi="宋体" w:cs="宋体"/>
                <w:color w:val="000000"/>
                <w:sz w:val="20"/>
                <w:szCs w:val="20"/>
              </w:rPr>
            </w:pPr>
          </w:p>
        </w:tc>
      </w:tr>
      <w:tr w14:paraId="5468CF33">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3665A7C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2.3</w:t>
            </w:r>
          </w:p>
        </w:tc>
        <w:tc>
          <w:tcPr>
            <w:tcW w:w="1744" w:type="dxa"/>
            <w:tcBorders>
              <w:top w:val="nil"/>
              <w:left w:val="nil"/>
              <w:bottom w:val="single" w:color="auto" w:sz="4" w:space="0"/>
              <w:right w:val="single" w:color="auto" w:sz="4" w:space="0"/>
            </w:tcBorders>
            <w:noWrap w:val="0"/>
            <w:vAlign w:val="center"/>
          </w:tcPr>
          <w:p w14:paraId="56BCC88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视频站</w:t>
            </w:r>
          </w:p>
        </w:tc>
        <w:tc>
          <w:tcPr>
            <w:tcW w:w="3612" w:type="dxa"/>
            <w:tcBorders>
              <w:top w:val="nil"/>
              <w:left w:val="nil"/>
              <w:bottom w:val="single" w:color="auto" w:sz="4" w:space="0"/>
              <w:right w:val="single" w:color="auto" w:sz="4" w:space="0"/>
            </w:tcBorders>
            <w:noWrap w:val="0"/>
            <w:vAlign w:val="center"/>
          </w:tcPr>
          <w:p w14:paraId="0134020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视频站的供电系统，以及水尺</w:t>
            </w:r>
          </w:p>
        </w:tc>
        <w:tc>
          <w:tcPr>
            <w:tcW w:w="738" w:type="dxa"/>
            <w:tcBorders>
              <w:top w:val="nil"/>
              <w:left w:val="nil"/>
              <w:bottom w:val="single" w:color="auto" w:sz="4" w:space="0"/>
              <w:right w:val="single" w:color="auto" w:sz="4" w:space="0"/>
            </w:tcBorders>
            <w:noWrap/>
            <w:vAlign w:val="center"/>
          </w:tcPr>
          <w:p w14:paraId="15EB96C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FD4548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w:t>
            </w:r>
          </w:p>
        </w:tc>
        <w:tc>
          <w:tcPr>
            <w:tcW w:w="1134" w:type="dxa"/>
            <w:tcBorders>
              <w:top w:val="nil"/>
              <w:left w:val="nil"/>
              <w:bottom w:val="single" w:color="auto" w:sz="4" w:space="0"/>
              <w:right w:val="single" w:color="auto" w:sz="4" w:space="0"/>
            </w:tcBorders>
            <w:noWrap/>
            <w:vAlign w:val="center"/>
          </w:tcPr>
          <w:p w14:paraId="6B610832">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43334A00">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6AB999AF">
            <w:pPr>
              <w:spacing w:after="0" w:line="240" w:lineRule="auto"/>
              <w:ind w:firstLine="0" w:firstLineChars="0"/>
              <w:jc w:val="center"/>
              <w:rPr>
                <w:rFonts w:ascii="宋体" w:hAnsi="宋体" w:cs="宋体"/>
                <w:color w:val="auto"/>
                <w:sz w:val="20"/>
                <w:szCs w:val="20"/>
              </w:rPr>
            </w:pPr>
          </w:p>
        </w:tc>
      </w:tr>
      <w:tr w14:paraId="111E9807">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4FC89B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2.4</w:t>
            </w:r>
          </w:p>
        </w:tc>
        <w:tc>
          <w:tcPr>
            <w:tcW w:w="1744" w:type="dxa"/>
            <w:tcBorders>
              <w:top w:val="nil"/>
              <w:left w:val="nil"/>
              <w:bottom w:val="single" w:color="auto" w:sz="4" w:space="0"/>
              <w:right w:val="single" w:color="auto" w:sz="4" w:space="0"/>
            </w:tcBorders>
            <w:noWrap w:val="0"/>
            <w:vAlign w:val="center"/>
          </w:tcPr>
          <w:p w14:paraId="4BEDEBE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预警广播站</w:t>
            </w:r>
          </w:p>
        </w:tc>
        <w:tc>
          <w:tcPr>
            <w:tcW w:w="3612" w:type="dxa"/>
            <w:tcBorders>
              <w:top w:val="nil"/>
              <w:left w:val="nil"/>
              <w:bottom w:val="single" w:color="auto" w:sz="4" w:space="0"/>
              <w:right w:val="single" w:color="auto" w:sz="4" w:space="0"/>
            </w:tcBorders>
            <w:noWrap w:val="0"/>
            <w:vAlign w:val="center"/>
          </w:tcPr>
          <w:p w14:paraId="44322F2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预警广播站的喇叭，预警广播站白名单</w:t>
            </w:r>
          </w:p>
        </w:tc>
        <w:tc>
          <w:tcPr>
            <w:tcW w:w="738" w:type="dxa"/>
            <w:tcBorders>
              <w:top w:val="nil"/>
              <w:left w:val="nil"/>
              <w:bottom w:val="single" w:color="auto" w:sz="4" w:space="0"/>
              <w:right w:val="single" w:color="auto" w:sz="4" w:space="0"/>
            </w:tcBorders>
            <w:noWrap/>
            <w:vAlign w:val="center"/>
          </w:tcPr>
          <w:p w14:paraId="60AF276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57F1E9B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18</w:t>
            </w:r>
          </w:p>
        </w:tc>
        <w:tc>
          <w:tcPr>
            <w:tcW w:w="1134" w:type="dxa"/>
            <w:tcBorders>
              <w:top w:val="nil"/>
              <w:left w:val="nil"/>
              <w:bottom w:val="single" w:color="auto" w:sz="4" w:space="0"/>
              <w:right w:val="single" w:color="auto" w:sz="4" w:space="0"/>
            </w:tcBorders>
            <w:noWrap/>
            <w:vAlign w:val="center"/>
          </w:tcPr>
          <w:p w14:paraId="4E88EC82">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29194F3E">
            <w:pPr>
              <w:spacing w:after="0" w:line="240" w:lineRule="auto"/>
              <w:ind w:firstLine="0" w:firstLineChars="0"/>
              <w:jc w:val="center"/>
              <w:rPr>
                <w:rFonts w:hint="eastAsia"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0DEFD9C8">
            <w:pPr>
              <w:spacing w:after="0" w:line="240" w:lineRule="auto"/>
              <w:ind w:firstLine="0" w:firstLineChars="0"/>
              <w:jc w:val="center"/>
              <w:rPr>
                <w:rFonts w:hint="eastAsia" w:ascii="宋体" w:hAnsi="宋体" w:cs="宋体"/>
                <w:color w:val="000000"/>
                <w:sz w:val="20"/>
                <w:szCs w:val="20"/>
              </w:rPr>
            </w:pPr>
          </w:p>
        </w:tc>
      </w:tr>
      <w:tr w14:paraId="46555991">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24B4A42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2.5</w:t>
            </w:r>
          </w:p>
        </w:tc>
        <w:tc>
          <w:tcPr>
            <w:tcW w:w="1744" w:type="dxa"/>
            <w:tcBorders>
              <w:top w:val="nil"/>
              <w:left w:val="nil"/>
              <w:bottom w:val="single" w:color="auto" w:sz="4" w:space="0"/>
              <w:right w:val="single" w:color="auto" w:sz="4" w:space="0"/>
            </w:tcBorders>
            <w:noWrap w:val="0"/>
            <w:vAlign w:val="center"/>
          </w:tcPr>
          <w:p w14:paraId="4E3D30E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生态测流站</w:t>
            </w:r>
          </w:p>
        </w:tc>
        <w:tc>
          <w:tcPr>
            <w:tcW w:w="3612" w:type="dxa"/>
            <w:tcBorders>
              <w:top w:val="nil"/>
              <w:left w:val="nil"/>
              <w:bottom w:val="single" w:color="auto" w:sz="4" w:space="0"/>
              <w:right w:val="single" w:color="auto" w:sz="4" w:space="0"/>
            </w:tcBorders>
            <w:noWrap w:val="0"/>
            <w:vAlign w:val="center"/>
          </w:tcPr>
          <w:p w14:paraId="10C3C15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生态测流站的供电系统，测流设备</w:t>
            </w:r>
          </w:p>
        </w:tc>
        <w:tc>
          <w:tcPr>
            <w:tcW w:w="738" w:type="dxa"/>
            <w:tcBorders>
              <w:top w:val="nil"/>
              <w:left w:val="nil"/>
              <w:bottom w:val="single" w:color="auto" w:sz="4" w:space="0"/>
              <w:right w:val="single" w:color="auto" w:sz="4" w:space="0"/>
            </w:tcBorders>
            <w:noWrap/>
            <w:vAlign w:val="center"/>
          </w:tcPr>
          <w:p w14:paraId="3BA2858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3B6A146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753A514F">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ign w:val="center"/>
          </w:tcPr>
          <w:p w14:paraId="02F5C66B">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ign w:val="center"/>
          </w:tcPr>
          <w:p w14:paraId="6A25C87E">
            <w:pPr>
              <w:spacing w:after="0" w:line="240" w:lineRule="auto"/>
              <w:ind w:firstLine="0" w:firstLineChars="0"/>
              <w:jc w:val="center"/>
              <w:rPr>
                <w:rFonts w:ascii="宋体" w:hAnsi="宋体" w:cs="宋体"/>
                <w:b/>
                <w:bCs/>
                <w:color w:val="auto"/>
                <w:sz w:val="20"/>
                <w:szCs w:val="20"/>
              </w:rPr>
            </w:pPr>
          </w:p>
        </w:tc>
      </w:tr>
      <w:tr w14:paraId="3831F320">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76E1A59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2.6</w:t>
            </w:r>
          </w:p>
        </w:tc>
        <w:tc>
          <w:tcPr>
            <w:tcW w:w="1744" w:type="dxa"/>
            <w:tcBorders>
              <w:top w:val="nil"/>
              <w:left w:val="nil"/>
              <w:bottom w:val="single" w:color="auto" w:sz="4" w:space="0"/>
              <w:right w:val="single" w:color="auto" w:sz="4" w:space="0"/>
            </w:tcBorders>
            <w:noWrap w:val="0"/>
            <w:vAlign w:val="center"/>
          </w:tcPr>
          <w:p w14:paraId="5568B3D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采集系统维护</w:t>
            </w:r>
          </w:p>
        </w:tc>
        <w:tc>
          <w:tcPr>
            <w:tcW w:w="3612" w:type="dxa"/>
            <w:tcBorders>
              <w:top w:val="nil"/>
              <w:left w:val="nil"/>
              <w:bottom w:val="single" w:color="auto" w:sz="4" w:space="0"/>
              <w:right w:val="single" w:color="auto" w:sz="4" w:space="0"/>
            </w:tcBorders>
            <w:noWrap w:val="0"/>
            <w:vAlign w:val="center"/>
          </w:tcPr>
          <w:p w14:paraId="17975BF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包括雨量站，水位站，生态测流站，预警广播</w:t>
            </w:r>
          </w:p>
        </w:tc>
        <w:tc>
          <w:tcPr>
            <w:tcW w:w="738" w:type="dxa"/>
            <w:tcBorders>
              <w:top w:val="nil"/>
              <w:left w:val="nil"/>
              <w:bottom w:val="single" w:color="auto" w:sz="4" w:space="0"/>
              <w:right w:val="single" w:color="auto" w:sz="4" w:space="0"/>
            </w:tcBorders>
            <w:noWrap/>
            <w:vAlign w:val="center"/>
          </w:tcPr>
          <w:p w14:paraId="27B3306D">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379A32BF">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0C4318E6">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24C780B3">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3FAFBC60">
            <w:pPr>
              <w:spacing w:after="0" w:line="240" w:lineRule="auto"/>
              <w:ind w:firstLine="0" w:firstLineChars="0"/>
              <w:jc w:val="center"/>
              <w:rPr>
                <w:rFonts w:ascii="宋体" w:hAnsi="宋体" w:cs="宋体"/>
                <w:color w:val="auto"/>
                <w:sz w:val="20"/>
                <w:szCs w:val="20"/>
              </w:rPr>
            </w:pPr>
          </w:p>
        </w:tc>
      </w:tr>
      <w:tr w14:paraId="67671342">
        <w:tblPrEx>
          <w:tblCellMar>
            <w:top w:w="0" w:type="dxa"/>
            <w:left w:w="108" w:type="dxa"/>
            <w:bottom w:w="0" w:type="dxa"/>
            <w:right w:w="108" w:type="dxa"/>
          </w:tblCellMar>
        </w:tblPrEx>
        <w:trPr>
          <w:trHeight w:val="720" w:hRule="atLeast"/>
          <w:jc w:val="center"/>
        </w:trPr>
        <w:tc>
          <w:tcPr>
            <w:tcW w:w="685" w:type="dxa"/>
            <w:tcBorders>
              <w:top w:val="nil"/>
              <w:left w:val="single" w:color="auto" w:sz="4" w:space="0"/>
              <w:bottom w:val="single" w:color="auto" w:sz="4" w:space="0"/>
              <w:right w:val="single" w:color="auto" w:sz="4" w:space="0"/>
            </w:tcBorders>
            <w:noWrap/>
            <w:vAlign w:val="center"/>
          </w:tcPr>
          <w:p w14:paraId="4AA397B4">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3</w:t>
            </w:r>
          </w:p>
        </w:tc>
        <w:tc>
          <w:tcPr>
            <w:tcW w:w="1744" w:type="dxa"/>
            <w:tcBorders>
              <w:top w:val="nil"/>
              <w:left w:val="nil"/>
              <w:bottom w:val="single" w:color="auto" w:sz="4" w:space="0"/>
              <w:right w:val="single" w:color="auto" w:sz="4" w:space="0"/>
            </w:tcBorders>
            <w:noWrap w:val="0"/>
            <w:vAlign w:val="center"/>
          </w:tcPr>
          <w:p w14:paraId="266553B7">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科拓沟渠首供电系统及网络恢复</w:t>
            </w:r>
          </w:p>
        </w:tc>
        <w:tc>
          <w:tcPr>
            <w:tcW w:w="3612" w:type="dxa"/>
            <w:tcBorders>
              <w:top w:val="nil"/>
              <w:left w:val="nil"/>
              <w:bottom w:val="single" w:color="auto" w:sz="4" w:space="0"/>
              <w:right w:val="single" w:color="auto" w:sz="4" w:space="0"/>
            </w:tcBorders>
            <w:noWrap w:val="0"/>
            <w:vAlign w:val="center"/>
          </w:tcPr>
          <w:p w14:paraId="764C3F6A">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6AE7EAF3">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25D688E6">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0"/>
            <w:vAlign w:val="center"/>
          </w:tcPr>
          <w:p w14:paraId="136DEC77">
            <w:pPr>
              <w:spacing w:after="0" w:line="240" w:lineRule="auto"/>
              <w:ind w:firstLine="0" w:firstLineChars="0"/>
              <w:jc w:val="center"/>
              <w:rPr>
                <w:rFonts w:hint="default" w:ascii="宋体" w:hAnsi="宋体" w:eastAsia="宋体" w:cs="宋体"/>
                <w:color w:val="auto"/>
                <w:sz w:val="20"/>
                <w:szCs w:val="20"/>
                <w:lang w:val="en-US" w:eastAsia="zh-Hans"/>
              </w:rPr>
            </w:pPr>
          </w:p>
        </w:tc>
        <w:tc>
          <w:tcPr>
            <w:tcW w:w="1425" w:type="dxa"/>
            <w:tcBorders>
              <w:top w:val="nil"/>
              <w:left w:val="nil"/>
              <w:bottom w:val="single" w:color="auto" w:sz="4" w:space="0"/>
              <w:right w:val="single" w:color="auto" w:sz="4" w:space="0"/>
            </w:tcBorders>
            <w:noWrap w:val="0"/>
            <w:vAlign w:val="center"/>
          </w:tcPr>
          <w:p w14:paraId="6FB5CAC2">
            <w:pPr>
              <w:spacing w:after="0" w:line="240" w:lineRule="auto"/>
              <w:ind w:firstLine="0" w:firstLineChars="0"/>
              <w:jc w:val="center"/>
              <w:rPr>
                <w:rFonts w:hint="default" w:ascii="宋体" w:hAnsi="宋体" w:eastAsia="宋体" w:cs="宋体"/>
                <w:color w:val="auto"/>
                <w:sz w:val="20"/>
                <w:szCs w:val="20"/>
                <w:lang w:val="en-US" w:eastAsia="zh-Hans"/>
              </w:rPr>
            </w:pPr>
          </w:p>
        </w:tc>
        <w:tc>
          <w:tcPr>
            <w:tcW w:w="1238" w:type="dxa"/>
            <w:tcBorders>
              <w:top w:val="nil"/>
              <w:left w:val="nil"/>
              <w:bottom w:val="single" w:color="auto" w:sz="4" w:space="0"/>
              <w:right w:val="single" w:color="auto" w:sz="4" w:space="0"/>
            </w:tcBorders>
            <w:noWrap w:val="0"/>
            <w:vAlign w:val="center"/>
          </w:tcPr>
          <w:p w14:paraId="5F905691">
            <w:pPr>
              <w:spacing w:after="0" w:line="240" w:lineRule="auto"/>
              <w:ind w:firstLine="0" w:firstLineChars="0"/>
              <w:jc w:val="center"/>
              <w:rPr>
                <w:rFonts w:hint="default" w:ascii="宋体" w:hAnsi="宋体" w:eastAsia="宋体" w:cs="宋体"/>
                <w:color w:val="auto"/>
                <w:sz w:val="20"/>
                <w:szCs w:val="20"/>
                <w:lang w:val="en-US" w:eastAsia="zh-Hans"/>
              </w:rPr>
            </w:pPr>
          </w:p>
        </w:tc>
      </w:tr>
      <w:tr w14:paraId="06299F78">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4A4EEB2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3.1</w:t>
            </w:r>
          </w:p>
        </w:tc>
        <w:tc>
          <w:tcPr>
            <w:tcW w:w="1744" w:type="dxa"/>
            <w:tcBorders>
              <w:top w:val="nil"/>
              <w:left w:val="nil"/>
              <w:bottom w:val="single" w:color="auto" w:sz="4" w:space="0"/>
              <w:right w:val="single" w:color="auto" w:sz="4" w:space="0"/>
            </w:tcBorders>
            <w:noWrap w:val="0"/>
            <w:vAlign w:val="center"/>
          </w:tcPr>
          <w:p w14:paraId="2E32147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供电系统</w:t>
            </w:r>
          </w:p>
        </w:tc>
        <w:tc>
          <w:tcPr>
            <w:tcW w:w="3612" w:type="dxa"/>
            <w:tcBorders>
              <w:top w:val="nil"/>
              <w:left w:val="nil"/>
              <w:bottom w:val="single" w:color="auto" w:sz="4" w:space="0"/>
              <w:right w:val="single" w:color="auto" w:sz="4" w:space="0"/>
            </w:tcBorders>
            <w:noWrap/>
            <w:vAlign w:val="center"/>
          </w:tcPr>
          <w:p w14:paraId="7264FBF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包括太阳能板蓄电池控制器</w:t>
            </w:r>
          </w:p>
        </w:tc>
        <w:tc>
          <w:tcPr>
            <w:tcW w:w="738" w:type="dxa"/>
            <w:tcBorders>
              <w:top w:val="nil"/>
              <w:left w:val="nil"/>
              <w:bottom w:val="single" w:color="auto" w:sz="4" w:space="0"/>
              <w:right w:val="single" w:color="auto" w:sz="4" w:space="0"/>
            </w:tcBorders>
            <w:noWrap/>
            <w:vAlign w:val="center"/>
          </w:tcPr>
          <w:p w14:paraId="1E130B0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1BCAFC5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44FDF50D">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0F4004C5">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53FD8727">
            <w:pPr>
              <w:spacing w:after="0" w:line="240" w:lineRule="auto"/>
              <w:ind w:firstLine="0" w:firstLineChars="0"/>
              <w:jc w:val="center"/>
              <w:rPr>
                <w:rFonts w:ascii="宋体" w:hAnsi="宋体" w:cs="宋体"/>
                <w:color w:val="auto"/>
                <w:sz w:val="20"/>
                <w:szCs w:val="20"/>
              </w:rPr>
            </w:pPr>
          </w:p>
        </w:tc>
      </w:tr>
      <w:tr w14:paraId="1948880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6026247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3.2</w:t>
            </w:r>
          </w:p>
        </w:tc>
        <w:tc>
          <w:tcPr>
            <w:tcW w:w="1744" w:type="dxa"/>
            <w:tcBorders>
              <w:top w:val="nil"/>
              <w:left w:val="nil"/>
              <w:bottom w:val="single" w:color="auto" w:sz="4" w:space="0"/>
              <w:right w:val="single" w:color="auto" w:sz="4" w:space="0"/>
            </w:tcBorders>
            <w:noWrap w:val="0"/>
            <w:vAlign w:val="center"/>
          </w:tcPr>
          <w:p w14:paraId="6A0113F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网络系统</w:t>
            </w:r>
          </w:p>
        </w:tc>
        <w:tc>
          <w:tcPr>
            <w:tcW w:w="3612" w:type="dxa"/>
            <w:tcBorders>
              <w:top w:val="nil"/>
              <w:left w:val="nil"/>
              <w:bottom w:val="single" w:color="auto" w:sz="4" w:space="0"/>
              <w:right w:val="single" w:color="auto" w:sz="4" w:space="0"/>
            </w:tcBorders>
            <w:noWrap/>
            <w:vAlign w:val="center"/>
          </w:tcPr>
          <w:p w14:paraId="45AAAF7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包括光纤，光纤收发器20KM，网络交换机</w:t>
            </w:r>
          </w:p>
        </w:tc>
        <w:tc>
          <w:tcPr>
            <w:tcW w:w="738" w:type="dxa"/>
            <w:tcBorders>
              <w:top w:val="nil"/>
              <w:left w:val="nil"/>
              <w:bottom w:val="single" w:color="auto" w:sz="4" w:space="0"/>
              <w:right w:val="single" w:color="auto" w:sz="4" w:space="0"/>
            </w:tcBorders>
            <w:noWrap/>
            <w:vAlign w:val="center"/>
          </w:tcPr>
          <w:p w14:paraId="4E2ABB2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套</w:t>
            </w:r>
          </w:p>
        </w:tc>
        <w:tc>
          <w:tcPr>
            <w:tcW w:w="725" w:type="dxa"/>
            <w:tcBorders>
              <w:top w:val="nil"/>
              <w:left w:val="nil"/>
              <w:bottom w:val="single" w:color="auto" w:sz="4" w:space="0"/>
              <w:right w:val="single" w:color="auto" w:sz="4" w:space="0"/>
            </w:tcBorders>
            <w:noWrap/>
            <w:vAlign w:val="center"/>
          </w:tcPr>
          <w:p w14:paraId="44A39ED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642796E0">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47FD5DD9">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02D1AC23">
            <w:pPr>
              <w:spacing w:after="0" w:line="240" w:lineRule="auto"/>
              <w:ind w:firstLine="0" w:firstLineChars="0"/>
              <w:jc w:val="center"/>
              <w:rPr>
                <w:rFonts w:ascii="宋体" w:hAnsi="宋体" w:cs="宋体"/>
                <w:color w:val="auto"/>
                <w:sz w:val="20"/>
                <w:szCs w:val="20"/>
              </w:rPr>
            </w:pPr>
          </w:p>
        </w:tc>
      </w:tr>
      <w:tr w14:paraId="31887B64">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577323BC">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4</w:t>
            </w:r>
          </w:p>
        </w:tc>
        <w:tc>
          <w:tcPr>
            <w:tcW w:w="1744" w:type="dxa"/>
            <w:tcBorders>
              <w:top w:val="nil"/>
              <w:left w:val="nil"/>
              <w:bottom w:val="single" w:color="auto" w:sz="4" w:space="0"/>
              <w:right w:val="single" w:color="auto" w:sz="4" w:space="0"/>
            </w:tcBorders>
            <w:noWrap w:val="0"/>
            <w:vAlign w:val="center"/>
          </w:tcPr>
          <w:p w14:paraId="50455AA7">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淖毛湖智能灌溉系统</w:t>
            </w:r>
          </w:p>
        </w:tc>
        <w:tc>
          <w:tcPr>
            <w:tcW w:w="3612" w:type="dxa"/>
            <w:tcBorders>
              <w:top w:val="nil"/>
              <w:left w:val="nil"/>
              <w:bottom w:val="single" w:color="auto" w:sz="4" w:space="0"/>
              <w:right w:val="single" w:color="auto" w:sz="4" w:space="0"/>
            </w:tcBorders>
            <w:noWrap/>
            <w:vAlign w:val="center"/>
          </w:tcPr>
          <w:p w14:paraId="68C9EC9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监控平台及平台服务器的维护，硬件设备未过质保</w:t>
            </w:r>
          </w:p>
        </w:tc>
        <w:tc>
          <w:tcPr>
            <w:tcW w:w="738" w:type="dxa"/>
            <w:tcBorders>
              <w:top w:val="nil"/>
              <w:left w:val="nil"/>
              <w:bottom w:val="single" w:color="auto" w:sz="4" w:space="0"/>
              <w:right w:val="single" w:color="auto" w:sz="4" w:space="0"/>
            </w:tcBorders>
            <w:noWrap/>
            <w:vAlign w:val="center"/>
          </w:tcPr>
          <w:p w14:paraId="1A13645E">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项</w:t>
            </w:r>
          </w:p>
        </w:tc>
        <w:tc>
          <w:tcPr>
            <w:tcW w:w="725" w:type="dxa"/>
            <w:tcBorders>
              <w:top w:val="nil"/>
              <w:left w:val="nil"/>
              <w:bottom w:val="single" w:color="auto" w:sz="4" w:space="0"/>
              <w:right w:val="single" w:color="auto" w:sz="4" w:space="0"/>
            </w:tcBorders>
            <w:noWrap/>
            <w:vAlign w:val="center"/>
          </w:tcPr>
          <w:p w14:paraId="6989A40C">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1</w:t>
            </w:r>
          </w:p>
        </w:tc>
        <w:tc>
          <w:tcPr>
            <w:tcW w:w="1134" w:type="dxa"/>
            <w:tcBorders>
              <w:top w:val="nil"/>
              <w:left w:val="nil"/>
              <w:bottom w:val="single" w:color="auto" w:sz="4" w:space="0"/>
              <w:right w:val="single" w:color="auto" w:sz="4" w:space="0"/>
            </w:tcBorders>
            <w:noWrap/>
            <w:vAlign w:val="center"/>
          </w:tcPr>
          <w:p w14:paraId="1F879F0D">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34E74C09">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188ECD94">
            <w:pPr>
              <w:spacing w:after="0" w:line="240" w:lineRule="auto"/>
              <w:ind w:firstLine="0" w:firstLineChars="0"/>
              <w:jc w:val="center"/>
              <w:rPr>
                <w:rFonts w:ascii="宋体" w:hAnsi="宋体" w:cs="宋体"/>
                <w:color w:val="auto"/>
                <w:sz w:val="20"/>
                <w:szCs w:val="20"/>
              </w:rPr>
            </w:pPr>
          </w:p>
        </w:tc>
      </w:tr>
      <w:tr w14:paraId="49A9DC13">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7A26100B">
            <w:pPr>
              <w:spacing w:after="0" w:line="240" w:lineRule="auto"/>
              <w:ind w:firstLine="0" w:firstLineChars="0"/>
              <w:jc w:val="center"/>
              <w:rPr>
                <w:rFonts w:hint="default" w:ascii="宋体" w:hAnsi="宋体" w:cs="宋体"/>
                <w:b/>
                <w:bCs/>
                <w:color w:val="000000"/>
                <w:kern w:val="2"/>
                <w:sz w:val="20"/>
                <w:szCs w:val="20"/>
                <w:lang w:val="en-US" w:eastAsia="zh-CN" w:bidi="ar-SA"/>
              </w:rPr>
            </w:pPr>
            <w:r>
              <w:rPr>
                <w:rFonts w:hint="eastAsia" w:ascii="宋体" w:hAnsi="宋体" w:cs="宋体"/>
                <w:b/>
                <w:bCs/>
                <w:color w:val="000000"/>
                <w:sz w:val="20"/>
                <w:szCs w:val="20"/>
              </w:rPr>
              <w:t>5</w:t>
            </w:r>
          </w:p>
        </w:tc>
        <w:tc>
          <w:tcPr>
            <w:tcW w:w="1744" w:type="dxa"/>
            <w:tcBorders>
              <w:top w:val="nil"/>
              <w:left w:val="nil"/>
              <w:bottom w:val="single" w:color="auto" w:sz="4" w:space="0"/>
              <w:right w:val="single" w:color="auto" w:sz="4" w:space="0"/>
            </w:tcBorders>
            <w:noWrap w:val="0"/>
            <w:vAlign w:val="center"/>
          </w:tcPr>
          <w:p w14:paraId="20B307DA">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水厂视频监控及监测数据维护</w:t>
            </w:r>
          </w:p>
        </w:tc>
        <w:tc>
          <w:tcPr>
            <w:tcW w:w="3612" w:type="dxa"/>
            <w:tcBorders>
              <w:top w:val="nil"/>
              <w:left w:val="nil"/>
              <w:bottom w:val="single" w:color="auto" w:sz="4" w:space="0"/>
              <w:right w:val="single" w:color="auto" w:sz="4" w:space="0"/>
            </w:tcBorders>
            <w:noWrap/>
            <w:vAlign w:val="center"/>
          </w:tcPr>
          <w:p w14:paraId="5BCE5DAB">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69FF2053">
            <w:pPr>
              <w:spacing w:after="0" w:line="240" w:lineRule="auto"/>
              <w:ind w:firstLine="0" w:firstLineChars="0"/>
              <w:jc w:val="center"/>
              <w:rPr>
                <w:rFonts w:ascii="宋体" w:hAnsi="宋体" w:cs="宋体"/>
                <w:b/>
                <w:bCs/>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4F1CD7A6">
            <w:pPr>
              <w:spacing w:after="0" w:line="240" w:lineRule="auto"/>
              <w:ind w:firstLine="0" w:firstLineChars="0"/>
              <w:jc w:val="center"/>
              <w:rPr>
                <w:rFonts w:ascii="宋体" w:hAnsi="宋体" w:cs="宋体"/>
                <w:b/>
                <w:bCs/>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0"/>
            <w:vAlign w:val="center"/>
          </w:tcPr>
          <w:p w14:paraId="7C368ECA">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0"/>
            <w:vAlign w:val="center"/>
          </w:tcPr>
          <w:p w14:paraId="10C4BF25">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0"/>
            <w:vAlign w:val="center"/>
          </w:tcPr>
          <w:p w14:paraId="6BF2AAF8">
            <w:pPr>
              <w:spacing w:after="0" w:line="240" w:lineRule="auto"/>
              <w:ind w:firstLine="0" w:firstLineChars="0"/>
              <w:jc w:val="center"/>
              <w:rPr>
                <w:rFonts w:ascii="宋体" w:hAnsi="宋体" w:cs="宋体"/>
                <w:b/>
                <w:bCs/>
                <w:color w:val="auto"/>
                <w:sz w:val="20"/>
                <w:szCs w:val="20"/>
              </w:rPr>
            </w:pPr>
          </w:p>
        </w:tc>
      </w:tr>
      <w:tr w14:paraId="005A7087">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021AF088">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5.1</w:t>
            </w:r>
          </w:p>
        </w:tc>
        <w:tc>
          <w:tcPr>
            <w:tcW w:w="1744" w:type="dxa"/>
            <w:tcBorders>
              <w:top w:val="nil"/>
              <w:left w:val="nil"/>
              <w:bottom w:val="single" w:color="auto" w:sz="4" w:space="0"/>
              <w:right w:val="single" w:color="auto" w:sz="4" w:space="0"/>
            </w:tcBorders>
            <w:noWrap w:val="0"/>
            <w:vAlign w:val="center"/>
          </w:tcPr>
          <w:p w14:paraId="5811DB7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淖毛湖水厂视频监控</w:t>
            </w:r>
          </w:p>
        </w:tc>
        <w:tc>
          <w:tcPr>
            <w:tcW w:w="3612" w:type="dxa"/>
            <w:tcBorders>
              <w:top w:val="nil"/>
              <w:left w:val="nil"/>
              <w:bottom w:val="single" w:color="auto" w:sz="4" w:space="0"/>
              <w:right w:val="single" w:color="auto" w:sz="4" w:space="0"/>
            </w:tcBorders>
            <w:noWrap/>
            <w:vAlign w:val="center"/>
          </w:tcPr>
          <w:p w14:paraId="135E58C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淖毛湖水厂15路视频正常上传至县局</w:t>
            </w:r>
          </w:p>
        </w:tc>
        <w:tc>
          <w:tcPr>
            <w:tcW w:w="738" w:type="dxa"/>
            <w:tcBorders>
              <w:top w:val="nil"/>
              <w:left w:val="nil"/>
              <w:bottom w:val="single" w:color="auto" w:sz="4" w:space="0"/>
              <w:right w:val="single" w:color="auto" w:sz="4" w:space="0"/>
            </w:tcBorders>
            <w:noWrap/>
            <w:vAlign w:val="center"/>
          </w:tcPr>
          <w:p w14:paraId="69FA49A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56D348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32D82AD0">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3CE1F1F3">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583DC5C8">
            <w:pPr>
              <w:spacing w:after="0" w:line="240" w:lineRule="auto"/>
              <w:ind w:firstLine="0" w:firstLineChars="0"/>
              <w:jc w:val="center"/>
              <w:rPr>
                <w:rFonts w:ascii="宋体" w:hAnsi="宋体" w:cs="宋体"/>
                <w:color w:val="auto"/>
                <w:sz w:val="20"/>
                <w:szCs w:val="20"/>
              </w:rPr>
            </w:pPr>
          </w:p>
        </w:tc>
      </w:tr>
      <w:tr w14:paraId="58C2259C">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8B55142">
            <w:pPr>
              <w:spacing w:after="0" w:line="240" w:lineRule="auto"/>
              <w:ind w:firstLine="0" w:firstLineChars="0"/>
              <w:jc w:val="center"/>
              <w:rPr>
                <w:rFonts w:hint="default" w:ascii="宋体" w:hAnsi="宋体" w:cs="宋体"/>
                <w:color w:val="000000"/>
                <w:kern w:val="2"/>
                <w:sz w:val="20"/>
                <w:szCs w:val="20"/>
                <w:lang w:val="en-US" w:eastAsia="zh-CN" w:bidi="ar-SA"/>
              </w:rPr>
            </w:pPr>
            <w:r>
              <w:rPr>
                <w:rFonts w:hint="eastAsia" w:ascii="宋体" w:hAnsi="宋体" w:cs="宋体"/>
                <w:color w:val="000000"/>
                <w:sz w:val="20"/>
                <w:szCs w:val="20"/>
              </w:rPr>
              <w:t>5.2</w:t>
            </w:r>
          </w:p>
        </w:tc>
        <w:tc>
          <w:tcPr>
            <w:tcW w:w="1744" w:type="dxa"/>
            <w:tcBorders>
              <w:top w:val="nil"/>
              <w:left w:val="nil"/>
              <w:bottom w:val="single" w:color="auto" w:sz="4" w:space="0"/>
              <w:right w:val="single" w:color="auto" w:sz="4" w:space="0"/>
            </w:tcBorders>
            <w:noWrap w:val="0"/>
            <w:vAlign w:val="center"/>
          </w:tcPr>
          <w:p w14:paraId="78C2F5F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盐池水厂视频监控</w:t>
            </w:r>
          </w:p>
        </w:tc>
        <w:tc>
          <w:tcPr>
            <w:tcW w:w="3612" w:type="dxa"/>
            <w:tcBorders>
              <w:top w:val="nil"/>
              <w:left w:val="nil"/>
              <w:bottom w:val="single" w:color="auto" w:sz="4" w:space="0"/>
              <w:right w:val="single" w:color="auto" w:sz="4" w:space="0"/>
            </w:tcBorders>
            <w:noWrap/>
            <w:vAlign w:val="center"/>
          </w:tcPr>
          <w:p w14:paraId="0A26900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盐池水厂视频正常上传至县局，需要更换硬盘录像机</w:t>
            </w:r>
          </w:p>
        </w:tc>
        <w:tc>
          <w:tcPr>
            <w:tcW w:w="738" w:type="dxa"/>
            <w:tcBorders>
              <w:top w:val="nil"/>
              <w:left w:val="nil"/>
              <w:bottom w:val="single" w:color="auto" w:sz="4" w:space="0"/>
              <w:right w:val="single" w:color="auto" w:sz="4" w:space="0"/>
            </w:tcBorders>
            <w:noWrap/>
            <w:vAlign w:val="center"/>
          </w:tcPr>
          <w:p w14:paraId="12688673">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2E567E4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3CEF9E05">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2868670B">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4A03280F">
            <w:pPr>
              <w:spacing w:after="0" w:line="240" w:lineRule="auto"/>
              <w:ind w:firstLine="0" w:firstLineChars="0"/>
              <w:jc w:val="center"/>
              <w:rPr>
                <w:rFonts w:ascii="宋体" w:hAnsi="宋体" w:cs="宋体"/>
                <w:color w:val="auto"/>
                <w:sz w:val="20"/>
                <w:szCs w:val="20"/>
              </w:rPr>
            </w:pPr>
          </w:p>
        </w:tc>
      </w:tr>
      <w:tr w14:paraId="1B3F7A32">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6C2E821A">
            <w:pPr>
              <w:spacing w:after="0" w:line="240" w:lineRule="auto"/>
              <w:ind w:firstLine="0" w:firstLineChars="0"/>
              <w:jc w:val="center"/>
              <w:rPr>
                <w:rFonts w:hint="default" w:ascii="宋体" w:hAnsi="宋体" w:cs="宋体"/>
                <w:color w:val="000000"/>
                <w:kern w:val="2"/>
                <w:sz w:val="20"/>
                <w:szCs w:val="20"/>
                <w:lang w:val="en-US" w:eastAsia="zh-CN" w:bidi="ar-SA"/>
              </w:rPr>
            </w:pPr>
            <w:r>
              <w:rPr>
                <w:rFonts w:hint="eastAsia" w:ascii="宋体" w:hAnsi="宋体" w:cs="宋体"/>
                <w:color w:val="000000"/>
                <w:sz w:val="20"/>
                <w:szCs w:val="20"/>
              </w:rPr>
              <w:t>5.3</w:t>
            </w:r>
          </w:p>
        </w:tc>
        <w:tc>
          <w:tcPr>
            <w:tcW w:w="1744" w:type="dxa"/>
            <w:tcBorders>
              <w:top w:val="nil"/>
              <w:left w:val="nil"/>
              <w:bottom w:val="single" w:color="auto" w:sz="4" w:space="0"/>
              <w:right w:val="single" w:color="auto" w:sz="4" w:space="0"/>
            </w:tcBorders>
            <w:noWrap w:val="0"/>
            <w:vAlign w:val="center"/>
          </w:tcPr>
          <w:p w14:paraId="2808E06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前山水厂视频监控</w:t>
            </w:r>
          </w:p>
        </w:tc>
        <w:tc>
          <w:tcPr>
            <w:tcW w:w="3612" w:type="dxa"/>
            <w:tcBorders>
              <w:top w:val="nil"/>
              <w:left w:val="nil"/>
              <w:bottom w:val="single" w:color="auto" w:sz="4" w:space="0"/>
              <w:right w:val="single" w:color="auto" w:sz="4" w:space="0"/>
            </w:tcBorders>
            <w:noWrap/>
            <w:vAlign w:val="center"/>
          </w:tcPr>
          <w:p w14:paraId="5240980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前山水厂视频正常上传至县局，需要架设光缆1KM</w:t>
            </w:r>
          </w:p>
        </w:tc>
        <w:tc>
          <w:tcPr>
            <w:tcW w:w="738" w:type="dxa"/>
            <w:tcBorders>
              <w:top w:val="nil"/>
              <w:left w:val="nil"/>
              <w:bottom w:val="single" w:color="auto" w:sz="4" w:space="0"/>
              <w:right w:val="single" w:color="auto" w:sz="4" w:space="0"/>
            </w:tcBorders>
            <w:noWrap/>
            <w:vAlign w:val="center"/>
          </w:tcPr>
          <w:p w14:paraId="1667996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B3A0E1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0"/>
            <w:vAlign w:val="center"/>
          </w:tcPr>
          <w:p w14:paraId="210472A3">
            <w:pPr>
              <w:spacing w:after="0" w:line="240" w:lineRule="auto"/>
              <w:ind w:firstLine="0" w:firstLineChars="0"/>
              <w:jc w:val="center"/>
              <w:rPr>
                <w:rFonts w:ascii="宋体" w:hAnsi="宋体" w:cs="宋体"/>
                <w:b/>
                <w:bCs/>
                <w:color w:val="auto"/>
                <w:sz w:val="20"/>
                <w:szCs w:val="20"/>
              </w:rPr>
            </w:pPr>
          </w:p>
        </w:tc>
        <w:tc>
          <w:tcPr>
            <w:tcW w:w="1425" w:type="dxa"/>
            <w:tcBorders>
              <w:top w:val="nil"/>
              <w:left w:val="nil"/>
              <w:bottom w:val="single" w:color="auto" w:sz="4" w:space="0"/>
              <w:right w:val="single" w:color="auto" w:sz="4" w:space="0"/>
            </w:tcBorders>
            <w:noWrap w:val="0"/>
            <w:vAlign w:val="center"/>
          </w:tcPr>
          <w:p w14:paraId="5D218755">
            <w:pPr>
              <w:spacing w:after="0" w:line="240" w:lineRule="auto"/>
              <w:ind w:firstLine="0" w:firstLineChars="0"/>
              <w:jc w:val="center"/>
              <w:rPr>
                <w:rFonts w:ascii="宋体" w:hAnsi="宋体" w:cs="宋体"/>
                <w:b/>
                <w:bCs/>
                <w:color w:val="auto"/>
                <w:sz w:val="20"/>
                <w:szCs w:val="20"/>
              </w:rPr>
            </w:pPr>
          </w:p>
        </w:tc>
        <w:tc>
          <w:tcPr>
            <w:tcW w:w="1238" w:type="dxa"/>
            <w:tcBorders>
              <w:top w:val="nil"/>
              <w:left w:val="nil"/>
              <w:bottom w:val="single" w:color="auto" w:sz="4" w:space="0"/>
              <w:right w:val="single" w:color="auto" w:sz="4" w:space="0"/>
            </w:tcBorders>
            <w:noWrap w:val="0"/>
            <w:vAlign w:val="center"/>
          </w:tcPr>
          <w:p w14:paraId="2F4ED655">
            <w:pPr>
              <w:spacing w:after="0" w:line="240" w:lineRule="auto"/>
              <w:ind w:firstLine="0" w:firstLineChars="0"/>
              <w:jc w:val="center"/>
              <w:rPr>
                <w:rFonts w:ascii="宋体" w:hAnsi="宋体" w:cs="宋体"/>
                <w:b/>
                <w:bCs/>
                <w:color w:val="auto"/>
                <w:sz w:val="20"/>
                <w:szCs w:val="20"/>
              </w:rPr>
            </w:pPr>
          </w:p>
        </w:tc>
      </w:tr>
      <w:tr w14:paraId="5F28F5CE">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58ED2F0">
            <w:pPr>
              <w:spacing w:after="0" w:line="240" w:lineRule="auto"/>
              <w:ind w:firstLine="0" w:firstLineChars="0"/>
              <w:jc w:val="center"/>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5.4</w:t>
            </w:r>
          </w:p>
        </w:tc>
        <w:tc>
          <w:tcPr>
            <w:tcW w:w="1744" w:type="dxa"/>
            <w:tcBorders>
              <w:top w:val="nil"/>
              <w:left w:val="nil"/>
              <w:bottom w:val="single" w:color="auto" w:sz="4" w:space="0"/>
              <w:right w:val="single" w:color="auto" w:sz="4" w:space="0"/>
            </w:tcBorders>
            <w:noWrap w:val="0"/>
            <w:vAlign w:val="center"/>
          </w:tcPr>
          <w:p w14:paraId="6002733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淖毛湖水厂数据接入维护</w:t>
            </w:r>
          </w:p>
        </w:tc>
        <w:tc>
          <w:tcPr>
            <w:tcW w:w="3612" w:type="dxa"/>
            <w:tcBorders>
              <w:top w:val="nil"/>
              <w:left w:val="nil"/>
              <w:bottom w:val="single" w:color="auto" w:sz="4" w:space="0"/>
              <w:right w:val="single" w:color="auto" w:sz="4" w:space="0"/>
            </w:tcBorders>
            <w:noWrap/>
            <w:vAlign w:val="center"/>
          </w:tcPr>
          <w:p w14:paraId="2E6213D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淖毛湖水厂的监测数据上传至县局</w:t>
            </w:r>
          </w:p>
        </w:tc>
        <w:tc>
          <w:tcPr>
            <w:tcW w:w="738" w:type="dxa"/>
            <w:tcBorders>
              <w:top w:val="nil"/>
              <w:left w:val="nil"/>
              <w:bottom w:val="single" w:color="auto" w:sz="4" w:space="0"/>
              <w:right w:val="single" w:color="auto" w:sz="4" w:space="0"/>
            </w:tcBorders>
            <w:noWrap/>
            <w:vAlign w:val="center"/>
          </w:tcPr>
          <w:p w14:paraId="1212F2A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47A5AB6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27A167EF">
            <w:pPr>
              <w:spacing w:after="0" w:line="240" w:lineRule="auto"/>
              <w:ind w:firstLine="0" w:firstLineChars="0"/>
              <w:jc w:val="center"/>
              <w:rPr>
                <w:rFonts w:ascii="宋体" w:hAnsi="宋体" w:cs="宋体"/>
                <w:color w:val="auto"/>
                <w:sz w:val="20"/>
                <w:szCs w:val="20"/>
              </w:rPr>
            </w:pPr>
          </w:p>
        </w:tc>
        <w:tc>
          <w:tcPr>
            <w:tcW w:w="1425" w:type="dxa"/>
            <w:tcBorders>
              <w:top w:val="nil"/>
              <w:left w:val="nil"/>
              <w:bottom w:val="single" w:color="auto" w:sz="4" w:space="0"/>
              <w:right w:val="single" w:color="auto" w:sz="4" w:space="0"/>
            </w:tcBorders>
            <w:noWrap/>
            <w:vAlign w:val="center"/>
          </w:tcPr>
          <w:p w14:paraId="23E3B4C5">
            <w:pPr>
              <w:spacing w:after="0" w:line="240" w:lineRule="auto"/>
              <w:ind w:firstLine="0" w:firstLineChars="0"/>
              <w:jc w:val="center"/>
              <w:rPr>
                <w:rFonts w:ascii="宋体" w:hAnsi="宋体" w:cs="宋体"/>
                <w:color w:val="auto"/>
                <w:sz w:val="20"/>
                <w:szCs w:val="20"/>
              </w:rPr>
            </w:pPr>
          </w:p>
        </w:tc>
        <w:tc>
          <w:tcPr>
            <w:tcW w:w="1238" w:type="dxa"/>
            <w:tcBorders>
              <w:top w:val="nil"/>
              <w:left w:val="nil"/>
              <w:bottom w:val="single" w:color="auto" w:sz="4" w:space="0"/>
              <w:right w:val="single" w:color="auto" w:sz="4" w:space="0"/>
            </w:tcBorders>
            <w:noWrap/>
            <w:vAlign w:val="center"/>
          </w:tcPr>
          <w:p w14:paraId="670F67E1">
            <w:pPr>
              <w:spacing w:after="0" w:line="240" w:lineRule="auto"/>
              <w:ind w:firstLine="0" w:firstLineChars="0"/>
              <w:jc w:val="center"/>
              <w:rPr>
                <w:rFonts w:ascii="宋体" w:hAnsi="宋体" w:cs="宋体"/>
                <w:color w:val="auto"/>
                <w:sz w:val="20"/>
                <w:szCs w:val="20"/>
              </w:rPr>
            </w:pPr>
          </w:p>
        </w:tc>
      </w:tr>
      <w:tr w14:paraId="6DCEC79D">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7314344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5.5</w:t>
            </w:r>
          </w:p>
        </w:tc>
        <w:tc>
          <w:tcPr>
            <w:tcW w:w="1744" w:type="dxa"/>
            <w:tcBorders>
              <w:top w:val="nil"/>
              <w:left w:val="nil"/>
              <w:bottom w:val="single" w:color="auto" w:sz="4" w:space="0"/>
              <w:right w:val="single" w:color="auto" w:sz="4" w:space="0"/>
            </w:tcBorders>
            <w:noWrap w:val="0"/>
            <w:vAlign w:val="center"/>
          </w:tcPr>
          <w:p w14:paraId="528460C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盐池水厂维护</w:t>
            </w:r>
          </w:p>
        </w:tc>
        <w:tc>
          <w:tcPr>
            <w:tcW w:w="3612" w:type="dxa"/>
            <w:tcBorders>
              <w:top w:val="nil"/>
              <w:left w:val="nil"/>
              <w:bottom w:val="single" w:color="auto" w:sz="4" w:space="0"/>
              <w:right w:val="single" w:color="auto" w:sz="4" w:space="0"/>
            </w:tcBorders>
            <w:noWrap/>
            <w:vAlign w:val="center"/>
          </w:tcPr>
          <w:p w14:paraId="0A058E91">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盐池水厂的监测数据上传至县局</w:t>
            </w:r>
          </w:p>
        </w:tc>
        <w:tc>
          <w:tcPr>
            <w:tcW w:w="738" w:type="dxa"/>
            <w:tcBorders>
              <w:top w:val="nil"/>
              <w:left w:val="nil"/>
              <w:bottom w:val="single" w:color="auto" w:sz="4" w:space="0"/>
              <w:right w:val="single" w:color="auto" w:sz="4" w:space="0"/>
            </w:tcBorders>
            <w:noWrap/>
            <w:vAlign w:val="center"/>
          </w:tcPr>
          <w:p w14:paraId="0DC006F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08BA792C">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5A5B316F">
            <w:pPr>
              <w:spacing w:after="0" w:line="240" w:lineRule="auto"/>
              <w:ind w:firstLine="0" w:firstLineChars="0"/>
              <w:jc w:val="center"/>
              <w:rPr>
                <w:rFonts w:ascii="宋体" w:hAnsi="宋体" w:cs="宋体"/>
                <w:color w:val="000000"/>
                <w:sz w:val="20"/>
                <w:szCs w:val="20"/>
              </w:rPr>
            </w:pPr>
          </w:p>
        </w:tc>
        <w:tc>
          <w:tcPr>
            <w:tcW w:w="1425" w:type="dxa"/>
            <w:tcBorders>
              <w:top w:val="nil"/>
              <w:left w:val="nil"/>
              <w:bottom w:val="single" w:color="auto" w:sz="4" w:space="0"/>
              <w:right w:val="single" w:color="auto" w:sz="4" w:space="0"/>
            </w:tcBorders>
            <w:noWrap/>
            <w:vAlign w:val="center"/>
          </w:tcPr>
          <w:p w14:paraId="1C2B207D">
            <w:pPr>
              <w:spacing w:after="0" w:line="240" w:lineRule="auto"/>
              <w:ind w:firstLine="0" w:firstLineChars="0"/>
              <w:jc w:val="center"/>
              <w:rPr>
                <w:rFonts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0627BAD7">
            <w:pPr>
              <w:spacing w:after="0" w:line="240" w:lineRule="auto"/>
              <w:ind w:firstLine="0" w:firstLineChars="0"/>
              <w:jc w:val="center"/>
              <w:rPr>
                <w:rFonts w:ascii="宋体" w:hAnsi="宋体" w:cs="宋体"/>
                <w:color w:val="000000"/>
                <w:sz w:val="20"/>
                <w:szCs w:val="20"/>
              </w:rPr>
            </w:pPr>
          </w:p>
        </w:tc>
      </w:tr>
      <w:tr w14:paraId="07AB7F3D">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02415F8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5.6</w:t>
            </w:r>
          </w:p>
        </w:tc>
        <w:tc>
          <w:tcPr>
            <w:tcW w:w="1744" w:type="dxa"/>
            <w:tcBorders>
              <w:top w:val="nil"/>
              <w:left w:val="nil"/>
              <w:bottom w:val="single" w:color="auto" w:sz="4" w:space="0"/>
              <w:right w:val="single" w:color="auto" w:sz="4" w:space="0"/>
            </w:tcBorders>
            <w:noWrap w:val="0"/>
            <w:vAlign w:val="center"/>
          </w:tcPr>
          <w:p w14:paraId="17FFBDB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前山水厂维护</w:t>
            </w:r>
          </w:p>
        </w:tc>
        <w:tc>
          <w:tcPr>
            <w:tcW w:w="3612" w:type="dxa"/>
            <w:tcBorders>
              <w:top w:val="nil"/>
              <w:left w:val="nil"/>
              <w:bottom w:val="single" w:color="auto" w:sz="4" w:space="0"/>
              <w:right w:val="single" w:color="auto" w:sz="4" w:space="0"/>
            </w:tcBorders>
            <w:noWrap w:val="0"/>
            <w:vAlign w:val="center"/>
          </w:tcPr>
          <w:p w14:paraId="5492C6DA">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前山水厂的监测数据上传至县局</w:t>
            </w:r>
          </w:p>
        </w:tc>
        <w:tc>
          <w:tcPr>
            <w:tcW w:w="738" w:type="dxa"/>
            <w:tcBorders>
              <w:top w:val="nil"/>
              <w:left w:val="nil"/>
              <w:bottom w:val="single" w:color="auto" w:sz="4" w:space="0"/>
              <w:right w:val="single" w:color="auto" w:sz="4" w:space="0"/>
            </w:tcBorders>
            <w:noWrap/>
            <w:vAlign w:val="center"/>
          </w:tcPr>
          <w:p w14:paraId="1F20CA52">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78AF77C0">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27955EC4">
            <w:pPr>
              <w:spacing w:after="0" w:line="240" w:lineRule="auto"/>
              <w:ind w:firstLine="0" w:firstLineChars="0"/>
              <w:jc w:val="center"/>
              <w:rPr>
                <w:rFonts w:ascii="宋体" w:hAnsi="宋体" w:cs="宋体"/>
                <w:b/>
                <w:bCs/>
                <w:color w:val="000000"/>
                <w:sz w:val="20"/>
                <w:szCs w:val="20"/>
              </w:rPr>
            </w:pPr>
          </w:p>
        </w:tc>
        <w:tc>
          <w:tcPr>
            <w:tcW w:w="1425" w:type="dxa"/>
            <w:tcBorders>
              <w:top w:val="nil"/>
              <w:left w:val="nil"/>
              <w:bottom w:val="single" w:color="auto" w:sz="4" w:space="0"/>
              <w:right w:val="single" w:color="auto" w:sz="4" w:space="0"/>
            </w:tcBorders>
            <w:noWrap/>
            <w:vAlign w:val="center"/>
          </w:tcPr>
          <w:p w14:paraId="6718EC5F">
            <w:pPr>
              <w:spacing w:after="0" w:line="240" w:lineRule="auto"/>
              <w:ind w:firstLine="0" w:firstLineChars="0"/>
              <w:jc w:val="center"/>
              <w:rPr>
                <w:rFonts w:ascii="宋体" w:hAnsi="宋体" w:cs="宋体"/>
                <w:b/>
                <w:bCs/>
                <w:color w:val="000000"/>
                <w:sz w:val="20"/>
                <w:szCs w:val="20"/>
              </w:rPr>
            </w:pPr>
          </w:p>
        </w:tc>
        <w:tc>
          <w:tcPr>
            <w:tcW w:w="1238" w:type="dxa"/>
            <w:tcBorders>
              <w:top w:val="nil"/>
              <w:left w:val="nil"/>
              <w:bottom w:val="single" w:color="auto" w:sz="4" w:space="0"/>
              <w:right w:val="single" w:color="auto" w:sz="4" w:space="0"/>
            </w:tcBorders>
            <w:noWrap/>
            <w:vAlign w:val="center"/>
          </w:tcPr>
          <w:p w14:paraId="7C982A91">
            <w:pPr>
              <w:spacing w:after="0" w:line="240" w:lineRule="auto"/>
              <w:ind w:firstLine="0" w:firstLineChars="0"/>
              <w:jc w:val="center"/>
              <w:rPr>
                <w:rFonts w:ascii="宋体" w:hAnsi="宋体" w:cs="宋体"/>
                <w:b/>
                <w:bCs/>
                <w:color w:val="000000"/>
                <w:sz w:val="20"/>
                <w:szCs w:val="20"/>
              </w:rPr>
            </w:pPr>
          </w:p>
        </w:tc>
      </w:tr>
      <w:tr w14:paraId="10202D6B">
        <w:tblPrEx>
          <w:tblCellMar>
            <w:top w:w="0" w:type="dxa"/>
            <w:left w:w="108" w:type="dxa"/>
            <w:bottom w:w="0" w:type="dxa"/>
            <w:right w:w="108" w:type="dxa"/>
          </w:tblCellMar>
        </w:tblPrEx>
        <w:trPr>
          <w:trHeight w:val="480" w:hRule="atLeast"/>
          <w:jc w:val="center"/>
        </w:trPr>
        <w:tc>
          <w:tcPr>
            <w:tcW w:w="685" w:type="dxa"/>
            <w:tcBorders>
              <w:top w:val="nil"/>
              <w:left w:val="single" w:color="auto" w:sz="4" w:space="0"/>
              <w:bottom w:val="single" w:color="auto" w:sz="4" w:space="0"/>
              <w:right w:val="single" w:color="auto" w:sz="4" w:space="0"/>
            </w:tcBorders>
            <w:noWrap/>
            <w:vAlign w:val="center"/>
          </w:tcPr>
          <w:p w14:paraId="6762E935">
            <w:pPr>
              <w:spacing w:after="0" w:line="240" w:lineRule="auto"/>
              <w:ind w:firstLine="0" w:firstLineChars="0"/>
              <w:jc w:val="center"/>
              <w:rPr>
                <w:rFonts w:ascii="宋体" w:hAnsi="宋体" w:cs="宋体"/>
                <w:b/>
                <w:bCs/>
                <w:color w:val="000000"/>
                <w:kern w:val="2"/>
                <w:sz w:val="20"/>
                <w:szCs w:val="20"/>
                <w:lang w:val="en-US" w:eastAsia="zh-CN" w:bidi="ar-SA"/>
              </w:rPr>
            </w:pPr>
            <w:r>
              <w:rPr>
                <w:rFonts w:hint="eastAsia" w:ascii="宋体" w:hAnsi="宋体" w:cs="宋体"/>
                <w:b/>
                <w:bCs/>
                <w:color w:val="000000"/>
                <w:sz w:val="20"/>
                <w:szCs w:val="20"/>
              </w:rPr>
              <w:t>6</w:t>
            </w:r>
          </w:p>
        </w:tc>
        <w:tc>
          <w:tcPr>
            <w:tcW w:w="1744" w:type="dxa"/>
            <w:tcBorders>
              <w:top w:val="nil"/>
              <w:left w:val="nil"/>
              <w:bottom w:val="single" w:color="auto" w:sz="4" w:space="0"/>
              <w:right w:val="single" w:color="auto" w:sz="4" w:space="0"/>
            </w:tcBorders>
            <w:noWrap w:val="0"/>
            <w:vAlign w:val="center"/>
          </w:tcPr>
          <w:p w14:paraId="4776C05A">
            <w:pPr>
              <w:spacing w:after="0" w:line="240" w:lineRule="auto"/>
              <w:ind w:firstLine="0" w:firstLineChars="0"/>
              <w:jc w:val="center"/>
              <w:rPr>
                <w:rFonts w:ascii="宋体" w:hAnsi="宋体" w:cs="宋体"/>
                <w:b/>
                <w:bCs/>
                <w:color w:val="000000"/>
                <w:kern w:val="2"/>
                <w:sz w:val="18"/>
                <w:szCs w:val="18"/>
                <w:lang w:val="en-US" w:eastAsia="zh-CN" w:bidi="ar-SA"/>
              </w:rPr>
            </w:pPr>
            <w:r>
              <w:rPr>
                <w:rFonts w:hint="eastAsia" w:ascii="宋体" w:hAnsi="宋体" w:cs="宋体"/>
                <w:b/>
                <w:bCs/>
                <w:color w:val="000000"/>
                <w:sz w:val="18"/>
                <w:szCs w:val="18"/>
              </w:rPr>
              <w:t>地表水监测系统</w:t>
            </w:r>
          </w:p>
        </w:tc>
        <w:tc>
          <w:tcPr>
            <w:tcW w:w="3612" w:type="dxa"/>
            <w:tcBorders>
              <w:top w:val="nil"/>
              <w:left w:val="nil"/>
              <w:bottom w:val="single" w:color="auto" w:sz="4" w:space="0"/>
              <w:right w:val="single" w:color="auto" w:sz="4" w:space="0"/>
            </w:tcBorders>
            <w:noWrap/>
            <w:vAlign w:val="center"/>
          </w:tcPr>
          <w:p w14:paraId="027184F7">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0211A191">
            <w:pPr>
              <w:spacing w:after="0" w:line="240" w:lineRule="auto"/>
              <w:ind w:firstLine="0" w:firstLineChars="0"/>
              <w:jc w:val="center"/>
              <w:rPr>
                <w:rFonts w:ascii="宋体" w:hAnsi="宋体" w:cs="宋体"/>
                <w:color w:val="000000"/>
                <w:kern w:val="2"/>
                <w:sz w:val="20"/>
                <w:szCs w:val="20"/>
                <w:lang w:val="en-US" w:eastAsia="zh-CN" w:bidi="ar-SA"/>
              </w:rPr>
            </w:pPr>
          </w:p>
        </w:tc>
        <w:tc>
          <w:tcPr>
            <w:tcW w:w="725" w:type="dxa"/>
            <w:tcBorders>
              <w:top w:val="nil"/>
              <w:left w:val="nil"/>
              <w:bottom w:val="single" w:color="auto" w:sz="4" w:space="0"/>
              <w:right w:val="single" w:color="auto" w:sz="4" w:space="0"/>
            </w:tcBorders>
            <w:noWrap/>
            <w:vAlign w:val="center"/>
          </w:tcPr>
          <w:p w14:paraId="3EED4162">
            <w:pPr>
              <w:spacing w:after="0" w:line="240" w:lineRule="auto"/>
              <w:ind w:firstLine="0" w:firstLineChars="0"/>
              <w:jc w:val="center"/>
              <w:rPr>
                <w:rFonts w:ascii="宋体" w:hAnsi="宋体" w:cs="宋体"/>
                <w:color w:val="000000"/>
                <w:kern w:val="2"/>
                <w:sz w:val="20"/>
                <w:szCs w:val="20"/>
                <w:lang w:val="en-US" w:eastAsia="zh-CN" w:bidi="ar-SA"/>
              </w:rPr>
            </w:pPr>
          </w:p>
        </w:tc>
        <w:tc>
          <w:tcPr>
            <w:tcW w:w="1134" w:type="dxa"/>
            <w:tcBorders>
              <w:top w:val="nil"/>
              <w:left w:val="nil"/>
              <w:bottom w:val="single" w:color="auto" w:sz="4" w:space="0"/>
              <w:right w:val="single" w:color="auto" w:sz="4" w:space="0"/>
            </w:tcBorders>
            <w:noWrap/>
            <w:vAlign w:val="center"/>
          </w:tcPr>
          <w:p w14:paraId="5094753A">
            <w:pPr>
              <w:spacing w:after="0" w:line="240" w:lineRule="auto"/>
              <w:ind w:firstLine="0" w:firstLineChars="0"/>
              <w:jc w:val="center"/>
              <w:rPr>
                <w:rFonts w:ascii="宋体" w:hAnsi="宋体" w:cs="宋体"/>
                <w:b/>
                <w:bCs/>
                <w:color w:val="000000"/>
                <w:sz w:val="20"/>
                <w:szCs w:val="20"/>
              </w:rPr>
            </w:pPr>
          </w:p>
        </w:tc>
        <w:tc>
          <w:tcPr>
            <w:tcW w:w="1425" w:type="dxa"/>
            <w:tcBorders>
              <w:top w:val="nil"/>
              <w:left w:val="nil"/>
              <w:bottom w:val="single" w:color="auto" w:sz="4" w:space="0"/>
              <w:right w:val="single" w:color="auto" w:sz="4" w:space="0"/>
            </w:tcBorders>
            <w:noWrap/>
            <w:vAlign w:val="center"/>
          </w:tcPr>
          <w:p w14:paraId="0BA2D753">
            <w:pPr>
              <w:spacing w:after="0" w:line="240" w:lineRule="auto"/>
              <w:ind w:firstLine="0" w:firstLineChars="0"/>
              <w:jc w:val="center"/>
              <w:rPr>
                <w:rFonts w:ascii="宋体" w:hAnsi="宋体" w:cs="宋体"/>
                <w:b/>
                <w:bCs/>
                <w:color w:val="000000"/>
                <w:sz w:val="20"/>
                <w:szCs w:val="20"/>
              </w:rPr>
            </w:pPr>
          </w:p>
        </w:tc>
        <w:tc>
          <w:tcPr>
            <w:tcW w:w="1238" w:type="dxa"/>
            <w:tcBorders>
              <w:top w:val="nil"/>
              <w:left w:val="nil"/>
              <w:bottom w:val="single" w:color="auto" w:sz="4" w:space="0"/>
              <w:right w:val="single" w:color="auto" w:sz="4" w:space="0"/>
            </w:tcBorders>
            <w:noWrap/>
            <w:vAlign w:val="center"/>
          </w:tcPr>
          <w:p w14:paraId="27E9BCEB">
            <w:pPr>
              <w:spacing w:after="0" w:line="240" w:lineRule="auto"/>
              <w:ind w:firstLine="0" w:firstLineChars="0"/>
              <w:jc w:val="center"/>
              <w:rPr>
                <w:rFonts w:ascii="宋体" w:hAnsi="宋体" w:cs="宋体"/>
                <w:b/>
                <w:bCs/>
                <w:color w:val="000000"/>
                <w:sz w:val="20"/>
                <w:szCs w:val="20"/>
              </w:rPr>
            </w:pPr>
          </w:p>
        </w:tc>
      </w:tr>
      <w:tr w14:paraId="7EFFED5E">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344AE34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6.1</w:t>
            </w:r>
          </w:p>
        </w:tc>
        <w:tc>
          <w:tcPr>
            <w:tcW w:w="1744" w:type="dxa"/>
            <w:tcBorders>
              <w:top w:val="nil"/>
              <w:left w:val="nil"/>
              <w:bottom w:val="single" w:color="auto" w:sz="4" w:space="0"/>
              <w:right w:val="single" w:color="auto" w:sz="4" w:space="0"/>
            </w:tcBorders>
            <w:noWrap w:val="0"/>
            <w:vAlign w:val="center"/>
          </w:tcPr>
          <w:p w14:paraId="4D5AB15B">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地表水测站维护</w:t>
            </w:r>
          </w:p>
        </w:tc>
        <w:tc>
          <w:tcPr>
            <w:tcW w:w="3612" w:type="dxa"/>
            <w:tcBorders>
              <w:top w:val="nil"/>
              <w:left w:val="nil"/>
              <w:bottom w:val="single" w:color="auto" w:sz="4" w:space="0"/>
              <w:right w:val="single" w:color="auto" w:sz="4" w:space="0"/>
            </w:tcBorders>
            <w:noWrap/>
            <w:vAlign w:val="center"/>
          </w:tcPr>
          <w:p w14:paraId="1BB20CC7">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包括测站的RTU 供电系统，以及测流雷达流量计</w:t>
            </w:r>
          </w:p>
        </w:tc>
        <w:tc>
          <w:tcPr>
            <w:tcW w:w="738" w:type="dxa"/>
            <w:tcBorders>
              <w:top w:val="nil"/>
              <w:left w:val="nil"/>
              <w:bottom w:val="single" w:color="auto" w:sz="4" w:space="0"/>
              <w:right w:val="single" w:color="auto" w:sz="4" w:space="0"/>
            </w:tcBorders>
            <w:noWrap/>
            <w:vAlign w:val="center"/>
          </w:tcPr>
          <w:p w14:paraId="6523EE05">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4821D26">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56</w:t>
            </w:r>
          </w:p>
        </w:tc>
        <w:tc>
          <w:tcPr>
            <w:tcW w:w="1134" w:type="dxa"/>
            <w:tcBorders>
              <w:top w:val="nil"/>
              <w:left w:val="nil"/>
              <w:bottom w:val="single" w:color="auto" w:sz="4" w:space="0"/>
              <w:right w:val="single" w:color="auto" w:sz="4" w:space="0"/>
            </w:tcBorders>
            <w:noWrap/>
            <w:vAlign w:val="center"/>
          </w:tcPr>
          <w:p w14:paraId="19B9C93A">
            <w:pPr>
              <w:spacing w:after="0" w:line="240" w:lineRule="auto"/>
              <w:ind w:firstLine="0" w:firstLineChars="0"/>
              <w:jc w:val="center"/>
              <w:rPr>
                <w:rFonts w:ascii="宋体" w:hAnsi="宋体" w:cs="宋体"/>
                <w:color w:val="000000"/>
                <w:sz w:val="20"/>
                <w:szCs w:val="20"/>
              </w:rPr>
            </w:pPr>
          </w:p>
        </w:tc>
        <w:tc>
          <w:tcPr>
            <w:tcW w:w="1425" w:type="dxa"/>
            <w:tcBorders>
              <w:top w:val="nil"/>
              <w:left w:val="nil"/>
              <w:bottom w:val="single" w:color="auto" w:sz="4" w:space="0"/>
              <w:right w:val="single" w:color="auto" w:sz="4" w:space="0"/>
            </w:tcBorders>
            <w:noWrap/>
            <w:vAlign w:val="center"/>
          </w:tcPr>
          <w:p w14:paraId="54559A4F">
            <w:pPr>
              <w:spacing w:after="0" w:line="240" w:lineRule="auto"/>
              <w:ind w:firstLine="0" w:firstLineChars="0"/>
              <w:jc w:val="center"/>
              <w:rPr>
                <w:rFonts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67869E68">
            <w:pPr>
              <w:spacing w:after="0" w:line="240" w:lineRule="auto"/>
              <w:ind w:firstLine="0" w:firstLineChars="0"/>
              <w:jc w:val="center"/>
              <w:rPr>
                <w:rFonts w:ascii="宋体" w:hAnsi="宋体" w:cs="宋体"/>
                <w:color w:val="000000"/>
                <w:sz w:val="20"/>
                <w:szCs w:val="20"/>
              </w:rPr>
            </w:pPr>
          </w:p>
        </w:tc>
      </w:tr>
      <w:tr w14:paraId="2BBD656B">
        <w:tblPrEx>
          <w:tblCellMar>
            <w:top w:w="0" w:type="dxa"/>
            <w:left w:w="108" w:type="dxa"/>
            <w:bottom w:w="0" w:type="dxa"/>
            <w:right w:w="108" w:type="dxa"/>
          </w:tblCellMar>
        </w:tblPrEx>
        <w:trPr>
          <w:trHeight w:val="270" w:hRule="atLeast"/>
          <w:jc w:val="center"/>
        </w:trPr>
        <w:tc>
          <w:tcPr>
            <w:tcW w:w="685" w:type="dxa"/>
            <w:tcBorders>
              <w:top w:val="nil"/>
              <w:left w:val="single" w:color="auto" w:sz="4" w:space="0"/>
              <w:bottom w:val="single" w:color="auto" w:sz="4" w:space="0"/>
              <w:right w:val="single" w:color="auto" w:sz="4" w:space="0"/>
            </w:tcBorders>
            <w:noWrap/>
            <w:vAlign w:val="center"/>
          </w:tcPr>
          <w:p w14:paraId="15E32A88">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6.2</w:t>
            </w:r>
          </w:p>
        </w:tc>
        <w:tc>
          <w:tcPr>
            <w:tcW w:w="1744" w:type="dxa"/>
            <w:tcBorders>
              <w:top w:val="nil"/>
              <w:left w:val="nil"/>
              <w:bottom w:val="single" w:color="auto" w:sz="4" w:space="0"/>
              <w:right w:val="single" w:color="auto" w:sz="4" w:space="0"/>
            </w:tcBorders>
            <w:noWrap w:val="0"/>
            <w:vAlign w:val="center"/>
          </w:tcPr>
          <w:p w14:paraId="769764B4">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地表水系统维护</w:t>
            </w:r>
          </w:p>
        </w:tc>
        <w:tc>
          <w:tcPr>
            <w:tcW w:w="3612" w:type="dxa"/>
            <w:tcBorders>
              <w:top w:val="nil"/>
              <w:left w:val="nil"/>
              <w:bottom w:val="single" w:color="auto" w:sz="4" w:space="0"/>
              <w:right w:val="single" w:color="auto" w:sz="4" w:space="0"/>
            </w:tcBorders>
            <w:noWrap/>
            <w:vAlign w:val="center"/>
          </w:tcPr>
          <w:p w14:paraId="63A05E51">
            <w:pPr>
              <w:spacing w:after="0" w:line="240" w:lineRule="auto"/>
              <w:ind w:firstLine="0" w:firstLineChars="0"/>
              <w:jc w:val="center"/>
              <w:rPr>
                <w:rFonts w:ascii="宋体" w:hAnsi="宋体" w:cs="宋体"/>
                <w:color w:val="000000"/>
                <w:kern w:val="2"/>
                <w:sz w:val="20"/>
                <w:szCs w:val="20"/>
                <w:lang w:val="en-US" w:eastAsia="zh-CN" w:bidi="ar-SA"/>
              </w:rPr>
            </w:pPr>
          </w:p>
        </w:tc>
        <w:tc>
          <w:tcPr>
            <w:tcW w:w="738" w:type="dxa"/>
            <w:tcBorders>
              <w:top w:val="nil"/>
              <w:left w:val="nil"/>
              <w:bottom w:val="single" w:color="auto" w:sz="4" w:space="0"/>
              <w:right w:val="single" w:color="auto" w:sz="4" w:space="0"/>
            </w:tcBorders>
            <w:noWrap/>
            <w:vAlign w:val="center"/>
          </w:tcPr>
          <w:p w14:paraId="0D410079">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项</w:t>
            </w:r>
          </w:p>
        </w:tc>
        <w:tc>
          <w:tcPr>
            <w:tcW w:w="725" w:type="dxa"/>
            <w:tcBorders>
              <w:top w:val="nil"/>
              <w:left w:val="nil"/>
              <w:bottom w:val="single" w:color="auto" w:sz="4" w:space="0"/>
              <w:right w:val="single" w:color="auto" w:sz="4" w:space="0"/>
            </w:tcBorders>
            <w:noWrap/>
            <w:vAlign w:val="center"/>
          </w:tcPr>
          <w:p w14:paraId="12D1F77E">
            <w:pPr>
              <w:spacing w:after="0" w:line="240" w:lineRule="auto"/>
              <w:ind w:firstLine="0" w:firstLineChars="0"/>
              <w:jc w:val="center"/>
              <w:rPr>
                <w:rFonts w:ascii="宋体" w:hAnsi="宋体" w:cs="宋体"/>
                <w:color w:val="000000"/>
                <w:kern w:val="2"/>
                <w:sz w:val="20"/>
                <w:szCs w:val="20"/>
                <w:lang w:val="en-US" w:eastAsia="zh-CN" w:bidi="ar-SA"/>
              </w:rPr>
            </w:pPr>
            <w:r>
              <w:rPr>
                <w:rFonts w:hint="eastAsia" w:ascii="宋体" w:hAnsi="宋体" w:cs="宋体"/>
                <w:color w:val="000000"/>
                <w:sz w:val="20"/>
                <w:szCs w:val="20"/>
              </w:rPr>
              <w:t>1</w:t>
            </w:r>
          </w:p>
        </w:tc>
        <w:tc>
          <w:tcPr>
            <w:tcW w:w="1134" w:type="dxa"/>
            <w:tcBorders>
              <w:top w:val="nil"/>
              <w:left w:val="nil"/>
              <w:bottom w:val="single" w:color="auto" w:sz="4" w:space="0"/>
              <w:right w:val="single" w:color="auto" w:sz="4" w:space="0"/>
            </w:tcBorders>
            <w:noWrap/>
            <w:vAlign w:val="center"/>
          </w:tcPr>
          <w:p w14:paraId="01334379">
            <w:pPr>
              <w:spacing w:after="0" w:line="240" w:lineRule="auto"/>
              <w:ind w:firstLine="0" w:firstLineChars="0"/>
              <w:jc w:val="center"/>
              <w:rPr>
                <w:rFonts w:ascii="宋体" w:hAnsi="宋体" w:cs="宋体"/>
                <w:color w:val="000000"/>
                <w:sz w:val="20"/>
                <w:szCs w:val="20"/>
              </w:rPr>
            </w:pPr>
          </w:p>
        </w:tc>
        <w:tc>
          <w:tcPr>
            <w:tcW w:w="1425" w:type="dxa"/>
            <w:tcBorders>
              <w:top w:val="nil"/>
              <w:left w:val="nil"/>
              <w:bottom w:val="single" w:color="auto" w:sz="4" w:space="0"/>
              <w:right w:val="single" w:color="auto" w:sz="4" w:space="0"/>
            </w:tcBorders>
            <w:noWrap/>
            <w:vAlign w:val="center"/>
          </w:tcPr>
          <w:p w14:paraId="306A9CD4">
            <w:pPr>
              <w:spacing w:after="0" w:line="240" w:lineRule="auto"/>
              <w:ind w:firstLine="0" w:firstLineChars="0"/>
              <w:jc w:val="center"/>
              <w:rPr>
                <w:rFonts w:ascii="宋体" w:hAnsi="宋体" w:cs="宋体"/>
                <w:color w:val="000000"/>
                <w:sz w:val="20"/>
                <w:szCs w:val="20"/>
              </w:rPr>
            </w:pPr>
          </w:p>
        </w:tc>
        <w:tc>
          <w:tcPr>
            <w:tcW w:w="1238" w:type="dxa"/>
            <w:tcBorders>
              <w:top w:val="nil"/>
              <w:left w:val="nil"/>
              <w:bottom w:val="single" w:color="auto" w:sz="4" w:space="0"/>
              <w:right w:val="single" w:color="auto" w:sz="4" w:space="0"/>
            </w:tcBorders>
            <w:noWrap/>
            <w:vAlign w:val="center"/>
          </w:tcPr>
          <w:p w14:paraId="73FE7E43">
            <w:pPr>
              <w:spacing w:after="0" w:line="240" w:lineRule="auto"/>
              <w:ind w:firstLine="0" w:firstLineChars="0"/>
              <w:jc w:val="center"/>
              <w:rPr>
                <w:rFonts w:ascii="宋体" w:hAnsi="宋体" w:cs="宋体"/>
                <w:color w:val="000000"/>
                <w:sz w:val="20"/>
                <w:szCs w:val="20"/>
              </w:rPr>
            </w:pPr>
          </w:p>
        </w:tc>
      </w:tr>
    </w:tbl>
    <w:p w14:paraId="0E7A0325">
      <w:pPr>
        <w:pStyle w:val="125"/>
        <w:widowControl w:val="0"/>
        <w:numPr>
          <w:ilvl w:val="0"/>
          <w:numId w:val="0"/>
        </w:numPr>
        <w:spacing w:line="360" w:lineRule="auto"/>
        <w:jc w:val="both"/>
        <w:rPr>
          <w:rFonts w:hint="eastAsia" w:ascii="宋体" w:hAnsi="宋体" w:cs="宋体"/>
          <w:b/>
          <w:bCs/>
          <w:sz w:val="28"/>
          <w:szCs w:val="24"/>
          <w:lang w:val="en-US" w:eastAsia="zh-CN"/>
        </w:rPr>
        <w:sectPr>
          <w:pgSz w:w="11906" w:h="16838"/>
          <w:pgMar w:top="1440" w:right="1417" w:bottom="1134" w:left="1587" w:header="851" w:footer="992" w:gutter="0"/>
          <w:pgNumType w:fmt="decimal"/>
          <w:cols w:space="720" w:num="1"/>
          <w:docGrid w:type="lines" w:linePitch="312" w:charSpace="0"/>
        </w:sectPr>
      </w:pPr>
    </w:p>
    <w:p w14:paraId="1D17A403">
      <w:pPr>
        <w:pStyle w:val="3"/>
        <w:numPr>
          <w:ilvl w:val="0"/>
          <w:numId w:val="0"/>
        </w:numPr>
        <w:bidi w:val="0"/>
        <w:ind w:leftChars="0"/>
        <w:rPr>
          <w:rFonts w:hint="eastAsia" w:ascii="宋体" w:hAnsi="宋体" w:eastAsia="宋体" w:cs="宋体"/>
          <w:sz w:val="30"/>
          <w:szCs w:val="30"/>
        </w:rPr>
      </w:pPr>
      <w:bookmarkStart w:id="574" w:name="_Toc106276294"/>
      <w:bookmarkStart w:id="575" w:name="_Toc10626"/>
      <w:r>
        <w:rPr>
          <w:rFonts w:hint="eastAsia" w:ascii="宋体" w:hAnsi="宋体" w:eastAsia="宋体" w:cs="宋体"/>
          <w:sz w:val="30"/>
          <w:szCs w:val="30"/>
          <w:lang w:val="en-US" w:eastAsia="zh-CN"/>
        </w:rPr>
        <w:t>四、</w:t>
      </w:r>
      <w:r>
        <w:rPr>
          <w:rFonts w:hint="eastAsia" w:ascii="宋体" w:hAnsi="宋体" w:eastAsia="宋体" w:cs="宋体"/>
          <w:sz w:val="30"/>
          <w:szCs w:val="30"/>
        </w:rPr>
        <w:t>商务</w:t>
      </w:r>
      <w:r>
        <w:rPr>
          <w:rFonts w:hint="eastAsia" w:ascii="宋体" w:hAnsi="宋体" w:eastAsia="宋体" w:cs="宋体"/>
          <w:sz w:val="30"/>
          <w:szCs w:val="30"/>
          <w:lang w:eastAsia="zh-CN"/>
        </w:rPr>
        <w:t>、技术响应</w:t>
      </w:r>
      <w:r>
        <w:rPr>
          <w:rFonts w:hint="eastAsia" w:ascii="宋体" w:hAnsi="宋体" w:eastAsia="宋体" w:cs="宋体"/>
          <w:sz w:val="30"/>
          <w:szCs w:val="30"/>
        </w:rPr>
        <w:t>文件</w:t>
      </w:r>
      <w:bookmarkEnd w:id="560"/>
      <w:bookmarkEnd w:id="574"/>
      <w:bookmarkEnd w:id="575"/>
      <w:bookmarkStart w:id="576" w:name="_Toc2827"/>
      <w:bookmarkStart w:id="577" w:name="_Toc106276295"/>
    </w:p>
    <w:p w14:paraId="6DA01D7A">
      <w:pPr>
        <w:pStyle w:val="3"/>
        <w:numPr>
          <w:ilvl w:val="0"/>
          <w:numId w:val="0"/>
        </w:numPr>
        <w:bidi w:val="0"/>
        <w:ind w:leftChars="0"/>
        <w:rPr>
          <w:rFonts w:hint="eastAsia" w:ascii="宋体" w:hAnsi="宋体" w:eastAsia="宋体" w:cs="宋体"/>
          <w:sz w:val="30"/>
          <w:szCs w:val="30"/>
        </w:rPr>
      </w:pPr>
      <w:bookmarkStart w:id="578" w:name="_Toc3286"/>
      <w:r>
        <w:rPr>
          <w:rFonts w:hint="eastAsia" w:ascii="宋体" w:hAnsi="宋体" w:eastAsia="宋体" w:cs="宋体"/>
          <w:sz w:val="30"/>
          <w:szCs w:val="30"/>
          <w:lang w:eastAsia="zh-CN"/>
        </w:rPr>
        <w:t>（一）</w:t>
      </w:r>
      <w:r>
        <w:rPr>
          <w:rFonts w:hint="eastAsia" w:ascii="宋体" w:hAnsi="宋体" w:eastAsia="宋体" w:cs="宋体"/>
          <w:sz w:val="30"/>
          <w:szCs w:val="30"/>
        </w:rPr>
        <w:t>磋商申请</w:t>
      </w:r>
      <w:bookmarkEnd w:id="576"/>
      <w:bookmarkEnd w:id="577"/>
      <w:bookmarkEnd w:id="578"/>
    </w:p>
    <w:p w14:paraId="589A9ADD">
      <w:pPr>
        <w:pStyle w:val="162"/>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5BD99123">
      <w:pPr>
        <w:pStyle w:val="161"/>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项目编号</w:t>
      </w:r>
      <w:r>
        <w:rPr>
          <w:rFonts w:hint="eastAsia" w:ascii="宋体" w:hAnsi="宋体" w:cs="宋体"/>
          <w:sz w:val="24"/>
          <w:szCs w:val="24"/>
          <w:u w:val="single"/>
          <w:lang w:val="zh-CN"/>
        </w:rPr>
        <w:t xml:space="preserve">           </w:t>
      </w:r>
      <w:r>
        <w:rPr>
          <w:rFonts w:hint="eastAsia" w:ascii="宋体" w:hAnsi="宋体" w:cs="宋体"/>
          <w:sz w:val="24"/>
          <w:szCs w:val="24"/>
          <w:lang w:val="zh-CN"/>
        </w:rPr>
        <w:t>的磋商文件，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上传电子磋商响应文件一份。</w:t>
      </w:r>
    </w:p>
    <w:p w14:paraId="7EE7FD61">
      <w:pPr>
        <w:pStyle w:val="162"/>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1E5F6F4">
      <w:pPr>
        <w:pStyle w:val="162"/>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服务期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7772D0A4">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2、我们同意提供贵方可能要求的与本次磋商有关的任何证据或资料。</w:t>
      </w:r>
    </w:p>
    <w:p w14:paraId="5D1F6EEA">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3、一旦我方成交，我方承诺将根据磋商文件与贵方签订书面合同，并严格履行合同义务。</w:t>
      </w:r>
    </w:p>
    <w:p w14:paraId="60202A0D">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0BCC96FB">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C5E17C7">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、随本申请递交的磋商申请附录是本申请的组成部分，对我方构成约束力。</w:t>
      </w:r>
    </w:p>
    <w:p w14:paraId="4D45A8A8">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27FA2377">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01FBDC5F">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045979E2">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0BA042F2">
      <w:pPr>
        <w:pStyle w:val="162"/>
        <w:spacing w:line="360" w:lineRule="auto"/>
        <w:ind w:firstLine="480" w:firstLineChars="200"/>
        <w:rPr>
          <w:rFonts w:hint="eastAsia" w:ascii="宋体" w:hAnsi="宋体" w:cs="宋体"/>
          <w:sz w:val="24"/>
          <w:szCs w:val="24"/>
        </w:rPr>
      </w:pPr>
    </w:p>
    <w:p w14:paraId="2CB42A1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DA275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F5ABC9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4C40855">
      <w:pPr>
        <w:pStyle w:val="162"/>
        <w:spacing w:line="360" w:lineRule="auto"/>
        <w:ind w:firstLine="480" w:firstLineChars="200"/>
        <w:rPr>
          <w:rFonts w:hint="eastAsia" w:ascii="宋体" w:hAnsi="宋体" w:cs="宋体"/>
          <w:sz w:val="24"/>
          <w:szCs w:val="24"/>
        </w:rPr>
      </w:pPr>
    </w:p>
    <w:p w14:paraId="6147E4FA">
      <w:pPr>
        <w:pStyle w:val="162"/>
        <w:spacing w:line="360" w:lineRule="auto"/>
        <w:ind w:firstLine="480" w:firstLineChars="200"/>
        <w:rPr>
          <w:rFonts w:hint="eastAsia" w:ascii="宋体" w:hAnsi="宋体" w:cs="宋体"/>
          <w:sz w:val="24"/>
          <w:szCs w:val="24"/>
        </w:rPr>
      </w:pPr>
    </w:p>
    <w:p w14:paraId="5073A7CB">
      <w:pPr>
        <w:pStyle w:val="162"/>
        <w:spacing w:line="360" w:lineRule="auto"/>
        <w:rPr>
          <w:rFonts w:hint="eastAsia" w:ascii="宋体" w:hAnsi="宋体" w:cs="宋体"/>
          <w:sz w:val="24"/>
          <w:szCs w:val="24"/>
        </w:rPr>
      </w:pPr>
    </w:p>
    <w:p w14:paraId="3D0B574F">
      <w:pPr>
        <w:pStyle w:val="123"/>
        <w:outlineLvl w:val="1"/>
        <w:rPr>
          <w:rFonts w:hint="eastAsia" w:ascii="宋体" w:hAnsi="宋体" w:cs="宋体"/>
          <w:b w:val="0"/>
          <w:sz w:val="30"/>
          <w:szCs w:val="30"/>
          <w:lang w:eastAsia="zh-CN"/>
        </w:rPr>
      </w:pPr>
      <w:bookmarkStart w:id="579" w:name="_Toc106276296"/>
      <w:bookmarkStart w:id="580" w:name="_Toc14143"/>
      <w:bookmarkStart w:id="581" w:name="_Toc15041"/>
      <w:r>
        <w:rPr>
          <w:rFonts w:hint="eastAsia" w:ascii="宋体" w:hAnsi="宋体" w:eastAsia="宋体" w:cs="宋体"/>
          <w:sz w:val="30"/>
          <w:szCs w:val="30"/>
          <w:lang w:eastAsia="zh-CN"/>
        </w:rPr>
        <w:t>（二）商务部分</w:t>
      </w:r>
      <w:bookmarkEnd w:id="579"/>
      <w:bookmarkEnd w:id="580"/>
    </w:p>
    <w:p w14:paraId="4FDCD793">
      <w:pPr>
        <w:pStyle w:val="148"/>
        <w:autoSpaceDE w:val="0"/>
        <w:spacing w:line="460" w:lineRule="exact"/>
        <w:outlineLvl w:val="1"/>
        <w:rPr>
          <w:rFonts w:hint="eastAsia" w:ascii="宋体" w:hAnsi="宋体" w:cs="宋体"/>
          <w:b/>
          <w:sz w:val="30"/>
          <w:szCs w:val="30"/>
          <w:lang w:eastAsia="zh-CN"/>
        </w:rPr>
      </w:pPr>
      <w:bookmarkStart w:id="582" w:name="_Toc31179"/>
      <w:bookmarkStart w:id="583" w:name="_Toc106276298"/>
      <w:r>
        <w:rPr>
          <w:rFonts w:hint="eastAsia" w:ascii="宋体" w:hAnsi="宋体" w:cs="宋体"/>
          <w:b/>
          <w:sz w:val="30"/>
          <w:szCs w:val="30"/>
          <w:lang w:eastAsia="zh-CN"/>
        </w:rPr>
        <w:t>1、业绩</w:t>
      </w:r>
      <w:bookmarkEnd w:id="581"/>
      <w:bookmarkEnd w:id="582"/>
      <w:bookmarkEnd w:id="583"/>
      <w:r>
        <w:rPr>
          <w:rFonts w:hint="eastAsia"/>
          <w:lang w:eastAsia="zh-CN"/>
        </w:rPr>
        <w:t xml:space="preserve"> </w:t>
      </w:r>
    </w:p>
    <w:tbl>
      <w:tblPr>
        <w:tblStyle w:val="4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1A46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36F2597">
            <w:pPr>
              <w:pStyle w:val="147"/>
              <w:jc w:val="center"/>
              <w:rPr>
                <w:rFonts w:hint="eastAsia" w:ascii="宋体" w:hAnsi="宋体" w:cs="宋体"/>
                <w:sz w:val="24"/>
                <w:szCs w:val="24"/>
              </w:rPr>
            </w:pPr>
            <w:r>
              <w:rPr>
                <w:rFonts w:hint="eastAsia" w:ascii="宋体" w:hAnsi="宋体" w:cs="宋体"/>
                <w:sz w:val="24"/>
                <w:szCs w:val="24"/>
              </w:rPr>
              <w:t>项目名称</w:t>
            </w:r>
          </w:p>
        </w:tc>
        <w:tc>
          <w:tcPr>
            <w:tcW w:w="7200" w:type="dxa"/>
            <w:tcBorders>
              <w:top w:val="single" w:color="auto" w:sz="4" w:space="0"/>
              <w:left w:val="nil"/>
              <w:bottom w:val="single" w:color="auto" w:sz="4" w:space="0"/>
              <w:right w:val="single" w:color="auto" w:sz="4" w:space="0"/>
            </w:tcBorders>
            <w:noWrap w:val="0"/>
            <w:vAlign w:val="top"/>
          </w:tcPr>
          <w:p w14:paraId="7F22AECF">
            <w:pPr>
              <w:pStyle w:val="147"/>
              <w:rPr>
                <w:rFonts w:hint="eastAsia" w:ascii="宋体" w:hAnsi="宋体" w:cs="宋体"/>
                <w:sz w:val="24"/>
                <w:szCs w:val="24"/>
              </w:rPr>
            </w:pPr>
            <w:r>
              <w:rPr>
                <w:rFonts w:hint="eastAsia" w:ascii="宋体" w:hAnsi="宋体" w:cs="宋体"/>
                <w:sz w:val="24"/>
                <w:szCs w:val="24"/>
              </w:rPr>
              <w:tab/>
            </w:r>
          </w:p>
        </w:tc>
      </w:tr>
      <w:tr w14:paraId="324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5FAA0488">
            <w:pPr>
              <w:pStyle w:val="147"/>
              <w:jc w:val="center"/>
              <w:rPr>
                <w:rFonts w:hint="eastAsia" w:ascii="宋体" w:hAnsi="宋体" w:cs="宋体"/>
                <w:sz w:val="24"/>
                <w:szCs w:val="24"/>
              </w:rPr>
            </w:pPr>
            <w:r>
              <w:rPr>
                <w:rFonts w:hint="eastAsia" w:ascii="宋体" w:hAnsi="宋体" w:cs="宋体"/>
                <w:sz w:val="24"/>
                <w:szCs w:val="24"/>
              </w:rPr>
              <w:t>项目单位名称</w:t>
            </w:r>
          </w:p>
        </w:tc>
        <w:tc>
          <w:tcPr>
            <w:tcW w:w="7200" w:type="dxa"/>
            <w:tcBorders>
              <w:top w:val="single" w:color="auto" w:sz="4" w:space="0"/>
              <w:left w:val="nil"/>
              <w:bottom w:val="single" w:color="auto" w:sz="4" w:space="0"/>
              <w:right w:val="single" w:color="auto" w:sz="4" w:space="0"/>
            </w:tcBorders>
            <w:noWrap w:val="0"/>
            <w:vAlign w:val="top"/>
          </w:tcPr>
          <w:p w14:paraId="47C04824">
            <w:pPr>
              <w:pStyle w:val="147"/>
              <w:jc w:val="center"/>
              <w:rPr>
                <w:rFonts w:hint="eastAsia" w:ascii="宋体" w:hAnsi="宋体" w:cs="宋体"/>
                <w:sz w:val="24"/>
                <w:szCs w:val="24"/>
              </w:rPr>
            </w:pPr>
          </w:p>
        </w:tc>
      </w:tr>
      <w:tr w14:paraId="37A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78E163E">
            <w:pPr>
              <w:pStyle w:val="147"/>
              <w:jc w:val="center"/>
              <w:rPr>
                <w:rFonts w:hint="eastAsia" w:ascii="宋体" w:hAnsi="宋体" w:cs="宋体"/>
                <w:sz w:val="24"/>
                <w:szCs w:val="24"/>
              </w:rPr>
            </w:pPr>
            <w:r>
              <w:rPr>
                <w:rFonts w:hint="eastAsia" w:ascii="宋体" w:hAnsi="宋体" w:cs="宋体"/>
                <w:sz w:val="24"/>
                <w:szCs w:val="24"/>
              </w:rPr>
              <w:t>项目单位联系人姓名及联系方式</w:t>
            </w:r>
          </w:p>
        </w:tc>
        <w:tc>
          <w:tcPr>
            <w:tcW w:w="7200" w:type="dxa"/>
            <w:tcBorders>
              <w:top w:val="single" w:color="auto" w:sz="4" w:space="0"/>
              <w:left w:val="nil"/>
              <w:bottom w:val="single" w:color="auto" w:sz="4" w:space="0"/>
              <w:right w:val="single" w:color="auto" w:sz="4" w:space="0"/>
            </w:tcBorders>
            <w:noWrap w:val="0"/>
            <w:vAlign w:val="top"/>
          </w:tcPr>
          <w:p w14:paraId="78566E66">
            <w:pPr>
              <w:pStyle w:val="147"/>
              <w:jc w:val="center"/>
              <w:rPr>
                <w:rFonts w:hint="eastAsia" w:ascii="宋体" w:hAnsi="宋体" w:cs="宋体"/>
                <w:sz w:val="24"/>
                <w:szCs w:val="24"/>
              </w:rPr>
            </w:pPr>
          </w:p>
        </w:tc>
      </w:tr>
      <w:tr w14:paraId="4A8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0D4E69B">
            <w:pPr>
              <w:pStyle w:val="147"/>
              <w:jc w:val="center"/>
              <w:rPr>
                <w:rFonts w:hint="eastAsia" w:ascii="宋体" w:hAnsi="宋体" w:cs="宋体"/>
                <w:sz w:val="24"/>
                <w:szCs w:val="24"/>
              </w:rPr>
            </w:pPr>
            <w:r>
              <w:rPr>
                <w:rFonts w:hint="eastAsia" w:ascii="宋体" w:hAnsi="宋体" w:cs="宋体"/>
                <w:sz w:val="24"/>
                <w:szCs w:val="24"/>
              </w:rPr>
              <w:t>合同金额</w:t>
            </w:r>
          </w:p>
        </w:tc>
        <w:tc>
          <w:tcPr>
            <w:tcW w:w="7200" w:type="dxa"/>
            <w:tcBorders>
              <w:top w:val="single" w:color="auto" w:sz="4" w:space="0"/>
              <w:left w:val="nil"/>
              <w:bottom w:val="single" w:color="auto" w:sz="4" w:space="0"/>
              <w:right w:val="single" w:color="auto" w:sz="4" w:space="0"/>
            </w:tcBorders>
            <w:noWrap w:val="0"/>
            <w:vAlign w:val="top"/>
          </w:tcPr>
          <w:p w14:paraId="022DB511">
            <w:pPr>
              <w:pStyle w:val="147"/>
              <w:jc w:val="center"/>
              <w:rPr>
                <w:rFonts w:hint="eastAsia" w:ascii="宋体" w:hAnsi="宋体" w:cs="宋体"/>
                <w:sz w:val="24"/>
                <w:szCs w:val="24"/>
              </w:rPr>
            </w:pPr>
          </w:p>
        </w:tc>
      </w:tr>
      <w:tr w14:paraId="5E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1F6C1475">
            <w:pPr>
              <w:pStyle w:val="147"/>
              <w:jc w:val="center"/>
              <w:rPr>
                <w:rFonts w:hint="eastAsia" w:ascii="宋体" w:hAnsi="宋体" w:cs="宋体"/>
                <w:sz w:val="24"/>
                <w:szCs w:val="24"/>
              </w:rPr>
            </w:pPr>
            <w:r>
              <w:rPr>
                <w:rFonts w:hint="eastAsia" w:ascii="宋体" w:hAnsi="宋体" w:cs="宋体"/>
                <w:sz w:val="24"/>
                <w:szCs w:val="24"/>
              </w:rPr>
              <w:t>项目实施时间</w:t>
            </w:r>
          </w:p>
        </w:tc>
        <w:tc>
          <w:tcPr>
            <w:tcW w:w="7200" w:type="dxa"/>
            <w:tcBorders>
              <w:top w:val="single" w:color="auto" w:sz="4" w:space="0"/>
              <w:left w:val="nil"/>
              <w:bottom w:val="single" w:color="auto" w:sz="4" w:space="0"/>
              <w:right w:val="single" w:color="auto" w:sz="4" w:space="0"/>
            </w:tcBorders>
            <w:noWrap w:val="0"/>
            <w:vAlign w:val="top"/>
          </w:tcPr>
          <w:p w14:paraId="7D18715D">
            <w:pPr>
              <w:pStyle w:val="147"/>
              <w:jc w:val="center"/>
              <w:rPr>
                <w:rFonts w:hint="eastAsia" w:ascii="宋体" w:hAnsi="宋体" w:cs="宋体"/>
                <w:sz w:val="24"/>
                <w:szCs w:val="24"/>
              </w:rPr>
            </w:pPr>
          </w:p>
        </w:tc>
      </w:tr>
      <w:tr w14:paraId="3CF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79D4F44D">
            <w:pPr>
              <w:pStyle w:val="147"/>
              <w:jc w:val="center"/>
              <w:rPr>
                <w:rFonts w:hint="eastAsia" w:ascii="宋体" w:hAnsi="宋体" w:cs="宋体"/>
                <w:sz w:val="24"/>
                <w:szCs w:val="24"/>
              </w:rPr>
            </w:pPr>
            <w:r>
              <w:rPr>
                <w:rFonts w:hint="eastAsia" w:ascii="宋体" w:hAnsi="宋体" w:cs="宋体"/>
                <w:sz w:val="24"/>
                <w:szCs w:val="24"/>
              </w:rPr>
              <w:t>项目内容说明</w:t>
            </w:r>
          </w:p>
        </w:tc>
        <w:tc>
          <w:tcPr>
            <w:tcW w:w="7200" w:type="dxa"/>
            <w:tcBorders>
              <w:top w:val="single" w:color="auto" w:sz="4" w:space="0"/>
              <w:left w:val="nil"/>
              <w:bottom w:val="single" w:color="auto" w:sz="4" w:space="0"/>
              <w:right w:val="single" w:color="auto" w:sz="4" w:space="0"/>
            </w:tcBorders>
            <w:noWrap w:val="0"/>
            <w:vAlign w:val="top"/>
          </w:tcPr>
          <w:p w14:paraId="6577EA3D">
            <w:pPr>
              <w:pStyle w:val="147"/>
              <w:jc w:val="center"/>
              <w:rPr>
                <w:rFonts w:hint="eastAsia" w:ascii="宋体" w:hAnsi="宋体" w:cs="宋体"/>
                <w:sz w:val="24"/>
                <w:szCs w:val="24"/>
              </w:rPr>
            </w:pPr>
          </w:p>
        </w:tc>
      </w:tr>
    </w:tbl>
    <w:p w14:paraId="38804BE9">
      <w:pPr>
        <w:pStyle w:val="147"/>
        <w:autoSpaceDE w:val="0"/>
        <w:autoSpaceDN w:val="0"/>
        <w:spacing w:line="360" w:lineRule="auto"/>
        <w:rPr>
          <w:rFonts w:hint="eastAsia" w:ascii="宋体" w:hAnsi="宋体" w:cs="宋体"/>
          <w:sz w:val="24"/>
          <w:szCs w:val="24"/>
        </w:rPr>
      </w:pPr>
      <w:r>
        <w:rPr>
          <w:rFonts w:hint="eastAsia" w:ascii="宋体" w:hAnsi="宋体" w:cs="宋体"/>
          <w:sz w:val="24"/>
          <w:szCs w:val="24"/>
        </w:rPr>
        <w:t>说明：1</w:t>
      </w:r>
      <w:r>
        <w:rPr>
          <w:rFonts w:hint="eastAsia" w:ascii="宋体" w:hAnsi="宋体" w:cs="宋体"/>
          <w:sz w:val="24"/>
          <w:szCs w:val="24"/>
          <w:lang w:eastAsia="zh-CN"/>
        </w:rPr>
        <w:t>、</w:t>
      </w:r>
      <w:r>
        <w:rPr>
          <w:rFonts w:hint="eastAsia" w:ascii="宋体" w:hAnsi="宋体" w:cs="宋体"/>
          <w:sz w:val="24"/>
          <w:szCs w:val="24"/>
        </w:rPr>
        <w:t>每个</w:t>
      </w:r>
      <w:r>
        <w:rPr>
          <w:rFonts w:hint="eastAsia" w:ascii="宋体" w:hAnsi="宋体" w:cs="宋体"/>
          <w:sz w:val="24"/>
          <w:szCs w:val="24"/>
          <w:lang w:eastAsia="zh-CN"/>
        </w:rPr>
        <w:t>业绩</w:t>
      </w:r>
      <w:r>
        <w:rPr>
          <w:rFonts w:hint="eastAsia" w:ascii="宋体" w:hAnsi="宋体" w:cs="宋体"/>
          <w:sz w:val="24"/>
          <w:szCs w:val="24"/>
        </w:rPr>
        <w:t>须单独附表，并附上合同或中标通知书，否则专家在评审时将不予采信；</w:t>
      </w:r>
    </w:p>
    <w:p w14:paraId="4B6EFAB7">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项目内容请详细说明所承担的具体工作内容等；</w:t>
      </w:r>
    </w:p>
    <w:p w14:paraId="1A82BFA1">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3、业绩为近三年业绩。（近三年指20</w:t>
      </w:r>
      <w:r>
        <w:rPr>
          <w:rFonts w:hint="eastAsia" w:ascii="宋体" w:hAnsi="宋体" w:cs="宋体"/>
          <w:sz w:val="24"/>
          <w:szCs w:val="24"/>
          <w:lang w:val="en-US" w:eastAsia="zh-CN"/>
        </w:rPr>
        <w:t>22</w:t>
      </w:r>
      <w:r>
        <w:rPr>
          <w:rFonts w:hint="eastAsia" w:ascii="宋体" w:hAnsi="宋体" w:cs="宋体"/>
          <w:sz w:val="24"/>
          <w:szCs w:val="24"/>
        </w:rPr>
        <w:t>年1月1日起至今）</w:t>
      </w:r>
    </w:p>
    <w:p w14:paraId="75195CFE">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 </w:t>
      </w:r>
    </w:p>
    <w:p w14:paraId="511F56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3EB119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DA07CA2">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2C1E1B">
      <w:pPr>
        <w:pStyle w:val="3"/>
        <w:bidi w:val="0"/>
        <w:rPr>
          <w:rFonts w:hint="eastAsia" w:ascii="宋体" w:hAnsi="宋体" w:eastAsia="宋体" w:cs="宋体"/>
          <w:sz w:val="30"/>
          <w:szCs w:val="30"/>
          <w:lang w:eastAsia="zh-CN"/>
        </w:rPr>
      </w:pPr>
      <w:r>
        <w:rPr>
          <w:rFonts w:ascii="宋体" w:hAnsi="宋体" w:cs="宋体"/>
          <w:sz w:val="24"/>
          <w:lang w:eastAsia="zh-CN"/>
        </w:rPr>
        <w:br w:type="page"/>
      </w:r>
      <w:bookmarkStart w:id="584" w:name="_Toc106276301"/>
      <w:bookmarkStart w:id="585" w:name="_Toc28672"/>
      <w:bookmarkStart w:id="586" w:name="_Toc2422"/>
      <w:bookmarkStart w:id="587" w:name="_Toc21190"/>
      <w:r>
        <w:rPr>
          <w:rStyle w:val="55"/>
          <w:rFonts w:hint="eastAsia"/>
          <w:b/>
          <w:bCs/>
          <w:sz w:val="30"/>
          <w:szCs w:val="30"/>
          <w:lang w:eastAsia="zh-CN"/>
        </w:rPr>
        <w:t>（三）技术部分</w:t>
      </w:r>
      <w:bookmarkEnd w:id="584"/>
      <w:bookmarkEnd w:id="585"/>
    </w:p>
    <w:bookmarkEnd w:id="586"/>
    <w:bookmarkEnd w:id="587"/>
    <w:p w14:paraId="7DCA2337">
      <w:pPr>
        <w:pStyle w:val="154"/>
        <w:spacing w:line="360" w:lineRule="auto"/>
        <w:rPr>
          <w:rFonts w:hint="eastAsia" w:ascii="宋体" w:hAnsi="宋体" w:eastAsia="宋体" w:cs="宋体"/>
          <w:color w:val="000000"/>
          <w:kern w:val="0"/>
          <w:sz w:val="24"/>
          <w:szCs w:val="24"/>
          <w:lang w:val="en-US" w:eastAsia="zh-CN" w:bidi="ar-SA"/>
        </w:rPr>
      </w:pPr>
    </w:p>
    <w:p w14:paraId="266AB06E">
      <w:pPr>
        <w:bidi w:val="0"/>
        <w:rPr>
          <w:rFonts w:hint="eastAsia"/>
          <w:b/>
          <w:bCs/>
          <w:sz w:val="28"/>
          <w:szCs w:val="32"/>
        </w:rPr>
      </w:pPr>
    </w:p>
    <w:p w14:paraId="603EF44C">
      <w:pPr>
        <w:pStyle w:val="63"/>
        <w:ind w:firstLine="0"/>
        <w:rPr>
          <w:rFonts w:ascii="Times New Roman" w:hAnsi="Times New Roman"/>
          <w:sz w:val="24"/>
          <w:szCs w:val="24"/>
        </w:rPr>
      </w:pPr>
    </w:p>
    <w:bookmarkEnd w:id="517"/>
    <w:p w14:paraId="28498AF4">
      <w:pPr>
        <w:pStyle w:val="126"/>
        <w:spacing w:line="500" w:lineRule="exact"/>
        <w:ind w:firstLine="458" w:firstLineChars="152"/>
        <w:rPr>
          <w:rFonts w:hint="eastAsia" w:ascii="宋体" w:hAnsi="宋体" w:cs="宋体"/>
          <w:b/>
          <w:sz w:val="30"/>
          <w:szCs w:val="30"/>
          <w:lang w:eastAsia="zh-CN"/>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A382">
    <w:pPr>
      <w:pStyle w:val="25"/>
      <w:ind w:left="180" w:hanging="180" w:hangingChars="100"/>
      <w:jc w:val="right"/>
      <w:rPr>
        <w:rFonts w:hint="eastAsia" w:eastAsia="楷体_GB2312"/>
      </w:rPr>
    </w:pPr>
    <w:r>
      <w:rPr>
        <w:rFonts w:hint="eastAsia" w:eastAsia="楷体_GB2312"/>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DDE5">
    <w:pPr>
      <w:pStyle w:val="25"/>
      <w:rPr>
        <w:rFonts w:hint="eastAsia" w:eastAsia="楷体_GB2312"/>
      </w:rPr>
    </w:pPr>
    <w:r>
      <w:rPr>
        <w:rFonts w:hint="eastAsia" w:eastAsia="楷体_GB2312"/>
        <w:highlight w:val="whit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25"/>
      <w:rPr>
        <w:rFonts w:hint="eastAsia"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4A2">
    <w:pPr>
      <w:pStyle w:val="2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D712">
    <w:pPr>
      <w:rPr>
        <w:rFonts w:hint="eastAsia"/>
        <w:sz w:val="18"/>
        <w:szCs w:val="18"/>
      </w:rPr>
    </w:pPr>
    <w:r>
      <w:pict>
        <v:shape id="PowerPlusWaterMarkObject48289329" o:spid="_x0000_s4097" o:spt="136" type="#_x0000_t136" style="position:absolute;left:0pt;height:36.65pt;width:58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7AF">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8B3D"/>
    <w:multiLevelType w:val="singleLevel"/>
    <w:tmpl w:val="A8BB8B3D"/>
    <w:lvl w:ilvl="0" w:tentative="0">
      <w:start w:val="1"/>
      <w:numFmt w:val="decimal"/>
      <w:suff w:val="space"/>
      <w:lvlText w:val="%1."/>
      <w:lvlJc w:val="left"/>
    </w:lvl>
  </w:abstractNum>
  <w:abstractNum w:abstractNumId="1">
    <w:nsid w:val="FA20225E"/>
    <w:multiLevelType w:val="singleLevel"/>
    <w:tmpl w:val="FA20225E"/>
    <w:lvl w:ilvl="0" w:tentative="0">
      <w:start w:val="1"/>
      <w:numFmt w:val="decimal"/>
      <w:suff w:val="nothing"/>
      <w:lvlText w:val="%1、"/>
      <w:lvlJc w:val="left"/>
    </w:lvl>
  </w:abstractNum>
  <w:abstractNum w:abstractNumId="2">
    <w:nsid w:val="34611AC1"/>
    <w:multiLevelType w:val="multilevel"/>
    <w:tmpl w:val="34611AC1"/>
    <w:lvl w:ilvl="0" w:tentative="0">
      <w:start w:val="1"/>
      <w:numFmt w:val="chineseCountingThousand"/>
      <w:lvlText w:val="第%1章"/>
      <w:lvlJc w:val="center"/>
      <w:pPr>
        <w:tabs>
          <w:tab w:val="left" w:pos="3257"/>
        </w:tabs>
        <w:ind w:left="3257" w:hanging="279"/>
      </w:pPr>
      <w:rPr>
        <w:rFonts w:hint="eastAsia"/>
      </w:rPr>
    </w:lvl>
    <w:lvl w:ilvl="1" w:tentative="0">
      <w:start w:val="1"/>
      <w:numFmt w:val="chineseCountingThousand"/>
      <w:suff w:val="space"/>
      <w:lvlText w:val="%2、"/>
      <w:lvlJc w:val="left"/>
      <w:pPr>
        <w:ind w:left="3258" w:firstLine="0"/>
      </w:pPr>
      <w:rPr>
        <w:rFonts w:hint="eastAsia"/>
      </w:rPr>
    </w:lvl>
    <w:lvl w:ilvl="2" w:tentative="0">
      <w:start w:val="1"/>
      <w:numFmt w:val="decimal"/>
      <w:pStyle w:val="206"/>
      <w:suff w:val="space"/>
      <w:lvlText w:val="%3、"/>
      <w:lvlJc w:val="left"/>
      <w:pPr>
        <w:ind w:left="4675" w:firstLine="0"/>
      </w:pPr>
    </w:lvl>
    <w:lvl w:ilvl="3" w:tentative="0">
      <w:start w:val="1"/>
      <w:numFmt w:val="decimal"/>
      <w:pStyle w:val="207"/>
      <w:suff w:val="space"/>
      <w:lvlText w:val="%3.%4"/>
      <w:lvlJc w:val="left"/>
      <w:pPr>
        <w:ind w:left="480" w:firstLine="0"/>
      </w:pPr>
      <w:rPr>
        <w:rFonts w:hint="eastAsia" w:cs="Times New Roman"/>
        <w:i w:val="0"/>
        <w:iCs w:val="0"/>
        <w:caps w:val="0"/>
        <w:smallCaps w:val="0"/>
        <w:strike w:val="0"/>
        <w:dstrike w:val="0"/>
        <w:outline w:val="0"/>
        <w:shadow w:val="0"/>
        <w:emboss w:val="0"/>
        <w:imprint w:val="0"/>
        <w:vanish w:val="0"/>
        <w:color w:val="000000"/>
        <w:spacing w:val="0"/>
        <w:kern w:val="0"/>
        <w:position w:val="0"/>
        <w:u w:val="none"/>
        <w:vertAlign w:val="baseline"/>
      </w:rPr>
    </w:lvl>
    <w:lvl w:ilvl="4" w:tentative="0">
      <w:start w:val="1"/>
      <w:numFmt w:val="decimal"/>
      <w:suff w:val="space"/>
      <w:lvlText w:val="%4.%3.%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abstractNum w:abstractNumId="3">
    <w:nsid w:val="3C7DE09B"/>
    <w:multiLevelType w:val="singleLevel"/>
    <w:tmpl w:val="3C7DE09B"/>
    <w:lvl w:ilvl="0" w:tentative="0">
      <w:start w:val="2"/>
      <w:numFmt w:val="chineseCounting"/>
      <w:suff w:val="nothing"/>
      <w:lvlText w:val="（%1）"/>
      <w:lvlJc w:val="left"/>
      <w:rPr>
        <w:rFonts w:hint="eastAsia"/>
      </w:rPr>
    </w:lvl>
  </w:abstractNum>
  <w:abstractNum w:abstractNumId="4">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5"/>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WY1NGExNmNkOTg1ZWRiNDU0MTBjMWNkZjliZGMifQ=="/>
  </w:docVars>
  <w:rsids>
    <w:rsidRoot w:val="00172A27"/>
    <w:rsid w:val="0004793A"/>
    <w:rsid w:val="00055D4F"/>
    <w:rsid w:val="00067FFD"/>
    <w:rsid w:val="00082B92"/>
    <w:rsid w:val="000861A4"/>
    <w:rsid w:val="000931DE"/>
    <w:rsid w:val="00096F79"/>
    <w:rsid w:val="000B1056"/>
    <w:rsid w:val="001322EC"/>
    <w:rsid w:val="00135D71"/>
    <w:rsid w:val="00155EDD"/>
    <w:rsid w:val="0017664F"/>
    <w:rsid w:val="001A3EEC"/>
    <w:rsid w:val="001E3531"/>
    <w:rsid w:val="00214581"/>
    <w:rsid w:val="00231382"/>
    <w:rsid w:val="002377B8"/>
    <w:rsid w:val="00247BC3"/>
    <w:rsid w:val="0029468E"/>
    <w:rsid w:val="002A2B13"/>
    <w:rsid w:val="002C054B"/>
    <w:rsid w:val="002C669E"/>
    <w:rsid w:val="002E3718"/>
    <w:rsid w:val="002E5302"/>
    <w:rsid w:val="00310687"/>
    <w:rsid w:val="00317CB4"/>
    <w:rsid w:val="00362590"/>
    <w:rsid w:val="00385B88"/>
    <w:rsid w:val="003944D8"/>
    <w:rsid w:val="003C45BC"/>
    <w:rsid w:val="003C727A"/>
    <w:rsid w:val="00400D32"/>
    <w:rsid w:val="00416889"/>
    <w:rsid w:val="004300B5"/>
    <w:rsid w:val="004411D5"/>
    <w:rsid w:val="004743A7"/>
    <w:rsid w:val="00482485"/>
    <w:rsid w:val="0049043D"/>
    <w:rsid w:val="004A7833"/>
    <w:rsid w:val="004B6D62"/>
    <w:rsid w:val="004D2BEF"/>
    <w:rsid w:val="004F209D"/>
    <w:rsid w:val="00505065"/>
    <w:rsid w:val="00506BE2"/>
    <w:rsid w:val="00521C3D"/>
    <w:rsid w:val="00524166"/>
    <w:rsid w:val="005355CD"/>
    <w:rsid w:val="005470C0"/>
    <w:rsid w:val="00551174"/>
    <w:rsid w:val="00551CBB"/>
    <w:rsid w:val="00570762"/>
    <w:rsid w:val="005758D0"/>
    <w:rsid w:val="005826E9"/>
    <w:rsid w:val="0058539D"/>
    <w:rsid w:val="005B2CAF"/>
    <w:rsid w:val="005B6E6C"/>
    <w:rsid w:val="005E408D"/>
    <w:rsid w:val="005F1DD9"/>
    <w:rsid w:val="006313FE"/>
    <w:rsid w:val="00632744"/>
    <w:rsid w:val="00635203"/>
    <w:rsid w:val="00636B16"/>
    <w:rsid w:val="00656665"/>
    <w:rsid w:val="00676A52"/>
    <w:rsid w:val="00682776"/>
    <w:rsid w:val="00685752"/>
    <w:rsid w:val="006D5537"/>
    <w:rsid w:val="006F61E8"/>
    <w:rsid w:val="006F6A7A"/>
    <w:rsid w:val="007329FB"/>
    <w:rsid w:val="007423FA"/>
    <w:rsid w:val="0074706C"/>
    <w:rsid w:val="00762580"/>
    <w:rsid w:val="00762BCB"/>
    <w:rsid w:val="007670C8"/>
    <w:rsid w:val="00783503"/>
    <w:rsid w:val="00790E09"/>
    <w:rsid w:val="00797940"/>
    <w:rsid w:val="007A7AD9"/>
    <w:rsid w:val="007C63EE"/>
    <w:rsid w:val="007C70A0"/>
    <w:rsid w:val="007D49EF"/>
    <w:rsid w:val="007F2CA2"/>
    <w:rsid w:val="00827C3B"/>
    <w:rsid w:val="00827E80"/>
    <w:rsid w:val="00837B48"/>
    <w:rsid w:val="00857E15"/>
    <w:rsid w:val="00877776"/>
    <w:rsid w:val="008C7A97"/>
    <w:rsid w:val="008D1D5A"/>
    <w:rsid w:val="008E36CC"/>
    <w:rsid w:val="008E7B91"/>
    <w:rsid w:val="008F012D"/>
    <w:rsid w:val="00911F1E"/>
    <w:rsid w:val="00947636"/>
    <w:rsid w:val="00952A1B"/>
    <w:rsid w:val="009626BA"/>
    <w:rsid w:val="00972F63"/>
    <w:rsid w:val="00993D2E"/>
    <w:rsid w:val="009958A2"/>
    <w:rsid w:val="009F0CC5"/>
    <w:rsid w:val="00A0231A"/>
    <w:rsid w:val="00A36717"/>
    <w:rsid w:val="00A44868"/>
    <w:rsid w:val="00A9418D"/>
    <w:rsid w:val="00A97A31"/>
    <w:rsid w:val="00B0238E"/>
    <w:rsid w:val="00B254FF"/>
    <w:rsid w:val="00B42916"/>
    <w:rsid w:val="00B459D2"/>
    <w:rsid w:val="00B66A7F"/>
    <w:rsid w:val="00B759DB"/>
    <w:rsid w:val="00B76080"/>
    <w:rsid w:val="00BD43FF"/>
    <w:rsid w:val="00C41F94"/>
    <w:rsid w:val="00C74AFE"/>
    <w:rsid w:val="00C754F9"/>
    <w:rsid w:val="00CD678E"/>
    <w:rsid w:val="00CE05A6"/>
    <w:rsid w:val="00CE4A48"/>
    <w:rsid w:val="00CF3B86"/>
    <w:rsid w:val="00D01244"/>
    <w:rsid w:val="00D049E8"/>
    <w:rsid w:val="00D12490"/>
    <w:rsid w:val="00D47DF7"/>
    <w:rsid w:val="00D5767F"/>
    <w:rsid w:val="00D93AD2"/>
    <w:rsid w:val="00DA282B"/>
    <w:rsid w:val="00DD4535"/>
    <w:rsid w:val="00DE0F25"/>
    <w:rsid w:val="00DF324E"/>
    <w:rsid w:val="00E15AED"/>
    <w:rsid w:val="00E40669"/>
    <w:rsid w:val="00E472D4"/>
    <w:rsid w:val="00E51B7B"/>
    <w:rsid w:val="00E7005D"/>
    <w:rsid w:val="00E722D3"/>
    <w:rsid w:val="00E93AB0"/>
    <w:rsid w:val="00EA402C"/>
    <w:rsid w:val="00ED2566"/>
    <w:rsid w:val="00EF591D"/>
    <w:rsid w:val="00F0316F"/>
    <w:rsid w:val="00F43857"/>
    <w:rsid w:val="00F65EBA"/>
    <w:rsid w:val="00F87449"/>
    <w:rsid w:val="00FC4C9E"/>
    <w:rsid w:val="00FD4ED9"/>
    <w:rsid w:val="01331CA1"/>
    <w:rsid w:val="02995DBE"/>
    <w:rsid w:val="03DD16FC"/>
    <w:rsid w:val="0428489A"/>
    <w:rsid w:val="04E9415B"/>
    <w:rsid w:val="04EE23D5"/>
    <w:rsid w:val="055C73B3"/>
    <w:rsid w:val="059B232E"/>
    <w:rsid w:val="05B92CAB"/>
    <w:rsid w:val="0607343F"/>
    <w:rsid w:val="07CC7361"/>
    <w:rsid w:val="07E50FC2"/>
    <w:rsid w:val="0815758C"/>
    <w:rsid w:val="089304B2"/>
    <w:rsid w:val="08946E7E"/>
    <w:rsid w:val="08A06AA4"/>
    <w:rsid w:val="091619D2"/>
    <w:rsid w:val="09D0590B"/>
    <w:rsid w:val="09DD0A9F"/>
    <w:rsid w:val="09E27524"/>
    <w:rsid w:val="09FD6637"/>
    <w:rsid w:val="0A2E4E23"/>
    <w:rsid w:val="0AB87736"/>
    <w:rsid w:val="0B133AA6"/>
    <w:rsid w:val="0B9D780A"/>
    <w:rsid w:val="0BE14637"/>
    <w:rsid w:val="0BE20FDE"/>
    <w:rsid w:val="0C12372F"/>
    <w:rsid w:val="0CF40D80"/>
    <w:rsid w:val="0D3F67B3"/>
    <w:rsid w:val="0D487503"/>
    <w:rsid w:val="0D6772F9"/>
    <w:rsid w:val="0EB43F56"/>
    <w:rsid w:val="0EBC2B96"/>
    <w:rsid w:val="0F1A71C3"/>
    <w:rsid w:val="0F3815B6"/>
    <w:rsid w:val="10EC33B1"/>
    <w:rsid w:val="1172043C"/>
    <w:rsid w:val="11927ACE"/>
    <w:rsid w:val="11E81C3A"/>
    <w:rsid w:val="124F71BE"/>
    <w:rsid w:val="12EE23C9"/>
    <w:rsid w:val="133765A8"/>
    <w:rsid w:val="13521C6E"/>
    <w:rsid w:val="13C647E5"/>
    <w:rsid w:val="146A3563"/>
    <w:rsid w:val="14B40A57"/>
    <w:rsid w:val="14E169FA"/>
    <w:rsid w:val="15EE6D8A"/>
    <w:rsid w:val="162B19DB"/>
    <w:rsid w:val="169678F8"/>
    <w:rsid w:val="16B93A37"/>
    <w:rsid w:val="170A48EF"/>
    <w:rsid w:val="173C071C"/>
    <w:rsid w:val="17C039AE"/>
    <w:rsid w:val="17F87F34"/>
    <w:rsid w:val="18A01472"/>
    <w:rsid w:val="18AD5EA9"/>
    <w:rsid w:val="18D12BFA"/>
    <w:rsid w:val="19194927"/>
    <w:rsid w:val="197B7BA5"/>
    <w:rsid w:val="19AC2F0F"/>
    <w:rsid w:val="1B702916"/>
    <w:rsid w:val="1C1322AF"/>
    <w:rsid w:val="1CDA1254"/>
    <w:rsid w:val="1D787211"/>
    <w:rsid w:val="1DDC467B"/>
    <w:rsid w:val="1E95351D"/>
    <w:rsid w:val="1EB40935"/>
    <w:rsid w:val="1F633C68"/>
    <w:rsid w:val="1FBE260C"/>
    <w:rsid w:val="202E3FC3"/>
    <w:rsid w:val="206E70E5"/>
    <w:rsid w:val="209035FF"/>
    <w:rsid w:val="2206734E"/>
    <w:rsid w:val="22644D6C"/>
    <w:rsid w:val="228E1487"/>
    <w:rsid w:val="22C738DF"/>
    <w:rsid w:val="233162CE"/>
    <w:rsid w:val="23D022C7"/>
    <w:rsid w:val="240019B9"/>
    <w:rsid w:val="24386B22"/>
    <w:rsid w:val="244F2CE6"/>
    <w:rsid w:val="250B730B"/>
    <w:rsid w:val="25502BD5"/>
    <w:rsid w:val="26BC3CF7"/>
    <w:rsid w:val="26EF3AFD"/>
    <w:rsid w:val="27A15F8C"/>
    <w:rsid w:val="27A265D6"/>
    <w:rsid w:val="27B41490"/>
    <w:rsid w:val="282360D1"/>
    <w:rsid w:val="294743DC"/>
    <w:rsid w:val="2A377C84"/>
    <w:rsid w:val="2A4D4ACB"/>
    <w:rsid w:val="2B114F82"/>
    <w:rsid w:val="2B252C55"/>
    <w:rsid w:val="2BBF1716"/>
    <w:rsid w:val="2C7E70E0"/>
    <w:rsid w:val="2C9B2B22"/>
    <w:rsid w:val="2DC86006"/>
    <w:rsid w:val="2DFA32CC"/>
    <w:rsid w:val="2E0918C1"/>
    <w:rsid w:val="2F27767D"/>
    <w:rsid w:val="2F3C73BE"/>
    <w:rsid w:val="2F4F4849"/>
    <w:rsid w:val="2FD37FA3"/>
    <w:rsid w:val="2FDB65CE"/>
    <w:rsid w:val="30326598"/>
    <w:rsid w:val="30B209D5"/>
    <w:rsid w:val="32F601CA"/>
    <w:rsid w:val="33391B7C"/>
    <w:rsid w:val="33891B0D"/>
    <w:rsid w:val="33BF537C"/>
    <w:rsid w:val="33CD5EE4"/>
    <w:rsid w:val="33F32A01"/>
    <w:rsid w:val="346C7D92"/>
    <w:rsid w:val="351C6E8B"/>
    <w:rsid w:val="354E0AF3"/>
    <w:rsid w:val="3579182A"/>
    <w:rsid w:val="35E37219"/>
    <w:rsid w:val="36391DBD"/>
    <w:rsid w:val="36B956B8"/>
    <w:rsid w:val="378A604B"/>
    <w:rsid w:val="37C005F5"/>
    <w:rsid w:val="37CA5F50"/>
    <w:rsid w:val="37CF5D34"/>
    <w:rsid w:val="37D83F87"/>
    <w:rsid w:val="38B61943"/>
    <w:rsid w:val="38E843C0"/>
    <w:rsid w:val="38E96690"/>
    <w:rsid w:val="38F1053C"/>
    <w:rsid w:val="393975F6"/>
    <w:rsid w:val="39F32A88"/>
    <w:rsid w:val="3A1E2D62"/>
    <w:rsid w:val="3A507278"/>
    <w:rsid w:val="3B180C07"/>
    <w:rsid w:val="3BE467B5"/>
    <w:rsid w:val="3D0417C3"/>
    <w:rsid w:val="3D165452"/>
    <w:rsid w:val="3DDE4A3D"/>
    <w:rsid w:val="3E4B437C"/>
    <w:rsid w:val="3ED3371B"/>
    <w:rsid w:val="3FD35B6F"/>
    <w:rsid w:val="4056111A"/>
    <w:rsid w:val="40C74929"/>
    <w:rsid w:val="40FD136D"/>
    <w:rsid w:val="410B6C36"/>
    <w:rsid w:val="4150687E"/>
    <w:rsid w:val="417D129D"/>
    <w:rsid w:val="41D852BC"/>
    <w:rsid w:val="41D95A67"/>
    <w:rsid w:val="424E3A2A"/>
    <w:rsid w:val="42A64657"/>
    <w:rsid w:val="433A4212"/>
    <w:rsid w:val="43FA1947"/>
    <w:rsid w:val="44550098"/>
    <w:rsid w:val="446D453C"/>
    <w:rsid w:val="45BE253D"/>
    <w:rsid w:val="45CE75B2"/>
    <w:rsid w:val="45D8787B"/>
    <w:rsid w:val="46150F46"/>
    <w:rsid w:val="466843D7"/>
    <w:rsid w:val="47836BBD"/>
    <w:rsid w:val="484A6D1B"/>
    <w:rsid w:val="48590214"/>
    <w:rsid w:val="48661B17"/>
    <w:rsid w:val="49725211"/>
    <w:rsid w:val="49972201"/>
    <w:rsid w:val="499D774C"/>
    <w:rsid w:val="4AD23300"/>
    <w:rsid w:val="4AE4048A"/>
    <w:rsid w:val="4AEC0950"/>
    <w:rsid w:val="4B051049"/>
    <w:rsid w:val="4B3D0A12"/>
    <w:rsid w:val="4B4735E6"/>
    <w:rsid w:val="4B7438A3"/>
    <w:rsid w:val="4BC66365"/>
    <w:rsid w:val="4BE731E7"/>
    <w:rsid w:val="4C3A0410"/>
    <w:rsid w:val="4C805398"/>
    <w:rsid w:val="4C832686"/>
    <w:rsid w:val="4D4E4FC6"/>
    <w:rsid w:val="4DA8771A"/>
    <w:rsid w:val="4E3E522B"/>
    <w:rsid w:val="4EB736EA"/>
    <w:rsid w:val="4F966E28"/>
    <w:rsid w:val="50166421"/>
    <w:rsid w:val="50447E19"/>
    <w:rsid w:val="50E83951"/>
    <w:rsid w:val="516C73DE"/>
    <w:rsid w:val="51A470E8"/>
    <w:rsid w:val="524264D8"/>
    <w:rsid w:val="52440CC1"/>
    <w:rsid w:val="52572351"/>
    <w:rsid w:val="532654B9"/>
    <w:rsid w:val="537D6979"/>
    <w:rsid w:val="54442B94"/>
    <w:rsid w:val="54482212"/>
    <w:rsid w:val="54767491"/>
    <w:rsid w:val="548351F6"/>
    <w:rsid w:val="556547D6"/>
    <w:rsid w:val="55F92746"/>
    <w:rsid w:val="567F5A62"/>
    <w:rsid w:val="569557CA"/>
    <w:rsid w:val="57137177"/>
    <w:rsid w:val="57870C8B"/>
    <w:rsid w:val="57D52252"/>
    <w:rsid w:val="58D25A26"/>
    <w:rsid w:val="58EC2411"/>
    <w:rsid w:val="59C66B69"/>
    <w:rsid w:val="5C4F6692"/>
    <w:rsid w:val="5C5C32A2"/>
    <w:rsid w:val="5C7E5C9B"/>
    <w:rsid w:val="5CC70A16"/>
    <w:rsid w:val="5D447B81"/>
    <w:rsid w:val="5D7D6E0A"/>
    <w:rsid w:val="5D9B1FA1"/>
    <w:rsid w:val="5E3C1F0B"/>
    <w:rsid w:val="5E8C31F3"/>
    <w:rsid w:val="5EAA0066"/>
    <w:rsid w:val="5F3853B6"/>
    <w:rsid w:val="5F3F41ED"/>
    <w:rsid w:val="60360ECF"/>
    <w:rsid w:val="61097711"/>
    <w:rsid w:val="610B4000"/>
    <w:rsid w:val="61117DA1"/>
    <w:rsid w:val="61BF5C93"/>
    <w:rsid w:val="628272CD"/>
    <w:rsid w:val="62B51C36"/>
    <w:rsid w:val="63FD0456"/>
    <w:rsid w:val="642170D0"/>
    <w:rsid w:val="646771B0"/>
    <w:rsid w:val="647769E4"/>
    <w:rsid w:val="64C619D4"/>
    <w:rsid w:val="65C96BA3"/>
    <w:rsid w:val="66007AEC"/>
    <w:rsid w:val="669B5422"/>
    <w:rsid w:val="66B35C9A"/>
    <w:rsid w:val="66BD1492"/>
    <w:rsid w:val="678706EA"/>
    <w:rsid w:val="67A15BBB"/>
    <w:rsid w:val="67B97879"/>
    <w:rsid w:val="67BF772A"/>
    <w:rsid w:val="67CA14AF"/>
    <w:rsid w:val="697D4CFC"/>
    <w:rsid w:val="69E02E33"/>
    <w:rsid w:val="6A926DD4"/>
    <w:rsid w:val="6AA31E73"/>
    <w:rsid w:val="6BD75409"/>
    <w:rsid w:val="6C22670E"/>
    <w:rsid w:val="6C8B72D8"/>
    <w:rsid w:val="6CC870E3"/>
    <w:rsid w:val="6CE13383"/>
    <w:rsid w:val="6DD66D68"/>
    <w:rsid w:val="6E1217FB"/>
    <w:rsid w:val="6E5E1A84"/>
    <w:rsid w:val="6E817B49"/>
    <w:rsid w:val="6F091E01"/>
    <w:rsid w:val="6F78006E"/>
    <w:rsid w:val="6FBE7FAE"/>
    <w:rsid w:val="700F3EE3"/>
    <w:rsid w:val="70790D75"/>
    <w:rsid w:val="709F427B"/>
    <w:rsid w:val="71716E01"/>
    <w:rsid w:val="720311A4"/>
    <w:rsid w:val="724529EE"/>
    <w:rsid w:val="726579FF"/>
    <w:rsid w:val="72983C16"/>
    <w:rsid w:val="72C6502D"/>
    <w:rsid w:val="730D5E2B"/>
    <w:rsid w:val="73517D1C"/>
    <w:rsid w:val="736005A0"/>
    <w:rsid w:val="737C67A2"/>
    <w:rsid w:val="75176A80"/>
    <w:rsid w:val="757954CE"/>
    <w:rsid w:val="75874F92"/>
    <w:rsid w:val="759F3AFB"/>
    <w:rsid w:val="75BC6BEE"/>
    <w:rsid w:val="75DD0E5C"/>
    <w:rsid w:val="76572B7C"/>
    <w:rsid w:val="774E06D7"/>
    <w:rsid w:val="78A43DB0"/>
    <w:rsid w:val="78B710C1"/>
    <w:rsid w:val="7938112E"/>
    <w:rsid w:val="7A2465E9"/>
    <w:rsid w:val="7B0C6B8B"/>
    <w:rsid w:val="7B491FCE"/>
    <w:rsid w:val="7B554F5B"/>
    <w:rsid w:val="7BB00101"/>
    <w:rsid w:val="7C16417C"/>
    <w:rsid w:val="7C344B28"/>
    <w:rsid w:val="7D5A408A"/>
    <w:rsid w:val="7D8C1B21"/>
    <w:rsid w:val="7E1D5219"/>
    <w:rsid w:val="7E4E0CB7"/>
    <w:rsid w:val="7F2268D6"/>
    <w:rsid w:val="7FA86024"/>
    <w:rsid w:val="7FD03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jc w:val="center"/>
      <w:outlineLvl w:val="0"/>
    </w:pPr>
    <w:rPr>
      <w:b/>
      <w:bCs/>
      <w:sz w:val="24"/>
      <w:szCs w:val="20"/>
    </w:rPr>
  </w:style>
  <w:style w:type="paragraph" w:styleId="3">
    <w:name w:val="heading 2"/>
    <w:basedOn w:val="1"/>
    <w:next w:val="1"/>
    <w:link w:val="55"/>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semiHidden/>
    <w:qFormat/>
    <w:uiPriority w:val="0"/>
    <w:tblPr>
      <w:tblCellMar>
        <w:top w:w="0" w:type="dxa"/>
        <w:left w:w="108" w:type="dxa"/>
        <w:bottom w:w="0" w:type="dxa"/>
        <w:right w:w="108" w:type="dxa"/>
      </w:tblCellMar>
    </w:tblPr>
  </w:style>
  <w:style w:type="paragraph" w:styleId="11">
    <w:name w:val="Normal Indent"/>
    <w:basedOn w:val="1"/>
    <w:next w:val="1"/>
    <w:uiPriority w:val="0"/>
    <w:pPr>
      <w:widowControl/>
      <w:ind w:firstLine="420"/>
      <w:jc w:val="left"/>
    </w:pPr>
    <w:rPr>
      <w:kern w:val="0"/>
      <w:sz w:val="20"/>
      <w:szCs w:val="20"/>
    </w:rPr>
  </w:style>
  <w:style w:type="paragraph" w:styleId="12">
    <w:name w:val="Document Map"/>
    <w:basedOn w:val="1"/>
    <w:qFormat/>
    <w:uiPriority w:val="0"/>
    <w:pPr>
      <w:shd w:val="clear" w:color="auto" w:fill="000080"/>
    </w:pPr>
  </w:style>
  <w:style w:type="paragraph" w:styleId="13">
    <w:name w:val="annotation text"/>
    <w:basedOn w:val="1"/>
    <w:link w:val="57"/>
    <w:uiPriority w:val="0"/>
    <w:pPr>
      <w:jc w:val="left"/>
    </w:pPr>
  </w:style>
  <w:style w:type="paragraph" w:styleId="14">
    <w:name w:val="index 6"/>
    <w:basedOn w:val="1"/>
    <w:next w:val="1"/>
    <w:qFormat/>
    <w:uiPriority w:val="0"/>
    <w:pPr>
      <w:ind w:left="2100"/>
    </w:pPr>
  </w:style>
  <w:style w:type="paragraph" w:styleId="15">
    <w:name w:val="Salutation"/>
    <w:basedOn w:val="1"/>
    <w:next w:val="1"/>
    <w:uiPriority w:val="0"/>
    <w:rPr>
      <w:rFonts w:ascii="仿宋_GB2312" w:eastAsia="仿宋_GB2312"/>
      <w:sz w:val="24"/>
    </w:rPr>
  </w:style>
  <w:style w:type="paragraph" w:styleId="16">
    <w:name w:val="Body Text 3"/>
    <w:basedOn w:val="1"/>
    <w:link w:val="58"/>
    <w:uiPriority w:val="0"/>
    <w:pPr>
      <w:spacing w:after="120"/>
    </w:pPr>
    <w:rPr>
      <w:sz w:val="16"/>
      <w:szCs w:val="16"/>
    </w:rPr>
  </w:style>
  <w:style w:type="paragraph" w:styleId="17">
    <w:name w:val="Body Text"/>
    <w:basedOn w:val="1"/>
    <w:link w:val="59"/>
    <w:qFormat/>
    <w:uiPriority w:val="0"/>
    <w:pPr>
      <w:spacing w:after="120" w:afterLines="0"/>
    </w:pPr>
  </w:style>
  <w:style w:type="paragraph" w:styleId="18">
    <w:name w:val="Body Text Indent"/>
    <w:basedOn w:val="1"/>
    <w:uiPriority w:val="0"/>
    <w:pPr>
      <w:spacing w:after="120" w:afterLines="0"/>
      <w:ind w:left="420" w:leftChars="200"/>
    </w:pPr>
  </w:style>
  <w:style w:type="paragraph" w:styleId="19">
    <w:name w:val="Block Text"/>
    <w:basedOn w:val="1"/>
    <w:uiPriority w:val="0"/>
    <w:pPr>
      <w:ind w:left="1171" w:right="91" w:hanging="1080"/>
    </w:pPr>
    <w:rPr>
      <w:rFonts w:eastAsia="楷体_GB2312"/>
      <w:szCs w:val="20"/>
    </w:rPr>
  </w:style>
  <w:style w:type="paragraph" w:styleId="20">
    <w:name w:val="toc 3"/>
    <w:basedOn w:val="1"/>
    <w:next w:val="1"/>
    <w:qFormat/>
    <w:uiPriority w:val="0"/>
    <w:pPr>
      <w:ind w:left="840" w:leftChars="400"/>
    </w:pPr>
  </w:style>
  <w:style w:type="paragraph" w:styleId="21">
    <w:name w:val="Plain Text"/>
    <w:basedOn w:val="1"/>
    <w:link w:val="60"/>
    <w:qFormat/>
    <w:uiPriority w:val="0"/>
    <w:rPr>
      <w:rFonts w:ascii="宋体" w:hAnsi="Courier New" w:cs="Courier New"/>
      <w:szCs w:val="21"/>
    </w:rPr>
  </w:style>
  <w:style w:type="paragraph" w:styleId="22">
    <w:name w:val="Date"/>
    <w:basedOn w:val="1"/>
    <w:next w:val="1"/>
    <w:qFormat/>
    <w:uiPriority w:val="0"/>
    <w:rPr>
      <w:sz w:val="24"/>
      <w:szCs w:val="20"/>
    </w:r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39"/>
    <w:pPr>
      <w:spacing w:before="156" w:beforeLines="50"/>
    </w:pPr>
    <w:rPr>
      <w:rFonts w:ascii="仿宋_GB2312" w:eastAsia="仿宋_GB2312"/>
      <w:sz w:val="24"/>
    </w:rPr>
  </w:style>
  <w:style w:type="paragraph" w:styleId="28">
    <w:name w:val="List"/>
    <w:basedOn w:val="1"/>
    <w:semiHidden/>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afterLines="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0"/>
    </w:rPr>
  </w:style>
  <w:style w:type="paragraph" w:styleId="36">
    <w:name w:val="Title"/>
    <w:basedOn w:val="1"/>
    <w:next w:val="1"/>
    <w:link w:val="62"/>
    <w:qFormat/>
    <w:uiPriority w:val="0"/>
    <w:pPr>
      <w:spacing w:line="360" w:lineRule="auto"/>
      <w:jc w:val="center"/>
      <w:outlineLvl w:val="0"/>
    </w:pPr>
    <w:rPr>
      <w:rFonts w:ascii="Cambria" w:hAnsi="Cambria"/>
      <w:b/>
      <w:bCs/>
      <w:sz w:val="36"/>
      <w:szCs w:val="32"/>
    </w:rPr>
  </w:style>
  <w:style w:type="paragraph" w:styleId="37">
    <w:name w:val="annotation subject"/>
    <w:basedOn w:val="13"/>
    <w:next w:val="13"/>
    <w:qFormat/>
    <w:uiPriority w:val="0"/>
    <w:rPr>
      <w:b/>
      <w:bCs/>
    </w:rPr>
  </w:style>
  <w:style w:type="paragraph" w:styleId="38">
    <w:name w:val="Body Text First Indent"/>
    <w:basedOn w:val="39"/>
    <w:unhideWhenUsed/>
    <w:qFormat/>
    <w:uiPriority w:val="99"/>
    <w:pPr>
      <w:ind w:firstLine="420" w:firstLineChars="100"/>
    </w:pPr>
    <w:rPr>
      <w:szCs w:val="22"/>
    </w:rPr>
  </w:style>
  <w:style w:type="paragraph" w:customStyle="1" w:styleId="39">
    <w:name w:val="正文文本_0"/>
    <w:basedOn w:val="40"/>
    <w:semiHidden/>
    <w:qFormat/>
    <w:uiPriority w:val="0"/>
    <w:pPr>
      <w:spacing w:before="100" w:beforeAutospacing="1" w:after="120"/>
    </w:pPr>
    <w:rPr>
      <w:rFonts w:ascii="Calibri" w:hAnsi="Calibri"/>
      <w:szCs w:val="21"/>
    </w:rPr>
  </w:style>
  <w:style w:type="paragraph" w:customStyle="1" w:styleId="40">
    <w:name w:val="正文_1_0"/>
    <w:basedOn w:val="41"/>
    <w:next w:val="43"/>
    <w:qFormat/>
    <w:uiPriority w:val="0"/>
    <w:pPr>
      <w:widowControl w:val="0"/>
      <w:jc w:val="both"/>
    </w:pPr>
    <w:rPr>
      <w:rFonts w:ascii="Calibri" w:hAnsi="Calibri"/>
      <w:kern w:val="2"/>
      <w:sz w:val="21"/>
      <w:szCs w:val="22"/>
      <w:lang w:val="en-US" w:eastAsia="zh-CN" w:bidi="ar-SA"/>
    </w:rPr>
  </w:style>
  <w:style w:type="paragraph" w:customStyle="1" w:styleId="41">
    <w:name w:val="正文_2"/>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1"/>
    <w:basedOn w:val="40"/>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3">
    <w:name w:val="正文首行缩进1"/>
    <w:basedOn w:val="44"/>
    <w:unhideWhenUsed/>
    <w:qFormat/>
    <w:uiPriority w:val="99"/>
    <w:pPr>
      <w:ind w:firstLine="420" w:firstLineChars="100"/>
    </w:pPr>
    <w:rPr>
      <w:szCs w:val="22"/>
    </w:rPr>
  </w:style>
  <w:style w:type="paragraph" w:customStyle="1" w:styleId="44">
    <w:name w:val="正文文本_0_0"/>
    <w:basedOn w:val="45"/>
    <w:qFormat/>
    <w:uiPriority w:val="0"/>
    <w:pPr>
      <w:spacing w:before="100" w:beforeAutospacing="1" w:after="120"/>
    </w:pPr>
    <w:rPr>
      <w:rFonts w:ascii="Calibri" w:hAnsi="Calibri"/>
    </w:rPr>
  </w:style>
  <w:style w:type="paragraph" w:customStyle="1" w:styleId="45">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136EC2"/>
      <w:u w:val="single"/>
    </w:rPr>
  </w:style>
  <w:style w:type="character" w:styleId="53">
    <w:name w:val="annotation reference"/>
    <w:qFormat/>
    <w:uiPriority w:val="0"/>
    <w:rPr>
      <w:sz w:val="21"/>
      <w:szCs w:val="21"/>
    </w:rPr>
  </w:style>
  <w:style w:type="character" w:customStyle="1" w:styleId="54">
    <w:name w:val="标题 1 Char"/>
    <w:link w:val="2"/>
    <w:qFormat/>
    <w:uiPriority w:val="0"/>
    <w:rPr>
      <w:b/>
      <w:bCs/>
      <w:sz w:val="24"/>
      <w:szCs w:val="20"/>
    </w:rPr>
  </w:style>
  <w:style w:type="character" w:customStyle="1" w:styleId="55">
    <w:name w:val="标题 2 Char"/>
    <w:link w:val="3"/>
    <w:qFormat/>
    <w:uiPriority w:val="0"/>
    <w:rPr>
      <w:rFonts w:ascii="Arial" w:hAnsi="Arial"/>
      <w:b/>
      <w:bCs/>
      <w:sz w:val="24"/>
      <w:szCs w:val="32"/>
    </w:rPr>
  </w:style>
  <w:style w:type="character" w:customStyle="1" w:styleId="56">
    <w:name w:val="标题 3 Char"/>
    <w:link w:val="4"/>
    <w:qFormat/>
    <w:uiPriority w:val="0"/>
    <w:rPr>
      <w:rFonts w:eastAsia="宋体"/>
      <w:b/>
      <w:bCs/>
      <w:kern w:val="2"/>
      <w:sz w:val="32"/>
      <w:szCs w:val="32"/>
      <w:lang w:val="en-US" w:eastAsia="zh-CN" w:bidi="ar-SA"/>
    </w:rPr>
  </w:style>
  <w:style w:type="character" w:customStyle="1" w:styleId="57">
    <w:name w:val="批注文字 Char"/>
    <w:link w:val="13"/>
    <w:qFormat/>
    <w:uiPriority w:val="0"/>
    <w:rPr>
      <w:kern w:val="2"/>
      <w:sz w:val="21"/>
      <w:szCs w:val="24"/>
    </w:rPr>
  </w:style>
  <w:style w:type="character" w:customStyle="1" w:styleId="58">
    <w:name w:val="正文文本 3 Char"/>
    <w:link w:val="16"/>
    <w:qFormat/>
    <w:uiPriority w:val="0"/>
    <w:rPr>
      <w:kern w:val="2"/>
      <w:sz w:val="16"/>
      <w:szCs w:val="16"/>
    </w:rPr>
  </w:style>
  <w:style w:type="character" w:customStyle="1" w:styleId="59">
    <w:name w:val="正文文本 Char"/>
    <w:link w:val="17"/>
    <w:qFormat/>
    <w:uiPriority w:val="0"/>
    <w:rPr>
      <w:kern w:val="2"/>
      <w:sz w:val="21"/>
      <w:szCs w:val="24"/>
    </w:rPr>
  </w:style>
  <w:style w:type="character" w:customStyle="1" w:styleId="60">
    <w:name w:val="纯文本 Char"/>
    <w:link w:val="21"/>
    <w:qFormat/>
    <w:uiPriority w:val="0"/>
    <w:rPr>
      <w:rFonts w:ascii="宋体" w:hAnsi="Courier New" w:cs="Courier New"/>
      <w:kern w:val="2"/>
      <w:sz w:val="21"/>
      <w:szCs w:val="21"/>
    </w:rPr>
  </w:style>
  <w:style w:type="character" w:customStyle="1" w:styleId="61">
    <w:name w:val="页脚 Char"/>
    <w:link w:val="25"/>
    <w:qFormat/>
    <w:uiPriority w:val="0"/>
    <w:rPr>
      <w:rFonts w:ascii="Calibri" w:hAnsi="Calibri"/>
      <w:kern w:val="2"/>
      <w:sz w:val="18"/>
      <w:szCs w:val="18"/>
    </w:rPr>
  </w:style>
  <w:style w:type="character" w:customStyle="1" w:styleId="62">
    <w:name w:val="标题 Char"/>
    <w:link w:val="36"/>
    <w:qFormat/>
    <w:uiPriority w:val="0"/>
    <w:rPr>
      <w:rFonts w:ascii="Cambria" w:hAnsi="Cambria" w:eastAsia="宋体"/>
      <w:b/>
      <w:bCs/>
      <w:kern w:val="2"/>
      <w:sz w:val="36"/>
      <w:szCs w:val="32"/>
      <w:lang w:val="en-US" w:eastAsia="zh-CN" w:bidi="ar-SA"/>
    </w:rPr>
  </w:style>
  <w:style w:type="paragraph" w:customStyle="1" w:styleId="63">
    <w:name w:val="标准正文-lp"/>
    <w:basedOn w:val="1"/>
    <w:qFormat/>
    <w:uiPriority w:val="0"/>
    <w:pPr>
      <w:ind w:firstLine="480"/>
    </w:pPr>
    <w:rPr>
      <w:rFonts w:ascii="Calibri" w:hAnsi="Calibri" w:eastAsia="仿宋_GB2312"/>
      <w:kern w:val="0"/>
      <w:szCs w:val="20"/>
    </w:rPr>
  </w:style>
  <w:style w:type="character" w:customStyle="1" w:styleId="64">
    <w:name w:val="txt7"/>
    <w:qFormat/>
    <w:uiPriority w:val="0"/>
  </w:style>
  <w:style w:type="character" w:customStyle="1" w:styleId="65">
    <w:name w:val=" Char Char5"/>
    <w:link w:val="66"/>
    <w:semiHidden/>
    <w:qFormat/>
    <w:uiPriority w:val="9"/>
    <w:rPr>
      <w:rFonts w:ascii="Times New Roman" w:hAnsi="Times New Roman" w:eastAsia="宋体" w:cs="Times New Roman"/>
      <w:b/>
      <w:bCs/>
      <w:sz w:val="32"/>
      <w:szCs w:val="32"/>
    </w:rPr>
  </w:style>
  <w:style w:type="paragraph" w:customStyle="1" w:styleId="66">
    <w:name w:val="标题 3_0"/>
    <w:basedOn w:val="67"/>
    <w:next w:val="67"/>
    <w:link w:val="65"/>
    <w:qFormat/>
    <w:uiPriority w:val="9"/>
    <w:pPr>
      <w:keepNext/>
      <w:keepLines/>
      <w:spacing w:before="260" w:after="260" w:line="416" w:lineRule="auto"/>
      <w:outlineLvl w:val="2"/>
    </w:pPr>
    <w:rPr>
      <w:b/>
      <w:bCs/>
      <w:kern w:val="0"/>
      <w:sz w:val="32"/>
      <w:szCs w:val="32"/>
    </w:rPr>
  </w:style>
  <w:style w:type="paragraph" w:customStyle="1" w:styleId="67">
    <w:name w:val="正文_3"/>
    <w:basedOn w:val="41"/>
    <w:next w:val="38"/>
    <w:qFormat/>
    <w:uiPriority w:val="0"/>
    <w:pPr>
      <w:widowControl w:val="0"/>
      <w:jc w:val="both"/>
    </w:pPr>
    <w:rPr>
      <w:kern w:val="2"/>
      <w:sz w:val="21"/>
      <w:szCs w:val="24"/>
      <w:lang w:val="en-US" w:eastAsia="zh-CN" w:bidi="ar-SA"/>
    </w:rPr>
  </w:style>
  <w:style w:type="character" w:customStyle="1" w:styleId="68">
    <w:name w:val=" Char Char3"/>
    <w:link w:val="69"/>
    <w:semiHidden/>
    <w:qFormat/>
    <w:uiPriority w:val="0"/>
    <w:rPr>
      <w:b/>
      <w:bCs/>
      <w:kern w:val="2"/>
      <w:sz w:val="32"/>
      <w:szCs w:val="32"/>
    </w:rPr>
  </w:style>
  <w:style w:type="paragraph" w:customStyle="1" w:styleId="69">
    <w:name w:val="标题 3_1"/>
    <w:basedOn w:val="70"/>
    <w:next w:val="70"/>
    <w:link w:val="68"/>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70">
    <w:name w:val="正文_9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 Char"/>
    <w:qFormat/>
    <w:uiPriority w:val="0"/>
    <w:rPr>
      <w:rFonts w:ascii="Arial" w:hAnsi="Arial" w:eastAsia="黑体" w:cs="Times New Roman"/>
      <w:b/>
      <w:bCs/>
      <w:kern w:val="2"/>
      <w:sz w:val="32"/>
      <w:szCs w:val="32"/>
      <w:lang w:val="en-US" w:eastAsia="zh-CN" w:bidi="ar-SA"/>
    </w:rPr>
  </w:style>
  <w:style w:type="character" w:customStyle="1" w:styleId="72">
    <w:name w:val=" Char Char_0"/>
    <w:link w:val="73"/>
    <w:qFormat/>
    <w:uiPriority w:val="0"/>
    <w:rPr>
      <w:rFonts w:ascii="宋体" w:hAnsi="Courier New" w:cs="Courier New"/>
      <w:kern w:val="2"/>
      <w:sz w:val="21"/>
      <w:szCs w:val="21"/>
    </w:rPr>
  </w:style>
  <w:style w:type="paragraph" w:customStyle="1" w:styleId="73">
    <w:name w:val="纯文本_1"/>
    <w:basedOn w:val="74"/>
    <w:link w:val="72"/>
    <w:qFormat/>
    <w:uiPriority w:val="0"/>
    <w:rPr>
      <w:rFonts w:ascii="宋体" w:hAnsi="Courier New" w:eastAsia="宋体" w:cs="Courier New"/>
      <w:szCs w:val="21"/>
    </w:rPr>
  </w:style>
  <w:style w:type="paragraph" w:customStyle="1" w:styleId="7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apple-converted-space"/>
    <w:qFormat/>
    <w:uiPriority w:val="0"/>
  </w:style>
  <w:style w:type="character" w:customStyle="1" w:styleId="76">
    <w:name w:val=" Char Char6"/>
    <w:link w:val="77"/>
    <w:qFormat/>
    <w:uiPriority w:val="0"/>
    <w:rPr>
      <w:rFonts w:ascii="Arial" w:hAnsi="Arial" w:eastAsia="宋体" w:cs="Times New Roman"/>
      <w:sz w:val="24"/>
      <w:szCs w:val="32"/>
    </w:rPr>
  </w:style>
  <w:style w:type="paragraph" w:customStyle="1" w:styleId="77">
    <w:name w:val="标题 2_0"/>
    <w:basedOn w:val="66"/>
    <w:next w:val="67"/>
    <w:link w:val="76"/>
    <w:qFormat/>
    <w:uiPriority w:val="0"/>
    <w:pPr>
      <w:spacing w:line="360" w:lineRule="auto"/>
      <w:outlineLvl w:val="1"/>
    </w:pPr>
    <w:rPr>
      <w:rFonts w:ascii="Arial" w:hAnsi="Arial"/>
      <w:b w:val="0"/>
      <w:bCs w:val="0"/>
      <w:sz w:val="24"/>
    </w:rPr>
  </w:style>
  <w:style w:type="character" w:customStyle="1" w:styleId="78">
    <w:name w:val="font01"/>
    <w:qFormat/>
    <w:uiPriority w:val="0"/>
    <w:rPr>
      <w:rFonts w:hint="eastAsia" w:ascii="宋体" w:hAnsi="宋体" w:eastAsia="宋体" w:cs="宋体"/>
      <w:color w:val="000000"/>
      <w:sz w:val="22"/>
      <w:szCs w:val="22"/>
      <w:u w:val="none"/>
      <w:vertAlign w:val="superscript"/>
    </w:rPr>
  </w:style>
  <w:style w:type="character" w:customStyle="1" w:styleId="79">
    <w:name w:val="p0 Char"/>
    <w:link w:val="80"/>
    <w:qFormat/>
    <w:uiPriority w:val="0"/>
    <w:rPr>
      <w:rFonts w:eastAsia="宋体"/>
      <w:sz w:val="21"/>
      <w:szCs w:val="21"/>
      <w:lang w:val="en-US" w:eastAsia="zh-CN" w:bidi="ar-SA"/>
    </w:rPr>
  </w:style>
  <w:style w:type="paragraph" w:customStyle="1" w:styleId="80">
    <w:name w:val="p0"/>
    <w:basedOn w:val="81"/>
    <w:link w:val="79"/>
    <w:qFormat/>
    <w:uiPriority w:val="0"/>
    <w:pPr>
      <w:widowControl/>
    </w:pPr>
    <w:rPr>
      <w:kern w:val="0"/>
      <w:szCs w:val="21"/>
    </w:rPr>
  </w:style>
  <w:style w:type="paragraph" w:customStyle="1" w:styleId="8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 Char Char"/>
    <w:link w:val="83"/>
    <w:qFormat/>
    <w:uiPriority w:val="0"/>
    <w:rPr>
      <w:rFonts w:ascii="Times New Roman" w:hAnsi="Times New Roman" w:eastAsia="宋体" w:cs="Times New Roman"/>
      <w:szCs w:val="24"/>
    </w:rPr>
  </w:style>
  <w:style w:type="paragraph" w:customStyle="1" w:styleId="83">
    <w:name w:val="正文文本缩进_0"/>
    <w:basedOn w:val="67"/>
    <w:link w:val="82"/>
    <w:qFormat/>
    <w:uiPriority w:val="0"/>
    <w:pPr>
      <w:spacing w:after="120"/>
      <w:ind w:left="420" w:leftChars="200"/>
    </w:pPr>
    <w:rPr>
      <w:rFonts w:ascii="Calibri" w:hAnsi="Calibri"/>
      <w:kern w:val="0"/>
      <w:sz w:val="20"/>
    </w:rPr>
  </w:style>
  <w:style w:type="character" w:customStyle="1" w:styleId="84">
    <w:name w:val=" Char Char2"/>
    <w:link w:val="85"/>
    <w:qFormat/>
    <w:uiPriority w:val="0"/>
    <w:rPr>
      <w:rFonts w:ascii="宋体" w:hAnsi="Courier New" w:cs="Courier New"/>
      <w:szCs w:val="21"/>
    </w:rPr>
  </w:style>
  <w:style w:type="paragraph" w:customStyle="1" w:styleId="85">
    <w:name w:val="纯文本_0"/>
    <w:basedOn w:val="41"/>
    <w:link w:val="84"/>
    <w:qFormat/>
    <w:uiPriority w:val="0"/>
    <w:rPr>
      <w:rFonts w:ascii="宋体" w:hAnsi="Courier New"/>
      <w:kern w:val="0"/>
      <w:sz w:val="20"/>
      <w:szCs w:val="21"/>
    </w:rPr>
  </w:style>
  <w:style w:type="paragraph" w:customStyle="1" w:styleId="86">
    <w:name w:val="p15"/>
    <w:basedOn w:val="1"/>
    <w:uiPriority w:val="0"/>
    <w:pPr>
      <w:widowControl/>
      <w:spacing w:line="220" w:lineRule="atLeast"/>
      <w:jc w:val="center"/>
    </w:pPr>
    <w:rPr>
      <w:rFonts w:ascii="仿宋_GB2312" w:hAnsi="宋体" w:eastAsia="仿宋_GB2312" w:cs="宋体"/>
      <w:kern w:val="0"/>
      <w:szCs w:val="21"/>
    </w:rPr>
  </w:style>
  <w:style w:type="paragraph" w:customStyle="1" w:styleId="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6_2_0"/>
    <w:basedOn w:val="89"/>
    <w:qFormat/>
    <w:uiPriority w:val="0"/>
    <w:rPr>
      <w:rFonts w:ascii="Calibri" w:hAnsi="Calibri" w:eastAsia="宋体"/>
    </w:rPr>
  </w:style>
  <w:style w:type="paragraph" w:customStyle="1" w:styleId="89">
    <w:name w:val="正文_6_2_1"/>
    <w:basedOn w:val="90"/>
    <w:qFormat/>
    <w:uiPriority w:val="0"/>
    <w:rPr>
      <w:rFonts w:ascii="Calibri" w:hAnsi="Calibri" w:eastAsia="宋体" w:cs="宋体"/>
      <w:szCs w:val="21"/>
    </w:rPr>
  </w:style>
  <w:style w:type="paragraph" w:customStyle="1" w:styleId="9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5"/>
    <w:link w:val="92"/>
    <w:qFormat/>
    <w:uiPriority w:val="0"/>
    <w:rPr>
      <w:rFonts w:ascii="黑体" w:hAnsi="黑体" w:eastAsia="黑体" w:cs="Times New Roman"/>
      <w:b/>
      <w:sz w:val="32"/>
      <w:szCs w:val="24"/>
      <w:lang w:bidi="ar-SA"/>
    </w:rPr>
  </w:style>
  <w:style w:type="character" w:customStyle="1" w:styleId="92">
    <w:name w:val="Normal_5 Char"/>
    <w:link w:val="91"/>
    <w:qFormat/>
    <w:uiPriority w:val="0"/>
    <w:rPr>
      <w:rFonts w:ascii="黑体" w:hAnsi="黑体" w:eastAsia="黑体"/>
      <w:b/>
      <w:sz w:val="32"/>
      <w:szCs w:val="24"/>
      <w:lang w:bidi="ar-SA"/>
    </w:rPr>
  </w:style>
  <w:style w:type="paragraph" w:customStyle="1" w:styleId="93">
    <w:name w:val="Normal_2"/>
    <w:qFormat/>
    <w:uiPriority w:val="0"/>
    <w:rPr>
      <w:rFonts w:ascii="黑体" w:hAnsi="黑体" w:eastAsia="黑体" w:cs="Times New Roman"/>
      <w:b/>
      <w:sz w:val="32"/>
      <w:szCs w:val="24"/>
      <w:lang w:bidi="ar-SA"/>
    </w:rPr>
  </w:style>
  <w:style w:type="paragraph" w:customStyle="1" w:styleId="94">
    <w:name w:val="Normal"/>
    <w:basedOn w:val="95"/>
    <w:qFormat/>
    <w:uiPriority w:val="0"/>
    <w:pPr>
      <w:jc w:val="both"/>
    </w:pPr>
    <w:rPr>
      <w:kern w:val="2"/>
      <w:sz w:val="21"/>
      <w:szCs w:val="21"/>
      <w:lang w:val="en-US" w:eastAsia="zh-CN" w:bidi="ar-SA"/>
    </w:rPr>
  </w:style>
  <w:style w:type="paragraph" w:customStyle="1" w:styleId="95">
    <w:name w:val="正文_0"/>
    <w:basedOn w:val="96"/>
    <w:qFormat/>
    <w:uiPriority w:val="0"/>
    <w:rPr>
      <w:rFonts w:ascii="Times New Roman" w:hAnsi="Times New Roman"/>
      <w:szCs w:val="21"/>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0"/>
    <w:basedOn w:val="98"/>
    <w:qFormat/>
    <w:uiPriority w:val="0"/>
    <w:pPr>
      <w:widowControl w:val="0"/>
      <w:jc w:val="both"/>
    </w:pPr>
    <w:rPr>
      <w:rFonts w:ascii="Calibri" w:hAnsi="Calibri"/>
      <w:kern w:val="2"/>
      <w:sz w:val="21"/>
      <w:szCs w:val="22"/>
      <w:lang w:val="en-US" w:eastAsia="zh-CN" w:bidi="ar-SA"/>
    </w:rPr>
  </w:style>
  <w:style w:type="paragraph" w:customStyle="1" w:styleId="98">
    <w:name w:val="正文_7"/>
    <w:basedOn w:val="99"/>
    <w:qFormat/>
    <w:uiPriority w:val="0"/>
    <w:rPr>
      <w:rFonts w:ascii="Times New Roman" w:hAnsi="Times New Roman"/>
      <w:szCs w:val="21"/>
    </w:rPr>
  </w:style>
  <w:style w:type="paragraph" w:customStyle="1" w:styleId="99">
    <w:name w:val="正文_6"/>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列表_1"/>
    <w:basedOn w:val="99"/>
    <w:semiHidden/>
    <w:qFormat/>
    <w:locked/>
    <w:uiPriority w:val="0"/>
    <w:pPr>
      <w:ind w:left="200" w:hanging="200" w:hangingChars="200"/>
    </w:pPr>
  </w:style>
  <w:style w:type="paragraph" w:customStyle="1" w:styleId="101">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102">
    <w:name w:val="正文_1_0_0"/>
    <w:basedOn w:val="103"/>
    <w:qFormat/>
    <w:uiPriority w:val="0"/>
    <w:rPr>
      <w:rFonts w:ascii="Times New Roman" w:hAnsi="Times New Roman" w:eastAsia="宋体"/>
      <w:szCs w:val="21"/>
    </w:rPr>
  </w:style>
  <w:style w:type="paragraph" w:customStyle="1" w:styleId="103">
    <w:name w:val="正文_1_1"/>
    <w:basedOn w:val="40"/>
    <w:next w:val="104"/>
    <w:qFormat/>
    <w:uiPriority w:val="0"/>
    <w:pPr>
      <w:widowControl w:val="0"/>
      <w:jc w:val="both"/>
    </w:pPr>
    <w:rPr>
      <w:rFonts w:ascii="Calibri" w:hAnsi="Calibri"/>
      <w:kern w:val="2"/>
      <w:sz w:val="21"/>
      <w:szCs w:val="22"/>
      <w:lang w:val="en-US" w:eastAsia="zh-CN" w:bidi="ar-SA"/>
    </w:rPr>
  </w:style>
  <w:style w:type="paragraph" w:customStyle="1" w:styleId="104">
    <w:name w:val="正文首行缩进_0"/>
    <w:basedOn w:val="105"/>
    <w:unhideWhenUsed/>
    <w:qFormat/>
    <w:uiPriority w:val="99"/>
    <w:pPr>
      <w:ind w:firstLine="420" w:firstLineChars="100"/>
    </w:pPr>
    <w:rPr>
      <w:szCs w:val="22"/>
    </w:rPr>
  </w:style>
  <w:style w:type="paragraph" w:customStyle="1" w:styleId="105">
    <w:name w:val="正文文本_0_1"/>
    <w:basedOn w:val="10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06">
    <w:name w:val="正文_1_0_2"/>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 Text First Indent_1"/>
    <w:basedOn w:val="108"/>
    <w:unhideWhenUsed/>
    <w:qFormat/>
    <w:uiPriority w:val="99"/>
    <w:pPr>
      <w:ind w:firstLine="420" w:firstLineChars="100"/>
    </w:pPr>
    <w:rPr>
      <w:szCs w:val="22"/>
    </w:rPr>
  </w:style>
  <w:style w:type="paragraph" w:customStyle="1" w:styleId="108">
    <w:name w:val="正文文本_0_0_1"/>
    <w:basedOn w:val="109"/>
    <w:qFormat/>
    <w:uiPriority w:val="0"/>
    <w:pPr>
      <w:spacing w:after="120"/>
    </w:pPr>
  </w:style>
  <w:style w:type="paragraph" w:customStyle="1" w:styleId="109">
    <w:name w:val="正文_12_0_1"/>
    <w:basedOn w:val="110"/>
    <w:qFormat/>
    <w:uiPriority w:val="0"/>
    <w:rPr>
      <w:rFonts w:cs="Calibri"/>
      <w:szCs w:val="21"/>
    </w:rPr>
  </w:style>
  <w:style w:type="paragraph" w:customStyle="1" w:styleId="110">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12">
    <w:name w:val="1"/>
    <w:basedOn w:val="1"/>
    <w:qFormat/>
    <w:uiPriority w:val="0"/>
    <w:pPr>
      <w:spacing w:after="156" w:afterLines="50" w:line="360" w:lineRule="auto"/>
    </w:pPr>
    <w:rPr>
      <w:rFonts w:ascii="宋体" w:hAnsi="宋体"/>
      <w:b/>
      <w:sz w:val="30"/>
      <w:szCs w:val="21"/>
    </w:rPr>
  </w:style>
  <w:style w:type="paragraph" w:customStyle="1" w:styleId="113">
    <w:name w:val="List Paragraph1"/>
    <w:basedOn w:val="95"/>
    <w:qFormat/>
    <w:uiPriority w:val="0"/>
    <w:pPr>
      <w:ind w:firstLine="420" w:firstLineChars="200"/>
    </w:pPr>
  </w:style>
  <w:style w:type="paragraph" w:styleId="114">
    <w:name w:val="List Paragraph"/>
    <w:basedOn w:val="1"/>
    <w:qFormat/>
    <w:uiPriority w:val="34"/>
    <w:pPr>
      <w:ind w:firstLine="420" w:firstLineChars="200"/>
    </w:pPr>
    <w:rPr>
      <w:rFonts w:ascii="Calibri" w:hAnsi="Calibri"/>
      <w:szCs w:val="22"/>
    </w:rPr>
  </w:style>
  <w:style w:type="paragraph" w:customStyle="1" w:styleId="115">
    <w:name w:val="正文_8"/>
    <w:basedOn w:val="116"/>
    <w:qFormat/>
    <w:uiPriority w:val="0"/>
    <w:rPr>
      <w:rFonts w:cs="宋体"/>
      <w:szCs w:val="21"/>
    </w:rPr>
  </w:style>
  <w:style w:type="paragraph" w:customStyle="1" w:styleId="116">
    <w:name w:val="正文_9"/>
    <w:basedOn w:val="97"/>
    <w:qFormat/>
    <w:uiPriority w:val="0"/>
    <w:rPr>
      <w:rFonts w:ascii="Calibri" w:hAnsi="Calibri" w:cs="宋体"/>
      <w:szCs w:val="21"/>
    </w:rPr>
  </w:style>
  <w:style w:type="paragraph" w:customStyle="1" w:styleId="117">
    <w:name w:val="正文_4"/>
    <w:basedOn w:val="118"/>
    <w:qFormat/>
    <w:uiPriority w:val="0"/>
    <w:pPr>
      <w:widowControl w:val="0"/>
      <w:jc w:val="both"/>
    </w:pPr>
    <w:rPr>
      <w:rFonts w:ascii="Calibri" w:hAnsi="Calibri"/>
      <w:kern w:val="2"/>
      <w:sz w:val="21"/>
      <w:szCs w:val="22"/>
      <w:lang w:val="en-US" w:eastAsia="zh-CN" w:bidi="ar-SA"/>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6_1"/>
    <w:basedOn w:val="115"/>
    <w:qFormat/>
    <w:uiPriority w:val="0"/>
    <w:rPr>
      <w:rFonts w:ascii="Calibri" w:hAnsi="Calibri"/>
    </w:rPr>
  </w:style>
  <w:style w:type="paragraph" w:customStyle="1" w:styleId="120">
    <w:name w:val="正文_2_0_0_0"/>
    <w:basedOn w:val="121"/>
    <w:qFormat/>
    <w:uiPriority w:val="0"/>
    <w:rPr>
      <w:rFonts w:ascii="等线" w:hAnsi="等线"/>
    </w:rPr>
  </w:style>
  <w:style w:type="paragraph" w:customStyle="1" w:styleId="121">
    <w:name w:val="正文_4_0_0"/>
    <w:basedOn w:val="67"/>
    <w:qFormat/>
    <w:uiPriority w:val="0"/>
    <w:rPr>
      <w:rFonts w:ascii="Calibri" w:hAnsi="Calibri" w:cs="宋体"/>
      <w:szCs w:val="21"/>
    </w:rPr>
  </w:style>
  <w:style w:type="paragraph" w:customStyle="1" w:styleId="122">
    <w:name w:val="Normal_11"/>
    <w:qFormat/>
    <w:uiPriority w:val="0"/>
    <w:rPr>
      <w:rFonts w:ascii="黑体" w:hAnsi="黑体" w:eastAsia="黑体" w:cs="Times New Roman"/>
      <w:b/>
      <w:sz w:val="32"/>
      <w:szCs w:val="24"/>
      <w:lang w:bidi="ar-SA"/>
    </w:rPr>
  </w:style>
  <w:style w:type="paragraph" w:customStyle="1" w:styleId="123">
    <w:name w:val="Normal_6"/>
    <w:qFormat/>
    <w:uiPriority w:val="0"/>
    <w:rPr>
      <w:rFonts w:ascii="黑体" w:hAnsi="黑体" w:eastAsia="黑体" w:cs="Times New Roman"/>
      <w:b/>
      <w:sz w:val="32"/>
      <w:szCs w:val="24"/>
      <w:lang w:bidi="ar-SA"/>
    </w:rPr>
  </w:style>
  <w:style w:type="paragraph" w:customStyle="1" w:styleId="124">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2_1_1"/>
    <w:basedOn w:val="87"/>
    <w:qFormat/>
    <w:uiPriority w:val="0"/>
    <w:rPr>
      <w:rFonts w:ascii="等线" w:hAnsi="等线" w:eastAsia="宋体"/>
      <w:szCs w:val="21"/>
    </w:rPr>
  </w:style>
  <w:style w:type="paragraph" w:customStyle="1" w:styleId="127">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2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1 Char Char Char Char Char1 Char Char Char Char"/>
    <w:basedOn w:val="12"/>
    <w:qFormat/>
    <w:uiPriority w:val="0"/>
    <w:rPr>
      <w:rFonts w:ascii="Tahoma" w:hAnsi="Tahoma"/>
    </w:rPr>
  </w:style>
  <w:style w:type="paragraph" w:customStyle="1" w:styleId="130">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1">
    <w:name w:val="正文_0_1_1"/>
    <w:basedOn w:val="96"/>
    <w:qFormat/>
    <w:uiPriority w:val="0"/>
    <w:rPr>
      <w:rFonts w:ascii="Calibri" w:hAnsi="Calibri" w:eastAsia="等线" w:cs="宋体"/>
      <w:szCs w:val="21"/>
    </w:rPr>
  </w:style>
  <w:style w:type="paragraph" w:customStyle="1" w:styleId="132">
    <w:name w:val="正文_6_1_0"/>
    <w:basedOn w:val="133"/>
    <w:qFormat/>
    <w:uiPriority w:val="0"/>
    <w:rPr>
      <w:rFonts w:ascii="Calibri" w:hAnsi="Calibri" w:eastAsia="宋体" w:cs="宋体"/>
      <w:szCs w:val="21"/>
    </w:rPr>
  </w:style>
  <w:style w:type="paragraph" w:customStyle="1" w:styleId="133">
    <w:name w:val="正文_7_1_0"/>
    <w:basedOn w:val="134"/>
    <w:qFormat/>
    <w:uiPriority w:val="0"/>
    <w:rPr>
      <w:rFonts w:ascii="Calibri" w:hAnsi="Calibri" w:eastAsia="宋体" w:cs="宋体"/>
      <w:szCs w:val="21"/>
    </w:rPr>
  </w:style>
  <w:style w:type="paragraph" w:customStyle="1" w:styleId="134">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4"/>
    <w:qFormat/>
    <w:uiPriority w:val="0"/>
    <w:rPr>
      <w:rFonts w:ascii="黑体" w:hAnsi="黑体" w:eastAsia="黑体" w:cs="Times New Roman"/>
      <w:b/>
      <w:sz w:val="32"/>
      <w:szCs w:val="24"/>
      <w:lang w:bidi="ar-SA"/>
    </w:rPr>
  </w:style>
  <w:style w:type="paragraph" w:customStyle="1" w:styleId="136">
    <w:name w:val="标题 4_1"/>
    <w:basedOn w:val="137"/>
    <w:next w:val="137"/>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137">
    <w:name w:val="正文_6_0_0"/>
    <w:basedOn w:val="138"/>
    <w:qFormat/>
    <w:uiPriority w:val="0"/>
    <w:rPr>
      <w:rFonts w:ascii="Calibri" w:hAnsi="Calibri"/>
    </w:rPr>
  </w:style>
  <w:style w:type="paragraph" w:customStyle="1" w:styleId="138">
    <w:name w:val="正文_7_0"/>
    <w:basedOn w:val="139"/>
    <w:qFormat/>
    <w:uiPriority w:val="0"/>
    <w:rPr>
      <w:rFonts w:ascii="Calibri" w:hAnsi="Calibri"/>
    </w:rPr>
  </w:style>
  <w:style w:type="paragraph" w:customStyle="1" w:styleId="139">
    <w:name w:val="正文_7_1"/>
    <w:basedOn w:val="115"/>
    <w:qFormat/>
    <w:uiPriority w:val="0"/>
    <w:pPr>
      <w:widowControl w:val="0"/>
      <w:jc w:val="both"/>
    </w:pPr>
    <w:rPr>
      <w:rFonts w:ascii="Calibri" w:hAnsi="Calibri"/>
      <w:kern w:val="2"/>
      <w:sz w:val="21"/>
      <w:szCs w:val="22"/>
      <w:lang w:val="en-US" w:eastAsia="zh-CN" w:bidi="ar-SA"/>
    </w:rPr>
  </w:style>
  <w:style w:type="paragraph" w:customStyle="1" w:styleId="140">
    <w:name w:val="正文_1_0_0_0"/>
    <w:basedOn w:val="139"/>
    <w:qFormat/>
    <w:uiPriority w:val="0"/>
    <w:rPr>
      <w:rFonts w:ascii="等线" w:hAnsi="等线" w:eastAsia="宋体" w:cs="宋体"/>
      <w:szCs w:val="21"/>
    </w:rPr>
  </w:style>
  <w:style w:type="paragraph" w:customStyle="1" w:styleId="141">
    <w:name w:val="p16"/>
    <w:basedOn w:val="1"/>
    <w:qFormat/>
    <w:uiPriority w:val="0"/>
    <w:pPr>
      <w:widowControl/>
      <w:jc w:val="left"/>
    </w:pPr>
    <w:rPr>
      <w:kern w:val="0"/>
      <w:szCs w:val="21"/>
    </w:rPr>
  </w:style>
  <w:style w:type="paragraph" w:customStyle="1" w:styleId="142">
    <w:name w:val="正文_0_0_3_0"/>
    <w:basedOn w:val="70"/>
    <w:qFormat/>
    <w:uiPriority w:val="0"/>
    <w:rPr>
      <w:rFonts w:ascii="等线" w:hAnsi="等线" w:eastAsia="宋体" w:cs="宋体"/>
      <w:szCs w:val="21"/>
    </w:rPr>
  </w:style>
  <w:style w:type="paragraph" w:customStyle="1" w:styleId="143">
    <w:name w:val="正文_5_0_0"/>
    <w:basedOn w:val="88"/>
    <w:qFormat/>
    <w:uiPriority w:val="0"/>
    <w:rPr>
      <w:rFonts w:ascii="Calibri" w:hAnsi="Calibri" w:eastAsia="宋体"/>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5">
    <w:name w:val="正文_5"/>
    <w:basedOn w:val="99"/>
    <w:qFormat/>
    <w:uiPriority w:val="0"/>
    <w:rPr>
      <w:rFonts w:ascii="Calibri" w:hAnsi="Calibri"/>
      <w:szCs w:val="21"/>
    </w:rPr>
  </w:style>
  <w:style w:type="paragraph" w:customStyle="1" w:styleId="146">
    <w:name w:val="正文文本缩进_1_0"/>
    <w:basedOn w:val="133"/>
    <w:qFormat/>
    <w:uiPriority w:val="0"/>
    <w:pPr>
      <w:spacing w:before="240" w:line="360" w:lineRule="auto"/>
      <w:ind w:firstLine="552" w:firstLineChars="263"/>
    </w:pPr>
    <w:rPr>
      <w:rFonts w:ascii="宋体" w:hAnsi="宋体" w:eastAsia="宋体"/>
      <w:szCs w:val="20"/>
    </w:rPr>
  </w:style>
  <w:style w:type="paragraph" w:customStyle="1" w:styleId="147">
    <w:name w:val="正文_0_0_0_0"/>
    <w:basedOn w:val="103"/>
    <w:qFormat/>
    <w:uiPriority w:val="0"/>
    <w:rPr>
      <w:rFonts w:ascii="Calibri" w:hAnsi="Calibri" w:eastAsia="宋体" w:cs="宋体"/>
      <w:sz w:val="28"/>
      <w:szCs w:val="28"/>
    </w:rPr>
  </w:style>
  <w:style w:type="paragraph" w:customStyle="1" w:styleId="148">
    <w:name w:val="正文_0_0_1"/>
    <w:basedOn w:val="103"/>
    <w:qFormat/>
    <w:uiPriority w:val="0"/>
    <w:rPr>
      <w:rFonts w:ascii="等线" w:hAnsi="等线" w:eastAsia="宋体"/>
      <w:szCs w:val="21"/>
    </w:rPr>
  </w:style>
  <w:style w:type="paragraph" w:customStyle="1" w:styleId="149">
    <w:name w:val="Normal_0_0"/>
    <w:qFormat/>
    <w:uiPriority w:val="0"/>
    <w:rPr>
      <w:rFonts w:ascii="黑体" w:hAnsi="黑体" w:eastAsia="黑体" w:cs="Times New Roman"/>
      <w:b/>
      <w:sz w:val="32"/>
      <w:szCs w:val="24"/>
      <w:lang w:bidi="ar-SA"/>
    </w:rPr>
  </w:style>
  <w:style w:type="paragraph" w:customStyle="1" w:styleId="150">
    <w:name w:val="Char1 Char Char Char 字元 Char Char 字元 Char 字元 Char1 Char Char Char"/>
    <w:basedOn w:val="1"/>
    <w:qFormat/>
    <w:uiPriority w:val="0"/>
    <w:rPr>
      <w:szCs w:val="20"/>
    </w:rPr>
  </w:style>
  <w:style w:type="paragraph" w:customStyle="1" w:styleId="15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2">
    <w:name w:val="Normal_3"/>
    <w:qFormat/>
    <w:uiPriority w:val="0"/>
    <w:rPr>
      <w:rFonts w:ascii="黑体" w:hAnsi="黑体" w:eastAsia="黑体" w:cs="Times New Roman"/>
      <w:b/>
      <w:sz w:val="32"/>
      <w:szCs w:val="24"/>
      <w:lang w:bidi="ar-SA"/>
    </w:rPr>
  </w:style>
  <w:style w:type="paragraph" w:customStyle="1" w:styleId="153">
    <w:name w:val="正文_7_0_0"/>
    <w:basedOn w:val="138"/>
    <w:qFormat/>
    <w:uiPriority w:val="0"/>
    <w:rPr>
      <w:rFonts w:ascii="Calibri" w:hAnsi="Calibri"/>
    </w:rPr>
  </w:style>
  <w:style w:type="paragraph" w:customStyle="1" w:styleId="154">
    <w:name w:val="Normal_12"/>
    <w:qFormat/>
    <w:uiPriority w:val="0"/>
    <w:rPr>
      <w:rFonts w:ascii="Times New Roman" w:hAnsi="Times New Roman" w:eastAsia="Times New Roman" w:cs="Times New Roman"/>
      <w:sz w:val="24"/>
      <w:szCs w:val="24"/>
      <w:lang w:bidi="ar-SA"/>
    </w:rPr>
  </w:style>
  <w:style w:type="paragraph" w:customStyle="1" w:styleId="155">
    <w:name w:val="Normal_10"/>
    <w:qFormat/>
    <w:uiPriority w:val="0"/>
    <w:rPr>
      <w:rFonts w:ascii="黑体" w:hAnsi="黑体" w:eastAsia="黑体" w:cs="Times New Roman"/>
      <w:b/>
      <w:sz w:val="32"/>
      <w:szCs w:val="24"/>
      <w:lang w:bidi="ar-SA"/>
    </w:rPr>
  </w:style>
  <w:style w:type="paragraph" w:customStyle="1" w:styleId="156">
    <w:name w:val="正文_5_0"/>
    <w:basedOn w:val="67"/>
    <w:qFormat/>
    <w:uiPriority w:val="0"/>
    <w:rPr>
      <w:rFonts w:ascii="Calibri" w:hAnsi="Calibri" w:cs="宋体"/>
      <w:szCs w:val="21"/>
    </w:rPr>
  </w:style>
  <w:style w:type="paragraph" w:customStyle="1" w:styleId="157">
    <w:name w:val="Normal_9"/>
    <w:qFormat/>
    <w:uiPriority w:val="0"/>
    <w:rPr>
      <w:rFonts w:ascii="黑体" w:hAnsi="黑体" w:eastAsia="黑体" w:cs="Times New Roman"/>
      <w:b/>
      <w:sz w:val="32"/>
      <w:szCs w:val="24"/>
      <w:lang w:bidi="ar-SA"/>
    </w:rPr>
  </w:style>
  <w:style w:type="paragraph" w:customStyle="1" w:styleId="158">
    <w:name w:val="Normal_1_0"/>
    <w:qFormat/>
    <w:uiPriority w:val="0"/>
    <w:rPr>
      <w:rFonts w:ascii="黑体" w:hAnsi="黑体" w:eastAsia="黑体" w:cs="Times New Roman"/>
      <w:b/>
      <w:sz w:val="32"/>
      <w:szCs w:val="24"/>
      <w:lang w:bidi="ar-SA"/>
    </w:rPr>
  </w:style>
  <w:style w:type="paragraph" w:customStyle="1" w:styleId="159">
    <w:name w:val="列表_0"/>
    <w:basedOn w:val="96"/>
    <w:semiHidden/>
    <w:qFormat/>
    <w:locked/>
    <w:uiPriority w:val="0"/>
    <w:pPr>
      <w:ind w:left="200" w:hanging="200" w:hangingChars="200"/>
    </w:pPr>
  </w:style>
  <w:style w:type="paragraph" w:customStyle="1" w:styleId="160">
    <w:name w:val="正文_2_0_1"/>
    <w:basedOn w:val="139"/>
    <w:qFormat/>
    <w:uiPriority w:val="0"/>
    <w:rPr>
      <w:rFonts w:ascii="等线" w:hAnsi="等线" w:eastAsia="宋体" w:cs="宋体"/>
      <w:szCs w:val="21"/>
    </w:rPr>
  </w:style>
  <w:style w:type="paragraph" w:customStyle="1" w:styleId="161">
    <w:name w:val="正文_4_1_0"/>
    <w:basedOn w:val="162"/>
    <w:qFormat/>
    <w:uiPriority w:val="0"/>
    <w:rPr>
      <w:rFonts w:ascii="Calibri" w:hAnsi="Calibri" w:eastAsia="宋体" w:cs="宋体"/>
      <w:szCs w:val="21"/>
    </w:rPr>
  </w:style>
  <w:style w:type="paragraph" w:customStyle="1" w:styleId="162">
    <w:name w:val="正文_5_1"/>
    <w:qFormat/>
    <w:uiPriority w:val="0"/>
    <w:pPr>
      <w:widowControl w:val="0"/>
      <w:jc w:val="both"/>
    </w:pPr>
    <w:rPr>
      <w:rFonts w:ascii="Calibri" w:hAnsi="Calibri" w:eastAsia="宋体" w:cs="Times New Roman"/>
      <w:kern w:val="2"/>
      <w:sz w:val="21"/>
      <w:szCs w:val="22"/>
      <w:lang w:val="en-US" w:eastAsia="zh-CN" w:bidi="ar-SA"/>
    </w:rPr>
  </w:style>
  <w:style w:type="paragraph" w:styleId="163">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4">
    <w:name w:val="Normal_7"/>
    <w:qFormat/>
    <w:uiPriority w:val="0"/>
    <w:rPr>
      <w:rFonts w:ascii="黑体" w:hAnsi="黑体" w:eastAsia="黑体" w:cs="Times New Roman"/>
      <w:b/>
      <w:sz w:val="32"/>
      <w:szCs w:val="24"/>
      <w:lang w:bidi="ar-SA"/>
    </w:rPr>
  </w:style>
  <w:style w:type="paragraph" w:customStyle="1" w:styleId="165">
    <w:name w:val="Char"/>
    <w:basedOn w:val="1"/>
    <w:qFormat/>
    <w:uiPriority w:val="0"/>
    <w:pPr>
      <w:tabs>
        <w:tab w:val="left" w:pos="360"/>
      </w:tabs>
      <w:ind w:left="360" w:hanging="360" w:hangingChars="200"/>
    </w:pPr>
    <w:rPr>
      <w:sz w:val="24"/>
    </w:rPr>
  </w:style>
  <w:style w:type="paragraph" w:customStyle="1" w:styleId="166">
    <w:name w:val="Table Paragraph_0"/>
    <w:basedOn w:val="96"/>
    <w:qFormat/>
    <w:uiPriority w:val="0"/>
    <w:pPr>
      <w:jc w:val="left"/>
    </w:pPr>
    <w:rPr>
      <w:rFonts w:ascii="等线" w:hAnsi="等线" w:cs="宋体"/>
      <w:kern w:val="0"/>
      <w:sz w:val="22"/>
      <w:szCs w:val="22"/>
    </w:rPr>
  </w:style>
  <w:style w:type="paragraph" w:customStyle="1" w:styleId="167">
    <w:name w:val="正文_0_4"/>
    <w:basedOn w:val="115"/>
    <w:qFormat/>
    <w:uiPriority w:val="0"/>
    <w:rPr>
      <w:rFonts w:ascii="Times New Roman" w:hAnsi="Times New Roman" w:cs="Times New Roman"/>
    </w:rPr>
  </w:style>
  <w:style w:type="paragraph" w:customStyle="1" w:styleId="168">
    <w:name w:val="p0_0"/>
    <w:basedOn w:val="116"/>
    <w:qFormat/>
    <w:uiPriority w:val="0"/>
    <w:pPr>
      <w:widowControl/>
    </w:pPr>
    <w:rPr>
      <w:rFonts w:ascii="Calibri" w:hAnsi="Calibri"/>
      <w:kern w:val="0"/>
    </w:rPr>
  </w:style>
  <w:style w:type="paragraph" w:customStyle="1" w:styleId="169">
    <w:name w:val="Normal_8"/>
    <w:qFormat/>
    <w:uiPriority w:val="0"/>
    <w:rPr>
      <w:rFonts w:ascii="黑体" w:hAnsi="黑体" w:eastAsia="黑体" w:cs="Times New Roman"/>
      <w:b/>
      <w:sz w:val="32"/>
      <w:szCs w:val="24"/>
      <w:lang w:bidi="ar-SA"/>
    </w:rPr>
  </w:style>
  <w:style w:type="paragraph" w:customStyle="1" w:styleId="170">
    <w:name w:val="正文_3_0"/>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0"/>
    <w:qFormat/>
    <w:uiPriority w:val="0"/>
    <w:rPr>
      <w:rFonts w:ascii="Times New Roman" w:hAnsi="Times New Roman" w:eastAsia="Times New Roman" w:cs="Times New Roman"/>
      <w:sz w:val="24"/>
      <w:szCs w:val="24"/>
      <w:lang w:bidi="ar-SA"/>
    </w:rPr>
  </w:style>
  <w:style w:type="paragraph" w:customStyle="1" w:styleId="172">
    <w:name w:val="标题 1 +"/>
    <w:basedOn w:val="2"/>
    <w:next w:val="1"/>
    <w:qFormat/>
    <w:uiPriority w:val="0"/>
    <w:pPr>
      <w:keepLines/>
      <w:spacing w:line="600" w:lineRule="auto"/>
    </w:pPr>
    <w:rPr>
      <w:rFonts w:eastAsia="黑体"/>
      <w:kern w:val="0"/>
      <w:sz w:val="32"/>
      <w:szCs w:val="32"/>
    </w:rPr>
  </w:style>
  <w:style w:type="paragraph" w:customStyle="1" w:styleId="173">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4">
    <w:name w:val="Normal_1"/>
    <w:qFormat/>
    <w:uiPriority w:val="0"/>
    <w:rPr>
      <w:rFonts w:ascii="黑体" w:hAnsi="黑体" w:eastAsia="黑体" w:cs="Times New Roman"/>
      <w:b/>
      <w:sz w:val="32"/>
      <w:szCs w:val="24"/>
      <w:lang w:val="en-US" w:eastAsia="zh-CN" w:bidi="ar-SA"/>
    </w:rPr>
  </w:style>
  <w:style w:type="paragraph" w:customStyle="1" w:styleId="175">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2_0"/>
    <w:basedOn w:val="96"/>
    <w:qFormat/>
    <w:uiPriority w:val="0"/>
    <w:rPr>
      <w:rFonts w:ascii="等线" w:hAnsi="等线" w:cs="宋体"/>
      <w:szCs w:val="21"/>
    </w:rPr>
  </w:style>
  <w:style w:type="paragraph" w:customStyle="1" w:styleId="178">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9">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0">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val="0"/>
      <w:bCs w:val="0"/>
      <w:sz w:val="28"/>
      <w:szCs w:val="20"/>
    </w:rPr>
  </w:style>
  <w:style w:type="paragraph" w:customStyle="1" w:styleId="181">
    <w:name w:val="正文_2_1_0"/>
    <w:basedOn w:val="103"/>
    <w:qFormat/>
    <w:uiPriority w:val="0"/>
    <w:rPr>
      <w:rFonts w:ascii="Calibri" w:hAnsi="Calibri" w:eastAsia="宋体" w:cs="宋体"/>
      <w:szCs w:val="21"/>
    </w:rPr>
  </w:style>
  <w:style w:type="paragraph" w:customStyle="1" w:styleId="182">
    <w:name w:val=" Char Char Char"/>
    <w:basedOn w:val="1"/>
    <w:qFormat/>
    <w:uiPriority w:val="0"/>
    <w:rPr>
      <w:rFonts w:ascii="宋体" w:hAnsi="宋体"/>
      <w:b/>
      <w:sz w:val="28"/>
      <w:szCs w:val="28"/>
    </w:rPr>
  </w:style>
  <w:style w:type="paragraph" w:customStyle="1" w:styleId="183">
    <w:name w:val="表格内容"/>
    <w:basedOn w:val="17"/>
    <w:qFormat/>
    <w:uiPriority w:val="0"/>
    <w:pPr>
      <w:suppressLineNumbers/>
      <w:suppressAutoHyphens/>
      <w:jc w:val="left"/>
    </w:pPr>
    <w:rPr>
      <w:rFonts w:cs="Tahoma"/>
      <w:kern w:val="0"/>
      <w:sz w:val="24"/>
    </w:rPr>
  </w:style>
  <w:style w:type="paragraph" w:customStyle="1" w:styleId="184">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5">
    <w:name w:val="p0_0_0"/>
    <w:basedOn w:val="153"/>
    <w:qFormat/>
    <w:uiPriority w:val="0"/>
    <w:pPr>
      <w:widowControl/>
    </w:pPr>
    <w:rPr>
      <w:rFonts w:ascii="Calibri" w:hAnsi="Calibri"/>
      <w:kern w:val="0"/>
    </w:rPr>
  </w:style>
  <w:style w:type="paragraph" w:customStyle="1" w:styleId="186">
    <w:name w:val="正文_0_1_0"/>
    <w:basedOn w:val="96"/>
    <w:qFormat/>
    <w:uiPriority w:val="0"/>
    <w:rPr>
      <w:rFonts w:ascii="Calibri" w:hAnsi="Calibri" w:cs="宋体"/>
      <w:szCs w:val="21"/>
    </w:rPr>
  </w:style>
  <w:style w:type="paragraph" w:customStyle="1" w:styleId="187">
    <w:name w:val="样式 样式 样式 样式 标题 2 + 宋体 五号 非加粗 黑色 + 段前: 6 磅 段后: 0 磅 行距: 单倍行距 + 段前:..."/>
    <w:basedOn w:val="1"/>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188">
    <w:name w:val="正文_4_0"/>
    <w:basedOn w:val="67"/>
    <w:uiPriority w:val="0"/>
    <w:rPr>
      <w:rFonts w:ascii="Calibri" w:hAnsi="Calibri"/>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正文_9_0"/>
    <w:basedOn w:val="97"/>
    <w:qFormat/>
    <w:uiPriority w:val="0"/>
    <w:rPr>
      <w:rFonts w:ascii="Calibri" w:hAnsi="Calibri" w:cs="宋体"/>
      <w:szCs w:val="21"/>
    </w:rPr>
  </w:style>
  <w:style w:type="paragraph" w:customStyle="1" w:styleId="191">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2">
    <w:name w:val="无间隔1"/>
    <w:basedOn w:val="1"/>
    <w:qFormat/>
    <w:uiPriority w:val="1"/>
  </w:style>
  <w:style w:type="paragraph" w:customStyle="1" w:styleId="193">
    <w:name w:val="No Spacing1"/>
    <w:basedOn w:val="1"/>
    <w:qFormat/>
    <w:uiPriority w:val="1"/>
  </w:style>
  <w:style w:type="paragraph" w:customStyle="1" w:styleId="194">
    <w:name w:val="正文_1_0_0_0_0"/>
    <w:basedOn w:val="195"/>
    <w:qFormat/>
    <w:uiPriority w:val="0"/>
    <w:rPr>
      <w:rFonts w:ascii="等线" w:hAnsi="等线" w:eastAsia="宋体" w:cs="宋体"/>
      <w:szCs w:val="21"/>
    </w:rPr>
  </w:style>
  <w:style w:type="paragraph" w:customStyle="1" w:styleId="19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_8_0_0_0"/>
    <w:basedOn w:val="198"/>
    <w:qFormat/>
    <w:uiPriority w:val="0"/>
    <w:rPr>
      <w:rFonts w:ascii="Calibri" w:hAnsi="Calibri" w:eastAsia="宋体" w:cs="宋体"/>
      <w:szCs w:val="21"/>
    </w:rPr>
  </w:style>
  <w:style w:type="paragraph" w:customStyle="1" w:styleId="198">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_9_0_0_0"/>
    <w:basedOn w:val="200"/>
    <w:qFormat/>
    <w:uiPriority w:val="0"/>
    <w:rPr>
      <w:rFonts w:ascii="Calibri" w:hAnsi="Calibri" w:eastAsia="宋体" w:cs="宋体"/>
      <w:szCs w:val="21"/>
    </w:rPr>
  </w:style>
  <w:style w:type="paragraph" w:customStyle="1" w:styleId="200">
    <w:name w:val="正文_1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PSOffice手动目录 1"/>
    <w:qFormat/>
    <w:uiPriority w:val="0"/>
    <w:rPr>
      <w:rFonts w:ascii="Times New Roman" w:hAnsi="Times New Roman" w:eastAsia="宋体" w:cs="Times New Roman"/>
      <w:lang w:val="en-US" w:eastAsia="zh-CN" w:bidi="ar-SA"/>
    </w:rPr>
  </w:style>
  <w:style w:type="paragraph" w:customStyle="1" w:styleId="202">
    <w:name w:val="WPSOffice手动目录 2"/>
    <w:uiPriority w:val="0"/>
    <w:pPr>
      <w:ind w:leftChars="200"/>
    </w:pPr>
    <w:rPr>
      <w:rFonts w:ascii="Times New Roman" w:hAnsi="Times New Roman" w:eastAsia="宋体" w:cs="Times New Roman"/>
      <w:lang w:val="en-US" w:eastAsia="zh-CN" w:bidi="ar-SA"/>
    </w:rPr>
  </w:style>
  <w:style w:type="paragraph" w:customStyle="1" w:styleId="20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4">
    <w:name w:val="No Spacing_0"/>
    <w:basedOn w:val="145"/>
    <w:qFormat/>
    <w:uiPriority w:val="1"/>
    <w:rPr>
      <w:rFonts w:ascii="Times New Roman" w:hAnsi="Times New Roman"/>
      <w:szCs w:val="24"/>
      <w:lang w:val="en-US" w:eastAsia="zh-CN"/>
    </w:rPr>
  </w:style>
  <w:style w:type="character" w:customStyle="1" w:styleId="205">
    <w:name w:val="纯文本 Char1"/>
    <w:qFormat/>
    <w:uiPriority w:val="0"/>
    <w:rPr>
      <w:rFonts w:ascii="宋体" w:hAnsi="Courier New" w:eastAsia="宋体" w:cs="Times New Roman"/>
      <w:kern w:val="0"/>
      <w:sz w:val="20"/>
      <w:szCs w:val="21"/>
    </w:rPr>
  </w:style>
  <w:style w:type="paragraph" w:customStyle="1" w:styleId="206">
    <w:name w:val="标样式3"/>
    <w:basedOn w:val="4"/>
    <w:qFormat/>
    <w:uiPriority w:val="0"/>
    <w:pPr>
      <w:numPr>
        <w:ilvl w:val="2"/>
        <w:numId w:val="1"/>
      </w:numPr>
      <w:spacing w:after="100" w:afterAutospacing="1"/>
      <w:ind w:left="0" w:right="-117" w:rightChars="-117" w:firstLineChars="0"/>
    </w:pPr>
    <w:rPr>
      <w:color w:val="000000"/>
    </w:rPr>
  </w:style>
  <w:style w:type="paragraph" w:customStyle="1" w:styleId="207">
    <w:name w:val="标样式4"/>
    <w:basedOn w:val="208"/>
    <w:qFormat/>
    <w:uiPriority w:val="0"/>
    <w:pPr>
      <w:numPr>
        <w:ilvl w:val="3"/>
        <w:numId w:val="1"/>
      </w:numPr>
      <w:tabs>
        <w:tab w:val="left" w:pos="1678"/>
      </w:tabs>
      <w:ind w:firstLine="0" w:firstLineChars="0"/>
    </w:pPr>
    <w:rPr>
      <w:color w:val="000000"/>
    </w:rPr>
  </w:style>
  <w:style w:type="paragraph" w:customStyle="1" w:styleId="208">
    <w:name w:val="样式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59</Pages>
  <Words>13246</Words>
  <Characters>14286</Characters>
  <Lines>381</Lines>
  <Paragraphs>107</Paragraphs>
  <TotalTime>20</TotalTime>
  <ScaleCrop>false</ScaleCrop>
  <LinksUpToDate>false</LinksUpToDate>
  <CharactersWithSpaces>14536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2019-04-10T08:27:00Z</dcterms:created>
  <dc:creator>Lenovo User</dc:creator>
  <cp:lastModifiedBy>、</cp:lastModifiedBy>
  <cp:lastPrinted>2022-06-02T04:58:00Z</cp:lastPrinted>
  <dcterms:modified xsi:type="dcterms:W3CDTF">2025-03-11T12:12:23Z</dcterms:modified>
  <dc:title>竞争性谈判采购公告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692111C2A4854E0D8D7DFCAFCDCABFB2_13</vt:lpwstr>
  </property>
  <property fmtid="{D5CDD505-2E9C-101B-9397-08002B2CF9AE}" pid="4" name="KSOTemplateDocerSaveRecord">
    <vt:lpwstr>eyJoZGlkIjoiMTY4M2QyNDI0NGU2YmFmMmIyZGVlZjJiZmMxN2Y2ZTMiLCJ1c2VySWQiOiIyODgwMjU3NjUifQ==</vt:lpwstr>
  </property>
</Properties>
</file>