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618297">
      <w:pPr>
        <w:spacing w:line="360" w:lineRule="auto"/>
        <w:rPr>
          <w:rFonts w:cs="宋体"/>
          <w:b/>
          <w:bCs/>
          <w:kern w:val="0"/>
          <w:sz w:val="36"/>
          <w:szCs w:val="36"/>
          <w:highlight w:val="none"/>
        </w:rPr>
      </w:pPr>
    </w:p>
    <w:p w14:paraId="55297B3D">
      <w:pPr>
        <w:spacing w:line="360" w:lineRule="auto"/>
        <w:ind w:left="1626" w:hanging="1626" w:hangingChars="450"/>
        <w:jc w:val="center"/>
        <w:rPr>
          <w:rFonts w:cs="宋体"/>
          <w:b/>
          <w:bCs/>
          <w:kern w:val="0"/>
          <w:sz w:val="36"/>
          <w:szCs w:val="36"/>
          <w:highlight w:val="none"/>
        </w:rPr>
      </w:pPr>
    </w:p>
    <w:p w14:paraId="736AF1C5">
      <w:pPr>
        <w:spacing w:line="360" w:lineRule="auto"/>
        <w:ind w:left="0" w:leftChars="0" w:hanging="6" w:firstLineChars="0"/>
        <w:jc w:val="center"/>
        <w:rPr>
          <w:rFonts w:hint="eastAsia" w:eastAsia="宋体" w:cs="宋体"/>
          <w:b/>
          <w:bCs/>
          <w:kern w:val="0"/>
          <w:sz w:val="36"/>
          <w:szCs w:val="36"/>
          <w:highlight w:val="none"/>
          <w:lang w:val="en-US" w:eastAsia="zh-CN"/>
        </w:rPr>
      </w:pPr>
      <w:r>
        <w:rPr>
          <w:rFonts w:hint="eastAsia" w:cs="宋体"/>
          <w:b/>
          <w:bCs/>
          <w:kern w:val="0"/>
          <w:sz w:val="36"/>
          <w:szCs w:val="36"/>
          <w:highlight w:val="none"/>
          <w:lang w:eastAsia="zh-CN"/>
        </w:rPr>
        <w:t>吐鲁番市高昌区蒲昌路消防救援站2025年度食堂主副食品采购项目</w:t>
      </w:r>
    </w:p>
    <w:p w14:paraId="160C3A76">
      <w:pPr>
        <w:spacing w:line="360" w:lineRule="auto"/>
        <w:ind w:left="1446" w:hanging="1446" w:hangingChars="450"/>
        <w:jc w:val="center"/>
        <w:rPr>
          <w:rFonts w:hint="eastAsia" w:ascii="宋体" w:hAnsi="宋体" w:eastAsia="宋体" w:cs="宋体"/>
          <w:b/>
          <w:bCs/>
          <w:kern w:val="0"/>
          <w:sz w:val="32"/>
          <w:szCs w:val="32"/>
          <w:highlight w:val="none"/>
          <w:lang w:eastAsia="zh-CN"/>
        </w:rPr>
      </w:pPr>
      <w:r>
        <w:rPr>
          <w:rFonts w:hint="eastAsia" w:hAnsi="宋体" w:cs="宋体"/>
          <w:b/>
          <w:bCs/>
          <w:kern w:val="0"/>
          <w:sz w:val="32"/>
          <w:szCs w:val="32"/>
          <w:highlight w:val="none"/>
        </w:rPr>
        <w:t>项目编号：</w:t>
      </w:r>
      <w:r>
        <w:rPr>
          <w:rFonts w:hint="eastAsia" w:hAnsi="宋体" w:cs="宋体"/>
          <w:b/>
          <w:bCs/>
          <w:kern w:val="0"/>
          <w:sz w:val="32"/>
          <w:szCs w:val="32"/>
          <w:highlight w:val="none"/>
          <w:lang w:eastAsia="zh-CN"/>
        </w:rPr>
        <w:t>TD（CS）-2025-001</w:t>
      </w:r>
    </w:p>
    <w:p w14:paraId="0BA42528">
      <w:pPr>
        <w:spacing w:line="360" w:lineRule="auto"/>
        <w:rPr>
          <w:sz w:val="30"/>
          <w:szCs w:val="30"/>
          <w:highlight w:val="none"/>
        </w:rPr>
      </w:pPr>
    </w:p>
    <w:p w14:paraId="58697213">
      <w:pPr>
        <w:spacing w:line="360" w:lineRule="auto"/>
        <w:rPr>
          <w:sz w:val="30"/>
          <w:szCs w:val="30"/>
          <w:highlight w:val="none"/>
        </w:rPr>
      </w:pPr>
    </w:p>
    <w:p w14:paraId="79447BED">
      <w:pPr>
        <w:spacing w:line="360" w:lineRule="auto"/>
        <w:jc w:val="center"/>
        <w:rPr>
          <w:rFonts w:hint="eastAsia" w:ascii="宋体" w:hAnsi="宋体" w:eastAsia="宋体" w:cs="宋体"/>
          <w:b/>
          <w:bCs/>
          <w:color w:val="auto"/>
          <w:sz w:val="44"/>
          <w:szCs w:val="44"/>
          <w:highlight w:val="none"/>
          <w:lang w:eastAsia="zh-CN"/>
        </w:rPr>
      </w:pPr>
      <w:r>
        <w:rPr>
          <w:rFonts w:hint="eastAsia" w:ascii="宋体" w:hAnsi="宋体" w:cs="宋体"/>
          <w:b/>
          <w:bCs/>
          <w:color w:val="auto"/>
          <w:sz w:val="44"/>
          <w:szCs w:val="44"/>
          <w:highlight w:val="none"/>
          <w:lang w:val="en-US" w:eastAsia="zh-CN"/>
        </w:rPr>
        <w:t>磋 商 文 件</w:t>
      </w:r>
    </w:p>
    <w:p w14:paraId="458E99AC">
      <w:pPr>
        <w:spacing w:line="360" w:lineRule="auto"/>
        <w:rPr>
          <w:rFonts w:ascii="宋体" w:hAnsi="宋体" w:cs="宋体"/>
          <w:sz w:val="30"/>
          <w:szCs w:val="30"/>
          <w:highlight w:val="none"/>
        </w:rPr>
      </w:pPr>
    </w:p>
    <w:p w14:paraId="04745594">
      <w:pPr>
        <w:spacing w:line="360" w:lineRule="auto"/>
        <w:rPr>
          <w:rFonts w:ascii="宋体" w:hAnsi="宋体" w:cs="宋体"/>
          <w:sz w:val="30"/>
          <w:szCs w:val="30"/>
          <w:highlight w:val="none"/>
        </w:rPr>
      </w:pPr>
    </w:p>
    <w:p w14:paraId="20505446">
      <w:pPr>
        <w:spacing w:line="360" w:lineRule="auto"/>
        <w:rPr>
          <w:rFonts w:ascii="宋体" w:hAnsi="宋体" w:cs="宋体"/>
          <w:sz w:val="30"/>
          <w:szCs w:val="30"/>
          <w:highlight w:val="none"/>
        </w:rPr>
      </w:pPr>
    </w:p>
    <w:p w14:paraId="1D7279FC">
      <w:pPr>
        <w:spacing w:line="360" w:lineRule="auto"/>
        <w:rPr>
          <w:rFonts w:ascii="宋体" w:hAnsi="宋体" w:cs="宋体"/>
          <w:sz w:val="30"/>
          <w:szCs w:val="30"/>
          <w:highlight w:val="none"/>
        </w:rPr>
      </w:pPr>
    </w:p>
    <w:p w14:paraId="691D0917">
      <w:pPr>
        <w:spacing w:line="360" w:lineRule="auto"/>
        <w:rPr>
          <w:rFonts w:hint="eastAsia" w:ascii="宋体" w:hAnsi="宋体" w:eastAsia="宋体" w:cs="宋体"/>
          <w:b/>
          <w:bCs/>
          <w:sz w:val="30"/>
          <w:szCs w:val="30"/>
          <w:highlight w:val="none"/>
          <w:lang w:eastAsia="zh-CN"/>
        </w:rPr>
      </w:pPr>
      <w:r>
        <w:rPr>
          <w:rFonts w:hint="eastAsia" w:ascii="宋体" w:hAnsi="宋体" w:cs="宋体"/>
          <w:b/>
          <w:bCs/>
          <w:kern w:val="0"/>
          <w:sz w:val="30"/>
          <w:szCs w:val="30"/>
          <w:highlight w:val="none"/>
        </w:rPr>
        <w:t>采购人（盖章）</w:t>
      </w:r>
      <w:r>
        <w:rPr>
          <w:rFonts w:hint="eastAsia" w:ascii="宋体" w:hAnsi="宋体" w:cs="宋体"/>
          <w:b/>
          <w:bCs/>
          <w:sz w:val="30"/>
          <w:szCs w:val="30"/>
          <w:highlight w:val="none"/>
        </w:rPr>
        <w:t>：</w:t>
      </w:r>
      <w:r>
        <w:rPr>
          <w:rFonts w:hint="eastAsia" w:ascii="宋体" w:hAnsi="宋体" w:cs="宋体"/>
          <w:b/>
          <w:bCs/>
          <w:sz w:val="30"/>
          <w:szCs w:val="30"/>
          <w:highlight w:val="none"/>
          <w:lang w:eastAsia="zh-CN"/>
        </w:rPr>
        <w:t>吐鲁番市消防救援支队</w:t>
      </w:r>
    </w:p>
    <w:p w14:paraId="380012FE">
      <w:pPr>
        <w:spacing w:line="360" w:lineRule="auto"/>
        <w:rPr>
          <w:rFonts w:hint="eastAsia" w:ascii="宋体" w:hAnsi="宋体" w:eastAsia="宋体" w:cs="宋体"/>
          <w:b/>
          <w:bCs/>
          <w:sz w:val="30"/>
          <w:szCs w:val="30"/>
          <w:highlight w:val="none"/>
          <w:lang w:eastAsia="zh-CN"/>
        </w:rPr>
      </w:pPr>
      <w:r>
        <w:rPr>
          <w:rFonts w:hint="eastAsia" w:ascii="宋体" w:hAnsi="宋体" w:cs="宋体"/>
          <w:b/>
          <w:bCs/>
          <w:sz w:val="30"/>
          <w:szCs w:val="30"/>
          <w:highlight w:val="none"/>
        </w:rPr>
        <w:t>联系人：</w:t>
      </w:r>
      <w:r>
        <w:rPr>
          <w:rFonts w:hint="eastAsia" w:ascii="宋体" w:hAnsi="宋体" w:cs="宋体"/>
          <w:b/>
          <w:bCs/>
          <w:sz w:val="30"/>
          <w:szCs w:val="30"/>
          <w:highlight w:val="none"/>
          <w:lang w:eastAsia="zh-CN"/>
        </w:rPr>
        <w:t>孔伟</w:t>
      </w:r>
    </w:p>
    <w:p w14:paraId="4BFCA778">
      <w:pPr>
        <w:spacing w:line="360" w:lineRule="auto"/>
        <w:rPr>
          <w:rFonts w:hint="eastAsia" w:ascii="宋体" w:hAnsi="宋体" w:eastAsia="宋体" w:cs="宋体"/>
          <w:b/>
          <w:bCs/>
          <w:sz w:val="30"/>
          <w:szCs w:val="30"/>
          <w:highlight w:val="none"/>
          <w:lang w:eastAsia="zh-CN"/>
        </w:rPr>
      </w:pPr>
      <w:r>
        <w:rPr>
          <w:rFonts w:hint="eastAsia" w:ascii="宋体" w:hAnsi="宋体" w:cs="宋体"/>
          <w:b/>
          <w:bCs/>
          <w:sz w:val="30"/>
          <w:szCs w:val="30"/>
          <w:highlight w:val="none"/>
        </w:rPr>
        <w:t>联系电话：</w:t>
      </w:r>
      <w:r>
        <w:rPr>
          <w:rFonts w:hint="eastAsia" w:ascii="宋体" w:hAnsi="宋体" w:cs="宋体"/>
          <w:b/>
          <w:bCs/>
          <w:sz w:val="30"/>
          <w:szCs w:val="30"/>
          <w:highlight w:val="none"/>
          <w:lang w:eastAsia="zh-CN"/>
        </w:rPr>
        <w:t>19999535095</w:t>
      </w:r>
      <w:bookmarkStart w:id="80" w:name="_GoBack"/>
      <w:bookmarkEnd w:id="80"/>
    </w:p>
    <w:p w14:paraId="24941258">
      <w:pPr>
        <w:spacing w:line="360" w:lineRule="auto"/>
        <w:rPr>
          <w:rFonts w:ascii="宋体" w:hAnsi="宋体" w:cs="宋体"/>
          <w:b/>
          <w:bCs/>
          <w:sz w:val="30"/>
          <w:szCs w:val="30"/>
          <w:highlight w:val="none"/>
        </w:rPr>
      </w:pPr>
      <w:r>
        <w:rPr>
          <w:rFonts w:hint="eastAsia" w:ascii="宋体" w:hAnsi="宋体" w:cs="宋体"/>
          <w:b/>
          <w:bCs/>
          <w:sz w:val="30"/>
          <w:szCs w:val="30"/>
          <w:highlight w:val="none"/>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0</wp:posOffset>
                </wp:positionV>
                <wp:extent cx="6019800"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6019800" cy="0"/>
                        </a:xfrm>
                        <a:prstGeom prst="line">
                          <a:avLst/>
                        </a:prstGeom>
                        <a:ln w="12700" cap="flat" cmpd="sng">
                          <a:solidFill>
                            <a:srgbClr val="000000"/>
                          </a:solidFill>
                          <a:prstDash val="sysDot"/>
                          <a:headEnd type="none" w="med" len="med"/>
                          <a:tailEnd type="none" w="med" len="med"/>
                        </a:ln>
                        <a:effectLst/>
                      </wps:spPr>
                      <wps:bodyPr/>
                    </wps:wsp>
                  </a:graphicData>
                </a:graphic>
              </wp:anchor>
            </w:drawing>
          </mc:Choice>
          <mc:Fallback>
            <w:pict>
              <v:line id="_x0000_s1026" o:spid="_x0000_s1026" o:spt="20" style="position:absolute;left:0pt;margin-left:-9pt;margin-top:0pt;height:0pt;width:474pt;z-index:251659264;mso-width-relative:page;mso-height-relative:page;" filled="f" stroked="t" coordsize="21600,21600" o:gfxdata="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jxY7g9MAAAAFAQAADwAAAAAAAAABACAAAAAiAAAAZHJzL2Rvd25yZXYueG1sUEsBAhQAFAAAAAgA&#10;h07iQCY6lI3xAQAA6AMAAA4AAAAAAAAAAQAgAAAAIgEAAGRycy9lMm9Eb2MueG1sUEsFBgAAAAAG&#10;AAYAWQEAAIUFAAAAAA==&#10;">
                <v:fill on="f" focussize="0,0"/>
                <v:stroke weight="1pt" color="#000000" joinstyle="round" dashstyle="1 1"/>
                <v:imagedata o:title=""/>
                <o:lock v:ext="edit" aspectratio="f"/>
              </v:line>
            </w:pict>
          </mc:Fallback>
        </mc:AlternateContent>
      </w:r>
    </w:p>
    <w:p w14:paraId="57704B2C">
      <w:pPr>
        <w:spacing w:line="360" w:lineRule="auto"/>
        <w:rPr>
          <w:rFonts w:hint="eastAsia" w:ascii="宋体" w:hAnsi="宋体" w:eastAsia="宋体" w:cs="宋体"/>
          <w:b/>
          <w:bCs/>
          <w:kern w:val="0"/>
          <w:sz w:val="30"/>
          <w:szCs w:val="30"/>
          <w:highlight w:val="none"/>
          <w:lang w:eastAsia="zh-CN"/>
        </w:rPr>
      </w:pPr>
      <w:r>
        <w:rPr>
          <w:rFonts w:hint="eastAsia" w:ascii="宋体" w:hAnsi="宋体" w:cs="宋体"/>
          <w:b/>
          <w:bCs/>
          <w:kern w:val="0"/>
          <w:sz w:val="30"/>
          <w:szCs w:val="30"/>
          <w:highlight w:val="none"/>
        </w:rPr>
        <w:t>招标代理机构（盖章）：</w:t>
      </w:r>
      <w:r>
        <w:rPr>
          <w:rFonts w:hint="eastAsia" w:hAnsi="宋体" w:cs="宋体"/>
          <w:b/>
          <w:bCs/>
          <w:kern w:val="0"/>
          <w:sz w:val="30"/>
          <w:szCs w:val="30"/>
          <w:highlight w:val="none"/>
          <w:lang w:eastAsia="zh-CN"/>
        </w:rPr>
        <w:t>腾德工程咨询有限公司</w:t>
      </w:r>
    </w:p>
    <w:p w14:paraId="5A88347C">
      <w:pPr>
        <w:spacing w:line="360" w:lineRule="auto"/>
        <w:rPr>
          <w:rFonts w:hint="eastAsia" w:ascii="宋体" w:hAnsi="宋体" w:eastAsia="宋体" w:cs="宋体"/>
          <w:b/>
          <w:bCs/>
          <w:sz w:val="30"/>
          <w:szCs w:val="30"/>
          <w:highlight w:val="none"/>
          <w:lang w:eastAsia="zh-CN"/>
        </w:rPr>
      </w:pPr>
      <w:r>
        <w:rPr>
          <w:rFonts w:hint="eastAsia" w:ascii="宋体" w:hAnsi="宋体" w:cs="宋体"/>
          <w:b/>
          <w:bCs/>
          <w:kern w:val="0"/>
          <w:sz w:val="30"/>
          <w:szCs w:val="30"/>
          <w:highlight w:val="none"/>
        </w:rPr>
        <w:t>联系人</w:t>
      </w:r>
      <w:r>
        <w:rPr>
          <w:rFonts w:hint="eastAsia" w:ascii="宋体" w:hAnsi="宋体" w:cs="宋体"/>
          <w:b/>
          <w:bCs/>
          <w:sz w:val="30"/>
          <w:szCs w:val="30"/>
          <w:highlight w:val="none"/>
        </w:rPr>
        <w:t>：</w:t>
      </w:r>
      <w:r>
        <w:rPr>
          <w:rFonts w:hint="eastAsia" w:ascii="宋体" w:hAnsi="宋体" w:cs="宋体"/>
          <w:b/>
          <w:bCs/>
          <w:sz w:val="30"/>
          <w:szCs w:val="30"/>
          <w:highlight w:val="none"/>
          <w:lang w:eastAsia="zh-CN"/>
        </w:rPr>
        <w:t>蔡裕强</w:t>
      </w:r>
    </w:p>
    <w:p w14:paraId="58B00DCE">
      <w:pPr>
        <w:spacing w:line="360" w:lineRule="auto"/>
        <w:rPr>
          <w:rFonts w:hint="eastAsia" w:eastAsia="宋体" w:cs="宋体"/>
          <w:b/>
          <w:bCs/>
          <w:sz w:val="30"/>
          <w:szCs w:val="30"/>
          <w:highlight w:val="none"/>
          <w:lang w:eastAsia="zh-CN"/>
        </w:rPr>
      </w:pPr>
      <w:r>
        <w:rPr>
          <w:rFonts w:hint="eastAsia" w:hAnsi="宋体" w:cs="宋体"/>
          <w:b/>
          <w:bCs/>
          <w:kern w:val="0"/>
          <w:sz w:val="30"/>
          <w:szCs w:val="30"/>
          <w:highlight w:val="none"/>
        </w:rPr>
        <w:t>联系</w:t>
      </w:r>
      <w:r>
        <w:rPr>
          <w:rFonts w:hint="eastAsia" w:ascii="宋体" w:hAnsi="宋体" w:cs="宋体"/>
          <w:b/>
          <w:bCs/>
          <w:kern w:val="0"/>
          <w:sz w:val="30"/>
          <w:szCs w:val="30"/>
          <w:highlight w:val="none"/>
        </w:rPr>
        <w:t>电话</w:t>
      </w:r>
      <w:r>
        <w:rPr>
          <w:rFonts w:hint="eastAsia" w:ascii="宋体" w:hAnsi="宋体" w:cs="宋体"/>
          <w:b/>
          <w:bCs/>
          <w:sz w:val="30"/>
          <w:szCs w:val="30"/>
          <w:highlight w:val="none"/>
        </w:rPr>
        <w:t>：</w:t>
      </w:r>
      <w:r>
        <w:rPr>
          <w:rFonts w:hint="eastAsia" w:cs="宋体"/>
          <w:b/>
          <w:bCs/>
          <w:sz w:val="30"/>
          <w:szCs w:val="30"/>
          <w:highlight w:val="none"/>
          <w:lang w:eastAsia="zh-CN"/>
        </w:rPr>
        <w:t>18299292148</w:t>
      </w:r>
    </w:p>
    <w:p w14:paraId="33F56B7E">
      <w:pPr>
        <w:spacing w:line="360" w:lineRule="auto"/>
        <w:rPr>
          <w:highlight w:val="none"/>
        </w:rPr>
      </w:pPr>
    </w:p>
    <w:p w14:paraId="42C1CAAE">
      <w:pPr>
        <w:pStyle w:val="129"/>
        <w:spacing w:before="0" w:line="360" w:lineRule="auto"/>
        <w:jc w:val="center"/>
        <w:rPr>
          <w:color w:val="auto"/>
          <w:sz w:val="44"/>
          <w:szCs w:val="44"/>
          <w:highlight w:val="none"/>
          <w:lang w:val="zh-CN"/>
        </w:rPr>
        <w:sectPr>
          <w:headerReference r:id="rId3" w:type="first"/>
          <w:footerReference r:id="rId5" w:type="first"/>
          <w:footerReference r:id="rId4" w:type="default"/>
          <w:pgSz w:w="11906" w:h="16838"/>
          <w:pgMar w:top="1418" w:right="1417" w:bottom="1418" w:left="1417" w:header="851" w:footer="907" w:gutter="0"/>
          <w:pgNumType w:start="1"/>
          <w:cols w:space="720" w:num="1"/>
          <w:docGrid w:type="lines" w:linePitch="290" w:charSpace="0"/>
        </w:sectPr>
      </w:pPr>
      <w:bookmarkStart w:id="0" w:name="_Toc120614210"/>
      <w:bookmarkStart w:id="1" w:name="_Toc494375077"/>
      <w:bookmarkStart w:id="2" w:name="_Toc16938516"/>
      <w:bookmarkStart w:id="3" w:name="_Toc20823272"/>
      <w:bookmarkStart w:id="4" w:name="_Toc479757206"/>
      <w:bookmarkStart w:id="5" w:name="_Toc523127445"/>
      <w:bookmarkStart w:id="6" w:name="_Toc513029200"/>
    </w:p>
    <w:p w14:paraId="360BA103">
      <w:pPr>
        <w:pStyle w:val="129"/>
        <w:spacing w:before="0" w:line="360" w:lineRule="auto"/>
        <w:jc w:val="center"/>
        <w:rPr>
          <w:color w:val="auto"/>
          <w:sz w:val="44"/>
          <w:szCs w:val="44"/>
          <w:highlight w:val="none"/>
          <w:lang w:val="zh-CN"/>
        </w:rPr>
      </w:pPr>
      <w:r>
        <w:rPr>
          <w:color w:val="auto"/>
          <w:sz w:val="44"/>
          <w:szCs w:val="44"/>
          <w:highlight w:val="none"/>
          <w:lang w:val="zh-CN"/>
        </w:rPr>
        <w:t>目录</w:t>
      </w:r>
    </w:p>
    <w:p w14:paraId="7D618BF7">
      <w:pPr>
        <w:spacing w:line="360" w:lineRule="auto"/>
        <w:rPr>
          <w:sz w:val="44"/>
          <w:szCs w:val="44"/>
          <w:highlight w:val="none"/>
          <w:lang w:val="zh-CN"/>
        </w:rPr>
      </w:pPr>
    </w:p>
    <w:p w14:paraId="51F0D7E7">
      <w:pPr>
        <w:pStyle w:val="20"/>
        <w:tabs>
          <w:tab w:val="right" w:leader="dot" w:pos="9072"/>
        </w:tabs>
        <w:spacing w:after="0" w:line="360" w:lineRule="auto"/>
        <w:rPr>
          <w:sz w:val="28"/>
          <w:szCs w:val="28"/>
          <w:highlight w:val="none"/>
        </w:rPr>
      </w:pPr>
      <w:r>
        <w:rPr>
          <w:sz w:val="28"/>
          <w:szCs w:val="28"/>
          <w:highlight w:val="none"/>
        </w:rPr>
        <w:fldChar w:fldCharType="begin"/>
      </w:r>
      <w:r>
        <w:rPr>
          <w:sz w:val="28"/>
          <w:szCs w:val="28"/>
          <w:highlight w:val="none"/>
        </w:rPr>
        <w:instrText xml:space="preserve">TOC \o "1-1" \h \u </w:instrText>
      </w:r>
      <w:r>
        <w:rPr>
          <w:sz w:val="28"/>
          <w:szCs w:val="28"/>
          <w:highlight w:val="none"/>
        </w:rPr>
        <w:fldChar w:fldCharType="separate"/>
      </w:r>
      <w:r>
        <w:rPr>
          <w:highlight w:val="none"/>
        </w:rPr>
        <w:fldChar w:fldCharType="begin"/>
      </w:r>
      <w:r>
        <w:rPr>
          <w:highlight w:val="none"/>
        </w:rPr>
        <w:instrText xml:space="preserve"> HYPERLINK \l "_Toc26965" </w:instrText>
      </w:r>
      <w:r>
        <w:rPr>
          <w:highlight w:val="none"/>
        </w:rPr>
        <w:fldChar w:fldCharType="separate"/>
      </w:r>
      <w:r>
        <w:rPr>
          <w:rFonts w:hint="eastAsia"/>
          <w:sz w:val="28"/>
          <w:szCs w:val="28"/>
          <w:highlight w:val="none"/>
        </w:rPr>
        <w:t>须知前附表</w:t>
      </w:r>
      <w:r>
        <w:rPr>
          <w:sz w:val="28"/>
          <w:szCs w:val="28"/>
          <w:highlight w:val="none"/>
        </w:rPr>
        <w:tab/>
      </w:r>
      <w:r>
        <w:rPr>
          <w:sz w:val="28"/>
          <w:szCs w:val="28"/>
          <w:highlight w:val="none"/>
        </w:rPr>
        <w:fldChar w:fldCharType="begin"/>
      </w:r>
      <w:r>
        <w:rPr>
          <w:sz w:val="28"/>
          <w:szCs w:val="28"/>
          <w:highlight w:val="none"/>
        </w:rPr>
        <w:instrText xml:space="preserve"> PAGEREF _Toc26965 \h </w:instrText>
      </w:r>
      <w:r>
        <w:rPr>
          <w:sz w:val="28"/>
          <w:szCs w:val="28"/>
          <w:highlight w:val="none"/>
        </w:rPr>
        <w:fldChar w:fldCharType="separate"/>
      </w:r>
      <w:r>
        <w:rPr>
          <w:sz w:val="28"/>
          <w:szCs w:val="28"/>
          <w:highlight w:val="none"/>
        </w:rPr>
        <w:t>3</w:t>
      </w:r>
      <w:r>
        <w:rPr>
          <w:sz w:val="28"/>
          <w:szCs w:val="28"/>
          <w:highlight w:val="none"/>
        </w:rPr>
        <w:fldChar w:fldCharType="end"/>
      </w:r>
      <w:r>
        <w:rPr>
          <w:sz w:val="28"/>
          <w:szCs w:val="28"/>
          <w:highlight w:val="none"/>
        </w:rPr>
        <w:fldChar w:fldCharType="end"/>
      </w:r>
    </w:p>
    <w:p w14:paraId="799F4996">
      <w:pPr>
        <w:pStyle w:val="20"/>
        <w:tabs>
          <w:tab w:val="right" w:leader="dot" w:pos="9072"/>
        </w:tabs>
        <w:spacing w:after="0" w:line="360" w:lineRule="auto"/>
        <w:rPr>
          <w:sz w:val="28"/>
          <w:szCs w:val="28"/>
          <w:highlight w:val="none"/>
        </w:rPr>
      </w:pPr>
      <w:r>
        <w:rPr>
          <w:highlight w:val="none"/>
        </w:rPr>
        <w:fldChar w:fldCharType="begin"/>
      </w:r>
      <w:r>
        <w:rPr>
          <w:highlight w:val="none"/>
        </w:rPr>
        <w:instrText xml:space="preserve"> HYPERLINK \l "_Toc32510" </w:instrText>
      </w:r>
      <w:r>
        <w:rPr>
          <w:highlight w:val="none"/>
        </w:rPr>
        <w:fldChar w:fldCharType="separate"/>
      </w:r>
      <w:r>
        <w:rPr>
          <w:rFonts w:hint="eastAsia"/>
          <w:sz w:val="28"/>
          <w:szCs w:val="28"/>
          <w:highlight w:val="none"/>
        </w:rPr>
        <w:t xml:space="preserve">第一章 </w:t>
      </w:r>
      <w:r>
        <w:rPr>
          <w:rFonts w:hint="eastAsia"/>
          <w:sz w:val="28"/>
          <w:szCs w:val="28"/>
          <w:highlight w:val="none"/>
          <w:lang w:val="en-US" w:eastAsia="zh-CN"/>
        </w:rPr>
        <w:t>采购公告</w:t>
      </w:r>
      <w:r>
        <w:rPr>
          <w:sz w:val="28"/>
          <w:szCs w:val="28"/>
          <w:highlight w:val="none"/>
        </w:rPr>
        <w:tab/>
      </w:r>
      <w:r>
        <w:rPr>
          <w:sz w:val="28"/>
          <w:szCs w:val="28"/>
          <w:highlight w:val="none"/>
        </w:rPr>
        <w:fldChar w:fldCharType="begin"/>
      </w:r>
      <w:r>
        <w:rPr>
          <w:sz w:val="28"/>
          <w:szCs w:val="28"/>
          <w:highlight w:val="none"/>
        </w:rPr>
        <w:instrText xml:space="preserve"> PAGEREF _Toc32510 \h </w:instrText>
      </w:r>
      <w:r>
        <w:rPr>
          <w:sz w:val="28"/>
          <w:szCs w:val="28"/>
          <w:highlight w:val="none"/>
        </w:rPr>
        <w:fldChar w:fldCharType="separate"/>
      </w:r>
      <w:r>
        <w:rPr>
          <w:sz w:val="28"/>
          <w:szCs w:val="28"/>
          <w:highlight w:val="none"/>
        </w:rPr>
        <w:t>8</w:t>
      </w:r>
      <w:r>
        <w:rPr>
          <w:sz w:val="28"/>
          <w:szCs w:val="28"/>
          <w:highlight w:val="none"/>
        </w:rPr>
        <w:fldChar w:fldCharType="end"/>
      </w:r>
      <w:r>
        <w:rPr>
          <w:sz w:val="28"/>
          <w:szCs w:val="28"/>
          <w:highlight w:val="none"/>
        </w:rPr>
        <w:fldChar w:fldCharType="end"/>
      </w:r>
    </w:p>
    <w:p w14:paraId="06825801">
      <w:pPr>
        <w:pStyle w:val="20"/>
        <w:tabs>
          <w:tab w:val="right" w:leader="dot" w:pos="9072"/>
        </w:tabs>
        <w:spacing w:after="0" w:line="360" w:lineRule="auto"/>
        <w:rPr>
          <w:sz w:val="28"/>
          <w:szCs w:val="28"/>
          <w:highlight w:val="none"/>
        </w:rPr>
      </w:pPr>
      <w:r>
        <w:rPr>
          <w:highlight w:val="none"/>
        </w:rPr>
        <w:fldChar w:fldCharType="begin"/>
      </w:r>
      <w:r>
        <w:rPr>
          <w:highlight w:val="none"/>
        </w:rPr>
        <w:instrText xml:space="preserve"> HYPERLINK \l "_Toc26763" </w:instrText>
      </w:r>
      <w:r>
        <w:rPr>
          <w:highlight w:val="none"/>
        </w:rPr>
        <w:fldChar w:fldCharType="separate"/>
      </w:r>
      <w:r>
        <w:rPr>
          <w:rFonts w:hint="eastAsia"/>
          <w:sz w:val="28"/>
          <w:szCs w:val="28"/>
          <w:highlight w:val="none"/>
        </w:rPr>
        <w:t>第二章 投标人须知</w:t>
      </w:r>
      <w:r>
        <w:rPr>
          <w:sz w:val="28"/>
          <w:szCs w:val="28"/>
          <w:highlight w:val="none"/>
        </w:rPr>
        <w:tab/>
      </w:r>
      <w:r>
        <w:rPr>
          <w:sz w:val="28"/>
          <w:szCs w:val="28"/>
          <w:highlight w:val="none"/>
        </w:rPr>
        <w:fldChar w:fldCharType="begin"/>
      </w:r>
      <w:r>
        <w:rPr>
          <w:sz w:val="28"/>
          <w:szCs w:val="28"/>
          <w:highlight w:val="none"/>
        </w:rPr>
        <w:instrText xml:space="preserve"> PAGEREF _Toc26763 \h </w:instrText>
      </w:r>
      <w:r>
        <w:rPr>
          <w:sz w:val="28"/>
          <w:szCs w:val="28"/>
          <w:highlight w:val="none"/>
        </w:rPr>
        <w:fldChar w:fldCharType="separate"/>
      </w:r>
      <w:r>
        <w:rPr>
          <w:sz w:val="28"/>
          <w:szCs w:val="28"/>
          <w:highlight w:val="none"/>
        </w:rPr>
        <w:t>12</w:t>
      </w:r>
      <w:r>
        <w:rPr>
          <w:sz w:val="28"/>
          <w:szCs w:val="28"/>
          <w:highlight w:val="none"/>
        </w:rPr>
        <w:fldChar w:fldCharType="end"/>
      </w:r>
      <w:r>
        <w:rPr>
          <w:sz w:val="28"/>
          <w:szCs w:val="28"/>
          <w:highlight w:val="none"/>
        </w:rPr>
        <w:fldChar w:fldCharType="end"/>
      </w:r>
    </w:p>
    <w:p w14:paraId="51661E9F">
      <w:pPr>
        <w:pStyle w:val="20"/>
        <w:tabs>
          <w:tab w:val="right" w:leader="dot" w:pos="9072"/>
        </w:tabs>
        <w:spacing w:after="0" w:line="360" w:lineRule="auto"/>
        <w:rPr>
          <w:sz w:val="28"/>
          <w:szCs w:val="28"/>
          <w:highlight w:val="none"/>
        </w:rPr>
      </w:pPr>
      <w:r>
        <w:rPr>
          <w:highlight w:val="none"/>
        </w:rPr>
        <w:fldChar w:fldCharType="begin"/>
      </w:r>
      <w:r>
        <w:rPr>
          <w:highlight w:val="none"/>
        </w:rPr>
        <w:instrText xml:space="preserve"> HYPERLINK \l "_Toc30905" </w:instrText>
      </w:r>
      <w:r>
        <w:rPr>
          <w:highlight w:val="none"/>
        </w:rPr>
        <w:fldChar w:fldCharType="separate"/>
      </w:r>
      <w:r>
        <w:rPr>
          <w:rFonts w:hint="eastAsia"/>
          <w:sz w:val="28"/>
          <w:szCs w:val="28"/>
          <w:highlight w:val="none"/>
        </w:rPr>
        <w:t>第三章 评分办法及评分标准</w:t>
      </w:r>
      <w:r>
        <w:rPr>
          <w:sz w:val="28"/>
          <w:szCs w:val="28"/>
          <w:highlight w:val="none"/>
        </w:rPr>
        <w:tab/>
      </w:r>
      <w:r>
        <w:rPr>
          <w:sz w:val="28"/>
          <w:szCs w:val="28"/>
          <w:highlight w:val="none"/>
        </w:rPr>
        <w:fldChar w:fldCharType="begin"/>
      </w:r>
      <w:r>
        <w:rPr>
          <w:sz w:val="28"/>
          <w:szCs w:val="28"/>
          <w:highlight w:val="none"/>
        </w:rPr>
        <w:instrText xml:space="preserve"> PAGEREF _Toc30905 \h </w:instrText>
      </w:r>
      <w:r>
        <w:rPr>
          <w:sz w:val="28"/>
          <w:szCs w:val="28"/>
          <w:highlight w:val="none"/>
        </w:rPr>
        <w:fldChar w:fldCharType="separate"/>
      </w:r>
      <w:r>
        <w:rPr>
          <w:b/>
        </w:rPr>
        <w:t>错误！未定义书签。</w:t>
      </w:r>
      <w:r>
        <w:rPr>
          <w:sz w:val="28"/>
          <w:szCs w:val="28"/>
          <w:highlight w:val="none"/>
        </w:rPr>
        <w:fldChar w:fldCharType="end"/>
      </w:r>
      <w:r>
        <w:rPr>
          <w:sz w:val="28"/>
          <w:szCs w:val="28"/>
          <w:highlight w:val="none"/>
        </w:rPr>
        <w:fldChar w:fldCharType="end"/>
      </w:r>
    </w:p>
    <w:p w14:paraId="18DAF9DF">
      <w:pPr>
        <w:pStyle w:val="20"/>
        <w:tabs>
          <w:tab w:val="right" w:leader="dot" w:pos="9072"/>
        </w:tabs>
        <w:spacing w:after="0" w:line="360" w:lineRule="auto"/>
        <w:rPr>
          <w:sz w:val="28"/>
          <w:szCs w:val="28"/>
          <w:highlight w:val="none"/>
        </w:rPr>
      </w:pPr>
      <w:r>
        <w:rPr>
          <w:highlight w:val="none"/>
        </w:rPr>
        <w:fldChar w:fldCharType="begin"/>
      </w:r>
      <w:r>
        <w:rPr>
          <w:highlight w:val="none"/>
        </w:rPr>
        <w:instrText xml:space="preserve"> HYPERLINK \l "_Toc15450" </w:instrText>
      </w:r>
      <w:r>
        <w:rPr>
          <w:highlight w:val="none"/>
        </w:rPr>
        <w:fldChar w:fldCharType="separate"/>
      </w:r>
      <w:r>
        <w:rPr>
          <w:rFonts w:hint="eastAsia"/>
          <w:sz w:val="28"/>
          <w:szCs w:val="28"/>
          <w:highlight w:val="none"/>
        </w:rPr>
        <w:t xml:space="preserve">第四章 </w:t>
      </w:r>
      <w:r>
        <w:rPr>
          <w:rFonts w:hint="eastAsia"/>
          <w:sz w:val="28"/>
          <w:szCs w:val="28"/>
          <w:highlight w:val="none"/>
          <w:lang w:eastAsia="en-US"/>
        </w:rPr>
        <w:t>拟订立的合同样本</w:t>
      </w:r>
      <w:r>
        <w:rPr>
          <w:sz w:val="28"/>
          <w:szCs w:val="28"/>
          <w:highlight w:val="none"/>
        </w:rPr>
        <w:tab/>
      </w:r>
      <w:r>
        <w:rPr>
          <w:sz w:val="28"/>
          <w:szCs w:val="28"/>
          <w:highlight w:val="none"/>
        </w:rPr>
        <w:fldChar w:fldCharType="begin"/>
      </w:r>
      <w:r>
        <w:rPr>
          <w:sz w:val="28"/>
          <w:szCs w:val="28"/>
          <w:highlight w:val="none"/>
        </w:rPr>
        <w:instrText xml:space="preserve"> PAGEREF _Toc15450 \h </w:instrText>
      </w:r>
      <w:r>
        <w:rPr>
          <w:sz w:val="28"/>
          <w:szCs w:val="28"/>
          <w:highlight w:val="none"/>
        </w:rPr>
        <w:fldChar w:fldCharType="separate"/>
      </w:r>
      <w:r>
        <w:rPr>
          <w:sz w:val="28"/>
          <w:szCs w:val="28"/>
          <w:highlight w:val="none"/>
        </w:rPr>
        <w:t>7</w:t>
      </w:r>
      <w:r>
        <w:rPr>
          <w:sz w:val="28"/>
          <w:szCs w:val="28"/>
          <w:highlight w:val="none"/>
        </w:rPr>
        <w:fldChar w:fldCharType="end"/>
      </w:r>
      <w:r>
        <w:rPr>
          <w:sz w:val="28"/>
          <w:szCs w:val="28"/>
          <w:highlight w:val="none"/>
        </w:rPr>
        <w:fldChar w:fldCharType="end"/>
      </w:r>
    </w:p>
    <w:p w14:paraId="0C04DE00">
      <w:pPr>
        <w:pStyle w:val="20"/>
        <w:tabs>
          <w:tab w:val="right" w:leader="dot" w:pos="9072"/>
        </w:tabs>
        <w:spacing w:after="0" w:line="360" w:lineRule="auto"/>
        <w:rPr>
          <w:sz w:val="28"/>
          <w:szCs w:val="28"/>
          <w:highlight w:val="none"/>
        </w:rPr>
      </w:pPr>
      <w:r>
        <w:rPr>
          <w:highlight w:val="none"/>
        </w:rPr>
        <w:fldChar w:fldCharType="begin"/>
      </w:r>
      <w:r>
        <w:rPr>
          <w:highlight w:val="none"/>
        </w:rPr>
        <w:instrText xml:space="preserve"> HYPERLINK \l "_Toc17639" </w:instrText>
      </w:r>
      <w:r>
        <w:rPr>
          <w:highlight w:val="none"/>
        </w:rPr>
        <w:fldChar w:fldCharType="separate"/>
      </w:r>
      <w:r>
        <w:rPr>
          <w:rFonts w:hint="eastAsia"/>
          <w:sz w:val="28"/>
          <w:szCs w:val="28"/>
          <w:highlight w:val="none"/>
        </w:rPr>
        <w:t xml:space="preserve">第五章 </w:t>
      </w:r>
      <w:r>
        <w:rPr>
          <w:rFonts w:hint="eastAsia"/>
          <w:sz w:val="28"/>
          <w:szCs w:val="28"/>
          <w:highlight w:val="none"/>
          <w:lang w:eastAsia="zh-CN"/>
        </w:rPr>
        <w:t>响应文件</w:t>
      </w:r>
      <w:r>
        <w:rPr>
          <w:rFonts w:hint="eastAsia"/>
          <w:sz w:val="28"/>
          <w:szCs w:val="28"/>
          <w:highlight w:val="none"/>
        </w:rPr>
        <w:t>格式</w:t>
      </w:r>
      <w:r>
        <w:rPr>
          <w:sz w:val="28"/>
          <w:szCs w:val="28"/>
          <w:highlight w:val="none"/>
        </w:rPr>
        <w:tab/>
      </w:r>
      <w:r>
        <w:rPr>
          <w:sz w:val="28"/>
          <w:szCs w:val="28"/>
          <w:highlight w:val="none"/>
        </w:rPr>
        <w:fldChar w:fldCharType="begin"/>
      </w:r>
      <w:r>
        <w:rPr>
          <w:sz w:val="28"/>
          <w:szCs w:val="28"/>
          <w:highlight w:val="none"/>
        </w:rPr>
        <w:instrText xml:space="preserve"> PAGEREF _Toc17639 \h </w:instrText>
      </w:r>
      <w:r>
        <w:rPr>
          <w:sz w:val="28"/>
          <w:szCs w:val="28"/>
          <w:highlight w:val="none"/>
        </w:rPr>
        <w:fldChar w:fldCharType="separate"/>
      </w:r>
      <w:r>
        <w:rPr>
          <w:sz w:val="28"/>
          <w:szCs w:val="28"/>
          <w:highlight w:val="none"/>
        </w:rPr>
        <w:t>12</w:t>
      </w:r>
      <w:r>
        <w:rPr>
          <w:sz w:val="28"/>
          <w:szCs w:val="28"/>
          <w:highlight w:val="none"/>
        </w:rPr>
        <w:fldChar w:fldCharType="end"/>
      </w:r>
      <w:r>
        <w:rPr>
          <w:sz w:val="28"/>
          <w:szCs w:val="28"/>
          <w:highlight w:val="none"/>
        </w:rPr>
        <w:fldChar w:fldCharType="end"/>
      </w:r>
    </w:p>
    <w:p w14:paraId="071C06D0">
      <w:pPr>
        <w:pStyle w:val="20"/>
        <w:tabs>
          <w:tab w:val="right" w:leader="dot" w:pos="9072"/>
        </w:tabs>
        <w:spacing w:after="0" w:line="360" w:lineRule="auto"/>
        <w:rPr>
          <w:highlight w:val="none"/>
        </w:rPr>
      </w:pPr>
      <w:r>
        <w:rPr>
          <w:highlight w:val="none"/>
        </w:rPr>
        <w:fldChar w:fldCharType="begin"/>
      </w:r>
      <w:r>
        <w:rPr>
          <w:highlight w:val="none"/>
        </w:rPr>
        <w:instrText xml:space="preserve"> HYPERLINK \l "_Toc24870" </w:instrText>
      </w:r>
      <w:r>
        <w:rPr>
          <w:highlight w:val="none"/>
        </w:rPr>
        <w:fldChar w:fldCharType="separate"/>
      </w:r>
      <w:r>
        <w:rPr>
          <w:rFonts w:hint="eastAsia"/>
          <w:sz w:val="28"/>
          <w:szCs w:val="28"/>
          <w:highlight w:val="none"/>
        </w:rPr>
        <w:t>第六章 项目需求</w:t>
      </w:r>
      <w:r>
        <w:rPr>
          <w:sz w:val="28"/>
          <w:szCs w:val="28"/>
          <w:highlight w:val="none"/>
        </w:rPr>
        <w:tab/>
      </w:r>
      <w:r>
        <w:rPr>
          <w:sz w:val="28"/>
          <w:szCs w:val="28"/>
          <w:highlight w:val="none"/>
        </w:rPr>
        <w:fldChar w:fldCharType="begin"/>
      </w:r>
      <w:r>
        <w:rPr>
          <w:sz w:val="28"/>
          <w:szCs w:val="28"/>
          <w:highlight w:val="none"/>
        </w:rPr>
        <w:instrText xml:space="preserve"> PAGEREF _Toc24870 \h </w:instrText>
      </w:r>
      <w:r>
        <w:rPr>
          <w:sz w:val="28"/>
          <w:szCs w:val="28"/>
          <w:highlight w:val="none"/>
        </w:rPr>
        <w:fldChar w:fldCharType="separate"/>
      </w:r>
      <w:r>
        <w:rPr>
          <w:sz w:val="28"/>
          <w:szCs w:val="28"/>
          <w:highlight w:val="none"/>
        </w:rPr>
        <w:t>34</w:t>
      </w:r>
      <w:r>
        <w:rPr>
          <w:sz w:val="28"/>
          <w:szCs w:val="28"/>
          <w:highlight w:val="none"/>
        </w:rPr>
        <w:fldChar w:fldCharType="end"/>
      </w:r>
      <w:r>
        <w:rPr>
          <w:sz w:val="28"/>
          <w:szCs w:val="28"/>
          <w:highlight w:val="none"/>
        </w:rPr>
        <w:fldChar w:fldCharType="end"/>
      </w:r>
    </w:p>
    <w:p w14:paraId="2D9DB8B2">
      <w:pPr>
        <w:spacing w:line="360" w:lineRule="auto"/>
        <w:rPr>
          <w:highlight w:val="none"/>
        </w:rPr>
      </w:pPr>
      <w:r>
        <w:rPr>
          <w:szCs w:val="28"/>
          <w:highlight w:val="none"/>
        </w:rPr>
        <w:fldChar w:fldCharType="end"/>
      </w:r>
    </w:p>
    <w:p w14:paraId="158C9396">
      <w:pPr>
        <w:spacing w:line="360" w:lineRule="auto"/>
        <w:rPr>
          <w:rFonts w:ascii="方正小标宋_GBK" w:hAnsi="方正小标宋_GBK" w:eastAsia="方正小标宋_GBK" w:cs="方正小标宋_GBK"/>
          <w:spacing w:val="-6"/>
          <w:sz w:val="44"/>
          <w:szCs w:val="22"/>
          <w:highlight w:val="none"/>
        </w:rPr>
      </w:pPr>
      <w:bookmarkStart w:id="7" w:name="_Toc534725596"/>
      <w:r>
        <w:rPr>
          <w:rFonts w:hint="eastAsia" w:ascii="方正小标宋_GBK" w:hAnsi="方正小标宋_GBK" w:eastAsia="方正小标宋_GBK" w:cs="方正小标宋_GBK"/>
          <w:spacing w:val="-6"/>
          <w:sz w:val="44"/>
          <w:szCs w:val="22"/>
          <w:highlight w:val="none"/>
        </w:rPr>
        <w:br w:type="page"/>
      </w:r>
    </w:p>
    <w:p w14:paraId="7D1BCA0A">
      <w:pPr>
        <w:pStyle w:val="2"/>
        <w:spacing w:line="360" w:lineRule="auto"/>
        <w:rPr>
          <w:highlight w:val="none"/>
          <w:lang w:eastAsia="en-US"/>
        </w:rPr>
      </w:pPr>
      <w:bookmarkStart w:id="8" w:name="_Toc26965"/>
      <w:bookmarkStart w:id="9" w:name="_Toc21554"/>
      <w:bookmarkStart w:id="10" w:name="_Toc20753"/>
      <w:bookmarkStart w:id="11" w:name="_Toc22122"/>
      <w:bookmarkStart w:id="12" w:name="_Toc13808"/>
      <w:r>
        <w:rPr>
          <w:rFonts w:hint="eastAsia"/>
          <w:highlight w:val="none"/>
        </w:rPr>
        <w:t>须知前附表</w:t>
      </w:r>
      <w:bookmarkEnd w:id="8"/>
      <w:bookmarkEnd w:id="9"/>
      <w:bookmarkEnd w:id="10"/>
    </w:p>
    <w:tbl>
      <w:tblPr>
        <w:tblStyle w:val="37"/>
        <w:tblW w:w="901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84"/>
        <w:gridCol w:w="1695"/>
        <w:gridCol w:w="6639"/>
      </w:tblGrid>
      <w:tr w14:paraId="2F304D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 w:hRule="atLeast"/>
          <w:jc w:val="center"/>
        </w:trPr>
        <w:tc>
          <w:tcPr>
            <w:tcW w:w="684" w:type="dxa"/>
            <w:tcBorders>
              <w:top w:val="single" w:color="auto" w:sz="4" w:space="0"/>
              <w:left w:val="single" w:color="auto" w:sz="4" w:space="0"/>
              <w:bottom w:val="single" w:color="auto" w:sz="4" w:space="0"/>
              <w:right w:val="single" w:color="auto" w:sz="4" w:space="0"/>
            </w:tcBorders>
            <w:vAlign w:val="center"/>
          </w:tcPr>
          <w:p w14:paraId="0D3AFEAE">
            <w:pPr>
              <w:jc w:val="center"/>
              <w:rPr>
                <w:rFonts w:hAnsi="宋体" w:cs="Arial"/>
                <w:b/>
                <w:bCs/>
                <w:sz w:val="24"/>
                <w:szCs w:val="24"/>
                <w:highlight w:val="none"/>
              </w:rPr>
            </w:pPr>
            <w:r>
              <w:rPr>
                <w:rFonts w:hint="eastAsia" w:hAnsi="宋体" w:cs="Arial"/>
                <w:b/>
                <w:bCs/>
                <w:sz w:val="24"/>
                <w:szCs w:val="24"/>
                <w:highlight w:val="none"/>
              </w:rPr>
              <w:t>序号</w:t>
            </w:r>
          </w:p>
        </w:tc>
        <w:tc>
          <w:tcPr>
            <w:tcW w:w="1695" w:type="dxa"/>
            <w:tcBorders>
              <w:top w:val="single" w:color="auto" w:sz="4" w:space="0"/>
              <w:left w:val="single" w:color="auto" w:sz="4" w:space="0"/>
              <w:bottom w:val="single" w:color="auto" w:sz="4" w:space="0"/>
              <w:right w:val="single" w:color="auto" w:sz="4" w:space="0"/>
            </w:tcBorders>
            <w:vAlign w:val="center"/>
          </w:tcPr>
          <w:p w14:paraId="658EB917">
            <w:pPr>
              <w:jc w:val="center"/>
              <w:rPr>
                <w:rFonts w:hAnsi="宋体" w:cs="Arial"/>
                <w:b/>
                <w:bCs/>
                <w:sz w:val="24"/>
                <w:szCs w:val="24"/>
                <w:highlight w:val="none"/>
              </w:rPr>
            </w:pPr>
            <w:r>
              <w:rPr>
                <w:rFonts w:hint="eastAsia" w:hAnsi="宋体" w:cs="Arial"/>
                <w:b/>
                <w:bCs/>
                <w:sz w:val="24"/>
                <w:szCs w:val="24"/>
                <w:highlight w:val="none"/>
              </w:rPr>
              <w:t>内  容</w:t>
            </w:r>
          </w:p>
        </w:tc>
        <w:tc>
          <w:tcPr>
            <w:tcW w:w="6639" w:type="dxa"/>
            <w:tcBorders>
              <w:top w:val="single" w:color="auto" w:sz="4" w:space="0"/>
              <w:left w:val="single" w:color="auto" w:sz="4" w:space="0"/>
              <w:bottom w:val="single" w:color="auto" w:sz="4" w:space="0"/>
              <w:right w:val="single" w:color="auto" w:sz="4" w:space="0"/>
            </w:tcBorders>
            <w:vAlign w:val="center"/>
          </w:tcPr>
          <w:p w14:paraId="50C91C89">
            <w:pPr>
              <w:jc w:val="center"/>
              <w:rPr>
                <w:rFonts w:hAnsi="宋体" w:cs="Arial"/>
                <w:b/>
                <w:bCs/>
                <w:sz w:val="24"/>
                <w:szCs w:val="24"/>
                <w:highlight w:val="none"/>
              </w:rPr>
            </w:pPr>
            <w:r>
              <w:rPr>
                <w:rFonts w:hint="eastAsia" w:hAnsi="宋体" w:cs="Arial"/>
                <w:b/>
                <w:bCs/>
                <w:sz w:val="24"/>
                <w:szCs w:val="24"/>
                <w:highlight w:val="none"/>
              </w:rPr>
              <w:t>说明及要求</w:t>
            </w:r>
          </w:p>
        </w:tc>
      </w:tr>
      <w:tr w14:paraId="0CAE09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 w:hRule="atLeast"/>
          <w:jc w:val="center"/>
        </w:trPr>
        <w:tc>
          <w:tcPr>
            <w:tcW w:w="684" w:type="dxa"/>
            <w:vMerge w:val="restart"/>
            <w:tcBorders>
              <w:top w:val="single" w:color="auto" w:sz="4" w:space="0"/>
              <w:left w:val="single" w:color="auto" w:sz="4" w:space="0"/>
              <w:right w:val="single" w:color="auto" w:sz="4" w:space="0"/>
            </w:tcBorders>
            <w:vAlign w:val="center"/>
          </w:tcPr>
          <w:p w14:paraId="343FCA89">
            <w:pPr>
              <w:jc w:val="center"/>
              <w:rPr>
                <w:rFonts w:hAnsi="宋体" w:cs="Arial"/>
                <w:bCs/>
                <w:sz w:val="24"/>
                <w:szCs w:val="24"/>
                <w:highlight w:val="none"/>
              </w:rPr>
            </w:pPr>
            <w:r>
              <w:rPr>
                <w:rFonts w:hint="eastAsia" w:hAnsi="宋体" w:cs="Arial"/>
                <w:bCs/>
                <w:sz w:val="24"/>
                <w:szCs w:val="24"/>
                <w:highlight w:val="none"/>
              </w:rPr>
              <w:t>1</w:t>
            </w:r>
          </w:p>
        </w:tc>
        <w:tc>
          <w:tcPr>
            <w:tcW w:w="1695" w:type="dxa"/>
            <w:tcBorders>
              <w:top w:val="single" w:color="auto" w:sz="4" w:space="0"/>
              <w:left w:val="single" w:color="auto" w:sz="4" w:space="0"/>
              <w:bottom w:val="single" w:color="auto" w:sz="4" w:space="0"/>
              <w:right w:val="single" w:color="auto" w:sz="4" w:space="0"/>
            </w:tcBorders>
            <w:vAlign w:val="center"/>
          </w:tcPr>
          <w:p w14:paraId="320A78CA">
            <w:pPr>
              <w:jc w:val="center"/>
              <w:rPr>
                <w:rFonts w:hAnsi="宋体" w:cs="Arial"/>
                <w:bCs/>
                <w:sz w:val="24"/>
                <w:szCs w:val="24"/>
                <w:highlight w:val="none"/>
              </w:rPr>
            </w:pPr>
            <w:r>
              <w:rPr>
                <w:rFonts w:hint="eastAsia" w:hAnsi="宋体" w:cs="Arial"/>
                <w:bCs/>
                <w:sz w:val="24"/>
                <w:szCs w:val="24"/>
                <w:highlight w:val="none"/>
              </w:rPr>
              <w:t>项目名称</w:t>
            </w:r>
          </w:p>
        </w:tc>
        <w:tc>
          <w:tcPr>
            <w:tcW w:w="6639" w:type="dxa"/>
            <w:tcBorders>
              <w:top w:val="single" w:color="auto" w:sz="4" w:space="0"/>
              <w:left w:val="single" w:color="auto" w:sz="4" w:space="0"/>
              <w:bottom w:val="single" w:color="auto" w:sz="4" w:space="0"/>
              <w:right w:val="single" w:color="auto" w:sz="4" w:space="0"/>
            </w:tcBorders>
            <w:vAlign w:val="center"/>
          </w:tcPr>
          <w:p w14:paraId="3602D195">
            <w:pPr>
              <w:jc w:val="left"/>
              <w:rPr>
                <w:rFonts w:hint="eastAsia" w:hAnsi="宋体" w:eastAsia="宋体" w:cs="Arial"/>
                <w:bCs/>
                <w:sz w:val="24"/>
                <w:szCs w:val="24"/>
                <w:highlight w:val="none"/>
                <w:lang w:eastAsia="zh-CN"/>
              </w:rPr>
            </w:pPr>
            <w:r>
              <w:rPr>
                <w:rFonts w:hint="eastAsia" w:hAnsi="宋体" w:cs="Arial"/>
                <w:bCs/>
                <w:sz w:val="24"/>
                <w:szCs w:val="24"/>
                <w:highlight w:val="none"/>
                <w:lang w:eastAsia="zh-CN"/>
              </w:rPr>
              <w:t>吐鲁番市高昌区蒲昌路消防救援站2025年度食堂主副食品采购项目</w:t>
            </w:r>
          </w:p>
        </w:tc>
      </w:tr>
      <w:tr w14:paraId="59BB84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 w:hRule="atLeast"/>
          <w:jc w:val="center"/>
        </w:trPr>
        <w:tc>
          <w:tcPr>
            <w:tcW w:w="684" w:type="dxa"/>
            <w:vMerge w:val="continue"/>
            <w:tcBorders>
              <w:left w:val="single" w:color="auto" w:sz="4" w:space="0"/>
              <w:bottom w:val="single" w:color="auto" w:sz="4" w:space="0"/>
              <w:right w:val="single" w:color="auto" w:sz="4" w:space="0"/>
            </w:tcBorders>
            <w:vAlign w:val="center"/>
          </w:tcPr>
          <w:p w14:paraId="767A5464">
            <w:pPr>
              <w:jc w:val="center"/>
              <w:rPr>
                <w:rFonts w:hAnsi="宋体" w:cs="Arial"/>
                <w:bCs/>
                <w:sz w:val="24"/>
                <w:szCs w:val="24"/>
                <w:highlight w:val="none"/>
              </w:rPr>
            </w:pPr>
          </w:p>
        </w:tc>
        <w:tc>
          <w:tcPr>
            <w:tcW w:w="1695" w:type="dxa"/>
            <w:tcBorders>
              <w:top w:val="single" w:color="auto" w:sz="4" w:space="0"/>
              <w:left w:val="single" w:color="auto" w:sz="4" w:space="0"/>
              <w:bottom w:val="single" w:color="auto" w:sz="4" w:space="0"/>
              <w:right w:val="single" w:color="auto" w:sz="4" w:space="0"/>
            </w:tcBorders>
            <w:vAlign w:val="center"/>
          </w:tcPr>
          <w:p w14:paraId="0919C00B">
            <w:pPr>
              <w:jc w:val="center"/>
              <w:rPr>
                <w:rFonts w:hAnsi="宋体" w:cs="Arial"/>
                <w:bCs/>
                <w:sz w:val="24"/>
                <w:szCs w:val="24"/>
                <w:highlight w:val="none"/>
              </w:rPr>
            </w:pPr>
            <w:r>
              <w:rPr>
                <w:rFonts w:hint="eastAsia" w:hAnsi="宋体" w:cs="Arial"/>
                <w:sz w:val="24"/>
                <w:szCs w:val="24"/>
                <w:highlight w:val="none"/>
              </w:rPr>
              <w:t>招标编号</w:t>
            </w:r>
          </w:p>
        </w:tc>
        <w:tc>
          <w:tcPr>
            <w:tcW w:w="6639" w:type="dxa"/>
            <w:tcBorders>
              <w:top w:val="single" w:color="auto" w:sz="4" w:space="0"/>
              <w:left w:val="single" w:color="auto" w:sz="4" w:space="0"/>
              <w:bottom w:val="single" w:color="auto" w:sz="4" w:space="0"/>
              <w:right w:val="single" w:color="auto" w:sz="4" w:space="0"/>
            </w:tcBorders>
            <w:vAlign w:val="center"/>
          </w:tcPr>
          <w:p w14:paraId="792DC1D5">
            <w:pPr>
              <w:jc w:val="left"/>
              <w:rPr>
                <w:rFonts w:hint="eastAsia" w:hAnsi="宋体" w:eastAsia="宋体" w:cs="Arial"/>
                <w:bCs/>
                <w:sz w:val="24"/>
                <w:szCs w:val="24"/>
                <w:highlight w:val="none"/>
                <w:lang w:eastAsia="zh-CN"/>
              </w:rPr>
            </w:pPr>
            <w:r>
              <w:rPr>
                <w:rFonts w:hint="eastAsia" w:hAnsi="宋体" w:cs="Arial"/>
                <w:bCs/>
                <w:sz w:val="24"/>
                <w:szCs w:val="24"/>
                <w:highlight w:val="none"/>
                <w:lang w:eastAsia="zh-CN"/>
              </w:rPr>
              <w:t>TD（CS）-2025-001</w:t>
            </w:r>
          </w:p>
        </w:tc>
      </w:tr>
      <w:tr w14:paraId="793298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 w:hRule="atLeast"/>
          <w:jc w:val="center"/>
        </w:trPr>
        <w:tc>
          <w:tcPr>
            <w:tcW w:w="684" w:type="dxa"/>
            <w:vMerge w:val="restart"/>
            <w:tcBorders>
              <w:top w:val="single" w:color="auto" w:sz="4" w:space="0"/>
              <w:left w:val="single" w:color="auto" w:sz="4" w:space="0"/>
              <w:right w:val="single" w:color="auto" w:sz="4" w:space="0"/>
            </w:tcBorders>
            <w:vAlign w:val="center"/>
          </w:tcPr>
          <w:p w14:paraId="143FB579">
            <w:pPr>
              <w:jc w:val="center"/>
              <w:rPr>
                <w:rFonts w:hAnsi="宋体" w:cs="Arial"/>
                <w:bCs/>
                <w:sz w:val="24"/>
                <w:szCs w:val="24"/>
                <w:highlight w:val="none"/>
              </w:rPr>
            </w:pPr>
            <w:r>
              <w:rPr>
                <w:rFonts w:hint="eastAsia" w:hAnsi="宋体" w:cs="Arial"/>
                <w:bCs/>
                <w:sz w:val="24"/>
                <w:szCs w:val="24"/>
                <w:highlight w:val="none"/>
              </w:rPr>
              <w:t>2</w:t>
            </w:r>
          </w:p>
        </w:tc>
        <w:tc>
          <w:tcPr>
            <w:tcW w:w="1695" w:type="dxa"/>
            <w:tcBorders>
              <w:top w:val="single" w:color="auto" w:sz="4" w:space="0"/>
              <w:left w:val="single" w:color="auto" w:sz="4" w:space="0"/>
              <w:bottom w:val="single" w:color="auto" w:sz="4" w:space="0"/>
              <w:right w:val="single" w:color="auto" w:sz="4" w:space="0"/>
            </w:tcBorders>
            <w:vAlign w:val="center"/>
          </w:tcPr>
          <w:p w14:paraId="7C21186A">
            <w:pPr>
              <w:jc w:val="center"/>
              <w:rPr>
                <w:rFonts w:hAnsi="宋体" w:cs="Arial"/>
                <w:bCs/>
                <w:sz w:val="24"/>
                <w:szCs w:val="24"/>
                <w:highlight w:val="none"/>
              </w:rPr>
            </w:pPr>
            <w:r>
              <w:rPr>
                <w:rFonts w:hint="eastAsia" w:hAnsi="宋体" w:cs="Arial"/>
                <w:bCs/>
                <w:sz w:val="24"/>
                <w:szCs w:val="24"/>
                <w:highlight w:val="none"/>
              </w:rPr>
              <w:t>资金来源</w:t>
            </w:r>
          </w:p>
        </w:tc>
        <w:tc>
          <w:tcPr>
            <w:tcW w:w="6639" w:type="dxa"/>
            <w:tcBorders>
              <w:top w:val="single" w:color="auto" w:sz="4" w:space="0"/>
              <w:left w:val="single" w:color="auto" w:sz="4" w:space="0"/>
              <w:bottom w:val="single" w:color="auto" w:sz="4" w:space="0"/>
              <w:right w:val="single" w:color="auto" w:sz="4" w:space="0"/>
            </w:tcBorders>
            <w:vAlign w:val="center"/>
          </w:tcPr>
          <w:p w14:paraId="2509F5DB">
            <w:pPr>
              <w:jc w:val="left"/>
              <w:rPr>
                <w:rFonts w:hint="default" w:hAnsi="宋体" w:eastAsia="宋体" w:cs="Arial"/>
                <w:bCs/>
                <w:sz w:val="24"/>
                <w:szCs w:val="24"/>
                <w:highlight w:val="none"/>
                <w:lang w:val="en-US" w:eastAsia="zh-CN"/>
              </w:rPr>
            </w:pPr>
            <w:r>
              <w:rPr>
                <w:rFonts w:hint="eastAsia" w:hAnsi="宋体" w:cs="Arial"/>
                <w:bCs/>
                <w:sz w:val="24"/>
                <w:szCs w:val="24"/>
                <w:highlight w:val="none"/>
                <w:lang w:val="en-US" w:eastAsia="zh-CN"/>
              </w:rPr>
              <w:t>地方财政补助70.63万元，中央资金27.92万元</w:t>
            </w:r>
          </w:p>
        </w:tc>
      </w:tr>
      <w:tr w14:paraId="00F044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06" w:hRule="atLeast"/>
          <w:jc w:val="center"/>
        </w:trPr>
        <w:tc>
          <w:tcPr>
            <w:tcW w:w="684" w:type="dxa"/>
            <w:vMerge w:val="continue"/>
            <w:tcBorders>
              <w:left w:val="single" w:color="auto" w:sz="4" w:space="0"/>
              <w:right w:val="single" w:color="auto" w:sz="4" w:space="0"/>
            </w:tcBorders>
            <w:vAlign w:val="center"/>
          </w:tcPr>
          <w:p w14:paraId="0E7C25D5">
            <w:pPr>
              <w:jc w:val="center"/>
              <w:rPr>
                <w:rFonts w:hAnsi="宋体" w:cs="Arial"/>
                <w:bCs/>
                <w:sz w:val="24"/>
                <w:szCs w:val="24"/>
                <w:highlight w:val="none"/>
              </w:rPr>
            </w:pPr>
          </w:p>
        </w:tc>
        <w:tc>
          <w:tcPr>
            <w:tcW w:w="1695" w:type="dxa"/>
            <w:tcBorders>
              <w:top w:val="single" w:color="auto" w:sz="4" w:space="0"/>
              <w:left w:val="single" w:color="auto" w:sz="4" w:space="0"/>
              <w:bottom w:val="single" w:color="auto" w:sz="4" w:space="0"/>
              <w:right w:val="single" w:color="auto" w:sz="4" w:space="0"/>
            </w:tcBorders>
            <w:vAlign w:val="center"/>
          </w:tcPr>
          <w:p w14:paraId="0C5126F0">
            <w:pPr>
              <w:pStyle w:val="29"/>
              <w:jc w:val="center"/>
              <w:rPr>
                <w:rFonts w:hAnsi="宋体" w:cs="Arial"/>
                <w:bCs/>
                <w:sz w:val="24"/>
                <w:szCs w:val="24"/>
                <w:highlight w:val="none"/>
              </w:rPr>
            </w:pPr>
            <w:r>
              <w:rPr>
                <w:rFonts w:hint="eastAsia" w:hAnsi="宋体" w:cs="Arial"/>
                <w:bCs/>
                <w:sz w:val="24"/>
                <w:szCs w:val="24"/>
                <w:highlight w:val="none"/>
              </w:rPr>
              <w:t>预算金额</w:t>
            </w:r>
          </w:p>
          <w:p w14:paraId="1411A093">
            <w:pPr>
              <w:pStyle w:val="29"/>
              <w:jc w:val="center"/>
              <w:rPr>
                <w:rFonts w:hint="eastAsia" w:eastAsia="宋体"/>
                <w:highlight w:val="none"/>
                <w:lang w:eastAsia="zh-CN"/>
              </w:rPr>
            </w:pPr>
          </w:p>
        </w:tc>
        <w:tc>
          <w:tcPr>
            <w:tcW w:w="6639" w:type="dxa"/>
            <w:tcBorders>
              <w:top w:val="single" w:color="auto" w:sz="4" w:space="0"/>
              <w:left w:val="single" w:color="auto" w:sz="4" w:space="0"/>
              <w:bottom w:val="single" w:color="auto" w:sz="4" w:space="0"/>
              <w:right w:val="single" w:color="auto" w:sz="4" w:space="0"/>
            </w:tcBorders>
            <w:vAlign w:val="center"/>
          </w:tcPr>
          <w:p w14:paraId="0671C671">
            <w:pPr>
              <w:pStyle w:val="29"/>
              <w:rPr>
                <w:rFonts w:hint="eastAsia"/>
                <w:sz w:val="24"/>
                <w:szCs w:val="24"/>
                <w:highlight w:val="none"/>
              </w:rPr>
            </w:pPr>
            <w:r>
              <w:rPr>
                <w:rFonts w:hint="eastAsia"/>
                <w:sz w:val="24"/>
                <w:szCs w:val="24"/>
                <w:highlight w:val="none"/>
              </w:rPr>
              <w:t>总预算金额：</w:t>
            </w:r>
            <w:r>
              <w:rPr>
                <w:rFonts w:hint="eastAsia"/>
                <w:sz w:val="24"/>
                <w:szCs w:val="24"/>
                <w:highlight w:val="none"/>
                <w:lang w:val="en-US" w:eastAsia="zh-CN"/>
              </w:rPr>
              <w:t>985500</w:t>
            </w:r>
            <w:r>
              <w:rPr>
                <w:rFonts w:hint="eastAsia"/>
                <w:sz w:val="24"/>
                <w:szCs w:val="24"/>
                <w:highlight w:val="none"/>
              </w:rPr>
              <w:t>元。</w:t>
            </w:r>
          </w:p>
          <w:p w14:paraId="1761DCED">
            <w:pPr>
              <w:pStyle w:val="29"/>
              <w:rPr>
                <w:rFonts w:hint="eastAsia"/>
                <w:sz w:val="24"/>
                <w:szCs w:val="24"/>
                <w:highlight w:val="none"/>
                <w:lang w:val="en-US" w:eastAsia="zh-CN"/>
              </w:rPr>
            </w:pPr>
            <w:r>
              <w:rPr>
                <w:rFonts w:hint="eastAsia"/>
                <w:sz w:val="24"/>
                <w:szCs w:val="24"/>
                <w:highlight w:val="none"/>
                <w:lang w:val="en-US" w:eastAsia="zh-CN"/>
              </w:rPr>
              <w:t>第1包预算金额：480000元，第2包预算金额：505500元；</w:t>
            </w:r>
          </w:p>
          <w:p w14:paraId="72EEE029">
            <w:pPr>
              <w:pStyle w:val="29"/>
              <w:rPr>
                <w:rFonts w:hint="default"/>
                <w:highlight w:val="none"/>
                <w:lang w:val="en-US" w:eastAsia="zh-CN"/>
              </w:rPr>
            </w:pPr>
            <w:r>
              <w:rPr>
                <w:rFonts w:hint="eastAsia" w:ascii="宋体" w:hAnsi="宋体" w:cs="宋体"/>
                <w:sz w:val="24"/>
                <w:szCs w:val="24"/>
                <w:highlight w:val="none"/>
                <w:lang w:val="en-US" w:eastAsia="zh-CN"/>
              </w:rPr>
              <w:t>（各标包</w:t>
            </w:r>
            <w:r>
              <w:rPr>
                <w:rFonts w:hint="eastAsia" w:ascii="宋体" w:hAnsi="宋体" w:cs="宋体"/>
                <w:sz w:val="24"/>
                <w:szCs w:val="24"/>
                <w:highlight w:val="none"/>
              </w:rPr>
              <w:t>最终按实际采购量结算</w:t>
            </w:r>
            <w:r>
              <w:rPr>
                <w:rFonts w:hint="eastAsia" w:ascii="宋体" w:hAnsi="宋体" w:cs="宋体"/>
                <w:sz w:val="24"/>
                <w:szCs w:val="24"/>
                <w:highlight w:val="none"/>
                <w:lang w:eastAsia="zh-CN"/>
              </w:rPr>
              <w:t>，合同期内总采购金额不得超过标包预算金额</w:t>
            </w:r>
            <w:r>
              <w:rPr>
                <w:rFonts w:hint="eastAsia" w:ascii="宋体" w:hAnsi="宋体" w:cs="宋体"/>
                <w:sz w:val="24"/>
                <w:szCs w:val="24"/>
                <w:highlight w:val="none"/>
                <w:lang w:val="en-US" w:eastAsia="zh-CN"/>
              </w:rPr>
              <w:t>）</w:t>
            </w:r>
          </w:p>
        </w:tc>
      </w:tr>
      <w:tr w14:paraId="5E9637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49" w:hRule="atLeast"/>
          <w:jc w:val="center"/>
        </w:trPr>
        <w:tc>
          <w:tcPr>
            <w:tcW w:w="684" w:type="dxa"/>
            <w:vMerge w:val="continue"/>
            <w:tcBorders>
              <w:left w:val="single" w:color="auto" w:sz="4" w:space="0"/>
              <w:right w:val="single" w:color="auto" w:sz="4" w:space="0"/>
            </w:tcBorders>
            <w:vAlign w:val="center"/>
          </w:tcPr>
          <w:p w14:paraId="67F7706F">
            <w:pPr>
              <w:jc w:val="center"/>
              <w:rPr>
                <w:rFonts w:hAnsi="宋体" w:cs="Arial"/>
                <w:bCs/>
                <w:sz w:val="24"/>
                <w:szCs w:val="24"/>
                <w:highlight w:val="none"/>
              </w:rPr>
            </w:pPr>
          </w:p>
        </w:tc>
        <w:tc>
          <w:tcPr>
            <w:tcW w:w="1695" w:type="dxa"/>
            <w:tcBorders>
              <w:top w:val="single" w:color="auto" w:sz="4" w:space="0"/>
              <w:left w:val="single" w:color="auto" w:sz="4" w:space="0"/>
              <w:bottom w:val="single" w:color="auto" w:sz="4" w:space="0"/>
              <w:right w:val="single" w:color="auto" w:sz="4" w:space="0"/>
            </w:tcBorders>
            <w:vAlign w:val="center"/>
          </w:tcPr>
          <w:p w14:paraId="5D8A6893">
            <w:pPr>
              <w:jc w:val="center"/>
              <w:rPr>
                <w:rFonts w:hAnsi="宋体" w:cs="Arial"/>
                <w:bCs/>
                <w:sz w:val="24"/>
                <w:szCs w:val="24"/>
                <w:highlight w:val="none"/>
              </w:rPr>
            </w:pPr>
            <w:r>
              <w:rPr>
                <w:rFonts w:hint="eastAsia" w:hAnsi="宋体" w:cs="Arial"/>
                <w:bCs/>
                <w:sz w:val="24"/>
                <w:szCs w:val="24"/>
                <w:highlight w:val="none"/>
              </w:rPr>
              <w:t>报价方式</w:t>
            </w:r>
          </w:p>
        </w:tc>
        <w:tc>
          <w:tcPr>
            <w:tcW w:w="6639" w:type="dxa"/>
            <w:tcBorders>
              <w:top w:val="single" w:color="auto" w:sz="4" w:space="0"/>
              <w:left w:val="single" w:color="auto" w:sz="4" w:space="0"/>
              <w:bottom w:val="single" w:color="auto" w:sz="4" w:space="0"/>
              <w:right w:val="single" w:color="auto" w:sz="4" w:space="0"/>
            </w:tcBorders>
            <w:vAlign w:val="center"/>
          </w:tcPr>
          <w:p w14:paraId="3122A20E">
            <w:pPr>
              <w:pStyle w:val="29"/>
              <w:rPr>
                <w:rFonts w:hint="eastAsia"/>
                <w:sz w:val="24"/>
                <w:szCs w:val="24"/>
                <w:highlight w:val="none"/>
              </w:rPr>
            </w:pPr>
            <w:r>
              <w:rPr>
                <w:rFonts w:hint="eastAsia"/>
                <w:sz w:val="24"/>
                <w:szCs w:val="24"/>
                <w:highlight w:val="none"/>
              </w:rPr>
              <w:t>折扣率报价：</w:t>
            </w:r>
            <w:r>
              <w:rPr>
                <w:rFonts w:hint="eastAsia"/>
                <w:sz w:val="24"/>
                <w:szCs w:val="24"/>
                <w:highlight w:val="none"/>
                <w:lang w:eastAsia="zh-CN"/>
              </w:rPr>
              <w:t>是指按吐鲁番市发改委提供的市场零售价作为基准点参考依据。，</w:t>
            </w:r>
            <w:r>
              <w:rPr>
                <w:rFonts w:hint="eastAsia"/>
                <w:sz w:val="24"/>
                <w:szCs w:val="24"/>
                <w:highlight w:val="none"/>
                <w:lang w:val="en-US" w:eastAsia="zh-CN"/>
              </w:rPr>
              <w:t>每月</w:t>
            </w:r>
            <w:r>
              <w:rPr>
                <w:rFonts w:hint="eastAsia"/>
                <w:sz w:val="24"/>
                <w:szCs w:val="24"/>
                <w:highlight w:val="none"/>
              </w:rPr>
              <w:t>共同调研</w:t>
            </w:r>
            <w:r>
              <w:rPr>
                <w:rFonts w:hint="eastAsia"/>
                <w:sz w:val="24"/>
                <w:szCs w:val="24"/>
                <w:highlight w:val="none"/>
                <w:lang w:val="en-US" w:eastAsia="zh-CN"/>
              </w:rPr>
              <w:t>次数不少于两次</w:t>
            </w:r>
            <w:r>
              <w:rPr>
                <w:rFonts w:hint="eastAsia"/>
                <w:sz w:val="24"/>
                <w:szCs w:val="24"/>
                <w:highlight w:val="none"/>
              </w:rPr>
              <w:t>。</w:t>
            </w:r>
          </w:p>
          <w:p w14:paraId="32C7B57B">
            <w:pPr>
              <w:pStyle w:val="29"/>
              <w:rPr>
                <w:b/>
                <w:bCs/>
                <w:sz w:val="24"/>
                <w:szCs w:val="24"/>
                <w:highlight w:val="none"/>
              </w:rPr>
            </w:pPr>
            <w:r>
              <w:rPr>
                <w:rFonts w:hint="eastAsia"/>
                <w:sz w:val="24"/>
                <w:szCs w:val="24"/>
                <w:highlight w:val="none"/>
              </w:rPr>
              <w:t>要求投标人以共同调研认可的市场价为准报下浮比例，下浮比例不能低于</w:t>
            </w:r>
            <w:r>
              <w:rPr>
                <w:rFonts w:hint="eastAsia"/>
                <w:sz w:val="24"/>
                <w:szCs w:val="24"/>
                <w:highlight w:val="none"/>
                <w:lang w:val="en-US" w:eastAsia="zh-CN"/>
              </w:rPr>
              <w:t>5</w:t>
            </w:r>
            <w:r>
              <w:rPr>
                <w:rFonts w:hint="eastAsia"/>
                <w:sz w:val="24"/>
                <w:szCs w:val="24"/>
                <w:highlight w:val="none"/>
              </w:rPr>
              <w:t>%，否则其</w:t>
            </w:r>
            <w:r>
              <w:rPr>
                <w:rFonts w:hint="eastAsia"/>
                <w:sz w:val="24"/>
                <w:szCs w:val="24"/>
                <w:highlight w:val="none"/>
                <w:lang w:eastAsia="zh-CN"/>
              </w:rPr>
              <w:t>响应文件</w:t>
            </w:r>
            <w:r>
              <w:rPr>
                <w:rFonts w:hint="eastAsia"/>
                <w:sz w:val="24"/>
                <w:szCs w:val="24"/>
                <w:highlight w:val="none"/>
              </w:rPr>
              <w:t>将被拒绝。</w:t>
            </w:r>
          </w:p>
        </w:tc>
      </w:tr>
      <w:tr w14:paraId="5F105C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 w:hRule="atLeast"/>
          <w:jc w:val="center"/>
        </w:trPr>
        <w:tc>
          <w:tcPr>
            <w:tcW w:w="684" w:type="dxa"/>
            <w:tcBorders>
              <w:top w:val="single" w:color="auto" w:sz="4" w:space="0"/>
              <w:left w:val="single" w:color="auto" w:sz="4" w:space="0"/>
              <w:bottom w:val="single" w:color="auto" w:sz="4" w:space="0"/>
              <w:right w:val="single" w:color="auto" w:sz="4" w:space="0"/>
            </w:tcBorders>
            <w:vAlign w:val="center"/>
          </w:tcPr>
          <w:p w14:paraId="19F641B0">
            <w:pPr>
              <w:jc w:val="center"/>
              <w:rPr>
                <w:rFonts w:hAnsi="宋体" w:cs="Arial"/>
                <w:bCs/>
                <w:sz w:val="24"/>
                <w:szCs w:val="24"/>
                <w:highlight w:val="none"/>
              </w:rPr>
            </w:pPr>
            <w:r>
              <w:rPr>
                <w:rFonts w:hint="eastAsia" w:hAnsi="宋体" w:cs="Arial"/>
                <w:bCs/>
                <w:sz w:val="24"/>
                <w:szCs w:val="24"/>
                <w:highlight w:val="none"/>
              </w:rPr>
              <w:t>3</w:t>
            </w:r>
          </w:p>
        </w:tc>
        <w:tc>
          <w:tcPr>
            <w:tcW w:w="1695" w:type="dxa"/>
            <w:tcBorders>
              <w:top w:val="single" w:color="auto" w:sz="4" w:space="0"/>
              <w:left w:val="single" w:color="auto" w:sz="4" w:space="0"/>
              <w:bottom w:val="single" w:color="auto" w:sz="4" w:space="0"/>
              <w:right w:val="single" w:color="auto" w:sz="4" w:space="0"/>
            </w:tcBorders>
            <w:vAlign w:val="center"/>
          </w:tcPr>
          <w:p w14:paraId="08822716">
            <w:pPr>
              <w:jc w:val="center"/>
              <w:rPr>
                <w:rFonts w:hAnsi="宋体" w:cs="Arial"/>
                <w:bCs/>
                <w:sz w:val="24"/>
                <w:szCs w:val="24"/>
                <w:highlight w:val="none"/>
              </w:rPr>
            </w:pPr>
            <w:r>
              <w:rPr>
                <w:rFonts w:hint="eastAsia" w:hAnsi="宋体" w:cs="Arial"/>
                <w:bCs/>
                <w:sz w:val="24"/>
                <w:szCs w:val="24"/>
                <w:highlight w:val="none"/>
              </w:rPr>
              <w:t>招标方式</w:t>
            </w:r>
          </w:p>
        </w:tc>
        <w:tc>
          <w:tcPr>
            <w:tcW w:w="6639" w:type="dxa"/>
            <w:tcBorders>
              <w:top w:val="single" w:color="auto" w:sz="4" w:space="0"/>
              <w:left w:val="single" w:color="auto" w:sz="4" w:space="0"/>
              <w:bottom w:val="single" w:color="auto" w:sz="4" w:space="0"/>
              <w:right w:val="single" w:color="auto" w:sz="4" w:space="0"/>
            </w:tcBorders>
            <w:vAlign w:val="center"/>
          </w:tcPr>
          <w:p w14:paraId="694E76AB">
            <w:pPr>
              <w:pStyle w:val="123"/>
              <w:ind w:left="0"/>
              <w:rPr>
                <w:rFonts w:hint="eastAsia" w:ascii="宋体" w:hAnsi="宋体" w:eastAsia="宋体" w:cs="Arial"/>
                <w:bCs/>
                <w:highlight w:val="none"/>
                <w:lang w:eastAsia="zh-CN"/>
              </w:rPr>
            </w:pPr>
            <w:r>
              <w:rPr>
                <w:rFonts w:hint="eastAsia" w:ascii="宋体" w:hAnsi="宋体" w:cs="Arial"/>
                <w:bCs/>
                <w:highlight w:val="none"/>
                <w:lang w:eastAsia="zh-CN"/>
              </w:rPr>
              <w:t>竞争性磋商</w:t>
            </w:r>
          </w:p>
        </w:tc>
      </w:tr>
      <w:tr w14:paraId="13265E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 w:hRule="atLeast"/>
          <w:jc w:val="center"/>
        </w:trPr>
        <w:tc>
          <w:tcPr>
            <w:tcW w:w="684" w:type="dxa"/>
            <w:tcBorders>
              <w:top w:val="single" w:color="auto" w:sz="4" w:space="0"/>
              <w:left w:val="single" w:color="auto" w:sz="4" w:space="0"/>
              <w:bottom w:val="single" w:color="auto" w:sz="4" w:space="0"/>
              <w:right w:val="single" w:color="auto" w:sz="4" w:space="0"/>
            </w:tcBorders>
            <w:vAlign w:val="center"/>
          </w:tcPr>
          <w:p w14:paraId="458BB81A">
            <w:pPr>
              <w:jc w:val="center"/>
              <w:rPr>
                <w:rFonts w:hAnsi="宋体" w:cs="Arial"/>
                <w:bCs/>
                <w:sz w:val="24"/>
                <w:szCs w:val="24"/>
                <w:highlight w:val="none"/>
              </w:rPr>
            </w:pPr>
            <w:r>
              <w:rPr>
                <w:rFonts w:hint="eastAsia" w:hAnsi="宋体" w:cs="Arial"/>
                <w:bCs/>
                <w:sz w:val="24"/>
                <w:szCs w:val="24"/>
                <w:highlight w:val="none"/>
              </w:rPr>
              <w:t>4</w:t>
            </w:r>
          </w:p>
        </w:tc>
        <w:tc>
          <w:tcPr>
            <w:tcW w:w="1695" w:type="dxa"/>
            <w:tcBorders>
              <w:top w:val="single" w:color="auto" w:sz="4" w:space="0"/>
              <w:left w:val="single" w:color="auto" w:sz="4" w:space="0"/>
              <w:bottom w:val="single" w:color="auto" w:sz="4" w:space="0"/>
              <w:right w:val="single" w:color="auto" w:sz="4" w:space="0"/>
            </w:tcBorders>
            <w:vAlign w:val="center"/>
          </w:tcPr>
          <w:p w14:paraId="377ED262">
            <w:pPr>
              <w:jc w:val="center"/>
              <w:rPr>
                <w:rFonts w:hAnsi="宋体" w:cs="Arial"/>
                <w:bCs/>
                <w:sz w:val="24"/>
                <w:szCs w:val="24"/>
                <w:highlight w:val="none"/>
              </w:rPr>
            </w:pPr>
            <w:r>
              <w:rPr>
                <w:rFonts w:hint="eastAsia" w:hAnsi="宋体" w:cs="Arial"/>
                <w:bCs/>
                <w:sz w:val="24"/>
                <w:szCs w:val="24"/>
                <w:highlight w:val="none"/>
              </w:rPr>
              <w:t>招标内容</w:t>
            </w:r>
          </w:p>
        </w:tc>
        <w:tc>
          <w:tcPr>
            <w:tcW w:w="6639" w:type="dxa"/>
            <w:tcBorders>
              <w:top w:val="single" w:color="auto" w:sz="4" w:space="0"/>
              <w:left w:val="single" w:color="auto" w:sz="4" w:space="0"/>
              <w:bottom w:val="single" w:color="auto" w:sz="4" w:space="0"/>
              <w:right w:val="single" w:color="auto" w:sz="4" w:space="0"/>
            </w:tcBorders>
            <w:vAlign w:val="center"/>
          </w:tcPr>
          <w:p w14:paraId="0023F079">
            <w:pPr>
              <w:jc w:val="left"/>
              <w:rPr>
                <w:rFonts w:hAnsi="宋体"/>
                <w:sz w:val="24"/>
                <w:szCs w:val="24"/>
                <w:highlight w:val="none"/>
              </w:rPr>
            </w:pPr>
            <w:r>
              <w:rPr>
                <w:rFonts w:hint="eastAsia" w:hAnsi="宋体"/>
                <w:sz w:val="24"/>
                <w:szCs w:val="24"/>
                <w:highlight w:val="none"/>
              </w:rPr>
              <w:t>详见本</w:t>
            </w:r>
            <w:r>
              <w:rPr>
                <w:rFonts w:hint="eastAsia" w:hAnsi="宋体"/>
                <w:sz w:val="24"/>
                <w:szCs w:val="24"/>
                <w:highlight w:val="none"/>
                <w:lang w:eastAsia="zh-CN"/>
              </w:rPr>
              <w:t>磋商文件</w:t>
            </w:r>
            <w:r>
              <w:rPr>
                <w:rFonts w:hint="eastAsia" w:hAnsi="宋体"/>
                <w:sz w:val="24"/>
                <w:szCs w:val="24"/>
                <w:highlight w:val="none"/>
              </w:rPr>
              <w:t>第六章项目需求</w:t>
            </w:r>
          </w:p>
        </w:tc>
      </w:tr>
      <w:tr w14:paraId="7F472D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 w:hRule="atLeast"/>
          <w:jc w:val="center"/>
        </w:trPr>
        <w:tc>
          <w:tcPr>
            <w:tcW w:w="684" w:type="dxa"/>
            <w:tcBorders>
              <w:top w:val="single" w:color="auto" w:sz="4" w:space="0"/>
              <w:left w:val="single" w:color="auto" w:sz="4" w:space="0"/>
              <w:bottom w:val="single" w:color="auto" w:sz="4" w:space="0"/>
              <w:right w:val="single" w:color="auto" w:sz="4" w:space="0"/>
            </w:tcBorders>
            <w:vAlign w:val="center"/>
          </w:tcPr>
          <w:p w14:paraId="02B9E485">
            <w:pPr>
              <w:jc w:val="center"/>
              <w:rPr>
                <w:rFonts w:hAnsi="宋体" w:cs="Arial"/>
                <w:bCs/>
                <w:sz w:val="24"/>
                <w:szCs w:val="24"/>
                <w:highlight w:val="none"/>
              </w:rPr>
            </w:pPr>
            <w:r>
              <w:rPr>
                <w:rFonts w:hint="eastAsia" w:hAnsi="宋体" w:cs="Arial"/>
                <w:bCs/>
                <w:sz w:val="24"/>
                <w:szCs w:val="24"/>
                <w:highlight w:val="none"/>
              </w:rPr>
              <w:t>5</w:t>
            </w:r>
          </w:p>
        </w:tc>
        <w:tc>
          <w:tcPr>
            <w:tcW w:w="1695" w:type="dxa"/>
            <w:tcBorders>
              <w:top w:val="single" w:color="auto" w:sz="4" w:space="0"/>
              <w:left w:val="single" w:color="auto" w:sz="4" w:space="0"/>
              <w:bottom w:val="single" w:color="auto" w:sz="4" w:space="0"/>
              <w:right w:val="single" w:color="auto" w:sz="4" w:space="0"/>
            </w:tcBorders>
            <w:vAlign w:val="center"/>
          </w:tcPr>
          <w:p w14:paraId="54D355EE">
            <w:pPr>
              <w:jc w:val="center"/>
              <w:rPr>
                <w:rFonts w:hAnsi="宋体" w:cs="Arial"/>
                <w:bCs/>
                <w:sz w:val="24"/>
                <w:szCs w:val="24"/>
                <w:highlight w:val="none"/>
              </w:rPr>
            </w:pPr>
            <w:r>
              <w:rPr>
                <w:rFonts w:hint="eastAsia" w:hAnsi="宋体" w:cs="Arial"/>
                <w:bCs/>
                <w:sz w:val="24"/>
                <w:szCs w:val="24"/>
                <w:highlight w:val="none"/>
              </w:rPr>
              <w:t>交货地点</w:t>
            </w:r>
          </w:p>
        </w:tc>
        <w:tc>
          <w:tcPr>
            <w:tcW w:w="6639" w:type="dxa"/>
            <w:tcBorders>
              <w:top w:val="single" w:color="auto" w:sz="4" w:space="0"/>
              <w:left w:val="single" w:color="auto" w:sz="4" w:space="0"/>
              <w:bottom w:val="single" w:color="auto" w:sz="4" w:space="0"/>
              <w:right w:val="single" w:color="auto" w:sz="4" w:space="0"/>
            </w:tcBorders>
            <w:vAlign w:val="center"/>
          </w:tcPr>
          <w:p w14:paraId="66E2172B">
            <w:pPr>
              <w:jc w:val="left"/>
              <w:rPr>
                <w:rFonts w:hAnsi="宋体"/>
                <w:sz w:val="24"/>
                <w:szCs w:val="24"/>
                <w:highlight w:val="none"/>
              </w:rPr>
            </w:pPr>
            <w:r>
              <w:rPr>
                <w:rFonts w:hint="eastAsia" w:hAnsi="宋体"/>
                <w:sz w:val="24"/>
                <w:szCs w:val="24"/>
                <w:highlight w:val="none"/>
              </w:rPr>
              <w:t>采购人指定地点</w:t>
            </w:r>
          </w:p>
        </w:tc>
      </w:tr>
      <w:tr w14:paraId="1288D3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 w:hRule="atLeast"/>
          <w:jc w:val="center"/>
        </w:trPr>
        <w:tc>
          <w:tcPr>
            <w:tcW w:w="684" w:type="dxa"/>
            <w:tcBorders>
              <w:top w:val="single" w:color="auto" w:sz="4" w:space="0"/>
              <w:left w:val="single" w:color="auto" w:sz="4" w:space="0"/>
              <w:bottom w:val="single" w:color="auto" w:sz="4" w:space="0"/>
              <w:right w:val="single" w:color="auto" w:sz="4" w:space="0"/>
            </w:tcBorders>
            <w:vAlign w:val="center"/>
          </w:tcPr>
          <w:p w14:paraId="788D42DE">
            <w:pPr>
              <w:jc w:val="center"/>
              <w:rPr>
                <w:rFonts w:hAnsi="宋体" w:cs="Arial"/>
                <w:sz w:val="24"/>
                <w:szCs w:val="24"/>
                <w:highlight w:val="none"/>
              </w:rPr>
            </w:pPr>
            <w:r>
              <w:rPr>
                <w:rFonts w:hint="eastAsia" w:hAnsi="宋体" w:cs="Arial"/>
                <w:sz w:val="24"/>
                <w:szCs w:val="24"/>
                <w:highlight w:val="none"/>
              </w:rPr>
              <w:t>6</w:t>
            </w:r>
          </w:p>
        </w:tc>
        <w:tc>
          <w:tcPr>
            <w:tcW w:w="1695" w:type="dxa"/>
            <w:tcBorders>
              <w:top w:val="single" w:color="auto" w:sz="4" w:space="0"/>
              <w:left w:val="single" w:color="auto" w:sz="4" w:space="0"/>
              <w:bottom w:val="single" w:color="auto" w:sz="4" w:space="0"/>
              <w:right w:val="single" w:color="auto" w:sz="4" w:space="0"/>
            </w:tcBorders>
            <w:vAlign w:val="center"/>
          </w:tcPr>
          <w:p w14:paraId="608316D7">
            <w:pPr>
              <w:jc w:val="center"/>
              <w:rPr>
                <w:rFonts w:hAnsi="宋体" w:cs="宋体"/>
                <w:sz w:val="24"/>
                <w:szCs w:val="24"/>
                <w:highlight w:val="none"/>
              </w:rPr>
            </w:pPr>
            <w:r>
              <w:rPr>
                <w:rFonts w:hint="eastAsia" w:hAnsi="宋体" w:cs="宋体"/>
                <w:sz w:val="24"/>
                <w:szCs w:val="24"/>
                <w:highlight w:val="none"/>
                <w:lang w:val="en-US" w:eastAsia="zh-CN"/>
              </w:rPr>
              <w:t>供货</w:t>
            </w:r>
            <w:r>
              <w:rPr>
                <w:rFonts w:hint="eastAsia" w:hAnsi="宋体" w:cs="宋体"/>
                <w:sz w:val="24"/>
                <w:szCs w:val="24"/>
                <w:highlight w:val="none"/>
              </w:rPr>
              <w:t>期限</w:t>
            </w:r>
          </w:p>
        </w:tc>
        <w:tc>
          <w:tcPr>
            <w:tcW w:w="6639" w:type="dxa"/>
            <w:tcBorders>
              <w:top w:val="single" w:color="auto" w:sz="4" w:space="0"/>
              <w:left w:val="single" w:color="auto" w:sz="4" w:space="0"/>
              <w:bottom w:val="single" w:color="auto" w:sz="4" w:space="0"/>
              <w:right w:val="single" w:color="auto" w:sz="4" w:space="0"/>
            </w:tcBorders>
            <w:vAlign w:val="center"/>
          </w:tcPr>
          <w:p w14:paraId="0B623930">
            <w:pPr>
              <w:jc w:val="left"/>
              <w:rPr>
                <w:rFonts w:hAnsi="宋体"/>
                <w:sz w:val="24"/>
                <w:szCs w:val="24"/>
                <w:highlight w:val="none"/>
              </w:rPr>
            </w:pPr>
            <w:r>
              <w:rPr>
                <w:rFonts w:hint="eastAsia" w:hAnsi="宋体"/>
                <w:sz w:val="24"/>
                <w:szCs w:val="24"/>
                <w:highlight w:val="none"/>
              </w:rPr>
              <w:t>合同签订之日起一年</w:t>
            </w:r>
          </w:p>
        </w:tc>
      </w:tr>
      <w:tr w14:paraId="61AF5D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 w:hRule="atLeast"/>
          <w:jc w:val="center"/>
        </w:trPr>
        <w:tc>
          <w:tcPr>
            <w:tcW w:w="684" w:type="dxa"/>
            <w:tcBorders>
              <w:top w:val="single" w:color="auto" w:sz="4" w:space="0"/>
              <w:left w:val="single" w:color="auto" w:sz="4" w:space="0"/>
              <w:bottom w:val="single" w:color="auto" w:sz="4" w:space="0"/>
              <w:right w:val="single" w:color="auto" w:sz="4" w:space="0"/>
            </w:tcBorders>
            <w:vAlign w:val="center"/>
          </w:tcPr>
          <w:p w14:paraId="76443386">
            <w:pPr>
              <w:jc w:val="center"/>
              <w:rPr>
                <w:rFonts w:hAnsi="宋体" w:cs="Arial"/>
                <w:bCs/>
                <w:sz w:val="24"/>
                <w:szCs w:val="24"/>
                <w:highlight w:val="none"/>
              </w:rPr>
            </w:pPr>
            <w:r>
              <w:rPr>
                <w:rFonts w:hint="eastAsia" w:hAnsi="宋体" w:cs="Arial"/>
                <w:bCs/>
                <w:sz w:val="24"/>
                <w:szCs w:val="24"/>
                <w:highlight w:val="none"/>
              </w:rPr>
              <w:t>7</w:t>
            </w:r>
          </w:p>
        </w:tc>
        <w:tc>
          <w:tcPr>
            <w:tcW w:w="1695" w:type="dxa"/>
            <w:tcBorders>
              <w:top w:val="single" w:color="auto" w:sz="4" w:space="0"/>
              <w:left w:val="single" w:color="auto" w:sz="4" w:space="0"/>
              <w:bottom w:val="single" w:color="auto" w:sz="4" w:space="0"/>
              <w:right w:val="single" w:color="auto" w:sz="4" w:space="0"/>
            </w:tcBorders>
            <w:vAlign w:val="center"/>
          </w:tcPr>
          <w:p w14:paraId="7C3B7A42">
            <w:pPr>
              <w:jc w:val="center"/>
              <w:rPr>
                <w:rFonts w:hAnsi="宋体" w:cs="宋体"/>
                <w:sz w:val="24"/>
                <w:szCs w:val="24"/>
                <w:highlight w:val="none"/>
              </w:rPr>
            </w:pPr>
            <w:r>
              <w:rPr>
                <w:rFonts w:hint="eastAsia" w:hAnsi="宋体" w:cs="宋体"/>
                <w:sz w:val="24"/>
                <w:szCs w:val="24"/>
                <w:highlight w:val="none"/>
              </w:rPr>
              <w:t>质量标准</w:t>
            </w:r>
          </w:p>
        </w:tc>
        <w:tc>
          <w:tcPr>
            <w:tcW w:w="6639" w:type="dxa"/>
            <w:tcBorders>
              <w:top w:val="single" w:color="auto" w:sz="4" w:space="0"/>
              <w:left w:val="single" w:color="auto" w:sz="4" w:space="0"/>
              <w:bottom w:val="single" w:color="auto" w:sz="4" w:space="0"/>
              <w:right w:val="single" w:color="auto" w:sz="4" w:space="0"/>
            </w:tcBorders>
            <w:vAlign w:val="center"/>
          </w:tcPr>
          <w:p w14:paraId="60BBD075">
            <w:pPr>
              <w:jc w:val="left"/>
              <w:rPr>
                <w:rFonts w:hAnsi="宋体"/>
                <w:sz w:val="24"/>
                <w:szCs w:val="24"/>
                <w:highlight w:val="none"/>
              </w:rPr>
            </w:pPr>
            <w:r>
              <w:rPr>
                <w:rFonts w:hint="eastAsia" w:hAnsi="宋体"/>
                <w:sz w:val="24"/>
                <w:szCs w:val="24"/>
                <w:highlight w:val="none"/>
              </w:rPr>
              <w:t>达到采购人要求且符合卫生防疫要求标准</w:t>
            </w:r>
          </w:p>
        </w:tc>
      </w:tr>
      <w:tr w14:paraId="19D618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 w:hRule="atLeast"/>
          <w:jc w:val="center"/>
        </w:trPr>
        <w:tc>
          <w:tcPr>
            <w:tcW w:w="684" w:type="dxa"/>
            <w:tcBorders>
              <w:top w:val="single" w:color="auto" w:sz="4" w:space="0"/>
              <w:left w:val="single" w:color="auto" w:sz="4" w:space="0"/>
              <w:bottom w:val="single" w:color="auto" w:sz="4" w:space="0"/>
              <w:right w:val="single" w:color="auto" w:sz="4" w:space="0"/>
            </w:tcBorders>
            <w:vAlign w:val="center"/>
          </w:tcPr>
          <w:p w14:paraId="10DF8CDB">
            <w:pPr>
              <w:jc w:val="center"/>
              <w:rPr>
                <w:rFonts w:ascii="宋体" w:hAnsi="宋体" w:cs="Arial"/>
                <w:bCs/>
                <w:sz w:val="24"/>
                <w:szCs w:val="24"/>
                <w:highlight w:val="none"/>
              </w:rPr>
            </w:pPr>
            <w:r>
              <w:rPr>
                <w:rFonts w:hint="eastAsia" w:hAnsi="宋体" w:cs="Arial"/>
                <w:bCs/>
                <w:sz w:val="24"/>
                <w:szCs w:val="24"/>
                <w:highlight w:val="none"/>
              </w:rPr>
              <w:t>8</w:t>
            </w:r>
          </w:p>
        </w:tc>
        <w:tc>
          <w:tcPr>
            <w:tcW w:w="169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5B58F65">
            <w:pPr>
              <w:jc w:val="center"/>
              <w:rPr>
                <w:rFonts w:hAnsi="宋体" w:cs="宋体"/>
                <w:sz w:val="24"/>
                <w:szCs w:val="24"/>
                <w:highlight w:val="none"/>
              </w:rPr>
            </w:pPr>
            <w:r>
              <w:rPr>
                <w:rFonts w:hint="eastAsia" w:cs="宋体"/>
                <w:sz w:val="24"/>
                <w:szCs w:val="24"/>
                <w:highlight w:val="none"/>
              </w:rPr>
              <w:t>付款方式</w:t>
            </w:r>
          </w:p>
        </w:tc>
        <w:tc>
          <w:tcPr>
            <w:tcW w:w="6639"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F727FE7">
            <w:pPr>
              <w:rPr>
                <w:sz w:val="24"/>
                <w:szCs w:val="24"/>
                <w:highlight w:val="none"/>
              </w:rPr>
            </w:pPr>
            <w:r>
              <w:rPr>
                <w:rFonts w:hint="eastAsia"/>
                <w:sz w:val="24"/>
                <w:szCs w:val="24"/>
                <w:highlight w:val="none"/>
              </w:rPr>
              <w:t>1.货款实行按月结算，当月支付上月货款，货款系包含商品本身、商品包装费、交货所需的运输费用、保险费用及其他因商品采购事宜而产生的所有含税费用。采购人与中标投标人共同核实本月实际供货清单，并结合月度考评结果确定后，由中标投标人出具完整合法有效的发票。采购人在收到中标投标人开具的发票后15个工作日内以转账的方式支付到中标投标人银行账户。</w:t>
            </w:r>
          </w:p>
          <w:p w14:paraId="615385C0">
            <w:pPr>
              <w:rPr>
                <w:sz w:val="24"/>
                <w:szCs w:val="24"/>
                <w:highlight w:val="none"/>
              </w:rPr>
            </w:pPr>
            <w:r>
              <w:rPr>
                <w:rFonts w:hint="eastAsia"/>
                <w:sz w:val="24"/>
                <w:szCs w:val="24"/>
                <w:highlight w:val="none"/>
              </w:rPr>
              <w:t>2.主副食品结算方式：</w:t>
            </w:r>
          </w:p>
          <w:p w14:paraId="172203D4">
            <w:pPr>
              <w:rPr>
                <w:rFonts w:hint="eastAsia" w:eastAsia="宋体"/>
                <w:sz w:val="24"/>
                <w:szCs w:val="24"/>
                <w:highlight w:val="none"/>
                <w:lang w:eastAsia="zh-CN"/>
              </w:rPr>
            </w:pPr>
            <w:r>
              <w:rPr>
                <w:rFonts w:hint="eastAsia"/>
                <w:sz w:val="24"/>
                <w:szCs w:val="24"/>
                <w:highlight w:val="none"/>
              </w:rPr>
              <w:t>基准价：</w:t>
            </w:r>
            <w:r>
              <w:rPr>
                <w:rFonts w:hint="eastAsia"/>
                <w:sz w:val="24"/>
                <w:szCs w:val="24"/>
                <w:highlight w:val="none"/>
                <w:lang w:eastAsia="zh-CN"/>
              </w:rPr>
              <w:t>吐鲁番市发改委提供的市场零售价</w:t>
            </w:r>
          </w:p>
          <w:p w14:paraId="6A70F157">
            <w:pPr>
              <w:rPr>
                <w:sz w:val="24"/>
                <w:szCs w:val="24"/>
                <w:highlight w:val="none"/>
              </w:rPr>
            </w:pPr>
            <w:r>
              <w:rPr>
                <w:rFonts w:hint="eastAsia"/>
                <w:sz w:val="24"/>
                <w:szCs w:val="24"/>
                <w:highlight w:val="none"/>
              </w:rPr>
              <w:t>结算公式：实际供货量*基准价*(1-下浮比例)</w:t>
            </w:r>
          </w:p>
          <w:p w14:paraId="7B214A7A">
            <w:pPr>
              <w:rPr>
                <w:sz w:val="24"/>
                <w:szCs w:val="24"/>
                <w:highlight w:val="none"/>
              </w:rPr>
            </w:pPr>
            <w:r>
              <w:rPr>
                <w:rFonts w:hint="eastAsia"/>
                <w:sz w:val="24"/>
                <w:szCs w:val="24"/>
                <w:highlight w:val="none"/>
                <w:lang w:val="en-US" w:eastAsia="zh-CN"/>
              </w:rPr>
              <w:t>3</w:t>
            </w:r>
            <w:r>
              <w:rPr>
                <w:rFonts w:hint="eastAsia"/>
                <w:sz w:val="24"/>
                <w:szCs w:val="24"/>
                <w:highlight w:val="none"/>
              </w:rPr>
              <w:t>.除额定包装的食材，其余需称重计量的，双方共同校对计量称，所供食材的数量以采购人过磅为准，并由采购人验收人员签字确认；由采购人验收人员签字确认的数量即视为双方均认可的数量。</w:t>
            </w:r>
          </w:p>
        </w:tc>
      </w:tr>
      <w:tr w14:paraId="351B3F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 w:hRule="atLeast"/>
          <w:jc w:val="center"/>
        </w:trPr>
        <w:tc>
          <w:tcPr>
            <w:tcW w:w="684" w:type="dxa"/>
            <w:tcBorders>
              <w:top w:val="single" w:color="auto" w:sz="4" w:space="0"/>
              <w:left w:val="single" w:color="auto" w:sz="4" w:space="0"/>
              <w:bottom w:val="single" w:color="auto" w:sz="4" w:space="0"/>
              <w:right w:val="single" w:color="auto" w:sz="4" w:space="0"/>
            </w:tcBorders>
            <w:vAlign w:val="center"/>
          </w:tcPr>
          <w:p w14:paraId="7C3CA02C">
            <w:pPr>
              <w:jc w:val="center"/>
              <w:rPr>
                <w:rFonts w:ascii="宋体" w:hAnsi="宋体" w:cs="Arial"/>
                <w:bCs/>
                <w:sz w:val="24"/>
                <w:szCs w:val="24"/>
                <w:highlight w:val="none"/>
              </w:rPr>
            </w:pPr>
            <w:r>
              <w:rPr>
                <w:rFonts w:hint="eastAsia" w:hAnsi="宋体" w:cs="Arial"/>
                <w:bCs/>
                <w:sz w:val="24"/>
                <w:szCs w:val="24"/>
                <w:highlight w:val="none"/>
              </w:rPr>
              <w:t>9</w:t>
            </w:r>
          </w:p>
        </w:tc>
        <w:tc>
          <w:tcPr>
            <w:tcW w:w="1695" w:type="dxa"/>
            <w:tcBorders>
              <w:top w:val="single" w:color="auto" w:sz="4" w:space="0"/>
              <w:left w:val="single" w:color="auto" w:sz="4" w:space="0"/>
              <w:bottom w:val="single" w:color="auto" w:sz="4" w:space="0"/>
              <w:right w:val="single" w:color="auto" w:sz="4" w:space="0"/>
            </w:tcBorders>
            <w:vAlign w:val="center"/>
          </w:tcPr>
          <w:p w14:paraId="4CE12B74">
            <w:pPr>
              <w:jc w:val="center"/>
              <w:rPr>
                <w:rFonts w:cs="宋体"/>
                <w:sz w:val="24"/>
                <w:szCs w:val="24"/>
                <w:highlight w:val="none"/>
              </w:rPr>
            </w:pPr>
            <w:r>
              <w:rPr>
                <w:rFonts w:hint="eastAsia" w:cs="宋体"/>
                <w:sz w:val="24"/>
                <w:szCs w:val="24"/>
                <w:highlight w:val="none"/>
              </w:rPr>
              <w:t>验收标准</w:t>
            </w:r>
          </w:p>
        </w:tc>
        <w:tc>
          <w:tcPr>
            <w:tcW w:w="6639" w:type="dxa"/>
            <w:tcBorders>
              <w:top w:val="single" w:color="auto" w:sz="4" w:space="0"/>
              <w:left w:val="single" w:color="auto" w:sz="4" w:space="0"/>
              <w:bottom w:val="single" w:color="auto" w:sz="4" w:space="0"/>
              <w:right w:val="single" w:color="auto" w:sz="4" w:space="0"/>
            </w:tcBorders>
            <w:vAlign w:val="center"/>
          </w:tcPr>
          <w:p w14:paraId="28592870">
            <w:pPr>
              <w:jc w:val="left"/>
              <w:rPr>
                <w:rFonts w:hAnsi="宋体"/>
                <w:sz w:val="24"/>
                <w:szCs w:val="24"/>
                <w:highlight w:val="none"/>
              </w:rPr>
            </w:pPr>
            <w:r>
              <w:rPr>
                <w:rFonts w:hint="eastAsia" w:hAnsi="宋体"/>
                <w:sz w:val="24"/>
                <w:szCs w:val="24"/>
                <w:highlight w:val="none"/>
              </w:rPr>
              <w:t>1.验收时间：送达随即验收。</w:t>
            </w:r>
          </w:p>
          <w:p w14:paraId="06BE6FB3">
            <w:pPr>
              <w:jc w:val="left"/>
              <w:rPr>
                <w:rFonts w:hAnsi="宋体"/>
                <w:sz w:val="24"/>
                <w:szCs w:val="24"/>
                <w:highlight w:val="none"/>
              </w:rPr>
            </w:pPr>
            <w:r>
              <w:rPr>
                <w:rFonts w:hint="eastAsia" w:hAnsi="宋体"/>
                <w:sz w:val="24"/>
                <w:szCs w:val="24"/>
                <w:highlight w:val="none"/>
              </w:rPr>
              <w:t>2.验收方式：按照采购产品质量及要求的规定逐一检查，验收人员对不合格货品有权要求无条件进行退货、换货。</w:t>
            </w:r>
          </w:p>
          <w:p w14:paraId="597A489E">
            <w:pPr>
              <w:jc w:val="left"/>
              <w:rPr>
                <w:rFonts w:hAnsi="宋体"/>
                <w:sz w:val="24"/>
                <w:szCs w:val="24"/>
                <w:highlight w:val="none"/>
              </w:rPr>
            </w:pPr>
            <w:r>
              <w:rPr>
                <w:rFonts w:hint="eastAsia" w:hAnsi="宋体"/>
                <w:sz w:val="24"/>
                <w:szCs w:val="24"/>
                <w:highlight w:val="none"/>
              </w:rPr>
              <w:t>3.根据《财政部关于进一步加强政府采购需求和履约验收管理的指导意见》(财库〔2016〕205号)等相关规定要求进行验收。</w:t>
            </w:r>
          </w:p>
        </w:tc>
      </w:tr>
      <w:tr w14:paraId="670AD1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 w:hRule="atLeast"/>
          <w:jc w:val="center"/>
        </w:trPr>
        <w:tc>
          <w:tcPr>
            <w:tcW w:w="684" w:type="dxa"/>
            <w:tcBorders>
              <w:top w:val="single" w:color="auto" w:sz="4" w:space="0"/>
              <w:left w:val="single" w:color="auto" w:sz="4" w:space="0"/>
              <w:bottom w:val="single" w:color="auto" w:sz="4" w:space="0"/>
              <w:right w:val="single" w:color="auto" w:sz="4" w:space="0"/>
            </w:tcBorders>
            <w:vAlign w:val="center"/>
          </w:tcPr>
          <w:p w14:paraId="5D22D1D5">
            <w:pPr>
              <w:jc w:val="center"/>
              <w:rPr>
                <w:rFonts w:ascii="宋体" w:hAnsi="宋体" w:cs="Arial"/>
                <w:bCs/>
                <w:sz w:val="24"/>
                <w:szCs w:val="24"/>
                <w:highlight w:val="none"/>
              </w:rPr>
            </w:pPr>
            <w:r>
              <w:rPr>
                <w:rFonts w:hint="eastAsia" w:hAnsi="宋体" w:cs="Arial"/>
                <w:bCs/>
                <w:sz w:val="24"/>
                <w:szCs w:val="24"/>
                <w:highlight w:val="none"/>
              </w:rPr>
              <w:t>10</w:t>
            </w:r>
          </w:p>
        </w:tc>
        <w:tc>
          <w:tcPr>
            <w:tcW w:w="1695" w:type="dxa"/>
            <w:tcBorders>
              <w:top w:val="single" w:color="auto" w:sz="4" w:space="0"/>
              <w:left w:val="single" w:color="auto" w:sz="4" w:space="0"/>
              <w:bottom w:val="single" w:color="auto" w:sz="4" w:space="0"/>
              <w:right w:val="single" w:color="auto" w:sz="4" w:space="0"/>
            </w:tcBorders>
            <w:vAlign w:val="center"/>
          </w:tcPr>
          <w:p w14:paraId="03B00B4C">
            <w:pPr>
              <w:jc w:val="center"/>
              <w:rPr>
                <w:rFonts w:cs="宋体"/>
                <w:sz w:val="24"/>
                <w:szCs w:val="24"/>
                <w:highlight w:val="none"/>
              </w:rPr>
            </w:pPr>
            <w:r>
              <w:rPr>
                <w:rFonts w:hint="eastAsia" w:cs="宋体"/>
                <w:sz w:val="24"/>
                <w:szCs w:val="24"/>
                <w:highlight w:val="none"/>
              </w:rPr>
              <w:t>进口产品</w:t>
            </w:r>
          </w:p>
        </w:tc>
        <w:tc>
          <w:tcPr>
            <w:tcW w:w="6639" w:type="dxa"/>
            <w:tcBorders>
              <w:top w:val="single" w:color="auto" w:sz="4" w:space="0"/>
              <w:left w:val="single" w:color="auto" w:sz="4" w:space="0"/>
              <w:bottom w:val="single" w:color="auto" w:sz="4" w:space="0"/>
              <w:right w:val="single" w:color="auto" w:sz="4" w:space="0"/>
            </w:tcBorders>
            <w:vAlign w:val="center"/>
          </w:tcPr>
          <w:p w14:paraId="768D16EB">
            <w:pPr>
              <w:jc w:val="left"/>
              <w:rPr>
                <w:rFonts w:hint="default" w:hAnsi="宋体" w:eastAsia="宋体"/>
                <w:sz w:val="24"/>
                <w:szCs w:val="24"/>
                <w:highlight w:val="none"/>
                <w:lang w:val="en-US" w:eastAsia="zh-CN"/>
              </w:rPr>
            </w:pPr>
            <w:r>
              <w:rPr>
                <w:rFonts w:hint="eastAsia" w:hAnsi="宋体"/>
                <w:sz w:val="24"/>
                <w:szCs w:val="24"/>
                <w:highlight w:val="none"/>
                <w:lang w:val="en-US" w:eastAsia="zh-CN"/>
              </w:rPr>
              <w:t>本项目</w:t>
            </w:r>
            <w:r>
              <w:rPr>
                <w:rFonts w:hint="eastAsia" w:hAnsi="宋体"/>
                <w:sz w:val="24"/>
                <w:szCs w:val="24"/>
                <w:highlight w:val="none"/>
              </w:rPr>
              <w:t>不接受</w:t>
            </w:r>
            <w:r>
              <w:rPr>
                <w:rFonts w:hint="eastAsia" w:hAnsi="宋体"/>
                <w:sz w:val="24"/>
                <w:szCs w:val="24"/>
                <w:highlight w:val="none"/>
                <w:lang w:val="en-US" w:eastAsia="zh-CN"/>
              </w:rPr>
              <w:t>进口产品</w:t>
            </w:r>
          </w:p>
        </w:tc>
      </w:tr>
      <w:tr w14:paraId="7FABF4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 w:hRule="atLeast"/>
          <w:jc w:val="center"/>
        </w:trPr>
        <w:tc>
          <w:tcPr>
            <w:tcW w:w="684" w:type="dxa"/>
            <w:tcBorders>
              <w:top w:val="single" w:color="auto" w:sz="4" w:space="0"/>
              <w:left w:val="single" w:color="auto" w:sz="4" w:space="0"/>
              <w:bottom w:val="single" w:color="auto" w:sz="4" w:space="0"/>
              <w:right w:val="single" w:color="auto" w:sz="4" w:space="0"/>
            </w:tcBorders>
            <w:vAlign w:val="center"/>
          </w:tcPr>
          <w:p w14:paraId="4878B2C3">
            <w:pPr>
              <w:jc w:val="center"/>
              <w:rPr>
                <w:rFonts w:hint="eastAsia" w:hAnsi="宋体" w:eastAsia="宋体" w:cs="Arial"/>
                <w:bCs/>
                <w:sz w:val="24"/>
                <w:szCs w:val="24"/>
                <w:highlight w:val="none"/>
                <w:lang w:eastAsia="zh-CN"/>
              </w:rPr>
            </w:pPr>
            <w:r>
              <w:rPr>
                <w:rFonts w:hint="eastAsia" w:hAnsi="宋体" w:cs="Arial"/>
                <w:bCs/>
                <w:sz w:val="24"/>
                <w:szCs w:val="24"/>
                <w:highlight w:val="none"/>
              </w:rPr>
              <w:t>1</w:t>
            </w:r>
            <w:r>
              <w:rPr>
                <w:rFonts w:hint="eastAsia" w:hAnsi="宋体" w:cs="Arial"/>
                <w:bCs/>
                <w:sz w:val="24"/>
                <w:szCs w:val="24"/>
                <w:highlight w:val="none"/>
                <w:lang w:val="en-US" w:eastAsia="zh-CN"/>
              </w:rPr>
              <w:t>1</w:t>
            </w:r>
          </w:p>
        </w:tc>
        <w:tc>
          <w:tcPr>
            <w:tcW w:w="1695" w:type="dxa"/>
            <w:tcBorders>
              <w:top w:val="single" w:color="auto" w:sz="4" w:space="0"/>
              <w:left w:val="single" w:color="auto" w:sz="4" w:space="0"/>
              <w:bottom w:val="single" w:color="auto" w:sz="4" w:space="0"/>
              <w:right w:val="single" w:color="auto" w:sz="4" w:space="0"/>
            </w:tcBorders>
            <w:vAlign w:val="center"/>
          </w:tcPr>
          <w:p w14:paraId="44F5D4EA">
            <w:pPr>
              <w:jc w:val="center"/>
              <w:rPr>
                <w:rFonts w:cs="宋体"/>
                <w:sz w:val="24"/>
                <w:szCs w:val="24"/>
                <w:highlight w:val="none"/>
              </w:rPr>
            </w:pPr>
            <w:r>
              <w:rPr>
                <w:rFonts w:hint="eastAsia" w:ascii="宋体" w:hAnsi="宋体" w:cs="宋体"/>
                <w:sz w:val="24"/>
                <w:szCs w:val="24"/>
                <w:highlight w:val="none"/>
                <w:lang w:val="zh-CN"/>
              </w:rPr>
              <w:t>构成磋商文件的其他文件</w:t>
            </w:r>
          </w:p>
        </w:tc>
        <w:tc>
          <w:tcPr>
            <w:tcW w:w="6639" w:type="dxa"/>
            <w:tcBorders>
              <w:top w:val="single" w:color="auto" w:sz="4" w:space="0"/>
              <w:left w:val="single" w:color="auto" w:sz="4" w:space="0"/>
              <w:bottom w:val="single" w:color="auto" w:sz="4" w:space="0"/>
              <w:right w:val="single" w:color="auto" w:sz="4" w:space="0"/>
            </w:tcBorders>
            <w:vAlign w:val="center"/>
          </w:tcPr>
          <w:p w14:paraId="29982E35">
            <w:pPr>
              <w:jc w:val="left"/>
              <w:rPr>
                <w:rFonts w:hAnsi="宋体"/>
                <w:sz w:val="24"/>
                <w:szCs w:val="24"/>
                <w:highlight w:val="none"/>
              </w:rPr>
            </w:pPr>
            <w:r>
              <w:rPr>
                <w:rFonts w:hint="eastAsia" w:hAnsi="宋体"/>
                <w:sz w:val="24"/>
                <w:szCs w:val="24"/>
                <w:highlight w:val="none"/>
                <w:lang w:val="zh-CN"/>
              </w:rPr>
              <w:t>磋商文件的澄清、修改书及有关补充通知为磋商文件的有效组成部分。</w:t>
            </w:r>
          </w:p>
        </w:tc>
      </w:tr>
      <w:tr w14:paraId="068577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 w:hRule="atLeast"/>
          <w:jc w:val="center"/>
        </w:trPr>
        <w:tc>
          <w:tcPr>
            <w:tcW w:w="684" w:type="dxa"/>
            <w:tcBorders>
              <w:top w:val="single" w:color="auto" w:sz="4" w:space="0"/>
              <w:left w:val="single" w:color="auto" w:sz="4" w:space="0"/>
              <w:bottom w:val="single" w:color="auto" w:sz="4" w:space="0"/>
              <w:right w:val="single" w:color="auto" w:sz="4" w:space="0"/>
            </w:tcBorders>
            <w:vAlign w:val="center"/>
          </w:tcPr>
          <w:p w14:paraId="6781FCAA">
            <w:pPr>
              <w:jc w:val="center"/>
              <w:rPr>
                <w:rFonts w:hint="eastAsia" w:ascii="宋体" w:hAnsi="宋体" w:eastAsia="宋体" w:cs="Arial"/>
                <w:bCs/>
                <w:sz w:val="24"/>
                <w:szCs w:val="24"/>
                <w:highlight w:val="none"/>
                <w:lang w:eastAsia="zh-CN"/>
              </w:rPr>
            </w:pPr>
            <w:r>
              <w:rPr>
                <w:rFonts w:hint="eastAsia" w:hAnsi="宋体" w:cs="Arial"/>
                <w:bCs/>
                <w:sz w:val="24"/>
                <w:szCs w:val="24"/>
                <w:highlight w:val="none"/>
              </w:rPr>
              <w:t>1</w:t>
            </w:r>
            <w:r>
              <w:rPr>
                <w:rFonts w:hint="eastAsia" w:hAnsi="宋体" w:cs="Arial"/>
                <w:bCs/>
                <w:sz w:val="24"/>
                <w:szCs w:val="24"/>
                <w:highlight w:val="none"/>
                <w:lang w:val="en-US" w:eastAsia="zh-CN"/>
              </w:rPr>
              <w:t>2</w:t>
            </w:r>
          </w:p>
        </w:tc>
        <w:tc>
          <w:tcPr>
            <w:tcW w:w="1695" w:type="dxa"/>
            <w:tcBorders>
              <w:top w:val="single" w:color="auto" w:sz="4" w:space="0"/>
              <w:left w:val="single" w:color="auto" w:sz="4" w:space="0"/>
              <w:bottom w:val="single" w:color="auto" w:sz="4" w:space="0"/>
              <w:right w:val="single" w:color="auto" w:sz="4" w:space="0"/>
            </w:tcBorders>
            <w:vAlign w:val="center"/>
          </w:tcPr>
          <w:p w14:paraId="2F9C8D0D">
            <w:pPr>
              <w:jc w:val="center"/>
              <w:rPr>
                <w:rFonts w:ascii="宋体" w:hAnsi="宋体" w:cs="Arial"/>
                <w:sz w:val="24"/>
                <w:szCs w:val="24"/>
                <w:highlight w:val="none"/>
              </w:rPr>
            </w:pPr>
            <w:r>
              <w:rPr>
                <w:rFonts w:hint="eastAsia" w:hAnsi="宋体" w:cs="Arial"/>
                <w:sz w:val="24"/>
                <w:szCs w:val="24"/>
                <w:highlight w:val="none"/>
              </w:rPr>
              <w:t>投标人资格要求</w:t>
            </w:r>
          </w:p>
        </w:tc>
        <w:tc>
          <w:tcPr>
            <w:tcW w:w="6639" w:type="dxa"/>
            <w:tcBorders>
              <w:top w:val="single" w:color="auto" w:sz="4" w:space="0"/>
              <w:left w:val="single" w:color="auto" w:sz="4" w:space="0"/>
              <w:bottom w:val="single" w:color="auto" w:sz="4" w:space="0"/>
              <w:right w:val="single" w:color="auto" w:sz="4" w:space="0"/>
            </w:tcBorders>
            <w:vAlign w:val="center"/>
          </w:tcPr>
          <w:p w14:paraId="226AE23D">
            <w:pPr>
              <w:rPr>
                <w:sz w:val="24"/>
                <w:szCs w:val="24"/>
                <w:highlight w:val="none"/>
              </w:rPr>
            </w:pPr>
            <w:r>
              <w:rPr>
                <w:rFonts w:hint="eastAsia"/>
                <w:sz w:val="24"/>
                <w:szCs w:val="24"/>
                <w:highlight w:val="none"/>
                <w:lang w:val="zh-CN"/>
              </w:rPr>
              <w:t>1.满足《中华人民共和国政府采购法》第二十二条规定。</w:t>
            </w:r>
          </w:p>
          <w:p w14:paraId="1E61A573">
            <w:pPr>
              <w:rPr>
                <w:sz w:val="24"/>
                <w:szCs w:val="24"/>
                <w:highlight w:val="none"/>
                <w:lang w:val="zh-CN"/>
              </w:rPr>
            </w:pPr>
            <w:r>
              <w:rPr>
                <w:rFonts w:hint="eastAsia"/>
                <w:sz w:val="24"/>
                <w:szCs w:val="24"/>
                <w:highlight w:val="none"/>
                <w:lang w:val="zh-CN"/>
              </w:rPr>
              <w:t>2.落实政府采购政策需满足的资格要求：1）本项目专门面向中小企业采购；</w:t>
            </w:r>
            <w:r>
              <w:rPr>
                <w:rFonts w:hint="eastAsia"/>
                <w:sz w:val="24"/>
                <w:szCs w:val="24"/>
                <w:highlight w:val="none"/>
                <w:lang w:val="en-US" w:eastAsia="zh-CN"/>
              </w:rPr>
              <w:t>2</w:t>
            </w:r>
            <w:r>
              <w:rPr>
                <w:rFonts w:hint="eastAsia"/>
                <w:sz w:val="24"/>
                <w:szCs w:val="24"/>
                <w:highlight w:val="none"/>
                <w:lang w:val="zh-CN"/>
              </w:rPr>
              <w:t>）落实《关于调整优化节能产品、环境标志产品政府采购执行机制的通知》（财库[2019]9号）、</w:t>
            </w:r>
            <w:r>
              <w:rPr>
                <w:rFonts w:hint="eastAsia"/>
                <w:sz w:val="24"/>
                <w:szCs w:val="24"/>
                <w:highlight w:val="none"/>
              </w:rPr>
              <w:t>财政部《关于进一步加大政府采购支持中小企业力度的通知》（财库[2022]19号）</w:t>
            </w:r>
            <w:r>
              <w:rPr>
                <w:rFonts w:hint="eastAsia"/>
                <w:sz w:val="24"/>
                <w:szCs w:val="24"/>
                <w:highlight w:val="none"/>
                <w:lang w:val="zh-CN"/>
              </w:rPr>
              <w:t>、关于印发《政府采购促进中小企业发展管理办法》的通知（财库[2020]46号）、《财政部、司法部关于政府采购支持监狱企业发展有关问题的通知》（财库[2014]68号）和《关于促进残疾人就业政府采购政策的通知》（财库[2017]141号）等政府采购政策。</w:t>
            </w:r>
          </w:p>
          <w:p w14:paraId="507B9408">
            <w:pPr>
              <w:rPr>
                <w:sz w:val="24"/>
                <w:szCs w:val="24"/>
                <w:highlight w:val="none"/>
                <w:lang w:val="zh-CN"/>
              </w:rPr>
            </w:pPr>
            <w:r>
              <w:rPr>
                <w:rFonts w:hint="eastAsia"/>
                <w:sz w:val="24"/>
                <w:szCs w:val="24"/>
                <w:highlight w:val="none"/>
                <w:lang w:val="zh-CN"/>
              </w:rPr>
              <w:t>3.本项目的特定资格要求：</w:t>
            </w:r>
          </w:p>
          <w:p w14:paraId="47D5643C">
            <w:pPr>
              <w:rPr>
                <w:sz w:val="24"/>
                <w:szCs w:val="24"/>
                <w:highlight w:val="none"/>
              </w:rPr>
            </w:pPr>
            <w:r>
              <w:rPr>
                <w:rFonts w:hint="eastAsia"/>
                <w:sz w:val="24"/>
                <w:szCs w:val="24"/>
                <w:highlight w:val="none"/>
              </w:rPr>
              <w:t>3.1第一包：具有有效的《食品经营许可证》或《食品流通许可证》或《食品生产许可证》；参与第二包企业还需具有有效的《动物防疫合格证》或《动物检疫合格证明》；以上所列证照必须是通过年检的有效证件，如证件处于年审阶段，投标人应提供年审受理回执复印件，并承诺中标签订合同时提供通过年审的证件；相关工作人员提供健康证；；</w:t>
            </w:r>
          </w:p>
          <w:p w14:paraId="6C44A36A">
            <w:pPr>
              <w:rPr>
                <w:sz w:val="24"/>
                <w:szCs w:val="24"/>
                <w:highlight w:val="none"/>
              </w:rPr>
            </w:pPr>
            <w:r>
              <w:rPr>
                <w:rFonts w:hint="eastAsia"/>
                <w:sz w:val="24"/>
                <w:szCs w:val="24"/>
                <w:highlight w:val="none"/>
              </w:rPr>
              <w:t>3.2与采购人存在利害关系可能影响招标公正性的法人、其他组织或者个人，不得参加同一标段投标或者未划分标段的同一招标不得参加投标；</w:t>
            </w:r>
          </w:p>
          <w:p w14:paraId="6686BBB1">
            <w:pPr>
              <w:rPr>
                <w:sz w:val="24"/>
                <w:szCs w:val="24"/>
                <w:highlight w:val="none"/>
              </w:rPr>
            </w:pPr>
            <w:r>
              <w:rPr>
                <w:rFonts w:hint="eastAsia"/>
                <w:sz w:val="24"/>
                <w:szCs w:val="24"/>
                <w:highlight w:val="none"/>
              </w:rPr>
              <w:t>3.3投标人负责人为同一人或者存在控股、管理关系的不同单位，不得同时参加本项目的投标。</w:t>
            </w:r>
          </w:p>
          <w:p w14:paraId="47C3A3E0">
            <w:pPr>
              <w:pStyle w:val="29"/>
              <w:rPr>
                <w:highlight w:val="none"/>
              </w:rPr>
            </w:pPr>
            <w:r>
              <w:rPr>
                <w:rFonts w:hint="eastAsia"/>
                <w:sz w:val="24"/>
                <w:szCs w:val="24"/>
                <w:highlight w:val="none"/>
              </w:rPr>
              <w:t>3.4列入失信被执行人、重大税收违法失信主体、政府采购严重违法失信行为记录名单的（处罚期内），不得参加本项目投标。</w:t>
            </w:r>
          </w:p>
          <w:p w14:paraId="58EC3F85">
            <w:pPr>
              <w:pStyle w:val="17"/>
              <w:ind w:firstLine="0"/>
              <w:rPr>
                <w:sz w:val="24"/>
                <w:szCs w:val="24"/>
                <w:highlight w:val="none"/>
              </w:rPr>
            </w:pPr>
            <w:r>
              <w:rPr>
                <w:rFonts w:hint="eastAsia" w:ascii="Times New Roman" w:eastAsia="宋体"/>
                <w:sz w:val="24"/>
                <w:szCs w:val="24"/>
                <w:highlight w:val="none"/>
              </w:rPr>
              <w:t>4.本项目不接受联合体投标。</w:t>
            </w:r>
          </w:p>
        </w:tc>
      </w:tr>
      <w:tr w14:paraId="24D193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84" w:type="dxa"/>
            <w:tcBorders>
              <w:top w:val="single" w:color="auto" w:sz="4" w:space="0"/>
              <w:left w:val="single" w:color="auto" w:sz="4" w:space="0"/>
              <w:bottom w:val="single" w:color="auto" w:sz="4" w:space="0"/>
              <w:right w:val="single" w:color="auto" w:sz="4" w:space="0"/>
            </w:tcBorders>
            <w:vAlign w:val="center"/>
          </w:tcPr>
          <w:p w14:paraId="609EC8EE">
            <w:pPr>
              <w:jc w:val="center"/>
              <w:rPr>
                <w:rFonts w:hint="eastAsia" w:ascii="宋体" w:hAnsi="宋体" w:eastAsia="宋体" w:cs="Arial"/>
                <w:bCs/>
                <w:sz w:val="24"/>
                <w:szCs w:val="24"/>
                <w:highlight w:val="none"/>
                <w:lang w:eastAsia="zh-CN"/>
              </w:rPr>
            </w:pPr>
            <w:r>
              <w:rPr>
                <w:rFonts w:hint="eastAsia" w:hAnsi="宋体" w:cs="Arial"/>
                <w:bCs/>
                <w:sz w:val="24"/>
                <w:szCs w:val="24"/>
                <w:highlight w:val="none"/>
              </w:rPr>
              <w:t>1</w:t>
            </w:r>
            <w:r>
              <w:rPr>
                <w:rFonts w:hint="eastAsia" w:hAnsi="宋体" w:cs="Arial"/>
                <w:bCs/>
                <w:sz w:val="24"/>
                <w:szCs w:val="24"/>
                <w:highlight w:val="none"/>
                <w:lang w:val="en-US" w:eastAsia="zh-CN"/>
              </w:rPr>
              <w:t>3</w:t>
            </w:r>
          </w:p>
        </w:tc>
        <w:tc>
          <w:tcPr>
            <w:tcW w:w="1695" w:type="dxa"/>
            <w:tcBorders>
              <w:top w:val="single" w:color="auto" w:sz="4" w:space="0"/>
              <w:left w:val="single" w:color="auto" w:sz="4" w:space="0"/>
              <w:bottom w:val="single" w:color="auto" w:sz="4" w:space="0"/>
              <w:right w:val="single" w:color="auto" w:sz="4" w:space="0"/>
            </w:tcBorders>
            <w:vAlign w:val="center"/>
          </w:tcPr>
          <w:p w14:paraId="71AAB919">
            <w:pPr>
              <w:jc w:val="center"/>
              <w:rPr>
                <w:rFonts w:ascii="宋体" w:hAnsi="宋体" w:cs="Arial"/>
                <w:bCs/>
                <w:sz w:val="24"/>
                <w:szCs w:val="24"/>
                <w:highlight w:val="none"/>
              </w:rPr>
            </w:pPr>
            <w:r>
              <w:rPr>
                <w:rFonts w:hint="eastAsia" w:hAnsi="宋体" w:cs="Arial"/>
                <w:bCs/>
                <w:sz w:val="24"/>
                <w:szCs w:val="24"/>
                <w:highlight w:val="none"/>
              </w:rPr>
              <w:t>投标保证金</w:t>
            </w:r>
          </w:p>
        </w:tc>
        <w:tc>
          <w:tcPr>
            <w:tcW w:w="6639" w:type="dxa"/>
            <w:tcBorders>
              <w:top w:val="single" w:color="auto" w:sz="4" w:space="0"/>
              <w:left w:val="single" w:color="auto" w:sz="4" w:space="0"/>
              <w:bottom w:val="single" w:color="auto" w:sz="4" w:space="0"/>
              <w:right w:val="single" w:color="auto" w:sz="4" w:space="0"/>
            </w:tcBorders>
            <w:vAlign w:val="center"/>
          </w:tcPr>
          <w:p w14:paraId="11D2DB94">
            <w:pPr>
              <w:rPr>
                <w:rFonts w:ascii="宋体" w:hAnsi="宋体" w:eastAsia="宋体" w:cs="宋体"/>
                <w:b/>
                <w:bCs/>
                <w:sz w:val="24"/>
                <w:szCs w:val="24"/>
                <w:highlight w:val="none"/>
              </w:rPr>
            </w:pPr>
            <w:r>
              <w:rPr>
                <w:rFonts w:ascii="宋体" w:hAnsi="宋体" w:eastAsia="宋体" w:cs="宋体"/>
                <w:b/>
                <w:bCs/>
                <w:sz w:val="24"/>
                <w:szCs w:val="24"/>
                <w:highlight w:val="none"/>
              </w:rPr>
              <w:t>投标保证金金额：第一包：</w:t>
            </w:r>
            <w:r>
              <w:rPr>
                <w:rFonts w:hint="eastAsia" w:ascii="宋体" w:hAnsi="宋体" w:eastAsia="宋体" w:cs="宋体"/>
                <w:b/>
                <w:bCs/>
                <w:sz w:val="24"/>
                <w:szCs w:val="24"/>
                <w:highlight w:val="none"/>
                <w:lang w:val="en-US" w:eastAsia="zh-CN"/>
              </w:rPr>
              <w:t>玖仟伍佰元整</w:t>
            </w:r>
            <w:r>
              <w:rPr>
                <w:rFonts w:ascii="宋体" w:hAnsi="宋体" w:eastAsia="宋体" w:cs="宋体"/>
                <w:b/>
                <w:bCs/>
                <w:sz w:val="24"/>
                <w:szCs w:val="24"/>
                <w:highlight w:val="none"/>
              </w:rPr>
              <w:t>（</w:t>
            </w:r>
            <w:r>
              <w:rPr>
                <w:rFonts w:hint="eastAsia" w:ascii="宋体" w:hAnsi="宋体" w:eastAsia="宋体" w:cs="宋体"/>
                <w:b/>
                <w:bCs/>
                <w:sz w:val="24"/>
                <w:szCs w:val="24"/>
                <w:highlight w:val="none"/>
                <w:lang w:val="en-US" w:eastAsia="zh-CN"/>
              </w:rPr>
              <w:t>95</w:t>
            </w:r>
            <w:r>
              <w:rPr>
                <w:rFonts w:ascii="宋体" w:hAnsi="宋体" w:eastAsia="宋体" w:cs="宋体"/>
                <w:b/>
                <w:bCs/>
                <w:sz w:val="24"/>
                <w:szCs w:val="24"/>
                <w:highlight w:val="none"/>
              </w:rPr>
              <w:t>00.00元整）</w:t>
            </w:r>
            <w:r>
              <w:rPr>
                <w:rFonts w:hint="eastAsia" w:ascii="宋体" w:hAnsi="宋体" w:eastAsia="宋体" w:cs="宋体"/>
                <w:b/>
                <w:bCs/>
                <w:sz w:val="24"/>
                <w:szCs w:val="24"/>
                <w:highlight w:val="none"/>
                <w:lang w:eastAsia="zh-CN"/>
              </w:rPr>
              <w:t>，</w:t>
            </w:r>
            <w:r>
              <w:rPr>
                <w:rFonts w:hint="eastAsia" w:ascii="宋体" w:hAnsi="宋体" w:eastAsia="宋体" w:cs="宋体"/>
                <w:b/>
                <w:bCs/>
                <w:sz w:val="24"/>
                <w:szCs w:val="24"/>
                <w:highlight w:val="none"/>
                <w:lang w:val="en-US" w:eastAsia="zh-CN"/>
              </w:rPr>
              <w:t>第二包：壹万元整（10000元整）</w:t>
            </w:r>
            <w:r>
              <w:rPr>
                <w:rFonts w:ascii="宋体" w:hAnsi="宋体" w:eastAsia="宋体" w:cs="宋体"/>
                <w:b/>
                <w:bCs/>
                <w:sz w:val="24"/>
                <w:szCs w:val="24"/>
                <w:highlight w:val="none"/>
              </w:rPr>
              <w:t>，投标保证金可采用的其他形式：电汇、转账或政采云电子保函，转出账户必须与投标单位名称一致，否则不予受理。</w:t>
            </w:r>
          </w:p>
          <w:p w14:paraId="28F6C24A">
            <w:pPr>
              <w:rPr>
                <w:rFonts w:ascii="宋体" w:hAnsi="宋体" w:eastAsia="宋体" w:cs="宋体"/>
                <w:b/>
                <w:bCs/>
                <w:sz w:val="24"/>
                <w:szCs w:val="24"/>
                <w:highlight w:val="none"/>
              </w:rPr>
            </w:pPr>
            <w:r>
              <w:rPr>
                <w:rFonts w:ascii="宋体" w:hAnsi="宋体" w:eastAsia="宋体" w:cs="宋体"/>
                <w:b/>
                <w:bCs/>
                <w:sz w:val="24"/>
                <w:szCs w:val="24"/>
                <w:highlight w:val="none"/>
              </w:rPr>
              <w:t>投标保证金形式：非现金形式。为减少收取/退还保证金的手续，采用电汇、网银转账或政采云电子保函方式缴纳保证金。</w:t>
            </w:r>
          </w:p>
          <w:p w14:paraId="039C1374">
            <w:pPr>
              <w:numPr>
                <w:ilvl w:val="0"/>
                <w:numId w:val="0"/>
              </w:numPr>
              <w:rPr>
                <w:rFonts w:ascii="宋体" w:hAnsi="宋体" w:eastAsia="宋体" w:cs="宋体"/>
                <w:b/>
                <w:bCs/>
                <w:sz w:val="24"/>
                <w:szCs w:val="24"/>
                <w:highlight w:val="none"/>
              </w:rPr>
            </w:pPr>
            <w:r>
              <w:rPr>
                <w:rFonts w:ascii="宋体" w:hAnsi="宋体" w:eastAsia="宋体" w:cs="宋体"/>
                <w:b/>
                <w:bCs/>
                <w:kern w:val="2"/>
                <w:sz w:val="24"/>
                <w:szCs w:val="24"/>
                <w:highlight w:val="none"/>
                <w:lang w:val="en-US" w:eastAsia="zh-CN" w:bidi="ar-SA"/>
              </w:rPr>
              <w:t>（1）</w:t>
            </w:r>
            <w:r>
              <w:rPr>
                <w:rFonts w:ascii="宋体" w:hAnsi="宋体" w:eastAsia="宋体" w:cs="宋体"/>
                <w:b/>
                <w:bCs/>
                <w:sz w:val="24"/>
                <w:szCs w:val="24"/>
                <w:highlight w:val="none"/>
              </w:rPr>
              <w:t>若采用电汇或转账投标保证金于202</w:t>
            </w:r>
            <w:r>
              <w:rPr>
                <w:rFonts w:hint="eastAsia" w:ascii="宋体" w:hAnsi="宋体" w:eastAsia="宋体" w:cs="宋体"/>
                <w:b/>
                <w:bCs/>
                <w:sz w:val="24"/>
                <w:szCs w:val="24"/>
                <w:highlight w:val="none"/>
                <w:lang w:val="en-US" w:eastAsia="zh-CN"/>
              </w:rPr>
              <w:t>5</w:t>
            </w:r>
            <w:r>
              <w:rPr>
                <w:rFonts w:ascii="宋体" w:hAnsi="宋体" w:eastAsia="宋体" w:cs="宋体"/>
                <w:b/>
                <w:bCs/>
                <w:sz w:val="24"/>
                <w:szCs w:val="24"/>
                <w:highlight w:val="none"/>
              </w:rPr>
              <w:t>年</w:t>
            </w:r>
            <w:r>
              <w:rPr>
                <w:rFonts w:hint="eastAsia" w:ascii="宋体" w:hAnsi="宋体" w:cs="宋体"/>
                <w:b/>
                <w:bCs/>
                <w:sz w:val="24"/>
                <w:szCs w:val="24"/>
                <w:highlight w:val="none"/>
                <w:lang w:val="en-US" w:eastAsia="zh-CN"/>
              </w:rPr>
              <w:t>2</w:t>
            </w:r>
            <w:r>
              <w:rPr>
                <w:rFonts w:ascii="宋体" w:hAnsi="宋体" w:eastAsia="宋体" w:cs="宋体"/>
                <w:b/>
                <w:bCs/>
                <w:sz w:val="24"/>
                <w:szCs w:val="24"/>
                <w:highlight w:val="none"/>
              </w:rPr>
              <w:t>月</w:t>
            </w:r>
            <w:r>
              <w:rPr>
                <w:rFonts w:hint="eastAsia" w:ascii="宋体" w:hAnsi="宋体" w:cs="宋体"/>
                <w:b/>
                <w:bCs/>
                <w:sz w:val="24"/>
                <w:szCs w:val="24"/>
                <w:highlight w:val="none"/>
                <w:lang w:val="en-US" w:eastAsia="zh-CN"/>
              </w:rPr>
              <w:t>24</w:t>
            </w:r>
            <w:r>
              <w:rPr>
                <w:rFonts w:ascii="宋体" w:hAnsi="宋体" w:eastAsia="宋体" w:cs="宋体"/>
                <w:b/>
                <w:bCs/>
                <w:sz w:val="24"/>
                <w:szCs w:val="24"/>
                <w:highlight w:val="none"/>
              </w:rPr>
              <w:t>日10:</w:t>
            </w:r>
            <w:r>
              <w:rPr>
                <w:rFonts w:hint="eastAsia" w:ascii="宋体" w:hAnsi="宋体" w:eastAsia="宋体" w:cs="宋体"/>
                <w:b/>
                <w:bCs/>
                <w:sz w:val="24"/>
                <w:szCs w:val="24"/>
                <w:highlight w:val="none"/>
                <w:lang w:val="en-US" w:eastAsia="zh-CN"/>
              </w:rPr>
              <w:t>3</w:t>
            </w:r>
            <w:r>
              <w:rPr>
                <w:rFonts w:ascii="宋体" w:hAnsi="宋体" w:eastAsia="宋体" w:cs="宋体"/>
                <w:b/>
                <w:bCs/>
                <w:sz w:val="24"/>
                <w:szCs w:val="24"/>
                <w:highlight w:val="none"/>
              </w:rPr>
              <w:t>0（北京时间，以到账时间为准）之前从投标人基本账户以网银或银行电汇形式汇至本公司账户，否则其投标文件将被拒绝评审，投标人提交投标保证金应充分考虑资金在途时间。</w:t>
            </w:r>
          </w:p>
          <w:p w14:paraId="467D95D8">
            <w:pPr>
              <w:numPr>
                <w:ilvl w:val="0"/>
                <w:numId w:val="0"/>
              </w:numPr>
              <w:rPr>
                <w:rFonts w:hint="eastAsia" w:ascii="宋体" w:hAnsi="宋体" w:eastAsia="宋体" w:cs="宋体"/>
                <w:b/>
                <w:bCs/>
                <w:sz w:val="24"/>
                <w:szCs w:val="24"/>
                <w:highlight w:val="none"/>
                <w:lang w:eastAsia="zh-CN"/>
              </w:rPr>
            </w:pPr>
            <w:r>
              <w:rPr>
                <w:rFonts w:ascii="宋体" w:hAnsi="宋体" w:eastAsia="宋体" w:cs="宋体"/>
                <w:b/>
                <w:bCs/>
                <w:sz w:val="24"/>
                <w:szCs w:val="24"/>
                <w:highlight w:val="none"/>
              </w:rPr>
              <w:t>户名：</w:t>
            </w:r>
            <w:r>
              <w:rPr>
                <w:rFonts w:hint="eastAsia" w:ascii="宋体" w:hAnsi="宋体" w:eastAsia="宋体" w:cs="宋体"/>
                <w:b/>
                <w:bCs/>
                <w:sz w:val="24"/>
                <w:szCs w:val="24"/>
                <w:highlight w:val="none"/>
                <w:lang w:val="en-US" w:eastAsia="zh-CN"/>
              </w:rPr>
              <w:t>腾德工程咨询有限公司吐鲁番分公司</w:t>
            </w:r>
          </w:p>
          <w:p w14:paraId="5DE3A7A3">
            <w:pPr>
              <w:numPr>
                <w:ilvl w:val="0"/>
                <w:numId w:val="0"/>
              </w:numPr>
              <w:rPr>
                <w:rFonts w:ascii="宋体" w:hAnsi="宋体" w:eastAsia="宋体" w:cs="宋体"/>
                <w:b/>
                <w:bCs/>
                <w:sz w:val="24"/>
                <w:szCs w:val="24"/>
                <w:highlight w:val="none"/>
              </w:rPr>
            </w:pPr>
            <w:r>
              <w:rPr>
                <w:rFonts w:ascii="宋体" w:hAnsi="宋体" w:eastAsia="宋体" w:cs="宋体"/>
                <w:b/>
                <w:bCs/>
                <w:sz w:val="24"/>
                <w:szCs w:val="24"/>
                <w:highlight w:val="none"/>
              </w:rPr>
              <w:t>开户银行：</w:t>
            </w:r>
            <w:r>
              <w:rPr>
                <w:rFonts w:hint="eastAsia" w:ascii="宋体" w:hAnsi="宋体" w:eastAsia="宋体" w:cs="宋体"/>
                <w:b/>
                <w:bCs/>
                <w:sz w:val="24"/>
                <w:szCs w:val="24"/>
                <w:highlight w:val="none"/>
              </w:rPr>
              <w:t>中国银行吐鲁番绿洲路支行</w:t>
            </w:r>
          </w:p>
          <w:p w14:paraId="50742EF6">
            <w:pPr>
              <w:numPr>
                <w:ilvl w:val="0"/>
                <w:numId w:val="0"/>
              </w:numPr>
              <w:rPr>
                <w:rFonts w:ascii="宋体" w:hAnsi="宋体" w:eastAsia="宋体" w:cs="宋体"/>
                <w:b/>
                <w:bCs/>
                <w:sz w:val="24"/>
                <w:szCs w:val="24"/>
                <w:highlight w:val="none"/>
              </w:rPr>
            </w:pPr>
            <w:r>
              <w:rPr>
                <w:rFonts w:ascii="宋体" w:hAnsi="宋体" w:eastAsia="宋体" w:cs="宋体"/>
                <w:b/>
                <w:bCs/>
                <w:sz w:val="24"/>
                <w:szCs w:val="24"/>
                <w:highlight w:val="none"/>
              </w:rPr>
              <w:t>帐号：</w:t>
            </w:r>
            <w:r>
              <w:rPr>
                <w:rFonts w:hint="eastAsia" w:ascii="宋体" w:hAnsi="宋体" w:eastAsia="宋体" w:cs="宋体"/>
                <w:b/>
                <w:bCs/>
                <w:sz w:val="24"/>
                <w:szCs w:val="24"/>
                <w:highlight w:val="none"/>
              </w:rPr>
              <w:t>107702821942</w:t>
            </w:r>
          </w:p>
          <w:p w14:paraId="4A36E365">
            <w:pPr>
              <w:numPr>
                <w:ilvl w:val="0"/>
                <w:numId w:val="0"/>
              </w:numPr>
              <w:rPr>
                <w:rFonts w:ascii="宋体" w:hAnsi="宋体" w:eastAsia="宋体" w:cs="宋体"/>
                <w:b/>
                <w:bCs/>
                <w:sz w:val="24"/>
                <w:szCs w:val="24"/>
                <w:highlight w:val="none"/>
              </w:rPr>
            </w:pPr>
            <w:r>
              <w:rPr>
                <w:rFonts w:ascii="宋体" w:hAnsi="宋体" w:eastAsia="宋体" w:cs="宋体"/>
                <w:b/>
                <w:bCs/>
                <w:sz w:val="24"/>
                <w:szCs w:val="24"/>
                <w:highlight w:val="none"/>
              </w:rPr>
              <w:t>行号：</w:t>
            </w:r>
            <w:r>
              <w:rPr>
                <w:rFonts w:hint="eastAsia" w:ascii="宋体" w:hAnsi="宋体" w:eastAsia="宋体" w:cs="宋体"/>
                <w:b/>
                <w:bCs/>
                <w:sz w:val="24"/>
                <w:szCs w:val="24"/>
                <w:highlight w:val="none"/>
              </w:rPr>
              <w:t>104883001030</w:t>
            </w:r>
          </w:p>
          <w:p w14:paraId="799B7F2B">
            <w:pPr>
              <w:numPr>
                <w:ilvl w:val="0"/>
                <w:numId w:val="0"/>
              </w:numPr>
              <w:rPr>
                <w:rFonts w:ascii="宋体" w:hAnsi="宋体" w:eastAsia="宋体" w:cs="宋体"/>
                <w:b/>
                <w:bCs/>
                <w:sz w:val="24"/>
                <w:szCs w:val="24"/>
                <w:highlight w:val="none"/>
              </w:rPr>
            </w:pPr>
            <w:r>
              <w:rPr>
                <w:rFonts w:ascii="宋体" w:hAnsi="宋体" w:eastAsia="宋体" w:cs="宋体"/>
                <w:b/>
                <w:bCs/>
                <w:kern w:val="2"/>
                <w:sz w:val="24"/>
                <w:szCs w:val="24"/>
                <w:highlight w:val="none"/>
                <w:lang w:val="en-US" w:eastAsia="zh-CN" w:bidi="ar-SA"/>
              </w:rPr>
              <w:t>（2）</w:t>
            </w:r>
            <w:r>
              <w:rPr>
                <w:rFonts w:ascii="宋体" w:hAnsi="宋体" w:eastAsia="宋体" w:cs="宋体"/>
                <w:b/>
                <w:bCs/>
                <w:sz w:val="24"/>
                <w:szCs w:val="24"/>
                <w:highlight w:val="none"/>
              </w:rPr>
              <w:t>若采用保函形式：采用保函形式应按以下要求办理：备注：</w:t>
            </w:r>
          </w:p>
          <w:p w14:paraId="1156E3C5">
            <w:pPr>
              <w:numPr>
                <w:ilvl w:val="0"/>
                <w:numId w:val="0"/>
              </w:numPr>
              <w:rPr>
                <w:rFonts w:ascii="宋体" w:hAnsi="宋体" w:eastAsia="宋体" w:cs="宋体"/>
                <w:b/>
                <w:bCs/>
                <w:sz w:val="24"/>
                <w:szCs w:val="24"/>
                <w:highlight w:val="none"/>
              </w:rPr>
            </w:pPr>
            <w:r>
              <w:rPr>
                <w:rFonts w:ascii="宋体" w:hAnsi="宋体" w:eastAsia="宋体" w:cs="宋体"/>
                <w:b/>
                <w:bCs/>
                <w:sz w:val="24"/>
                <w:szCs w:val="24"/>
                <w:highlight w:val="none"/>
              </w:rPr>
              <w:t>1、保函须在招标文件规定的投标截止时间前办理完成；2.保函金额不得少于保证金金额；3、保函的有效期不得少于本项目投标有效期；4、保函应是针对本项目开具的；5、保函是投标文件中组成部分；6.保函按照“一项目一保函”的原则；7.投标单位提供的保函必须是政采云电子保函并且真实有效，否则后果自负。</w:t>
            </w:r>
          </w:p>
          <w:p w14:paraId="37944FD0">
            <w:pPr>
              <w:numPr>
                <w:ilvl w:val="0"/>
                <w:numId w:val="0"/>
              </w:numPr>
              <w:rPr>
                <w:rFonts w:ascii="宋体" w:hAnsi="宋体" w:eastAsia="宋体" w:cs="宋体"/>
                <w:b/>
                <w:bCs/>
                <w:sz w:val="24"/>
                <w:szCs w:val="24"/>
                <w:highlight w:val="none"/>
              </w:rPr>
            </w:pPr>
            <w:r>
              <w:rPr>
                <w:rFonts w:ascii="宋体" w:hAnsi="宋体" w:eastAsia="宋体" w:cs="宋体"/>
                <w:b/>
                <w:bCs/>
                <w:sz w:val="24"/>
                <w:szCs w:val="24"/>
                <w:highlight w:val="none"/>
              </w:rPr>
              <w:t>注：投标人向银行办理投标保证金汇（转）款时，应在用途栏（备注栏）准确注明“（简写项目名称）投标保证金”字样，由于未按要求注明信息而导致的一切后果由投标人承担。换取收据时，将保证金截图发送至</w:t>
            </w:r>
            <w:r>
              <w:rPr>
                <w:rFonts w:hint="eastAsia" w:ascii="宋体" w:hAnsi="宋体" w:eastAsia="宋体" w:cs="宋体"/>
                <w:b/>
                <w:bCs/>
                <w:sz w:val="24"/>
                <w:szCs w:val="24"/>
                <w:highlight w:val="none"/>
                <w:lang w:val="en-US" w:eastAsia="zh-CN"/>
              </w:rPr>
              <w:t>84491785</w:t>
            </w:r>
            <w:r>
              <w:rPr>
                <w:rFonts w:ascii="宋体" w:hAnsi="宋体" w:eastAsia="宋体" w:cs="宋体"/>
                <w:b/>
                <w:bCs/>
                <w:sz w:val="24"/>
                <w:szCs w:val="24"/>
                <w:highlight w:val="none"/>
              </w:rPr>
              <w:t>@qq.com并与</w:t>
            </w:r>
            <w:r>
              <w:rPr>
                <w:rFonts w:hint="eastAsia" w:ascii="宋体" w:hAnsi="宋体" w:eastAsia="宋体" w:cs="宋体"/>
                <w:b/>
                <w:bCs/>
                <w:sz w:val="24"/>
                <w:szCs w:val="24"/>
                <w:highlight w:val="none"/>
                <w:lang w:val="en-US" w:eastAsia="zh-CN"/>
              </w:rPr>
              <w:t>代理机构联系，</w:t>
            </w:r>
            <w:r>
              <w:rPr>
                <w:rFonts w:ascii="宋体" w:hAnsi="宋体" w:eastAsia="宋体" w:cs="宋体"/>
                <w:b/>
                <w:bCs/>
                <w:sz w:val="24"/>
                <w:szCs w:val="24"/>
                <w:highlight w:val="none"/>
              </w:rPr>
              <w:t>联系人：</w:t>
            </w:r>
            <w:r>
              <w:rPr>
                <w:rFonts w:hint="eastAsia" w:ascii="宋体" w:hAnsi="宋体" w:eastAsia="宋体" w:cs="宋体"/>
                <w:b/>
                <w:bCs/>
                <w:sz w:val="24"/>
                <w:szCs w:val="24"/>
                <w:highlight w:val="none"/>
                <w:lang w:val="en-US" w:eastAsia="zh-CN"/>
              </w:rPr>
              <w:t xml:space="preserve">蔡裕强 </w:t>
            </w:r>
            <w:r>
              <w:rPr>
                <w:rFonts w:ascii="宋体" w:hAnsi="宋体" w:eastAsia="宋体" w:cs="宋体"/>
                <w:b/>
                <w:bCs/>
                <w:sz w:val="24"/>
                <w:szCs w:val="24"/>
                <w:highlight w:val="none"/>
              </w:rPr>
              <w:t xml:space="preserve"> 联系电话：</w:t>
            </w:r>
            <w:r>
              <w:rPr>
                <w:rFonts w:hint="eastAsia" w:ascii="宋体" w:hAnsi="宋体" w:eastAsia="宋体" w:cs="宋体"/>
                <w:b/>
                <w:bCs/>
                <w:sz w:val="24"/>
                <w:szCs w:val="24"/>
                <w:highlight w:val="none"/>
                <w:lang w:val="en-US" w:eastAsia="zh-CN"/>
              </w:rPr>
              <w:t>18299292148</w:t>
            </w:r>
            <w:r>
              <w:rPr>
                <w:rFonts w:ascii="宋体" w:hAnsi="宋体" w:eastAsia="宋体" w:cs="宋体"/>
                <w:b/>
                <w:bCs/>
                <w:sz w:val="24"/>
                <w:szCs w:val="24"/>
                <w:highlight w:val="none"/>
              </w:rPr>
              <w:t>。未按时提交投标保证金的投标文件无效。</w:t>
            </w:r>
          </w:p>
          <w:p w14:paraId="56A3757A">
            <w:pPr>
              <w:numPr>
                <w:ilvl w:val="0"/>
                <w:numId w:val="0"/>
              </w:numPr>
              <w:rPr>
                <w:rFonts w:hint="eastAsia" w:ascii="宋体" w:hAnsi="宋体" w:eastAsia="宋体"/>
                <w:bCs/>
                <w:sz w:val="24"/>
                <w:szCs w:val="24"/>
                <w:highlight w:val="none"/>
                <w:lang w:eastAsia="zh-CN"/>
              </w:rPr>
            </w:pPr>
            <w:r>
              <w:rPr>
                <w:rFonts w:ascii="宋体" w:hAnsi="宋体" w:eastAsia="宋体" w:cs="宋体"/>
                <w:b/>
                <w:bCs/>
                <w:sz w:val="24"/>
                <w:szCs w:val="24"/>
                <w:highlight w:val="none"/>
              </w:rPr>
              <w:t>* 退投标保证金程序：采购代理机构在中标通知书发出之日起5个工作日内退还未中标供应商的投标保证金，自政府采购合同签订之日起5个工作日内退还中标供应商的投标保证金。</w:t>
            </w:r>
          </w:p>
        </w:tc>
      </w:tr>
      <w:tr w14:paraId="7324E8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 w:hRule="atLeast"/>
          <w:jc w:val="center"/>
        </w:trPr>
        <w:tc>
          <w:tcPr>
            <w:tcW w:w="684" w:type="dxa"/>
            <w:tcBorders>
              <w:top w:val="single" w:color="auto" w:sz="4" w:space="0"/>
              <w:left w:val="single" w:color="auto" w:sz="4" w:space="0"/>
              <w:bottom w:val="single" w:color="auto" w:sz="4" w:space="0"/>
              <w:right w:val="single" w:color="auto" w:sz="4" w:space="0"/>
            </w:tcBorders>
            <w:vAlign w:val="center"/>
          </w:tcPr>
          <w:p w14:paraId="18D18B8F">
            <w:pPr>
              <w:jc w:val="center"/>
              <w:rPr>
                <w:rFonts w:hint="eastAsia" w:ascii="宋体" w:hAnsi="宋体" w:eastAsia="宋体" w:cs="Arial"/>
                <w:bCs/>
                <w:sz w:val="24"/>
                <w:szCs w:val="24"/>
                <w:highlight w:val="none"/>
                <w:lang w:eastAsia="zh-CN"/>
              </w:rPr>
            </w:pPr>
            <w:r>
              <w:rPr>
                <w:rFonts w:hint="eastAsia" w:hAnsi="宋体" w:cs="Arial"/>
                <w:bCs/>
                <w:sz w:val="24"/>
                <w:szCs w:val="24"/>
                <w:highlight w:val="none"/>
              </w:rPr>
              <w:t>1</w:t>
            </w:r>
            <w:r>
              <w:rPr>
                <w:rFonts w:hint="eastAsia" w:hAnsi="宋体" w:cs="Arial"/>
                <w:bCs/>
                <w:sz w:val="24"/>
                <w:szCs w:val="24"/>
                <w:highlight w:val="none"/>
                <w:lang w:val="en-US" w:eastAsia="zh-CN"/>
              </w:rPr>
              <w:t>4</w:t>
            </w:r>
          </w:p>
        </w:tc>
        <w:tc>
          <w:tcPr>
            <w:tcW w:w="1695" w:type="dxa"/>
            <w:tcBorders>
              <w:top w:val="single" w:color="auto" w:sz="4" w:space="0"/>
              <w:left w:val="single" w:color="auto" w:sz="4" w:space="0"/>
              <w:bottom w:val="single" w:color="auto" w:sz="4" w:space="0"/>
              <w:right w:val="single" w:color="auto" w:sz="4" w:space="0"/>
            </w:tcBorders>
            <w:vAlign w:val="center"/>
          </w:tcPr>
          <w:p w14:paraId="003B1767">
            <w:pPr>
              <w:jc w:val="center"/>
              <w:rPr>
                <w:rFonts w:ascii="宋体" w:hAnsi="宋体" w:cs="Arial"/>
                <w:bCs/>
                <w:sz w:val="24"/>
                <w:szCs w:val="24"/>
                <w:highlight w:val="none"/>
              </w:rPr>
            </w:pPr>
            <w:r>
              <w:rPr>
                <w:rFonts w:hint="eastAsia" w:hAnsi="宋体" w:cs="Arial"/>
                <w:bCs/>
                <w:sz w:val="24"/>
                <w:szCs w:val="24"/>
                <w:highlight w:val="none"/>
              </w:rPr>
              <w:t>投标有效期</w:t>
            </w:r>
          </w:p>
        </w:tc>
        <w:tc>
          <w:tcPr>
            <w:tcW w:w="6639" w:type="dxa"/>
            <w:tcBorders>
              <w:top w:val="single" w:color="auto" w:sz="4" w:space="0"/>
              <w:left w:val="single" w:color="auto" w:sz="4" w:space="0"/>
              <w:bottom w:val="single" w:color="auto" w:sz="4" w:space="0"/>
              <w:right w:val="single" w:color="auto" w:sz="4" w:space="0"/>
            </w:tcBorders>
            <w:vAlign w:val="center"/>
          </w:tcPr>
          <w:p w14:paraId="0C6ACBC8">
            <w:pPr>
              <w:widowControl/>
              <w:jc w:val="left"/>
              <w:rPr>
                <w:rFonts w:ascii="宋体" w:hAnsi="宋体" w:cs="Arial"/>
                <w:bCs/>
                <w:sz w:val="24"/>
                <w:szCs w:val="24"/>
                <w:highlight w:val="none"/>
              </w:rPr>
            </w:pPr>
            <w:r>
              <w:rPr>
                <w:rFonts w:hint="eastAsia" w:ascii="宋体" w:hAnsi="宋体" w:cs="宋体"/>
                <w:kern w:val="0"/>
                <w:sz w:val="24"/>
                <w:szCs w:val="24"/>
                <w:highlight w:val="none"/>
                <w:lang w:bidi="ar"/>
              </w:rPr>
              <w:t>递交</w:t>
            </w:r>
            <w:r>
              <w:rPr>
                <w:rFonts w:hint="eastAsia" w:ascii="宋体" w:hAnsi="宋体" w:cs="宋体"/>
                <w:kern w:val="0"/>
                <w:sz w:val="24"/>
                <w:szCs w:val="24"/>
                <w:highlight w:val="none"/>
                <w:lang w:eastAsia="zh-CN" w:bidi="ar"/>
              </w:rPr>
              <w:t>响应文件</w:t>
            </w:r>
            <w:r>
              <w:rPr>
                <w:rFonts w:ascii="宋体" w:hAnsi="宋体" w:cs="宋体"/>
                <w:kern w:val="0"/>
                <w:sz w:val="24"/>
                <w:szCs w:val="24"/>
                <w:highlight w:val="none"/>
                <w:lang w:bidi="ar"/>
              </w:rPr>
              <w:t>的截止之日</w:t>
            </w:r>
            <w:r>
              <w:rPr>
                <w:rFonts w:hint="eastAsia" w:cs="宋体"/>
                <w:kern w:val="0"/>
                <w:sz w:val="24"/>
                <w:szCs w:val="24"/>
                <w:highlight w:val="none"/>
                <w:lang w:bidi="ar"/>
              </w:rPr>
              <w:t>起90天。</w:t>
            </w:r>
          </w:p>
        </w:tc>
      </w:tr>
      <w:tr w14:paraId="22F1E9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 w:hRule="atLeast"/>
          <w:jc w:val="center"/>
        </w:trPr>
        <w:tc>
          <w:tcPr>
            <w:tcW w:w="684" w:type="dxa"/>
            <w:tcBorders>
              <w:top w:val="single" w:color="auto" w:sz="4" w:space="0"/>
              <w:left w:val="single" w:color="auto" w:sz="4" w:space="0"/>
              <w:bottom w:val="single" w:color="auto" w:sz="4" w:space="0"/>
              <w:right w:val="single" w:color="auto" w:sz="4" w:space="0"/>
            </w:tcBorders>
            <w:vAlign w:val="center"/>
          </w:tcPr>
          <w:p w14:paraId="478EF2ED">
            <w:pPr>
              <w:jc w:val="center"/>
              <w:rPr>
                <w:rFonts w:hint="eastAsia" w:ascii="宋体" w:hAnsi="宋体" w:eastAsia="宋体" w:cs="Arial"/>
                <w:bCs/>
                <w:sz w:val="24"/>
                <w:szCs w:val="24"/>
                <w:highlight w:val="none"/>
                <w:lang w:eastAsia="zh-CN"/>
              </w:rPr>
            </w:pPr>
            <w:r>
              <w:rPr>
                <w:rFonts w:hint="eastAsia" w:hAnsi="宋体" w:cs="Arial"/>
                <w:bCs/>
                <w:sz w:val="24"/>
                <w:szCs w:val="24"/>
                <w:highlight w:val="none"/>
              </w:rPr>
              <w:t>1</w:t>
            </w:r>
            <w:r>
              <w:rPr>
                <w:rFonts w:hint="eastAsia" w:hAnsi="宋体" w:cs="Arial"/>
                <w:bCs/>
                <w:sz w:val="24"/>
                <w:szCs w:val="24"/>
                <w:highlight w:val="none"/>
                <w:lang w:val="en-US" w:eastAsia="zh-CN"/>
              </w:rPr>
              <w:t>5</w:t>
            </w:r>
          </w:p>
        </w:tc>
        <w:tc>
          <w:tcPr>
            <w:tcW w:w="1695" w:type="dxa"/>
            <w:tcBorders>
              <w:top w:val="single" w:color="auto" w:sz="4" w:space="0"/>
              <w:left w:val="single" w:color="auto" w:sz="4" w:space="0"/>
              <w:bottom w:val="single" w:color="auto" w:sz="4" w:space="0"/>
              <w:right w:val="single" w:color="auto" w:sz="4" w:space="0"/>
            </w:tcBorders>
            <w:vAlign w:val="center"/>
          </w:tcPr>
          <w:p w14:paraId="6511777B">
            <w:pPr>
              <w:jc w:val="center"/>
              <w:rPr>
                <w:rFonts w:ascii="宋体" w:hAnsi="宋体" w:cs="Arial"/>
                <w:bCs/>
                <w:sz w:val="24"/>
                <w:szCs w:val="24"/>
                <w:highlight w:val="none"/>
              </w:rPr>
            </w:pPr>
            <w:r>
              <w:rPr>
                <w:rFonts w:hint="eastAsia" w:hAnsi="宋体" w:cs="Arial"/>
                <w:bCs/>
                <w:sz w:val="24"/>
                <w:szCs w:val="24"/>
                <w:highlight w:val="none"/>
              </w:rPr>
              <w:t>现场踏勘</w:t>
            </w:r>
          </w:p>
        </w:tc>
        <w:tc>
          <w:tcPr>
            <w:tcW w:w="6639" w:type="dxa"/>
            <w:tcBorders>
              <w:top w:val="single" w:color="auto" w:sz="4" w:space="0"/>
              <w:left w:val="single" w:color="auto" w:sz="4" w:space="0"/>
              <w:bottom w:val="single" w:color="auto" w:sz="4" w:space="0"/>
              <w:right w:val="single" w:color="auto" w:sz="4" w:space="0"/>
            </w:tcBorders>
            <w:vAlign w:val="center"/>
          </w:tcPr>
          <w:p w14:paraId="1FAFCC93">
            <w:pPr>
              <w:jc w:val="left"/>
              <w:rPr>
                <w:rFonts w:ascii="宋体" w:hAnsi="宋体" w:cs="Arial"/>
                <w:bCs/>
                <w:sz w:val="24"/>
                <w:szCs w:val="24"/>
                <w:highlight w:val="none"/>
              </w:rPr>
            </w:pPr>
            <w:r>
              <w:rPr>
                <w:rFonts w:hint="eastAsia" w:hAnsi="宋体" w:cs="Arial"/>
                <w:bCs/>
                <w:sz w:val="24"/>
                <w:szCs w:val="24"/>
                <w:highlight w:val="none"/>
              </w:rPr>
              <w:t>本项目不安排现场踏勘。</w:t>
            </w:r>
          </w:p>
        </w:tc>
      </w:tr>
      <w:tr w14:paraId="5107F9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 w:hRule="atLeast"/>
          <w:jc w:val="center"/>
        </w:trPr>
        <w:tc>
          <w:tcPr>
            <w:tcW w:w="684" w:type="dxa"/>
            <w:tcBorders>
              <w:top w:val="single" w:color="auto" w:sz="4" w:space="0"/>
              <w:left w:val="single" w:color="auto" w:sz="4" w:space="0"/>
              <w:bottom w:val="single" w:color="auto" w:sz="4" w:space="0"/>
              <w:right w:val="single" w:color="auto" w:sz="4" w:space="0"/>
            </w:tcBorders>
            <w:vAlign w:val="center"/>
          </w:tcPr>
          <w:p w14:paraId="5ACB39FE">
            <w:pPr>
              <w:jc w:val="center"/>
              <w:rPr>
                <w:rFonts w:hint="eastAsia" w:ascii="宋体" w:hAnsi="宋体" w:eastAsia="宋体" w:cs="Arial"/>
                <w:bCs/>
                <w:sz w:val="24"/>
                <w:szCs w:val="24"/>
                <w:highlight w:val="none"/>
                <w:lang w:eastAsia="zh-CN"/>
              </w:rPr>
            </w:pPr>
            <w:r>
              <w:rPr>
                <w:rFonts w:hint="eastAsia" w:hAnsi="宋体" w:cs="Arial"/>
                <w:bCs/>
                <w:sz w:val="24"/>
                <w:szCs w:val="24"/>
                <w:highlight w:val="none"/>
              </w:rPr>
              <w:t>1</w:t>
            </w:r>
            <w:r>
              <w:rPr>
                <w:rFonts w:hint="eastAsia" w:hAnsi="宋体" w:cs="Arial"/>
                <w:bCs/>
                <w:sz w:val="24"/>
                <w:szCs w:val="24"/>
                <w:highlight w:val="none"/>
                <w:lang w:val="en-US" w:eastAsia="zh-CN"/>
              </w:rPr>
              <w:t>6</w:t>
            </w:r>
          </w:p>
        </w:tc>
        <w:tc>
          <w:tcPr>
            <w:tcW w:w="1695" w:type="dxa"/>
            <w:tcBorders>
              <w:top w:val="single" w:color="auto" w:sz="4" w:space="0"/>
              <w:left w:val="single" w:color="auto" w:sz="4" w:space="0"/>
              <w:bottom w:val="single" w:color="auto" w:sz="4" w:space="0"/>
              <w:right w:val="single" w:color="auto" w:sz="4" w:space="0"/>
            </w:tcBorders>
            <w:vAlign w:val="center"/>
          </w:tcPr>
          <w:p w14:paraId="15CD50E9">
            <w:pPr>
              <w:jc w:val="center"/>
              <w:rPr>
                <w:rFonts w:hint="eastAsia" w:hAnsi="宋体" w:eastAsia="宋体" w:cs="Arial"/>
                <w:bCs/>
                <w:sz w:val="24"/>
                <w:szCs w:val="24"/>
                <w:highlight w:val="none"/>
                <w:lang w:eastAsia="zh-CN"/>
              </w:rPr>
            </w:pPr>
            <w:r>
              <w:rPr>
                <w:rFonts w:hint="eastAsia" w:hAnsi="宋体" w:cs="Arial"/>
                <w:bCs/>
                <w:sz w:val="24"/>
                <w:szCs w:val="24"/>
                <w:highlight w:val="none"/>
                <w:lang w:eastAsia="zh-CN"/>
              </w:rPr>
              <w:t>响应文件</w:t>
            </w:r>
          </w:p>
          <w:p w14:paraId="10E23D7E">
            <w:pPr>
              <w:jc w:val="center"/>
              <w:rPr>
                <w:rFonts w:hint="default" w:ascii="宋体" w:hAnsi="宋体" w:eastAsia="宋体" w:cs="Arial"/>
                <w:bCs/>
                <w:sz w:val="24"/>
                <w:szCs w:val="24"/>
                <w:highlight w:val="none"/>
                <w:lang w:val="en-US" w:eastAsia="zh-CN"/>
              </w:rPr>
            </w:pPr>
            <w:r>
              <w:rPr>
                <w:rFonts w:hint="eastAsia" w:ascii="宋体" w:hAnsi="宋体" w:cs="Arial"/>
                <w:bCs/>
                <w:sz w:val="24"/>
                <w:szCs w:val="24"/>
                <w:highlight w:val="none"/>
                <w:lang w:val="en-US" w:eastAsia="zh-CN"/>
              </w:rPr>
              <w:t>的要求</w:t>
            </w:r>
          </w:p>
        </w:tc>
        <w:tc>
          <w:tcPr>
            <w:tcW w:w="6639" w:type="dxa"/>
            <w:tcBorders>
              <w:top w:val="single" w:color="auto" w:sz="4" w:space="0"/>
              <w:left w:val="single" w:color="auto" w:sz="4" w:space="0"/>
              <w:bottom w:val="single" w:color="auto" w:sz="4" w:space="0"/>
              <w:right w:val="single" w:color="auto" w:sz="4" w:space="0"/>
            </w:tcBorders>
            <w:vAlign w:val="center"/>
          </w:tcPr>
          <w:p w14:paraId="2C9BB04D">
            <w:pPr>
              <w:rPr>
                <w:rFonts w:hint="eastAsia"/>
                <w:highlight w:val="none"/>
              </w:rPr>
            </w:pPr>
            <w:r>
              <w:rPr>
                <w:rFonts w:hint="eastAsia"/>
                <w:highlight w:val="none"/>
              </w:rPr>
              <w:t>1.本项目采用不见面开标、投标人需要递交电子响应文件，加密的电子响应文件，在投标截止时间前通过新疆政府采购云平台：https://www.zcygov.cn/上传到指定位置。无需递交纸质文件。</w:t>
            </w:r>
          </w:p>
          <w:p w14:paraId="45B59772">
            <w:pPr>
              <w:rPr>
                <w:rFonts w:hint="eastAsia"/>
                <w:highlight w:val="none"/>
              </w:rPr>
            </w:pPr>
            <w:r>
              <w:rPr>
                <w:rFonts w:hint="eastAsia"/>
                <w:highlight w:val="none"/>
              </w:rPr>
              <w:t>2.本项目采用远程不见面交易的模式。开标当日，投标人无需到达开标现场，仅需  在任意地点通过新疆政府采购云平台不见面开标系统（登录地址详见网站操作手  册）完成远程解密、提疑澄清、开标唱标、结果公布等交互环节。投标人必须使用  能正确解密响应文件的“CA 锁”在规定的时间内完成远程解密，因投标人原因未能解密、解密失败或解密超时，视为投标人撤销其响应文件，系统内响应文件将被退回；因采购人原因或网上招投标平台发生故障，导致无法按时完成响应文件解密  或开、评标工作无法进行的，可根据实际情况相应延迟解密时间或调整开、评标时  间（友情提示：若投标人已领取副锁（含多把副锁）请注意正副锁的使用差别，务必使用生成响应文件的那把锁解密）。</w:t>
            </w:r>
          </w:p>
          <w:p w14:paraId="5AC9BC81">
            <w:pPr>
              <w:rPr>
                <w:rFonts w:ascii="宋体" w:hAnsi="宋体" w:cs="Arial"/>
                <w:bCs/>
                <w:sz w:val="24"/>
                <w:szCs w:val="24"/>
                <w:highlight w:val="none"/>
              </w:rPr>
            </w:pPr>
            <w:r>
              <w:rPr>
                <w:rFonts w:hint="eastAsia"/>
                <w:highlight w:val="none"/>
              </w:rPr>
              <w:t>3.远程开标前</w:t>
            </w:r>
            <w:r>
              <w:rPr>
                <w:rFonts w:hint="eastAsia"/>
                <w:highlight w:val="none"/>
                <w:lang w:eastAsia="zh-CN"/>
              </w:rPr>
              <w:t>，</w:t>
            </w:r>
            <w:r>
              <w:rPr>
                <w:rFonts w:hint="eastAsia"/>
                <w:highlight w:val="none"/>
              </w:rPr>
              <w:t>投标人务必在新疆政府采购云平台：https://www.zcygov.cn/响应文件上传模块中使用“模拟解密”功能，验证本机远程自助解密环境。</w:t>
            </w:r>
          </w:p>
        </w:tc>
      </w:tr>
      <w:tr w14:paraId="0BACBB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 w:hRule="atLeast"/>
          <w:jc w:val="center"/>
        </w:trPr>
        <w:tc>
          <w:tcPr>
            <w:tcW w:w="684" w:type="dxa"/>
            <w:tcBorders>
              <w:top w:val="single" w:color="auto" w:sz="4" w:space="0"/>
              <w:left w:val="single" w:color="auto" w:sz="4" w:space="0"/>
              <w:bottom w:val="single" w:color="auto" w:sz="4" w:space="0"/>
              <w:right w:val="single" w:color="auto" w:sz="4" w:space="0"/>
            </w:tcBorders>
            <w:vAlign w:val="center"/>
          </w:tcPr>
          <w:p w14:paraId="35BD3D21">
            <w:pPr>
              <w:jc w:val="center"/>
              <w:rPr>
                <w:rFonts w:hint="eastAsia" w:ascii="宋体" w:hAnsi="宋体" w:eastAsia="宋体" w:cs="Arial"/>
                <w:sz w:val="24"/>
                <w:szCs w:val="24"/>
                <w:highlight w:val="none"/>
                <w:lang w:eastAsia="zh-CN"/>
              </w:rPr>
            </w:pPr>
            <w:r>
              <w:rPr>
                <w:rFonts w:hint="eastAsia" w:hAnsi="宋体" w:cs="Arial"/>
                <w:sz w:val="24"/>
                <w:szCs w:val="24"/>
                <w:highlight w:val="none"/>
              </w:rPr>
              <w:t>1</w:t>
            </w:r>
            <w:r>
              <w:rPr>
                <w:rFonts w:hint="eastAsia" w:hAnsi="宋体" w:cs="Arial"/>
                <w:sz w:val="24"/>
                <w:szCs w:val="24"/>
                <w:highlight w:val="none"/>
                <w:lang w:val="en-US" w:eastAsia="zh-CN"/>
              </w:rPr>
              <w:t>7</w:t>
            </w:r>
          </w:p>
        </w:tc>
        <w:tc>
          <w:tcPr>
            <w:tcW w:w="1695" w:type="dxa"/>
            <w:tcBorders>
              <w:top w:val="single" w:color="auto" w:sz="4" w:space="0"/>
              <w:left w:val="single" w:color="auto" w:sz="4" w:space="0"/>
              <w:bottom w:val="single" w:color="auto" w:sz="4" w:space="0"/>
              <w:right w:val="single" w:color="auto" w:sz="4" w:space="0"/>
            </w:tcBorders>
            <w:vAlign w:val="center"/>
          </w:tcPr>
          <w:p w14:paraId="5A4DD807">
            <w:pPr>
              <w:jc w:val="center"/>
              <w:rPr>
                <w:rFonts w:ascii="宋体" w:hAnsi="宋体" w:cs="Arial"/>
                <w:bCs/>
                <w:sz w:val="24"/>
                <w:szCs w:val="24"/>
                <w:highlight w:val="none"/>
              </w:rPr>
            </w:pPr>
            <w:r>
              <w:rPr>
                <w:rFonts w:hint="eastAsia" w:hAnsi="宋体" w:cs="Arial"/>
                <w:bCs/>
                <w:sz w:val="24"/>
                <w:szCs w:val="24"/>
                <w:highlight w:val="none"/>
                <w:lang w:eastAsia="zh-CN"/>
              </w:rPr>
              <w:t>响应文件</w:t>
            </w:r>
            <w:r>
              <w:rPr>
                <w:rFonts w:hint="eastAsia" w:hAnsi="宋体" w:cs="Arial"/>
                <w:bCs/>
                <w:sz w:val="24"/>
                <w:szCs w:val="24"/>
                <w:highlight w:val="none"/>
              </w:rPr>
              <w:t>递交截止时间及递交地点</w:t>
            </w:r>
          </w:p>
        </w:tc>
        <w:tc>
          <w:tcPr>
            <w:tcW w:w="6639" w:type="dxa"/>
            <w:tcBorders>
              <w:top w:val="single" w:color="auto" w:sz="4" w:space="0"/>
              <w:left w:val="single" w:color="auto" w:sz="4" w:space="0"/>
              <w:bottom w:val="single" w:color="auto" w:sz="4" w:space="0"/>
              <w:right w:val="single" w:color="auto" w:sz="4" w:space="0"/>
            </w:tcBorders>
            <w:vAlign w:val="center"/>
          </w:tcPr>
          <w:p w14:paraId="178643D1">
            <w:pPr>
              <w:ind w:left="0" w:leftChars="0" w:firstLine="0" w:firstLineChars="0"/>
              <w:jc w:val="left"/>
              <w:rPr>
                <w:rFonts w:hint="eastAsia" w:hAnsi="宋体" w:cs="Arial"/>
                <w:bCs/>
                <w:color w:val="FF0000"/>
                <w:sz w:val="24"/>
                <w:szCs w:val="24"/>
                <w:highlight w:val="none"/>
              </w:rPr>
            </w:pPr>
            <w:r>
              <w:rPr>
                <w:rFonts w:hint="eastAsia" w:hAnsi="宋体" w:cs="Arial"/>
                <w:bCs/>
                <w:color w:val="auto"/>
                <w:sz w:val="24"/>
                <w:szCs w:val="24"/>
                <w:highlight w:val="none"/>
              </w:rPr>
              <w:t>响应文件提交截止时间：</w:t>
            </w:r>
            <w:r>
              <w:rPr>
                <w:rFonts w:hint="eastAsia" w:hAnsi="宋体" w:cs="Arial"/>
                <w:bCs/>
                <w:color w:val="FF0000"/>
                <w:sz w:val="24"/>
                <w:szCs w:val="24"/>
                <w:highlight w:val="none"/>
              </w:rPr>
              <w:t>2025年</w:t>
            </w:r>
            <w:r>
              <w:rPr>
                <w:rFonts w:hint="eastAsia" w:hAnsi="宋体" w:cs="Arial"/>
                <w:bCs/>
                <w:color w:val="FF0000"/>
                <w:sz w:val="24"/>
                <w:szCs w:val="24"/>
                <w:highlight w:val="none"/>
                <w:lang w:val="en-US" w:eastAsia="zh-CN"/>
              </w:rPr>
              <w:t>2</w:t>
            </w:r>
            <w:r>
              <w:rPr>
                <w:rFonts w:hint="eastAsia" w:hAnsi="宋体" w:cs="Arial"/>
                <w:bCs/>
                <w:color w:val="FF0000"/>
                <w:sz w:val="24"/>
                <w:szCs w:val="24"/>
                <w:highlight w:val="none"/>
              </w:rPr>
              <w:t>月</w:t>
            </w:r>
            <w:r>
              <w:rPr>
                <w:rFonts w:hint="eastAsia" w:hAnsi="宋体" w:cs="Arial"/>
                <w:bCs/>
                <w:color w:val="FF0000"/>
                <w:sz w:val="24"/>
                <w:szCs w:val="24"/>
                <w:highlight w:val="none"/>
                <w:lang w:val="en-US" w:eastAsia="zh-CN"/>
              </w:rPr>
              <w:t>24</w:t>
            </w:r>
            <w:r>
              <w:rPr>
                <w:rFonts w:hint="eastAsia" w:hAnsi="宋体" w:cs="Arial"/>
                <w:bCs/>
                <w:color w:val="FF0000"/>
                <w:sz w:val="24"/>
                <w:szCs w:val="24"/>
                <w:highlight w:val="none"/>
              </w:rPr>
              <w:t>日10:30时（北京时间）。</w:t>
            </w:r>
          </w:p>
          <w:p w14:paraId="1189283C">
            <w:pPr>
              <w:ind w:left="0" w:leftChars="0" w:firstLine="0" w:firstLineChars="0"/>
              <w:jc w:val="left"/>
              <w:rPr>
                <w:rFonts w:hint="eastAsia" w:hAnsi="宋体" w:cs="Arial"/>
                <w:bCs/>
                <w:color w:val="auto"/>
                <w:sz w:val="24"/>
                <w:szCs w:val="24"/>
                <w:highlight w:val="none"/>
              </w:rPr>
            </w:pPr>
            <w:r>
              <w:rPr>
                <w:rFonts w:hint="eastAsia" w:hAnsi="宋体" w:cs="Arial"/>
                <w:bCs/>
                <w:color w:val="auto"/>
                <w:sz w:val="24"/>
                <w:szCs w:val="24"/>
                <w:highlight w:val="none"/>
              </w:rPr>
              <w:t>响应文件递交地点：本项目采用不见面开标，投标人需要递交加密的电子响应文件，在投标截止时间前通过新疆政府采购云平台https://www.zcygov.cn/开标系统上传到指定位置。逾期未上传的或不符合规定的响应文件将被拒绝接收。</w:t>
            </w:r>
          </w:p>
          <w:p w14:paraId="50D18C4B">
            <w:pPr>
              <w:ind w:left="0" w:leftChars="0" w:firstLine="0" w:firstLineChars="0"/>
              <w:jc w:val="left"/>
              <w:rPr>
                <w:rFonts w:ascii="宋体" w:hAnsi="宋体" w:cs="Arial"/>
                <w:bCs/>
                <w:sz w:val="24"/>
                <w:szCs w:val="24"/>
                <w:highlight w:val="none"/>
              </w:rPr>
            </w:pPr>
            <w:r>
              <w:rPr>
                <w:rFonts w:hint="eastAsia" w:hAnsi="宋体" w:cs="Arial"/>
                <w:bCs/>
                <w:color w:val="auto"/>
                <w:sz w:val="24"/>
                <w:szCs w:val="24"/>
                <w:highlight w:val="none"/>
              </w:rPr>
              <w:t>本项目响应文件解密时间为30分钟，如因自身原因导致无法正常解密，后果由供应商自行承担。</w:t>
            </w:r>
          </w:p>
        </w:tc>
      </w:tr>
      <w:tr w14:paraId="54186F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 w:hRule="atLeast"/>
          <w:jc w:val="center"/>
        </w:trPr>
        <w:tc>
          <w:tcPr>
            <w:tcW w:w="684" w:type="dxa"/>
            <w:tcBorders>
              <w:top w:val="single" w:color="auto" w:sz="4" w:space="0"/>
              <w:left w:val="single" w:color="auto" w:sz="4" w:space="0"/>
              <w:bottom w:val="single" w:color="auto" w:sz="4" w:space="0"/>
              <w:right w:val="single" w:color="auto" w:sz="4" w:space="0"/>
            </w:tcBorders>
            <w:vAlign w:val="center"/>
          </w:tcPr>
          <w:p w14:paraId="1887BE5B">
            <w:pPr>
              <w:jc w:val="center"/>
              <w:rPr>
                <w:rFonts w:hint="eastAsia" w:ascii="宋体" w:hAnsi="宋体" w:eastAsia="宋体" w:cs="Arial"/>
                <w:bCs/>
                <w:sz w:val="24"/>
                <w:szCs w:val="24"/>
                <w:highlight w:val="none"/>
                <w:lang w:eastAsia="zh-CN"/>
              </w:rPr>
            </w:pPr>
            <w:r>
              <w:rPr>
                <w:rFonts w:hint="eastAsia" w:hAnsi="宋体" w:cs="Arial"/>
                <w:bCs/>
                <w:sz w:val="24"/>
                <w:szCs w:val="24"/>
                <w:highlight w:val="none"/>
              </w:rPr>
              <w:t>1</w:t>
            </w:r>
            <w:r>
              <w:rPr>
                <w:rFonts w:hint="eastAsia" w:hAnsi="宋体" w:cs="Arial"/>
                <w:bCs/>
                <w:sz w:val="24"/>
                <w:szCs w:val="24"/>
                <w:highlight w:val="none"/>
                <w:lang w:val="en-US" w:eastAsia="zh-CN"/>
              </w:rPr>
              <w:t>8</w:t>
            </w:r>
          </w:p>
        </w:tc>
        <w:tc>
          <w:tcPr>
            <w:tcW w:w="1695" w:type="dxa"/>
            <w:tcBorders>
              <w:top w:val="single" w:color="auto" w:sz="4" w:space="0"/>
              <w:left w:val="single" w:color="auto" w:sz="4" w:space="0"/>
              <w:bottom w:val="single" w:color="auto" w:sz="4" w:space="0"/>
              <w:right w:val="single" w:color="auto" w:sz="4" w:space="0"/>
            </w:tcBorders>
            <w:vAlign w:val="center"/>
          </w:tcPr>
          <w:p w14:paraId="13D5A1EA">
            <w:pPr>
              <w:jc w:val="center"/>
              <w:rPr>
                <w:rFonts w:hAnsi="宋体" w:cs="Arial"/>
                <w:bCs/>
                <w:sz w:val="24"/>
                <w:szCs w:val="24"/>
                <w:highlight w:val="none"/>
              </w:rPr>
            </w:pPr>
            <w:r>
              <w:rPr>
                <w:rFonts w:hint="eastAsia" w:hAnsi="宋体" w:cs="Arial"/>
                <w:bCs/>
                <w:sz w:val="24"/>
                <w:szCs w:val="24"/>
                <w:highlight w:val="none"/>
              </w:rPr>
              <w:t>开标时间</w:t>
            </w:r>
          </w:p>
          <w:p w14:paraId="00B0807F">
            <w:pPr>
              <w:jc w:val="center"/>
              <w:rPr>
                <w:rFonts w:ascii="宋体" w:hAnsi="宋体" w:cs="Arial"/>
                <w:bCs/>
                <w:sz w:val="24"/>
                <w:szCs w:val="24"/>
                <w:highlight w:val="none"/>
              </w:rPr>
            </w:pPr>
            <w:r>
              <w:rPr>
                <w:rFonts w:hint="eastAsia" w:hAnsi="宋体" w:cs="Arial"/>
                <w:bCs/>
                <w:sz w:val="24"/>
                <w:szCs w:val="24"/>
                <w:highlight w:val="none"/>
              </w:rPr>
              <w:t>及地点</w:t>
            </w:r>
          </w:p>
        </w:tc>
        <w:tc>
          <w:tcPr>
            <w:tcW w:w="6639" w:type="dxa"/>
            <w:tcBorders>
              <w:top w:val="single" w:color="auto" w:sz="4" w:space="0"/>
              <w:left w:val="single" w:color="auto" w:sz="4" w:space="0"/>
              <w:bottom w:val="single" w:color="auto" w:sz="4" w:space="0"/>
              <w:right w:val="single" w:color="auto" w:sz="4" w:space="0"/>
            </w:tcBorders>
            <w:vAlign w:val="center"/>
          </w:tcPr>
          <w:p w14:paraId="745BCB66">
            <w:pPr>
              <w:ind w:left="1200" w:hanging="1200" w:hangingChars="500"/>
              <w:jc w:val="left"/>
              <w:rPr>
                <w:rFonts w:hint="eastAsia" w:hAnsi="宋体" w:cs="Arial"/>
                <w:bCs/>
                <w:color w:val="FF0000"/>
                <w:sz w:val="24"/>
                <w:szCs w:val="24"/>
                <w:highlight w:val="none"/>
              </w:rPr>
            </w:pPr>
            <w:r>
              <w:rPr>
                <w:rFonts w:hint="eastAsia" w:hAnsi="宋体" w:cs="Arial"/>
                <w:bCs/>
                <w:color w:val="FF0000"/>
                <w:sz w:val="24"/>
                <w:szCs w:val="24"/>
                <w:highlight w:val="none"/>
              </w:rPr>
              <w:t>响应文件开启时间：2025年</w:t>
            </w:r>
            <w:r>
              <w:rPr>
                <w:rFonts w:hint="eastAsia" w:hAnsi="宋体" w:cs="Arial"/>
                <w:bCs/>
                <w:color w:val="FF0000"/>
                <w:sz w:val="24"/>
                <w:szCs w:val="24"/>
                <w:highlight w:val="none"/>
                <w:lang w:val="en-US" w:eastAsia="zh-CN"/>
              </w:rPr>
              <w:t>2</w:t>
            </w:r>
            <w:r>
              <w:rPr>
                <w:rFonts w:hint="eastAsia" w:hAnsi="宋体" w:cs="Arial"/>
                <w:bCs/>
                <w:color w:val="FF0000"/>
                <w:sz w:val="24"/>
                <w:szCs w:val="24"/>
                <w:highlight w:val="none"/>
              </w:rPr>
              <w:t>月</w:t>
            </w:r>
            <w:r>
              <w:rPr>
                <w:rFonts w:hint="eastAsia" w:hAnsi="宋体" w:cs="Arial"/>
                <w:bCs/>
                <w:color w:val="FF0000"/>
                <w:sz w:val="24"/>
                <w:szCs w:val="24"/>
                <w:highlight w:val="none"/>
                <w:lang w:val="en-US" w:eastAsia="zh-CN"/>
              </w:rPr>
              <w:t>24</w:t>
            </w:r>
            <w:r>
              <w:rPr>
                <w:rFonts w:hint="eastAsia" w:hAnsi="宋体" w:cs="Arial"/>
                <w:bCs/>
                <w:color w:val="FF0000"/>
                <w:sz w:val="24"/>
                <w:szCs w:val="24"/>
                <w:highlight w:val="none"/>
              </w:rPr>
              <w:t>日10:30时（北京时间）。</w:t>
            </w:r>
          </w:p>
          <w:p w14:paraId="2F061896">
            <w:pPr>
              <w:ind w:left="0" w:leftChars="0" w:firstLine="0" w:firstLineChars="0"/>
              <w:jc w:val="left"/>
              <w:rPr>
                <w:rFonts w:ascii="宋体" w:hAnsi="宋体" w:cs="Arial"/>
                <w:bCs/>
                <w:sz w:val="24"/>
                <w:szCs w:val="24"/>
                <w:highlight w:val="none"/>
              </w:rPr>
            </w:pPr>
            <w:r>
              <w:rPr>
                <w:rFonts w:hint="eastAsia" w:hAnsi="宋体" w:cs="Arial"/>
                <w:bCs/>
                <w:color w:val="auto"/>
                <w:sz w:val="24"/>
                <w:szCs w:val="24"/>
                <w:highlight w:val="none"/>
              </w:rPr>
              <w:t>响应文件开启地点：投标人登录政采云平台https://www.zcygov.cn/，进入“项目采购-开标评标-右边选择对应项目点击“进入项目”进入开标大厅。（供应商网上使用CA锁远程操作开标；并确保网络环境流畅，否则代理机构不负任何责任。）</w:t>
            </w:r>
          </w:p>
        </w:tc>
      </w:tr>
      <w:tr w14:paraId="5E6DF6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 w:hRule="atLeast"/>
          <w:jc w:val="center"/>
        </w:trPr>
        <w:tc>
          <w:tcPr>
            <w:tcW w:w="684" w:type="dxa"/>
            <w:tcBorders>
              <w:top w:val="single" w:color="auto" w:sz="4" w:space="0"/>
              <w:left w:val="single" w:color="auto" w:sz="4" w:space="0"/>
              <w:bottom w:val="single" w:color="auto" w:sz="4" w:space="0"/>
              <w:right w:val="single" w:color="auto" w:sz="4" w:space="0"/>
            </w:tcBorders>
            <w:vAlign w:val="center"/>
          </w:tcPr>
          <w:p w14:paraId="7181CCD1">
            <w:pPr>
              <w:jc w:val="center"/>
              <w:rPr>
                <w:rFonts w:hint="default" w:ascii="宋体" w:hAnsi="宋体" w:eastAsia="宋体" w:cs="Arial"/>
                <w:bCs/>
                <w:sz w:val="24"/>
                <w:szCs w:val="24"/>
                <w:highlight w:val="none"/>
                <w:lang w:val="en-US" w:eastAsia="zh-CN"/>
              </w:rPr>
            </w:pPr>
            <w:r>
              <w:rPr>
                <w:rFonts w:hint="eastAsia" w:hAnsi="宋体" w:cs="Arial"/>
                <w:bCs/>
                <w:sz w:val="24"/>
                <w:szCs w:val="24"/>
                <w:highlight w:val="none"/>
                <w:lang w:val="en-US" w:eastAsia="zh-CN"/>
              </w:rPr>
              <w:t>19</w:t>
            </w:r>
          </w:p>
        </w:tc>
        <w:tc>
          <w:tcPr>
            <w:tcW w:w="1695" w:type="dxa"/>
            <w:tcBorders>
              <w:top w:val="single" w:color="auto" w:sz="4" w:space="0"/>
              <w:left w:val="single" w:color="auto" w:sz="4" w:space="0"/>
              <w:bottom w:val="single" w:color="auto" w:sz="4" w:space="0"/>
              <w:right w:val="single" w:color="auto" w:sz="4" w:space="0"/>
            </w:tcBorders>
            <w:vAlign w:val="center"/>
          </w:tcPr>
          <w:p w14:paraId="0F83A8AE">
            <w:pPr>
              <w:ind w:right="-8"/>
              <w:jc w:val="center"/>
              <w:rPr>
                <w:rFonts w:ascii="宋体" w:hAnsi="宋体" w:cs="Arial"/>
                <w:bCs/>
                <w:sz w:val="24"/>
                <w:szCs w:val="24"/>
                <w:highlight w:val="none"/>
              </w:rPr>
            </w:pPr>
            <w:r>
              <w:rPr>
                <w:rFonts w:hint="eastAsia" w:hAnsi="宋体" w:cs="Arial"/>
                <w:bCs/>
                <w:sz w:val="24"/>
                <w:szCs w:val="24"/>
                <w:highlight w:val="none"/>
              </w:rPr>
              <w:t>评标办法</w:t>
            </w:r>
          </w:p>
        </w:tc>
        <w:tc>
          <w:tcPr>
            <w:tcW w:w="6639" w:type="dxa"/>
            <w:tcBorders>
              <w:top w:val="single" w:color="auto" w:sz="4" w:space="0"/>
              <w:left w:val="single" w:color="auto" w:sz="4" w:space="0"/>
              <w:bottom w:val="single" w:color="auto" w:sz="4" w:space="0"/>
              <w:right w:val="single" w:color="auto" w:sz="4" w:space="0"/>
            </w:tcBorders>
            <w:vAlign w:val="center"/>
          </w:tcPr>
          <w:p w14:paraId="34555FAB">
            <w:pPr>
              <w:jc w:val="left"/>
              <w:rPr>
                <w:rFonts w:ascii="宋体" w:hAnsi="宋体" w:cs="Arial"/>
                <w:bCs/>
                <w:sz w:val="24"/>
                <w:szCs w:val="24"/>
                <w:highlight w:val="none"/>
              </w:rPr>
            </w:pPr>
            <w:r>
              <w:rPr>
                <w:rFonts w:hint="eastAsia" w:hAnsi="宋体" w:cs="Arial"/>
                <w:bCs/>
                <w:sz w:val="24"/>
                <w:szCs w:val="24"/>
                <w:highlight w:val="none"/>
              </w:rPr>
              <w:t>综合评</w:t>
            </w:r>
            <w:r>
              <w:rPr>
                <w:rFonts w:hint="eastAsia" w:cs="Arial"/>
                <w:bCs/>
                <w:sz w:val="24"/>
                <w:szCs w:val="24"/>
                <w:highlight w:val="none"/>
              </w:rPr>
              <w:t>分</w:t>
            </w:r>
            <w:r>
              <w:rPr>
                <w:rFonts w:hint="eastAsia" w:hAnsi="宋体" w:cs="Arial"/>
                <w:bCs/>
                <w:sz w:val="24"/>
                <w:szCs w:val="24"/>
                <w:highlight w:val="none"/>
              </w:rPr>
              <w:t>法</w:t>
            </w:r>
          </w:p>
        </w:tc>
      </w:tr>
      <w:tr w14:paraId="1056D1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 w:hRule="atLeast"/>
          <w:jc w:val="center"/>
        </w:trPr>
        <w:tc>
          <w:tcPr>
            <w:tcW w:w="684" w:type="dxa"/>
            <w:tcBorders>
              <w:top w:val="single" w:color="auto" w:sz="4" w:space="0"/>
              <w:left w:val="single" w:color="auto" w:sz="4" w:space="0"/>
              <w:bottom w:val="single" w:color="auto" w:sz="4" w:space="0"/>
              <w:right w:val="single" w:color="auto" w:sz="4" w:space="0"/>
            </w:tcBorders>
            <w:vAlign w:val="center"/>
          </w:tcPr>
          <w:p w14:paraId="09D54B73">
            <w:pPr>
              <w:jc w:val="center"/>
              <w:rPr>
                <w:rFonts w:hint="eastAsia" w:ascii="宋体" w:hAnsi="宋体" w:eastAsia="宋体" w:cs="Arial"/>
                <w:bCs/>
                <w:sz w:val="24"/>
                <w:szCs w:val="24"/>
                <w:highlight w:val="none"/>
                <w:lang w:eastAsia="zh-CN"/>
              </w:rPr>
            </w:pPr>
            <w:r>
              <w:rPr>
                <w:rFonts w:hint="eastAsia" w:hAnsi="宋体" w:cs="Arial"/>
                <w:bCs/>
                <w:sz w:val="24"/>
                <w:szCs w:val="24"/>
                <w:highlight w:val="none"/>
              </w:rPr>
              <w:t>2</w:t>
            </w:r>
            <w:r>
              <w:rPr>
                <w:rFonts w:hint="eastAsia" w:hAnsi="宋体" w:cs="Arial"/>
                <w:bCs/>
                <w:sz w:val="24"/>
                <w:szCs w:val="24"/>
                <w:highlight w:val="none"/>
                <w:lang w:val="en-US" w:eastAsia="zh-CN"/>
              </w:rPr>
              <w:t>0</w:t>
            </w:r>
          </w:p>
        </w:tc>
        <w:tc>
          <w:tcPr>
            <w:tcW w:w="1695" w:type="dxa"/>
            <w:tcBorders>
              <w:top w:val="single" w:color="auto" w:sz="4" w:space="0"/>
              <w:left w:val="single" w:color="auto" w:sz="4" w:space="0"/>
              <w:bottom w:val="single" w:color="auto" w:sz="4" w:space="0"/>
              <w:right w:val="single" w:color="auto" w:sz="4" w:space="0"/>
            </w:tcBorders>
            <w:vAlign w:val="center"/>
          </w:tcPr>
          <w:p w14:paraId="4C00808D">
            <w:pPr>
              <w:jc w:val="center"/>
              <w:rPr>
                <w:rFonts w:hAnsi="宋体" w:cs="Arial"/>
                <w:bCs/>
                <w:sz w:val="24"/>
                <w:szCs w:val="24"/>
                <w:highlight w:val="none"/>
              </w:rPr>
            </w:pPr>
            <w:r>
              <w:rPr>
                <w:rFonts w:hint="eastAsia" w:hAnsi="宋体" w:cs="Arial"/>
                <w:bCs/>
                <w:sz w:val="24"/>
                <w:szCs w:val="24"/>
                <w:highlight w:val="none"/>
              </w:rPr>
              <w:t>履约保证金</w:t>
            </w:r>
          </w:p>
        </w:tc>
        <w:tc>
          <w:tcPr>
            <w:tcW w:w="6639" w:type="dxa"/>
            <w:tcBorders>
              <w:top w:val="single" w:color="auto" w:sz="4" w:space="0"/>
              <w:left w:val="single" w:color="auto" w:sz="4" w:space="0"/>
              <w:bottom w:val="single" w:color="auto" w:sz="4" w:space="0"/>
              <w:right w:val="single" w:color="auto" w:sz="4" w:space="0"/>
            </w:tcBorders>
            <w:vAlign w:val="center"/>
          </w:tcPr>
          <w:p w14:paraId="7BB4A7F7">
            <w:pPr>
              <w:rPr>
                <w:sz w:val="24"/>
                <w:szCs w:val="24"/>
                <w:highlight w:val="none"/>
              </w:rPr>
            </w:pPr>
            <w:r>
              <w:rPr>
                <w:sz w:val="24"/>
                <w:szCs w:val="24"/>
                <w:highlight w:val="none"/>
              </w:rPr>
              <w:t>合同签订前，中标</w:t>
            </w:r>
            <w:r>
              <w:rPr>
                <w:rFonts w:hint="eastAsia"/>
                <w:sz w:val="24"/>
                <w:szCs w:val="24"/>
                <w:highlight w:val="none"/>
              </w:rPr>
              <w:t>单位</w:t>
            </w:r>
            <w:r>
              <w:rPr>
                <w:rFonts w:hint="eastAsia"/>
                <w:sz w:val="24"/>
                <w:szCs w:val="24"/>
                <w:highlight w:val="none"/>
                <w:lang w:eastAsia="zh-CN"/>
              </w:rPr>
              <w:t>分别向采购人</w:t>
            </w:r>
            <w:r>
              <w:rPr>
                <w:sz w:val="24"/>
                <w:szCs w:val="24"/>
                <w:highlight w:val="none"/>
              </w:rPr>
              <w:t>缴纳</w:t>
            </w:r>
            <w:r>
              <w:rPr>
                <w:rFonts w:hint="eastAsia"/>
                <w:sz w:val="24"/>
                <w:szCs w:val="24"/>
                <w:highlight w:val="none"/>
                <w:lang w:val="en-US" w:eastAsia="zh-CN"/>
              </w:rPr>
              <w:t>48000</w:t>
            </w:r>
            <w:r>
              <w:rPr>
                <w:rFonts w:hint="eastAsia"/>
                <w:sz w:val="24"/>
                <w:szCs w:val="24"/>
                <w:highlight w:val="none"/>
              </w:rPr>
              <w:t>元</w:t>
            </w:r>
            <w:r>
              <w:rPr>
                <w:rFonts w:hint="eastAsia"/>
                <w:sz w:val="24"/>
                <w:szCs w:val="24"/>
                <w:highlight w:val="none"/>
                <w:lang w:eastAsia="zh-CN"/>
              </w:rPr>
              <w:t>（第</w:t>
            </w:r>
            <w:r>
              <w:rPr>
                <w:rFonts w:hint="eastAsia"/>
                <w:sz w:val="24"/>
                <w:szCs w:val="24"/>
                <w:highlight w:val="none"/>
                <w:lang w:val="en-US" w:eastAsia="zh-CN"/>
              </w:rPr>
              <w:t>1包</w:t>
            </w:r>
            <w:r>
              <w:rPr>
                <w:rFonts w:hint="eastAsia"/>
                <w:sz w:val="24"/>
                <w:szCs w:val="24"/>
                <w:highlight w:val="none"/>
                <w:lang w:eastAsia="zh-CN"/>
              </w:rPr>
              <w:t>）、</w:t>
            </w:r>
            <w:r>
              <w:rPr>
                <w:rFonts w:hint="eastAsia"/>
                <w:sz w:val="24"/>
                <w:szCs w:val="24"/>
                <w:highlight w:val="none"/>
                <w:lang w:val="en-US" w:eastAsia="zh-CN"/>
              </w:rPr>
              <w:t>50000元（第2包）</w:t>
            </w:r>
            <w:r>
              <w:rPr>
                <w:rFonts w:hint="eastAsia"/>
                <w:sz w:val="24"/>
                <w:szCs w:val="24"/>
                <w:highlight w:val="none"/>
              </w:rPr>
              <w:t>的</w:t>
            </w:r>
            <w:r>
              <w:rPr>
                <w:sz w:val="24"/>
                <w:szCs w:val="24"/>
                <w:highlight w:val="none"/>
              </w:rPr>
              <w:t>履约保证金，</w:t>
            </w:r>
            <w:r>
              <w:rPr>
                <w:rFonts w:hint="eastAsia"/>
                <w:sz w:val="24"/>
                <w:szCs w:val="24"/>
                <w:highlight w:val="none"/>
              </w:rPr>
              <w:t>履约保证金作为违约金的一部分及用于补偿采购人因中标投标人不能履行合同义务而蒙受的损失，履约保证金在合同有效期满，如中标投标人按合同约定履约且无食材配送服务质量和重大的安全责任事故，则采购人在合同期满之日起15个工作日将合同履约保证金无息退还中标投标人。</w:t>
            </w:r>
          </w:p>
        </w:tc>
      </w:tr>
      <w:tr w14:paraId="597D24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5" w:hRule="atLeast"/>
          <w:jc w:val="center"/>
        </w:trPr>
        <w:tc>
          <w:tcPr>
            <w:tcW w:w="684" w:type="dxa"/>
            <w:tcBorders>
              <w:top w:val="single" w:color="auto" w:sz="4" w:space="0"/>
              <w:left w:val="single" w:color="auto" w:sz="4" w:space="0"/>
              <w:bottom w:val="single" w:color="auto" w:sz="4" w:space="0"/>
              <w:right w:val="single" w:color="auto" w:sz="4" w:space="0"/>
            </w:tcBorders>
            <w:vAlign w:val="center"/>
          </w:tcPr>
          <w:p w14:paraId="3915ADA7">
            <w:pPr>
              <w:jc w:val="center"/>
              <w:rPr>
                <w:rFonts w:hint="eastAsia" w:ascii="宋体" w:hAnsi="宋体" w:eastAsia="宋体" w:cs="Arial"/>
                <w:bCs/>
                <w:sz w:val="24"/>
                <w:szCs w:val="24"/>
                <w:highlight w:val="none"/>
                <w:lang w:eastAsia="zh-CN"/>
              </w:rPr>
            </w:pPr>
            <w:r>
              <w:rPr>
                <w:rFonts w:hint="eastAsia" w:hAnsi="宋体" w:cs="Arial"/>
                <w:bCs/>
                <w:sz w:val="24"/>
                <w:szCs w:val="24"/>
                <w:highlight w:val="none"/>
              </w:rPr>
              <w:t>2</w:t>
            </w:r>
            <w:r>
              <w:rPr>
                <w:rFonts w:hint="eastAsia" w:hAnsi="宋体" w:cs="Arial"/>
                <w:bCs/>
                <w:sz w:val="24"/>
                <w:szCs w:val="24"/>
                <w:highlight w:val="none"/>
                <w:lang w:val="en-US" w:eastAsia="zh-CN"/>
              </w:rPr>
              <w:t>1</w:t>
            </w:r>
          </w:p>
        </w:tc>
        <w:tc>
          <w:tcPr>
            <w:tcW w:w="1695" w:type="dxa"/>
            <w:tcBorders>
              <w:top w:val="single" w:color="auto" w:sz="4" w:space="0"/>
              <w:left w:val="single" w:color="auto" w:sz="4" w:space="0"/>
              <w:bottom w:val="single" w:color="auto" w:sz="4" w:space="0"/>
              <w:right w:val="single" w:color="auto" w:sz="4" w:space="0"/>
            </w:tcBorders>
            <w:vAlign w:val="center"/>
          </w:tcPr>
          <w:p w14:paraId="0C60ADF2">
            <w:pPr>
              <w:widowControl/>
              <w:tabs>
                <w:tab w:val="left" w:pos="720"/>
                <w:tab w:val="left" w:pos="900"/>
                <w:tab w:val="left" w:pos="1080"/>
                <w:tab w:val="left" w:pos="1260"/>
                <w:tab w:val="left" w:pos="1440"/>
                <w:tab w:val="left" w:pos="1800"/>
              </w:tabs>
              <w:jc w:val="center"/>
              <w:rPr>
                <w:rFonts w:ascii="宋体" w:hAnsi="宋体" w:cs="宋体"/>
                <w:spacing w:val="-4"/>
                <w:sz w:val="24"/>
                <w:szCs w:val="24"/>
                <w:highlight w:val="none"/>
              </w:rPr>
            </w:pPr>
            <w:r>
              <w:rPr>
                <w:rFonts w:hint="eastAsia" w:ascii="宋体" w:hAnsi="宋体" w:cs="宋体"/>
                <w:spacing w:val="-4"/>
                <w:sz w:val="24"/>
                <w:szCs w:val="24"/>
                <w:highlight w:val="none"/>
              </w:rPr>
              <w:t>开标准备</w:t>
            </w:r>
          </w:p>
        </w:tc>
        <w:tc>
          <w:tcPr>
            <w:tcW w:w="6639" w:type="dxa"/>
            <w:tcBorders>
              <w:top w:val="single" w:color="auto" w:sz="4" w:space="0"/>
              <w:left w:val="single" w:color="auto" w:sz="4" w:space="0"/>
              <w:bottom w:val="single" w:color="auto" w:sz="4" w:space="0"/>
              <w:right w:val="single" w:color="auto" w:sz="4" w:space="0"/>
            </w:tcBorders>
            <w:vAlign w:val="center"/>
          </w:tcPr>
          <w:p w14:paraId="44D24B01">
            <w:pPr>
              <w:widowControl/>
              <w:tabs>
                <w:tab w:val="left" w:pos="720"/>
                <w:tab w:val="left" w:pos="900"/>
                <w:tab w:val="left" w:pos="1080"/>
                <w:tab w:val="left" w:pos="1260"/>
                <w:tab w:val="left" w:pos="1440"/>
                <w:tab w:val="left" w:pos="1800"/>
              </w:tabs>
              <w:rPr>
                <w:rFonts w:ascii="宋体" w:hAnsi="宋体" w:cs="宋体"/>
                <w:spacing w:val="-4"/>
                <w:sz w:val="24"/>
                <w:szCs w:val="24"/>
                <w:highlight w:val="none"/>
              </w:rPr>
            </w:pPr>
            <w:r>
              <w:rPr>
                <w:rFonts w:hint="eastAsia" w:ascii="宋体" w:hAnsi="宋体" w:cs="宋体"/>
                <w:spacing w:val="-4"/>
                <w:sz w:val="24"/>
                <w:szCs w:val="24"/>
                <w:highlight w:val="none"/>
              </w:rPr>
              <w:t>如采购人、招标代理机构无公告说明等情况，均以磋商公告要求为准</w:t>
            </w:r>
          </w:p>
        </w:tc>
      </w:tr>
      <w:tr w14:paraId="4F7EF9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 w:hRule="atLeast"/>
          <w:jc w:val="center"/>
        </w:trPr>
        <w:tc>
          <w:tcPr>
            <w:tcW w:w="684" w:type="dxa"/>
            <w:tcBorders>
              <w:top w:val="single" w:color="auto" w:sz="4" w:space="0"/>
              <w:left w:val="single" w:color="auto" w:sz="4" w:space="0"/>
              <w:bottom w:val="single" w:color="auto" w:sz="4" w:space="0"/>
              <w:right w:val="single" w:color="auto" w:sz="4" w:space="0"/>
            </w:tcBorders>
            <w:vAlign w:val="center"/>
          </w:tcPr>
          <w:p w14:paraId="0734155B">
            <w:pPr>
              <w:jc w:val="center"/>
              <w:rPr>
                <w:rFonts w:hint="eastAsia" w:ascii="宋体" w:hAnsi="宋体" w:eastAsia="宋体" w:cs="Arial"/>
                <w:bCs/>
                <w:sz w:val="24"/>
                <w:szCs w:val="24"/>
                <w:highlight w:val="none"/>
                <w:lang w:eastAsia="zh-CN"/>
              </w:rPr>
            </w:pPr>
            <w:r>
              <w:rPr>
                <w:rFonts w:hint="eastAsia" w:hAnsi="宋体" w:cs="Arial"/>
                <w:bCs/>
                <w:sz w:val="24"/>
                <w:szCs w:val="24"/>
                <w:highlight w:val="none"/>
              </w:rPr>
              <w:t>2</w:t>
            </w:r>
            <w:r>
              <w:rPr>
                <w:rFonts w:hint="eastAsia" w:hAnsi="宋体" w:cs="Arial"/>
                <w:bCs/>
                <w:sz w:val="24"/>
                <w:szCs w:val="24"/>
                <w:highlight w:val="none"/>
                <w:lang w:val="en-US" w:eastAsia="zh-CN"/>
              </w:rPr>
              <w:t>2</w:t>
            </w:r>
          </w:p>
        </w:tc>
        <w:tc>
          <w:tcPr>
            <w:tcW w:w="1695" w:type="dxa"/>
            <w:tcBorders>
              <w:top w:val="single" w:color="auto" w:sz="4" w:space="0"/>
              <w:left w:val="single" w:color="auto" w:sz="4" w:space="0"/>
              <w:bottom w:val="single" w:color="auto" w:sz="4" w:space="0"/>
              <w:right w:val="single" w:color="auto" w:sz="4" w:space="0"/>
            </w:tcBorders>
            <w:vAlign w:val="center"/>
          </w:tcPr>
          <w:p w14:paraId="05B7C238">
            <w:pPr>
              <w:widowControl/>
              <w:tabs>
                <w:tab w:val="left" w:pos="720"/>
                <w:tab w:val="left" w:pos="900"/>
                <w:tab w:val="left" w:pos="1080"/>
                <w:tab w:val="left" w:pos="1260"/>
                <w:tab w:val="left" w:pos="1440"/>
                <w:tab w:val="left" w:pos="1800"/>
              </w:tabs>
              <w:jc w:val="center"/>
              <w:rPr>
                <w:rFonts w:ascii="宋体" w:hAnsi="宋体" w:cs="宋体"/>
                <w:spacing w:val="-4"/>
                <w:sz w:val="24"/>
                <w:szCs w:val="24"/>
                <w:highlight w:val="none"/>
              </w:rPr>
            </w:pPr>
            <w:r>
              <w:rPr>
                <w:rFonts w:hint="eastAsia" w:ascii="宋体" w:hAnsi="宋体" w:cs="宋体"/>
                <w:spacing w:val="-4"/>
                <w:sz w:val="24"/>
                <w:szCs w:val="24"/>
                <w:highlight w:val="none"/>
              </w:rPr>
              <w:t>同品牌投标处理原则</w:t>
            </w:r>
          </w:p>
        </w:tc>
        <w:tc>
          <w:tcPr>
            <w:tcW w:w="6639" w:type="dxa"/>
            <w:tcBorders>
              <w:top w:val="single" w:color="auto" w:sz="4" w:space="0"/>
              <w:left w:val="single" w:color="auto" w:sz="4" w:space="0"/>
              <w:bottom w:val="single" w:color="auto" w:sz="4" w:space="0"/>
              <w:right w:val="single" w:color="auto" w:sz="4" w:space="0"/>
            </w:tcBorders>
            <w:vAlign w:val="center"/>
          </w:tcPr>
          <w:p w14:paraId="4FC4F13A">
            <w:pPr>
              <w:widowControl/>
              <w:tabs>
                <w:tab w:val="left" w:pos="720"/>
                <w:tab w:val="left" w:pos="900"/>
                <w:tab w:val="left" w:pos="1080"/>
                <w:tab w:val="left" w:pos="1260"/>
                <w:tab w:val="left" w:pos="1440"/>
                <w:tab w:val="left" w:pos="1800"/>
              </w:tabs>
              <w:rPr>
                <w:rFonts w:ascii="宋体" w:hAnsi="宋体" w:cs="宋体"/>
                <w:b/>
                <w:bCs/>
                <w:spacing w:val="-4"/>
                <w:sz w:val="24"/>
                <w:szCs w:val="24"/>
                <w:highlight w:val="none"/>
              </w:rPr>
            </w:pPr>
            <w:r>
              <w:rPr>
                <w:rFonts w:hint="eastAsia" w:ascii="宋体" w:hAnsi="宋体" w:cs="宋体"/>
                <w:spacing w:val="-4"/>
                <w:sz w:val="24"/>
                <w:szCs w:val="24"/>
                <w:highlight w:val="none"/>
              </w:rPr>
              <w:t>详见第二章投标人须知第</w:t>
            </w:r>
            <w:r>
              <w:rPr>
                <w:rFonts w:hint="eastAsia" w:ascii="宋体" w:hAnsi="宋体" w:cs="宋体"/>
                <w:spacing w:val="-4"/>
                <w:sz w:val="24"/>
                <w:szCs w:val="24"/>
                <w:highlight w:val="none"/>
                <w:lang w:val="en-US" w:eastAsia="zh-CN"/>
              </w:rPr>
              <w:t>7</w:t>
            </w:r>
            <w:r>
              <w:rPr>
                <w:rFonts w:hint="eastAsia" w:ascii="宋体" w:hAnsi="宋体" w:cs="宋体"/>
                <w:spacing w:val="-4"/>
                <w:sz w:val="24"/>
                <w:szCs w:val="24"/>
                <w:highlight w:val="none"/>
              </w:rPr>
              <w:t>条</w:t>
            </w:r>
          </w:p>
        </w:tc>
      </w:tr>
      <w:tr w14:paraId="175EF8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 w:hRule="atLeast"/>
          <w:jc w:val="center"/>
        </w:trPr>
        <w:tc>
          <w:tcPr>
            <w:tcW w:w="684" w:type="dxa"/>
            <w:tcBorders>
              <w:top w:val="single" w:color="auto" w:sz="4" w:space="0"/>
              <w:left w:val="single" w:color="auto" w:sz="4" w:space="0"/>
              <w:bottom w:val="single" w:color="auto" w:sz="4" w:space="0"/>
              <w:right w:val="single" w:color="auto" w:sz="4" w:space="0"/>
            </w:tcBorders>
            <w:vAlign w:val="center"/>
          </w:tcPr>
          <w:p w14:paraId="4C0AB4F4">
            <w:pPr>
              <w:jc w:val="center"/>
              <w:rPr>
                <w:rFonts w:hint="eastAsia" w:hAnsi="宋体" w:eastAsia="宋体" w:cs="Arial"/>
                <w:bCs/>
                <w:sz w:val="24"/>
                <w:szCs w:val="24"/>
                <w:highlight w:val="none"/>
                <w:lang w:eastAsia="zh-CN"/>
              </w:rPr>
            </w:pPr>
            <w:r>
              <w:rPr>
                <w:rFonts w:hint="eastAsia" w:hAnsi="宋体" w:cs="Arial"/>
                <w:bCs/>
                <w:sz w:val="24"/>
                <w:szCs w:val="24"/>
                <w:highlight w:val="none"/>
              </w:rPr>
              <w:t>2</w:t>
            </w:r>
            <w:r>
              <w:rPr>
                <w:rFonts w:hint="eastAsia" w:hAnsi="宋体" w:cs="Arial"/>
                <w:bCs/>
                <w:sz w:val="24"/>
                <w:szCs w:val="24"/>
                <w:highlight w:val="none"/>
                <w:lang w:val="en-US" w:eastAsia="zh-CN"/>
              </w:rPr>
              <w:t>3</w:t>
            </w:r>
          </w:p>
        </w:tc>
        <w:tc>
          <w:tcPr>
            <w:tcW w:w="1695" w:type="dxa"/>
            <w:tcBorders>
              <w:top w:val="single" w:color="auto" w:sz="4" w:space="0"/>
              <w:left w:val="single" w:color="auto" w:sz="4" w:space="0"/>
              <w:bottom w:val="single" w:color="auto" w:sz="4" w:space="0"/>
              <w:right w:val="single" w:color="auto" w:sz="4" w:space="0"/>
            </w:tcBorders>
            <w:vAlign w:val="center"/>
          </w:tcPr>
          <w:p w14:paraId="55B822A5">
            <w:pPr>
              <w:jc w:val="center"/>
              <w:rPr>
                <w:rFonts w:ascii="宋体" w:hAnsi="宋体" w:cs="Arial"/>
                <w:bCs/>
                <w:sz w:val="24"/>
                <w:szCs w:val="24"/>
                <w:highlight w:val="none"/>
              </w:rPr>
            </w:pPr>
            <w:r>
              <w:rPr>
                <w:rFonts w:hint="eastAsia" w:cs="Arial"/>
                <w:bCs/>
                <w:sz w:val="24"/>
                <w:szCs w:val="24"/>
                <w:highlight w:val="none"/>
              </w:rPr>
              <w:t>代理服务费用</w:t>
            </w:r>
          </w:p>
        </w:tc>
        <w:tc>
          <w:tcPr>
            <w:tcW w:w="6639" w:type="dxa"/>
            <w:tcBorders>
              <w:top w:val="single" w:color="auto" w:sz="4" w:space="0"/>
              <w:left w:val="single" w:color="auto" w:sz="4" w:space="0"/>
              <w:bottom w:val="single" w:color="auto" w:sz="4" w:space="0"/>
              <w:right w:val="single" w:color="auto" w:sz="4" w:space="0"/>
            </w:tcBorders>
            <w:vAlign w:val="center"/>
          </w:tcPr>
          <w:p w14:paraId="2C5BB6EA">
            <w:pPr>
              <w:jc w:val="left"/>
              <w:rPr>
                <w:rFonts w:ascii="宋体" w:hAnsi="宋体" w:cs="Arial"/>
                <w:bCs/>
                <w:sz w:val="24"/>
                <w:szCs w:val="24"/>
                <w:highlight w:val="none"/>
              </w:rPr>
            </w:pPr>
            <w:r>
              <w:rPr>
                <w:rFonts w:hint="eastAsia" w:hAnsi="宋体" w:cs="Arial"/>
                <w:bCs/>
                <w:sz w:val="24"/>
                <w:szCs w:val="24"/>
                <w:highlight w:val="none"/>
              </w:rPr>
              <w:t>参照国家发展改革委员会发改价格【2011】534号、发改办价格【2003】857号文件和国家发展改革委“发改价格”和《招标代理服务收费管理暂行办法》（计价格【2002】1980号），</w:t>
            </w:r>
            <w:r>
              <w:rPr>
                <w:rFonts w:hint="eastAsia" w:hAnsi="宋体" w:cs="Arial"/>
                <w:bCs/>
                <w:sz w:val="24"/>
                <w:szCs w:val="24"/>
                <w:highlight w:val="none"/>
                <w:lang w:val="en-US" w:eastAsia="zh-CN"/>
              </w:rPr>
              <w:t>以总预算金额为基准，</w:t>
            </w:r>
            <w:r>
              <w:rPr>
                <w:rFonts w:hint="eastAsia" w:hAnsi="宋体" w:cs="Arial"/>
                <w:bCs/>
                <w:sz w:val="24"/>
                <w:szCs w:val="24"/>
                <w:highlight w:val="none"/>
              </w:rPr>
              <w:t>下浮1</w:t>
            </w:r>
            <w:r>
              <w:rPr>
                <w:rFonts w:hint="eastAsia" w:hAnsi="宋体" w:cs="Arial"/>
                <w:bCs/>
                <w:sz w:val="24"/>
                <w:szCs w:val="24"/>
                <w:highlight w:val="none"/>
                <w:lang w:val="en-US" w:eastAsia="zh-CN"/>
              </w:rPr>
              <w:t>0</w:t>
            </w:r>
            <w:r>
              <w:rPr>
                <w:rFonts w:hint="eastAsia" w:hAnsi="宋体" w:cs="Arial"/>
                <w:bCs/>
                <w:sz w:val="24"/>
                <w:szCs w:val="24"/>
                <w:highlight w:val="none"/>
              </w:rPr>
              <w:t>%计</w:t>
            </w:r>
            <w:r>
              <w:rPr>
                <w:rFonts w:hint="eastAsia" w:hAnsi="宋体" w:cs="Arial"/>
                <w:bCs/>
                <w:sz w:val="24"/>
                <w:szCs w:val="24"/>
                <w:highlight w:val="none"/>
                <w:lang w:val="en-US" w:eastAsia="zh-CN"/>
              </w:rPr>
              <w:t>取</w:t>
            </w:r>
            <w:r>
              <w:rPr>
                <w:rFonts w:hint="eastAsia" w:hAnsi="宋体" w:cs="Arial"/>
                <w:bCs/>
                <w:sz w:val="24"/>
                <w:szCs w:val="24"/>
                <w:highlight w:val="none"/>
              </w:rPr>
              <w:t>，由</w:t>
            </w:r>
            <w:r>
              <w:rPr>
                <w:rFonts w:hint="eastAsia" w:hAnsi="宋体" w:cs="Arial"/>
                <w:bCs/>
                <w:color w:val="auto"/>
                <w:sz w:val="24"/>
                <w:szCs w:val="24"/>
                <w:highlight w:val="none"/>
                <w:lang w:val="en-US" w:eastAsia="zh-CN"/>
              </w:rPr>
              <w:t>采购人</w:t>
            </w:r>
            <w:r>
              <w:rPr>
                <w:rFonts w:hint="eastAsia" w:hAnsi="宋体" w:cs="Arial"/>
                <w:bCs/>
                <w:sz w:val="24"/>
                <w:szCs w:val="24"/>
                <w:highlight w:val="none"/>
              </w:rPr>
              <w:t>支付。</w:t>
            </w:r>
          </w:p>
        </w:tc>
      </w:tr>
      <w:tr w14:paraId="4AE770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 w:hRule="atLeast"/>
          <w:jc w:val="center"/>
        </w:trPr>
        <w:tc>
          <w:tcPr>
            <w:tcW w:w="684" w:type="dxa"/>
            <w:tcBorders>
              <w:top w:val="single" w:color="auto" w:sz="4" w:space="0"/>
              <w:left w:val="single" w:color="auto" w:sz="4" w:space="0"/>
              <w:bottom w:val="single" w:color="auto" w:sz="4" w:space="0"/>
              <w:right w:val="single" w:color="auto" w:sz="4" w:space="0"/>
            </w:tcBorders>
            <w:vAlign w:val="center"/>
          </w:tcPr>
          <w:p w14:paraId="70B13C5A">
            <w:pPr>
              <w:jc w:val="center"/>
              <w:rPr>
                <w:rFonts w:hint="eastAsia" w:hAnsi="宋体" w:eastAsia="宋体" w:cs="Arial"/>
                <w:bCs/>
                <w:sz w:val="24"/>
                <w:szCs w:val="24"/>
                <w:highlight w:val="none"/>
                <w:lang w:eastAsia="zh-CN"/>
              </w:rPr>
            </w:pPr>
            <w:r>
              <w:rPr>
                <w:rFonts w:hint="eastAsia" w:cs="Arial"/>
                <w:bCs/>
                <w:sz w:val="24"/>
                <w:szCs w:val="24"/>
                <w:highlight w:val="none"/>
              </w:rPr>
              <w:t>2</w:t>
            </w:r>
            <w:r>
              <w:rPr>
                <w:rFonts w:hint="eastAsia" w:cs="Arial"/>
                <w:bCs/>
                <w:sz w:val="24"/>
                <w:szCs w:val="24"/>
                <w:highlight w:val="none"/>
                <w:lang w:val="en-US" w:eastAsia="zh-CN"/>
              </w:rPr>
              <w:t>4</w:t>
            </w:r>
          </w:p>
        </w:tc>
        <w:tc>
          <w:tcPr>
            <w:tcW w:w="1695" w:type="dxa"/>
            <w:tcBorders>
              <w:top w:val="single" w:color="auto" w:sz="4" w:space="0"/>
              <w:left w:val="single" w:color="auto" w:sz="4" w:space="0"/>
              <w:bottom w:val="single" w:color="auto" w:sz="4" w:space="0"/>
              <w:right w:val="single" w:color="auto" w:sz="4" w:space="0"/>
            </w:tcBorders>
            <w:vAlign w:val="center"/>
          </w:tcPr>
          <w:p w14:paraId="1FC44116">
            <w:pPr>
              <w:widowControl/>
              <w:tabs>
                <w:tab w:val="left" w:pos="720"/>
                <w:tab w:val="left" w:pos="900"/>
                <w:tab w:val="left" w:pos="1080"/>
                <w:tab w:val="left" w:pos="1260"/>
                <w:tab w:val="left" w:pos="1440"/>
                <w:tab w:val="left" w:pos="1800"/>
              </w:tabs>
              <w:jc w:val="center"/>
              <w:rPr>
                <w:rFonts w:ascii="宋体" w:hAnsi="宋体" w:cs="宋体"/>
                <w:spacing w:val="-4"/>
                <w:sz w:val="24"/>
                <w:szCs w:val="24"/>
                <w:highlight w:val="none"/>
              </w:rPr>
            </w:pPr>
            <w:r>
              <w:rPr>
                <w:rFonts w:hint="eastAsia" w:ascii="宋体" w:hAnsi="宋体" w:cs="Arial"/>
                <w:bCs/>
                <w:sz w:val="24"/>
                <w:szCs w:val="24"/>
                <w:highlight w:val="none"/>
              </w:rPr>
              <w:t>低于成本价不正当竞争预防措施</w:t>
            </w:r>
          </w:p>
        </w:tc>
        <w:tc>
          <w:tcPr>
            <w:tcW w:w="6639" w:type="dxa"/>
            <w:tcBorders>
              <w:top w:val="single" w:color="auto" w:sz="4" w:space="0"/>
              <w:left w:val="single" w:color="auto" w:sz="4" w:space="0"/>
              <w:bottom w:val="single" w:color="auto" w:sz="4" w:space="0"/>
              <w:right w:val="single" w:color="auto" w:sz="4" w:space="0"/>
            </w:tcBorders>
            <w:vAlign w:val="center"/>
          </w:tcPr>
          <w:p w14:paraId="201788D3">
            <w:pPr>
              <w:widowControl/>
              <w:tabs>
                <w:tab w:val="left" w:pos="720"/>
                <w:tab w:val="left" w:pos="900"/>
                <w:tab w:val="left" w:pos="1080"/>
                <w:tab w:val="left" w:pos="1260"/>
                <w:tab w:val="left" w:pos="1440"/>
                <w:tab w:val="left" w:pos="1800"/>
              </w:tabs>
              <w:jc w:val="left"/>
              <w:rPr>
                <w:rFonts w:ascii="宋体" w:hAnsi="宋体" w:cs="Arial"/>
                <w:bCs/>
                <w:sz w:val="24"/>
                <w:szCs w:val="24"/>
                <w:highlight w:val="none"/>
              </w:rPr>
            </w:pPr>
            <w:r>
              <w:rPr>
                <w:rFonts w:ascii="宋体" w:hAnsi="宋体" w:cs="Arial"/>
                <w:bCs/>
                <w:sz w:val="24"/>
                <w:szCs w:val="24"/>
                <w:highlight w:val="none"/>
              </w:rPr>
              <w:t>1.在评标过程中，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16EB4B06">
            <w:pPr>
              <w:widowControl/>
              <w:tabs>
                <w:tab w:val="left" w:pos="720"/>
                <w:tab w:val="left" w:pos="900"/>
                <w:tab w:val="left" w:pos="1080"/>
                <w:tab w:val="left" w:pos="1260"/>
                <w:tab w:val="left" w:pos="1440"/>
                <w:tab w:val="left" w:pos="1800"/>
              </w:tabs>
              <w:jc w:val="left"/>
              <w:rPr>
                <w:rFonts w:ascii="宋体" w:hAnsi="宋体" w:cs="Arial"/>
                <w:bCs/>
                <w:sz w:val="24"/>
                <w:szCs w:val="24"/>
                <w:highlight w:val="none"/>
              </w:rPr>
            </w:pPr>
            <w:r>
              <w:rPr>
                <w:rFonts w:ascii="宋体" w:hAnsi="宋体" w:cs="Arial"/>
                <w:bCs/>
                <w:sz w:val="24"/>
                <w:szCs w:val="24"/>
                <w:highlight w:val="none"/>
              </w:rPr>
              <w:t>2.投标人书面说明应当签字确认并且加盖公章，否则无效。书面说明的签字确认，投标人为法人的，由其法定代表人或者代理人签字确认；投标人为其他组织的，由其主要负责人或者代理人签字确认；投标人为自然人的，由其本人或者代理人签字确认。</w:t>
            </w:r>
          </w:p>
          <w:p w14:paraId="18BCB845">
            <w:pPr>
              <w:widowControl/>
              <w:tabs>
                <w:tab w:val="left" w:pos="720"/>
                <w:tab w:val="left" w:pos="900"/>
                <w:tab w:val="left" w:pos="1080"/>
                <w:tab w:val="left" w:pos="1260"/>
                <w:tab w:val="left" w:pos="1440"/>
                <w:tab w:val="left" w:pos="1800"/>
              </w:tabs>
              <w:jc w:val="left"/>
              <w:rPr>
                <w:rFonts w:ascii="宋体" w:hAnsi="宋体" w:cs="宋体"/>
                <w:spacing w:val="-4"/>
                <w:sz w:val="24"/>
                <w:szCs w:val="24"/>
                <w:highlight w:val="none"/>
              </w:rPr>
            </w:pPr>
            <w:r>
              <w:rPr>
                <w:rFonts w:ascii="宋体" w:hAnsi="宋体" w:cs="Arial"/>
                <w:bCs/>
                <w:sz w:val="24"/>
                <w:szCs w:val="24"/>
                <w:highlight w:val="none"/>
              </w:rPr>
              <w:t>3.投标人提供书面说明后，评标委员会应当结合采购项目采购需求、专业实际情况、投标人财务状况报告、与其他投标人比较情况等就投标人书面说明进行审查评价。投标人拒绝或者变相拒绝提供有效书面说明或者书面说明不能证明其报价合理性的，评标委员会应当将其</w:t>
            </w:r>
            <w:r>
              <w:rPr>
                <w:rFonts w:hint="eastAsia" w:ascii="宋体" w:hAnsi="宋体" w:cs="Arial"/>
                <w:bCs/>
                <w:sz w:val="24"/>
                <w:szCs w:val="24"/>
                <w:highlight w:val="none"/>
                <w:lang w:eastAsia="zh-CN"/>
              </w:rPr>
              <w:t>响应文件</w:t>
            </w:r>
            <w:r>
              <w:rPr>
                <w:rFonts w:ascii="宋体" w:hAnsi="宋体" w:cs="Arial"/>
                <w:bCs/>
                <w:sz w:val="24"/>
                <w:szCs w:val="24"/>
                <w:highlight w:val="none"/>
              </w:rPr>
              <w:t>作为无效处理。</w:t>
            </w:r>
          </w:p>
        </w:tc>
      </w:tr>
      <w:tr w14:paraId="47140C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5" w:hRule="atLeast"/>
          <w:jc w:val="center"/>
        </w:trPr>
        <w:tc>
          <w:tcPr>
            <w:tcW w:w="684" w:type="dxa"/>
            <w:tcBorders>
              <w:top w:val="single" w:color="auto" w:sz="4" w:space="0"/>
              <w:left w:val="single" w:color="auto" w:sz="4" w:space="0"/>
              <w:bottom w:val="single" w:color="auto" w:sz="4" w:space="0"/>
              <w:right w:val="single" w:color="auto" w:sz="4" w:space="0"/>
            </w:tcBorders>
            <w:vAlign w:val="center"/>
          </w:tcPr>
          <w:p w14:paraId="759D903E">
            <w:pPr>
              <w:jc w:val="center"/>
              <w:rPr>
                <w:rFonts w:hint="eastAsia" w:eastAsia="宋体" w:cs="Arial"/>
                <w:bCs/>
                <w:sz w:val="24"/>
                <w:szCs w:val="24"/>
                <w:highlight w:val="none"/>
                <w:lang w:eastAsia="zh-CN"/>
              </w:rPr>
            </w:pPr>
            <w:r>
              <w:rPr>
                <w:rFonts w:hint="eastAsia" w:cs="Arial"/>
                <w:bCs/>
                <w:sz w:val="24"/>
                <w:szCs w:val="24"/>
                <w:highlight w:val="none"/>
              </w:rPr>
              <w:t>2</w:t>
            </w:r>
            <w:r>
              <w:rPr>
                <w:rFonts w:hint="eastAsia" w:cs="Arial"/>
                <w:bCs/>
                <w:sz w:val="24"/>
                <w:szCs w:val="24"/>
                <w:highlight w:val="none"/>
                <w:lang w:val="en-US" w:eastAsia="zh-CN"/>
              </w:rPr>
              <w:t>5</w:t>
            </w:r>
          </w:p>
        </w:tc>
        <w:tc>
          <w:tcPr>
            <w:tcW w:w="1695" w:type="dxa"/>
            <w:tcBorders>
              <w:top w:val="single" w:color="auto" w:sz="4" w:space="0"/>
              <w:left w:val="single" w:color="auto" w:sz="4" w:space="0"/>
              <w:bottom w:val="single" w:color="auto" w:sz="4" w:space="0"/>
              <w:right w:val="single" w:color="auto" w:sz="4" w:space="0"/>
            </w:tcBorders>
            <w:vAlign w:val="center"/>
          </w:tcPr>
          <w:p w14:paraId="63C438E3">
            <w:pPr>
              <w:widowControl/>
              <w:tabs>
                <w:tab w:val="left" w:pos="720"/>
                <w:tab w:val="left" w:pos="900"/>
                <w:tab w:val="left" w:pos="1080"/>
                <w:tab w:val="left" w:pos="1260"/>
                <w:tab w:val="left" w:pos="1440"/>
                <w:tab w:val="left" w:pos="1800"/>
              </w:tabs>
              <w:jc w:val="center"/>
              <w:rPr>
                <w:rFonts w:ascii="宋体" w:hAnsi="宋体" w:cs="Arial"/>
                <w:bCs/>
                <w:sz w:val="24"/>
                <w:szCs w:val="24"/>
                <w:highlight w:val="none"/>
              </w:rPr>
            </w:pPr>
            <w:r>
              <w:rPr>
                <w:rFonts w:ascii="宋体" w:hAnsi="宋体" w:cs="Arial"/>
                <w:bCs/>
                <w:sz w:val="24"/>
                <w:szCs w:val="24"/>
                <w:highlight w:val="none"/>
              </w:rPr>
              <w:t>中小微企业</w:t>
            </w:r>
          </w:p>
          <w:p w14:paraId="780F8547">
            <w:pPr>
              <w:widowControl/>
              <w:tabs>
                <w:tab w:val="left" w:pos="720"/>
                <w:tab w:val="left" w:pos="900"/>
                <w:tab w:val="left" w:pos="1080"/>
                <w:tab w:val="left" w:pos="1260"/>
                <w:tab w:val="left" w:pos="1440"/>
                <w:tab w:val="left" w:pos="1800"/>
              </w:tabs>
              <w:jc w:val="center"/>
              <w:rPr>
                <w:rFonts w:ascii="宋体" w:hAnsi="宋体" w:cs="Arial"/>
                <w:bCs/>
                <w:sz w:val="24"/>
                <w:szCs w:val="24"/>
                <w:highlight w:val="none"/>
              </w:rPr>
            </w:pPr>
            <w:r>
              <w:rPr>
                <w:rFonts w:ascii="宋体" w:hAnsi="宋体" w:cs="Arial"/>
                <w:bCs/>
                <w:sz w:val="24"/>
                <w:szCs w:val="24"/>
                <w:highlight w:val="none"/>
              </w:rPr>
              <w:t>声明函</w:t>
            </w:r>
          </w:p>
        </w:tc>
        <w:tc>
          <w:tcPr>
            <w:tcW w:w="6639" w:type="dxa"/>
            <w:tcBorders>
              <w:top w:val="single" w:color="auto" w:sz="4" w:space="0"/>
              <w:left w:val="single" w:color="auto" w:sz="4" w:space="0"/>
              <w:bottom w:val="single" w:color="auto" w:sz="4" w:space="0"/>
              <w:right w:val="single" w:color="auto" w:sz="4" w:space="0"/>
            </w:tcBorders>
            <w:vAlign w:val="center"/>
          </w:tcPr>
          <w:p w14:paraId="46ED15E6">
            <w:pPr>
              <w:widowControl/>
              <w:tabs>
                <w:tab w:val="left" w:pos="720"/>
                <w:tab w:val="left" w:pos="900"/>
                <w:tab w:val="left" w:pos="1080"/>
                <w:tab w:val="left" w:pos="1260"/>
                <w:tab w:val="left" w:pos="1440"/>
                <w:tab w:val="left" w:pos="1800"/>
              </w:tabs>
              <w:jc w:val="left"/>
              <w:rPr>
                <w:rFonts w:ascii="宋体" w:hAnsi="宋体" w:cs="Arial"/>
                <w:bCs/>
                <w:sz w:val="24"/>
                <w:szCs w:val="24"/>
                <w:highlight w:val="none"/>
              </w:rPr>
            </w:pPr>
            <w:r>
              <w:rPr>
                <w:rFonts w:ascii="宋体" w:hAnsi="宋体" w:cs="Arial"/>
                <w:bCs/>
                <w:sz w:val="24"/>
                <w:szCs w:val="24"/>
                <w:highlight w:val="none"/>
              </w:rPr>
              <w:t>1.</w:t>
            </w:r>
            <w:r>
              <w:rPr>
                <w:rFonts w:hint="eastAsia" w:ascii="宋体" w:hAnsi="宋体" w:cs="Arial"/>
                <w:bCs/>
                <w:sz w:val="24"/>
                <w:szCs w:val="24"/>
                <w:highlight w:val="none"/>
              </w:rPr>
              <w:t>本项目</w:t>
            </w:r>
            <w:r>
              <w:rPr>
                <w:rFonts w:ascii="宋体" w:hAnsi="宋体" w:cs="Arial"/>
                <w:bCs/>
                <w:sz w:val="24"/>
                <w:szCs w:val="24"/>
                <w:highlight w:val="none"/>
              </w:rPr>
              <w:t>专门面向中小企业采购。</w:t>
            </w:r>
          </w:p>
          <w:p w14:paraId="464A0090">
            <w:pPr>
              <w:widowControl/>
              <w:tabs>
                <w:tab w:val="left" w:pos="720"/>
                <w:tab w:val="left" w:pos="900"/>
                <w:tab w:val="left" w:pos="1080"/>
                <w:tab w:val="left" w:pos="1260"/>
                <w:tab w:val="left" w:pos="1440"/>
                <w:tab w:val="left" w:pos="1800"/>
              </w:tabs>
              <w:jc w:val="left"/>
              <w:rPr>
                <w:rFonts w:ascii="宋体" w:hAnsi="宋体" w:cs="Arial"/>
                <w:bCs/>
                <w:sz w:val="24"/>
                <w:szCs w:val="24"/>
                <w:highlight w:val="none"/>
              </w:rPr>
            </w:pPr>
            <w:r>
              <w:rPr>
                <w:rFonts w:ascii="宋体" w:hAnsi="宋体" w:cs="Arial"/>
                <w:bCs/>
                <w:sz w:val="24"/>
                <w:szCs w:val="24"/>
                <w:highlight w:val="none"/>
              </w:rPr>
              <w:t>2.残疾人福利性单位、监狱和戒毒企业（简称监狱企业）视同小型、微型企业；残疾人福利单位、监狱企业同时属于小型、微型企业的，不重复享受财政政策。</w:t>
            </w:r>
          </w:p>
          <w:p w14:paraId="47600D14">
            <w:pPr>
              <w:widowControl/>
              <w:tabs>
                <w:tab w:val="left" w:pos="720"/>
                <w:tab w:val="left" w:pos="900"/>
                <w:tab w:val="left" w:pos="1080"/>
                <w:tab w:val="left" w:pos="1260"/>
                <w:tab w:val="left" w:pos="1440"/>
                <w:tab w:val="left" w:pos="1800"/>
              </w:tabs>
              <w:jc w:val="left"/>
              <w:rPr>
                <w:rFonts w:ascii="宋体" w:hAnsi="宋体" w:cs="Arial"/>
                <w:bCs/>
                <w:sz w:val="24"/>
                <w:szCs w:val="24"/>
                <w:highlight w:val="none"/>
              </w:rPr>
            </w:pPr>
            <w:r>
              <w:rPr>
                <w:rFonts w:ascii="宋体" w:hAnsi="宋体" w:cs="Arial"/>
                <w:bCs/>
                <w:sz w:val="24"/>
                <w:szCs w:val="24"/>
                <w:highlight w:val="none"/>
              </w:rPr>
              <w:t>3.根据《政府采购促进中小企业发展管理办法》（财库[2020]46号）和《财政部关于进一步加大政府采购支持中小企业力度的通知》要求，投标人应提供合格的《中小企业声明函》，如投标人提供的《中小企业声明函》不合格或未提供《中小微企业声明函》的，不得享受相关中小微企业扶持政策。</w:t>
            </w:r>
          </w:p>
          <w:p w14:paraId="2478D168">
            <w:pPr>
              <w:widowControl/>
              <w:tabs>
                <w:tab w:val="left" w:pos="720"/>
                <w:tab w:val="left" w:pos="900"/>
                <w:tab w:val="left" w:pos="1080"/>
                <w:tab w:val="left" w:pos="1260"/>
                <w:tab w:val="left" w:pos="1440"/>
                <w:tab w:val="left" w:pos="1800"/>
              </w:tabs>
              <w:jc w:val="left"/>
              <w:rPr>
                <w:rFonts w:ascii="宋体" w:hAnsi="宋体" w:cs="Arial"/>
                <w:bCs/>
                <w:sz w:val="24"/>
                <w:szCs w:val="24"/>
                <w:highlight w:val="none"/>
              </w:rPr>
            </w:pPr>
            <w:r>
              <w:rPr>
                <w:rFonts w:ascii="宋体" w:hAnsi="宋体" w:cs="Arial"/>
                <w:bCs/>
                <w:sz w:val="24"/>
                <w:szCs w:val="24"/>
                <w:highlight w:val="none"/>
              </w:rPr>
              <w:t>4.根据《关于政府采购支持监狱企业发展有关问题的通知》（财库[2014]68号）和本</w:t>
            </w:r>
            <w:r>
              <w:rPr>
                <w:rFonts w:hint="eastAsia" w:ascii="宋体" w:hAnsi="宋体" w:cs="Arial"/>
                <w:bCs/>
                <w:sz w:val="24"/>
                <w:szCs w:val="24"/>
                <w:highlight w:val="none"/>
                <w:lang w:eastAsia="zh-CN"/>
              </w:rPr>
              <w:t>磋商文件</w:t>
            </w:r>
            <w:r>
              <w:rPr>
                <w:rFonts w:ascii="宋体" w:hAnsi="宋体" w:cs="Arial"/>
                <w:bCs/>
                <w:sz w:val="24"/>
                <w:szCs w:val="24"/>
                <w:highlight w:val="none"/>
              </w:rPr>
              <w:t>要求，投标人应提供合格的《监狱企业声明函》，如投标人提供的《监狱企业声明函》不合格或未提供《监狱企业声明函》的，不得享受相关中小微企业扶持政策。</w:t>
            </w:r>
          </w:p>
          <w:p w14:paraId="66C4F7B5">
            <w:pPr>
              <w:widowControl/>
              <w:tabs>
                <w:tab w:val="left" w:pos="720"/>
                <w:tab w:val="left" w:pos="900"/>
                <w:tab w:val="left" w:pos="1080"/>
                <w:tab w:val="left" w:pos="1260"/>
                <w:tab w:val="left" w:pos="1440"/>
                <w:tab w:val="left" w:pos="1800"/>
              </w:tabs>
              <w:rPr>
                <w:rFonts w:ascii="宋体" w:hAnsi="宋体" w:cs="Arial"/>
                <w:bCs/>
                <w:sz w:val="24"/>
                <w:szCs w:val="24"/>
                <w:highlight w:val="none"/>
              </w:rPr>
            </w:pPr>
            <w:r>
              <w:rPr>
                <w:rFonts w:ascii="宋体" w:hAnsi="宋体" w:cs="Arial"/>
                <w:bCs/>
                <w:sz w:val="24"/>
                <w:szCs w:val="24"/>
                <w:highlight w:val="none"/>
              </w:rPr>
              <w:t>5.根据《关于促进残疾人就业政府采购政策的通知》（财库[2017]141号）要求，投标人应提供合格的《残疾人福利性单位声明函》，如投标人提供的《残疾人福利性单位声明函》不合格或未提供《残疾人福利性单位声明函》的，不得享受相关中小微企业扶持政策。</w:t>
            </w:r>
          </w:p>
        </w:tc>
      </w:tr>
      <w:tr w14:paraId="2C99BE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84" w:type="dxa"/>
            <w:tcBorders>
              <w:top w:val="single" w:color="auto" w:sz="4" w:space="0"/>
              <w:left w:val="single" w:color="auto" w:sz="4" w:space="0"/>
              <w:bottom w:val="single" w:color="auto" w:sz="4" w:space="0"/>
              <w:right w:val="single" w:color="auto" w:sz="4" w:space="0"/>
            </w:tcBorders>
            <w:vAlign w:val="center"/>
          </w:tcPr>
          <w:p w14:paraId="52C282AF">
            <w:pPr>
              <w:jc w:val="center"/>
              <w:rPr>
                <w:rFonts w:hint="eastAsia" w:eastAsia="宋体" w:cs="Arial"/>
                <w:bCs/>
                <w:sz w:val="24"/>
                <w:szCs w:val="24"/>
                <w:highlight w:val="none"/>
                <w:lang w:eastAsia="zh-CN"/>
              </w:rPr>
            </w:pPr>
            <w:r>
              <w:rPr>
                <w:rFonts w:hint="eastAsia" w:cs="Arial"/>
                <w:bCs/>
                <w:sz w:val="24"/>
                <w:szCs w:val="24"/>
                <w:highlight w:val="none"/>
              </w:rPr>
              <w:t>2</w:t>
            </w:r>
            <w:r>
              <w:rPr>
                <w:rFonts w:hint="eastAsia" w:cs="Arial"/>
                <w:bCs/>
                <w:sz w:val="24"/>
                <w:szCs w:val="24"/>
                <w:highlight w:val="none"/>
                <w:lang w:val="en-US" w:eastAsia="zh-CN"/>
              </w:rPr>
              <w:t>6</w:t>
            </w:r>
          </w:p>
        </w:tc>
        <w:tc>
          <w:tcPr>
            <w:tcW w:w="1695" w:type="dxa"/>
            <w:tcBorders>
              <w:top w:val="single" w:color="auto" w:sz="4" w:space="0"/>
              <w:left w:val="single" w:color="auto" w:sz="4" w:space="0"/>
              <w:bottom w:val="single" w:color="auto" w:sz="4" w:space="0"/>
              <w:right w:val="single" w:color="auto" w:sz="4" w:space="0"/>
            </w:tcBorders>
            <w:vAlign w:val="center"/>
          </w:tcPr>
          <w:p w14:paraId="1A10C501">
            <w:pPr>
              <w:widowControl/>
              <w:tabs>
                <w:tab w:val="left" w:pos="720"/>
                <w:tab w:val="left" w:pos="900"/>
                <w:tab w:val="left" w:pos="1080"/>
                <w:tab w:val="left" w:pos="1260"/>
                <w:tab w:val="left" w:pos="1440"/>
                <w:tab w:val="left" w:pos="1800"/>
              </w:tabs>
              <w:jc w:val="center"/>
              <w:rPr>
                <w:rFonts w:ascii="宋体" w:hAnsi="宋体" w:cs="宋体"/>
                <w:spacing w:val="-4"/>
                <w:sz w:val="24"/>
                <w:szCs w:val="24"/>
                <w:highlight w:val="none"/>
              </w:rPr>
            </w:pPr>
            <w:r>
              <w:rPr>
                <w:rFonts w:hint="eastAsia" w:ascii="宋体" w:hAnsi="宋体" w:cs="宋体"/>
                <w:spacing w:val="-4"/>
                <w:sz w:val="24"/>
                <w:szCs w:val="24"/>
                <w:highlight w:val="none"/>
              </w:rPr>
              <w:t>中小企业</w:t>
            </w:r>
          </w:p>
          <w:p w14:paraId="4DDCA5A4">
            <w:pPr>
              <w:widowControl/>
              <w:tabs>
                <w:tab w:val="left" w:pos="720"/>
                <w:tab w:val="left" w:pos="900"/>
                <w:tab w:val="left" w:pos="1080"/>
                <w:tab w:val="left" w:pos="1260"/>
                <w:tab w:val="left" w:pos="1440"/>
                <w:tab w:val="left" w:pos="1800"/>
              </w:tabs>
              <w:jc w:val="center"/>
              <w:rPr>
                <w:rFonts w:ascii="宋体" w:hAnsi="宋体" w:cs="宋体"/>
                <w:spacing w:val="-4"/>
                <w:sz w:val="24"/>
                <w:szCs w:val="24"/>
                <w:highlight w:val="none"/>
              </w:rPr>
            </w:pPr>
            <w:r>
              <w:rPr>
                <w:rFonts w:hint="eastAsia" w:ascii="宋体" w:hAnsi="宋体" w:cs="宋体"/>
                <w:spacing w:val="-4"/>
                <w:sz w:val="24"/>
                <w:szCs w:val="24"/>
                <w:highlight w:val="none"/>
              </w:rPr>
              <w:t>所属行业</w:t>
            </w:r>
          </w:p>
        </w:tc>
        <w:tc>
          <w:tcPr>
            <w:tcW w:w="6639" w:type="dxa"/>
            <w:tcBorders>
              <w:top w:val="single" w:color="auto" w:sz="4" w:space="0"/>
              <w:left w:val="single" w:color="auto" w:sz="4" w:space="0"/>
              <w:bottom w:val="single" w:color="auto" w:sz="4" w:space="0"/>
              <w:right w:val="single" w:color="auto" w:sz="4" w:space="0"/>
            </w:tcBorders>
            <w:vAlign w:val="center"/>
          </w:tcPr>
          <w:p w14:paraId="5E5C7249">
            <w:pPr>
              <w:widowControl/>
              <w:tabs>
                <w:tab w:val="left" w:pos="720"/>
                <w:tab w:val="left" w:pos="900"/>
                <w:tab w:val="left" w:pos="1080"/>
                <w:tab w:val="left" w:pos="1260"/>
                <w:tab w:val="left" w:pos="1440"/>
                <w:tab w:val="left" w:pos="1800"/>
              </w:tabs>
              <w:jc w:val="left"/>
              <w:rPr>
                <w:rFonts w:ascii="宋体" w:hAnsi="宋体" w:cs="宋体"/>
                <w:spacing w:val="-4"/>
                <w:sz w:val="24"/>
                <w:szCs w:val="24"/>
                <w:highlight w:val="none"/>
              </w:rPr>
            </w:pPr>
            <w:r>
              <w:rPr>
                <w:rFonts w:hint="eastAsia" w:ascii="宋体" w:hAnsi="宋体" w:cs="宋体"/>
                <w:spacing w:val="-4"/>
                <w:sz w:val="24"/>
                <w:szCs w:val="24"/>
                <w:highlight w:val="none"/>
              </w:rPr>
              <w:t>本项目采购标的对应的中小企业划分标准所属行业：蔬菜类、水果类、</w:t>
            </w:r>
            <w:r>
              <w:rPr>
                <w:rFonts w:hint="eastAsia" w:ascii="宋体" w:hAnsi="宋体" w:cs="宋体"/>
                <w:spacing w:val="-4"/>
                <w:sz w:val="24"/>
                <w:szCs w:val="24"/>
                <w:highlight w:val="none"/>
                <w:lang w:eastAsia="zh-CN"/>
              </w:rPr>
              <w:t>干果、</w:t>
            </w:r>
            <w:r>
              <w:rPr>
                <w:rFonts w:hint="eastAsia" w:ascii="宋体" w:hAnsi="宋体" w:cs="宋体"/>
                <w:spacing w:val="-4"/>
                <w:sz w:val="24"/>
                <w:szCs w:val="24"/>
                <w:highlight w:val="none"/>
              </w:rPr>
              <w:t>肉类</w:t>
            </w:r>
            <w:r>
              <w:rPr>
                <w:rFonts w:hint="eastAsia" w:ascii="宋体" w:hAnsi="宋体" w:cs="宋体"/>
                <w:spacing w:val="-4"/>
                <w:sz w:val="24"/>
                <w:szCs w:val="24"/>
                <w:highlight w:val="none"/>
                <w:lang w:eastAsia="zh-CN"/>
              </w:rPr>
              <w:t>（含冻货）</w:t>
            </w:r>
            <w:r>
              <w:rPr>
                <w:rFonts w:hint="eastAsia" w:ascii="宋体" w:hAnsi="宋体" w:cs="宋体"/>
                <w:spacing w:val="-4"/>
                <w:sz w:val="24"/>
                <w:szCs w:val="24"/>
                <w:highlight w:val="none"/>
              </w:rPr>
              <w:t>、禽类</w:t>
            </w:r>
            <w:r>
              <w:rPr>
                <w:rFonts w:hint="eastAsia" w:ascii="宋体" w:hAnsi="宋体" w:cs="宋体"/>
                <w:spacing w:val="-4"/>
                <w:sz w:val="24"/>
                <w:szCs w:val="24"/>
                <w:highlight w:val="none"/>
                <w:lang w:eastAsia="zh-CN"/>
              </w:rPr>
              <w:t>（含冻货）</w:t>
            </w:r>
            <w:r>
              <w:rPr>
                <w:rFonts w:hint="eastAsia" w:ascii="宋体" w:hAnsi="宋体" w:cs="宋体"/>
                <w:spacing w:val="-4"/>
                <w:sz w:val="24"/>
                <w:szCs w:val="24"/>
                <w:highlight w:val="none"/>
              </w:rPr>
              <w:t>、蛋类、水产类</w:t>
            </w:r>
            <w:r>
              <w:rPr>
                <w:rFonts w:hint="eastAsia" w:ascii="宋体" w:hAnsi="宋体" w:cs="宋体"/>
                <w:spacing w:val="-4"/>
                <w:sz w:val="24"/>
                <w:szCs w:val="24"/>
                <w:highlight w:val="none"/>
                <w:lang w:eastAsia="zh-CN"/>
              </w:rPr>
              <w:t>（含冻货）</w:t>
            </w:r>
            <w:r>
              <w:rPr>
                <w:rFonts w:hint="eastAsia" w:ascii="宋体" w:hAnsi="宋体" w:cs="宋体"/>
                <w:spacing w:val="-4"/>
                <w:sz w:val="24"/>
                <w:szCs w:val="24"/>
                <w:highlight w:val="none"/>
              </w:rPr>
              <w:t>为农、林、牧、渔业；米、面粉、油、奶制品、</w:t>
            </w:r>
            <w:r>
              <w:rPr>
                <w:rFonts w:hint="eastAsia" w:ascii="宋体" w:hAnsi="宋体" w:cs="宋体"/>
                <w:spacing w:val="-4"/>
                <w:sz w:val="24"/>
                <w:szCs w:val="24"/>
                <w:highlight w:val="none"/>
                <w:lang w:eastAsia="zh-CN"/>
              </w:rPr>
              <w:t>豆制品、定型包装类食品、</w:t>
            </w:r>
            <w:r>
              <w:rPr>
                <w:rFonts w:hint="eastAsia" w:ascii="宋体" w:hAnsi="宋体" w:cs="宋体"/>
                <w:spacing w:val="-4"/>
                <w:sz w:val="24"/>
                <w:szCs w:val="24"/>
                <w:highlight w:val="none"/>
              </w:rPr>
              <w:t>干货、调料(不包含食用盐)为工业。</w:t>
            </w:r>
          </w:p>
          <w:p w14:paraId="53BB1803">
            <w:pPr>
              <w:widowControl/>
              <w:tabs>
                <w:tab w:val="left" w:pos="720"/>
                <w:tab w:val="left" w:pos="900"/>
                <w:tab w:val="left" w:pos="1080"/>
                <w:tab w:val="left" w:pos="1260"/>
                <w:tab w:val="left" w:pos="1440"/>
                <w:tab w:val="left" w:pos="1800"/>
              </w:tabs>
              <w:jc w:val="left"/>
              <w:rPr>
                <w:rFonts w:hint="eastAsia" w:ascii="宋体" w:hAnsi="宋体" w:cs="宋体"/>
                <w:spacing w:val="-4"/>
                <w:sz w:val="24"/>
                <w:szCs w:val="24"/>
                <w:highlight w:val="none"/>
              </w:rPr>
            </w:pPr>
            <w:r>
              <w:rPr>
                <w:rFonts w:hint="eastAsia" w:ascii="宋体" w:hAnsi="宋体" w:cs="宋体"/>
                <w:spacing w:val="-4"/>
                <w:sz w:val="24"/>
                <w:szCs w:val="24"/>
                <w:highlight w:val="none"/>
              </w:rPr>
              <w:t>（1）农、林、牧、渔业。营业收入20000万元以下的为中小微型企业。其中，营业收入500万元及以上的为中型企业，营业收入50万元及以上的为小型企业，营业收入50万元以下的为微型企业。</w:t>
            </w:r>
          </w:p>
          <w:p w14:paraId="6CF37FD7">
            <w:pPr>
              <w:widowControl/>
              <w:tabs>
                <w:tab w:val="left" w:pos="720"/>
                <w:tab w:val="left" w:pos="900"/>
                <w:tab w:val="left" w:pos="1080"/>
                <w:tab w:val="left" w:pos="1260"/>
                <w:tab w:val="left" w:pos="1440"/>
                <w:tab w:val="left" w:pos="1800"/>
              </w:tabs>
              <w:jc w:val="left"/>
              <w:rPr>
                <w:rFonts w:hint="eastAsia"/>
                <w:highlight w:val="none"/>
              </w:rPr>
            </w:pPr>
            <w:r>
              <w:rPr>
                <w:rFonts w:hint="eastAsia" w:ascii="宋体" w:hAnsi="宋体" w:cs="宋体"/>
                <w:spacing w:val="-4"/>
                <w:sz w:val="24"/>
                <w:szCs w:val="24"/>
                <w:highlight w:val="none"/>
              </w:rPr>
              <w:t>（2）工业。从业人员1000人以下或营业收入</w:t>
            </w:r>
            <w:r>
              <w:rPr>
                <w:rFonts w:hint="eastAsia" w:ascii="宋体" w:hAnsi="宋体" w:cs="宋体"/>
                <w:spacing w:val="-4"/>
                <w:sz w:val="24"/>
                <w:szCs w:val="24"/>
                <w:highlight w:val="none"/>
                <w:lang w:eastAsia="zh-CN"/>
              </w:rPr>
              <w:t>48000</w:t>
            </w:r>
            <w:r>
              <w:rPr>
                <w:rFonts w:hint="eastAsia" w:ascii="宋体" w:hAnsi="宋体" w:cs="宋体"/>
                <w:spacing w:val="-4"/>
                <w:sz w:val="24"/>
                <w:szCs w:val="24"/>
                <w:highlight w:val="none"/>
              </w:rPr>
              <w:t>万元以下的为中小微型企业。其中，从业人员300人及以上，且营业收入2000万元及以上的为中型企业；从业人员20人及以上，且营业收入300万元及以上的为小型企业；从业人员20人以下或营业收入300万元以下的为微型企业。</w:t>
            </w:r>
          </w:p>
        </w:tc>
      </w:tr>
      <w:tr w14:paraId="5C8014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 w:hRule="atLeast"/>
          <w:jc w:val="center"/>
        </w:trPr>
        <w:tc>
          <w:tcPr>
            <w:tcW w:w="684" w:type="dxa"/>
            <w:tcBorders>
              <w:top w:val="single" w:color="auto" w:sz="4" w:space="0"/>
              <w:left w:val="single" w:color="auto" w:sz="4" w:space="0"/>
              <w:bottom w:val="single" w:color="auto" w:sz="4" w:space="0"/>
              <w:right w:val="single" w:color="auto" w:sz="4" w:space="0"/>
            </w:tcBorders>
            <w:vAlign w:val="center"/>
          </w:tcPr>
          <w:p w14:paraId="54868122">
            <w:pPr>
              <w:jc w:val="center"/>
              <w:rPr>
                <w:rFonts w:hint="eastAsia" w:hAnsi="宋体" w:eastAsia="宋体" w:cs="Arial"/>
                <w:bCs/>
                <w:sz w:val="24"/>
                <w:szCs w:val="24"/>
                <w:highlight w:val="none"/>
                <w:lang w:eastAsia="zh-CN"/>
              </w:rPr>
            </w:pPr>
            <w:r>
              <w:rPr>
                <w:rFonts w:hint="eastAsia" w:cs="Arial"/>
                <w:bCs/>
                <w:sz w:val="24"/>
                <w:szCs w:val="24"/>
                <w:highlight w:val="none"/>
              </w:rPr>
              <w:t>2</w:t>
            </w:r>
            <w:r>
              <w:rPr>
                <w:rFonts w:hint="eastAsia" w:cs="Arial"/>
                <w:bCs/>
                <w:sz w:val="24"/>
                <w:szCs w:val="24"/>
                <w:highlight w:val="none"/>
                <w:lang w:val="en-US" w:eastAsia="zh-CN"/>
              </w:rPr>
              <w:t>7</w:t>
            </w:r>
          </w:p>
        </w:tc>
        <w:tc>
          <w:tcPr>
            <w:tcW w:w="1695" w:type="dxa"/>
            <w:tcBorders>
              <w:top w:val="single" w:color="auto" w:sz="4" w:space="0"/>
              <w:left w:val="single" w:color="auto" w:sz="4" w:space="0"/>
              <w:bottom w:val="single" w:color="auto" w:sz="4" w:space="0"/>
              <w:right w:val="single" w:color="auto" w:sz="4" w:space="0"/>
            </w:tcBorders>
            <w:vAlign w:val="center"/>
          </w:tcPr>
          <w:p w14:paraId="0D00A1A8">
            <w:pPr>
              <w:widowControl/>
              <w:tabs>
                <w:tab w:val="left" w:pos="720"/>
                <w:tab w:val="left" w:pos="900"/>
                <w:tab w:val="left" w:pos="1080"/>
                <w:tab w:val="left" w:pos="1260"/>
                <w:tab w:val="left" w:pos="1440"/>
                <w:tab w:val="left" w:pos="1800"/>
              </w:tabs>
              <w:jc w:val="center"/>
              <w:rPr>
                <w:rFonts w:ascii="宋体" w:hAnsi="宋体" w:cs="宋体"/>
                <w:spacing w:val="-4"/>
                <w:sz w:val="24"/>
                <w:szCs w:val="24"/>
                <w:highlight w:val="none"/>
              </w:rPr>
            </w:pPr>
            <w:r>
              <w:rPr>
                <w:rFonts w:hint="eastAsia" w:ascii="宋体" w:hAnsi="宋体" w:cs="宋体"/>
                <w:spacing w:val="-4"/>
                <w:sz w:val="24"/>
                <w:szCs w:val="24"/>
                <w:highlight w:val="none"/>
              </w:rPr>
              <w:t>其他</w:t>
            </w:r>
          </w:p>
        </w:tc>
        <w:tc>
          <w:tcPr>
            <w:tcW w:w="6639" w:type="dxa"/>
            <w:tcBorders>
              <w:top w:val="single" w:color="auto" w:sz="4" w:space="0"/>
              <w:left w:val="single" w:color="auto" w:sz="4" w:space="0"/>
              <w:bottom w:val="single" w:color="auto" w:sz="4" w:space="0"/>
              <w:right w:val="single" w:color="auto" w:sz="4" w:space="0"/>
            </w:tcBorders>
            <w:vAlign w:val="center"/>
          </w:tcPr>
          <w:p w14:paraId="68D96725">
            <w:pPr>
              <w:jc w:val="left"/>
              <w:rPr>
                <w:rFonts w:hint="eastAsia" w:hAnsi="宋体" w:cs="Arial"/>
                <w:bCs/>
                <w:sz w:val="24"/>
                <w:szCs w:val="24"/>
                <w:highlight w:val="none"/>
              </w:rPr>
            </w:pPr>
            <w:r>
              <w:rPr>
                <w:rFonts w:hint="eastAsia" w:hAnsi="宋体" w:cs="Arial"/>
                <w:bCs/>
                <w:sz w:val="24"/>
                <w:szCs w:val="24"/>
                <w:highlight w:val="none"/>
              </w:rPr>
              <w:t>1.</w:t>
            </w:r>
            <w:r>
              <w:rPr>
                <w:rFonts w:hint="eastAsia" w:hAnsi="宋体" w:cs="Arial"/>
                <w:bCs/>
                <w:sz w:val="24"/>
                <w:szCs w:val="24"/>
                <w:highlight w:val="none"/>
                <w:lang w:eastAsia="zh-CN"/>
              </w:rPr>
              <w:t>磋商文件</w:t>
            </w:r>
            <w:r>
              <w:rPr>
                <w:rFonts w:hint="eastAsia" w:hAnsi="宋体" w:cs="Arial"/>
                <w:bCs/>
                <w:sz w:val="24"/>
                <w:szCs w:val="24"/>
                <w:highlight w:val="none"/>
              </w:rPr>
              <w:t>中带“★”、“*”的条款属于</w:t>
            </w:r>
            <w:r>
              <w:rPr>
                <w:rFonts w:hint="eastAsia" w:hAnsi="宋体" w:cs="Arial"/>
                <w:bCs/>
                <w:sz w:val="24"/>
                <w:szCs w:val="24"/>
                <w:highlight w:val="none"/>
                <w:lang w:eastAsia="zh-CN"/>
              </w:rPr>
              <w:t>磋商文件</w:t>
            </w:r>
            <w:r>
              <w:rPr>
                <w:rFonts w:hint="eastAsia" w:hAnsi="宋体" w:cs="Arial"/>
                <w:bCs/>
                <w:sz w:val="24"/>
                <w:szCs w:val="24"/>
                <w:highlight w:val="none"/>
              </w:rPr>
              <w:t>的关键性要求和条件，着重提醒各投标人注意。</w:t>
            </w:r>
          </w:p>
          <w:p w14:paraId="15FA486E">
            <w:pPr>
              <w:jc w:val="left"/>
              <w:rPr>
                <w:rFonts w:hint="default" w:eastAsia="宋体"/>
                <w:highlight w:val="none"/>
                <w:lang w:val="en-US" w:eastAsia="zh-CN"/>
              </w:rPr>
            </w:pPr>
            <w:r>
              <w:rPr>
                <w:rFonts w:hint="eastAsia" w:hAnsi="宋体" w:cs="Arial"/>
                <w:bCs/>
                <w:sz w:val="24"/>
                <w:szCs w:val="24"/>
                <w:highlight w:val="none"/>
              </w:rPr>
              <w:t>2.除法律、法规和规章规定外，</w:t>
            </w:r>
            <w:r>
              <w:rPr>
                <w:rFonts w:hint="eastAsia" w:hAnsi="宋体" w:cs="Arial"/>
                <w:bCs/>
                <w:sz w:val="24"/>
                <w:szCs w:val="24"/>
                <w:highlight w:val="none"/>
                <w:lang w:eastAsia="zh-CN"/>
              </w:rPr>
              <w:t>磋商文件</w:t>
            </w:r>
            <w:r>
              <w:rPr>
                <w:rFonts w:hint="eastAsia" w:hAnsi="宋体" w:cs="Arial"/>
                <w:bCs/>
                <w:sz w:val="24"/>
                <w:szCs w:val="24"/>
                <w:highlight w:val="none"/>
              </w:rPr>
              <w:t>中用“拒绝”“不接受”“无效”“不得”“必须”“应当”等文字规定的条款为实质性要求条款（即重要条款），对其中任何一条偏离的，在评标时将其视为无效投标。</w:t>
            </w:r>
          </w:p>
        </w:tc>
      </w:tr>
      <w:tr w14:paraId="78E762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 w:hRule="atLeast"/>
          <w:jc w:val="center"/>
        </w:trPr>
        <w:tc>
          <w:tcPr>
            <w:tcW w:w="9018" w:type="dxa"/>
            <w:gridSpan w:val="3"/>
            <w:tcBorders>
              <w:top w:val="single" w:color="auto" w:sz="4" w:space="0"/>
              <w:left w:val="single" w:color="auto" w:sz="4" w:space="0"/>
              <w:bottom w:val="single" w:color="auto" w:sz="4" w:space="0"/>
              <w:right w:val="single" w:color="auto" w:sz="4" w:space="0"/>
            </w:tcBorders>
            <w:vAlign w:val="center"/>
          </w:tcPr>
          <w:p w14:paraId="1B778B6D">
            <w:pPr>
              <w:jc w:val="left"/>
              <w:rPr>
                <w:rFonts w:hAnsi="宋体" w:cs="Arial"/>
                <w:bCs/>
                <w:sz w:val="24"/>
                <w:szCs w:val="24"/>
                <w:highlight w:val="none"/>
              </w:rPr>
            </w:pPr>
            <w:r>
              <w:rPr>
                <w:rFonts w:hint="eastAsia" w:hAnsi="宋体" w:cs="Arial"/>
                <w:b/>
                <w:bCs/>
                <w:sz w:val="24"/>
                <w:szCs w:val="24"/>
                <w:highlight w:val="none"/>
              </w:rPr>
              <w:t>备注：本投标人须知前附表是对</w:t>
            </w:r>
            <w:r>
              <w:rPr>
                <w:rFonts w:hint="eastAsia" w:hAnsi="宋体" w:cs="Arial"/>
                <w:b/>
                <w:bCs/>
                <w:sz w:val="24"/>
                <w:szCs w:val="24"/>
                <w:highlight w:val="none"/>
                <w:lang w:eastAsia="zh-CN"/>
              </w:rPr>
              <w:t>磋商文件</w:t>
            </w:r>
            <w:r>
              <w:rPr>
                <w:rFonts w:hint="eastAsia" w:hAnsi="宋体" w:cs="Arial"/>
                <w:b/>
                <w:bCs/>
                <w:sz w:val="24"/>
                <w:szCs w:val="24"/>
                <w:highlight w:val="none"/>
              </w:rPr>
              <w:t>中的重要内容进行罗列；如与</w:t>
            </w:r>
            <w:r>
              <w:rPr>
                <w:rFonts w:hint="eastAsia" w:hAnsi="宋体" w:cs="Arial"/>
                <w:b/>
                <w:bCs/>
                <w:sz w:val="24"/>
                <w:szCs w:val="24"/>
                <w:highlight w:val="none"/>
                <w:lang w:eastAsia="zh-CN"/>
              </w:rPr>
              <w:t>磋商文件</w:t>
            </w:r>
            <w:r>
              <w:rPr>
                <w:rFonts w:hint="eastAsia" w:hAnsi="宋体" w:cs="Arial"/>
                <w:b/>
                <w:bCs/>
                <w:sz w:val="24"/>
                <w:szCs w:val="24"/>
                <w:highlight w:val="none"/>
              </w:rPr>
              <w:t>不符，应以本表为准。</w:t>
            </w:r>
          </w:p>
        </w:tc>
      </w:tr>
    </w:tbl>
    <w:p w14:paraId="2BFB81A4">
      <w:pPr>
        <w:spacing w:line="360" w:lineRule="auto"/>
        <w:rPr>
          <w:highlight w:val="none"/>
        </w:rPr>
      </w:pPr>
      <w:r>
        <w:rPr>
          <w:rFonts w:hint="eastAsia"/>
          <w:highlight w:val="none"/>
        </w:rPr>
        <w:br w:type="page"/>
      </w:r>
    </w:p>
    <w:p w14:paraId="38B2CDAA">
      <w:pPr>
        <w:pStyle w:val="2"/>
        <w:spacing w:line="360" w:lineRule="auto"/>
        <w:rPr>
          <w:rFonts w:hint="eastAsia" w:eastAsia="宋体"/>
          <w:highlight w:val="none"/>
          <w:lang w:eastAsia="zh-CN"/>
        </w:rPr>
      </w:pPr>
      <w:bookmarkStart w:id="13" w:name="_Toc32510"/>
      <w:r>
        <w:rPr>
          <w:rFonts w:hint="eastAsia"/>
          <w:highlight w:val="none"/>
        </w:rPr>
        <w:t xml:space="preserve">第一章 </w:t>
      </w:r>
      <w:bookmarkEnd w:id="0"/>
      <w:bookmarkEnd w:id="1"/>
      <w:bookmarkEnd w:id="7"/>
      <w:bookmarkEnd w:id="11"/>
      <w:bookmarkEnd w:id="12"/>
      <w:bookmarkEnd w:id="13"/>
      <w:r>
        <w:rPr>
          <w:rFonts w:hint="eastAsia"/>
          <w:highlight w:val="none"/>
          <w:lang w:val="en-US" w:eastAsia="zh-CN"/>
        </w:rPr>
        <w:t>采购公告</w:t>
      </w:r>
    </w:p>
    <w:bookmarkEnd w:id="2"/>
    <w:bookmarkEnd w:id="3"/>
    <w:bookmarkEnd w:id="4"/>
    <w:bookmarkEnd w:id="5"/>
    <w:bookmarkEnd w:id="6"/>
    <w:p w14:paraId="5D67183C">
      <w:pPr>
        <w:spacing w:line="360" w:lineRule="auto"/>
        <w:jc w:val="center"/>
        <w:rPr>
          <w:sz w:val="24"/>
          <w:szCs w:val="24"/>
          <w:highlight w:val="none"/>
        </w:rPr>
      </w:pPr>
      <w:bookmarkStart w:id="14" w:name="_Toc120614211"/>
      <w:bookmarkStart w:id="15" w:name="_Toc534725597"/>
      <w:bookmarkStart w:id="16" w:name="_Toc120614221"/>
      <w:bookmarkStart w:id="17" w:name="_Toc513029242"/>
      <w:bookmarkStart w:id="18" w:name="_Toc20823314"/>
      <w:bookmarkStart w:id="19" w:name="_Toc479757207"/>
      <w:bookmarkStart w:id="20" w:name="_Toc494375079"/>
      <w:bookmarkStart w:id="21" w:name="_Toc16938558"/>
      <w:r>
        <w:rPr>
          <w:rFonts w:hint="eastAsia"/>
          <w:sz w:val="24"/>
          <w:szCs w:val="24"/>
          <w:highlight w:val="none"/>
          <w:lang w:eastAsia="zh-CN"/>
        </w:rPr>
        <w:t>吐鲁番市高昌区蒲昌路消防救援站2025年度食堂主副食品采购项目竞争性磋商</w:t>
      </w:r>
      <w:r>
        <w:rPr>
          <w:rFonts w:hint="eastAsia"/>
          <w:sz w:val="24"/>
          <w:szCs w:val="24"/>
          <w:highlight w:val="none"/>
        </w:rPr>
        <w:t>公告</w:t>
      </w:r>
    </w:p>
    <w:p w14:paraId="5D0235EC">
      <w:pPr>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520" w:lineRule="exact"/>
        <w:textAlignment w:val="auto"/>
        <w:rPr>
          <w:rFonts w:hint="eastAsia" w:ascii="宋体" w:hAnsi="宋体" w:eastAsia="宋体" w:cs="宋体"/>
          <w:b/>
          <w:bCs/>
          <w:sz w:val="24"/>
          <w:szCs w:val="24"/>
        </w:rPr>
      </w:pPr>
      <w:r>
        <w:rPr>
          <w:rFonts w:hint="eastAsia" w:ascii="宋体" w:hAnsi="宋体" w:eastAsia="宋体" w:cs="宋体"/>
          <w:b/>
          <w:bCs/>
          <w:sz w:val="24"/>
          <w:szCs w:val="24"/>
        </w:rPr>
        <w:t>项目概况</w:t>
      </w:r>
    </w:p>
    <w:p w14:paraId="0D88D953">
      <w:pPr>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520" w:lineRule="exact"/>
        <w:ind w:left="0" w:leftChars="0" w:firstLine="420" w:firstLineChars="175"/>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吐鲁番市高昌区蒲昌路消防救援站2025年度食堂主副食品采购项目采购项目的潜在供应商应在政采云平台线上获取采购文件，并于2025年  月  日10:30分（北京时间）前提交响应文件。</w:t>
      </w:r>
    </w:p>
    <w:p w14:paraId="62E65B6B">
      <w:pPr>
        <w:pStyle w:val="4"/>
        <w:pageBreakBefore w:val="0"/>
        <w:widowControl w:val="0"/>
        <w:numPr>
          <w:ilvl w:val="0"/>
          <w:numId w:val="0"/>
        </w:numPr>
        <w:kinsoku/>
        <w:wordWrap/>
        <w:overflowPunct/>
        <w:topLinePunct w:val="0"/>
        <w:autoSpaceDE/>
        <w:autoSpaceDN/>
        <w:bidi w:val="0"/>
        <w:adjustRightInd/>
        <w:snapToGrid/>
        <w:spacing w:before="0" w:after="0" w:line="520" w:lineRule="exact"/>
        <w:textAlignment w:val="auto"/>
        <w:rPr>
          <w:rFonts w:hint="eastAsia" w:ascii="宋体" w:hAnsi="宋体" w:eastAsia="宋体" w:cs="宋体"/>
        </w:rPr>
      </w:pPr>
      <w:r>
        <w:rPr>
          <w:rFonts w:hint="eastAsia" w:ascii="宋体" w:hAnsi="宋体" w:eastAsia="宋体" w:cs="宋体"/>
          <w:lang w:val="en-US" w:eastAsia="zh-CN"/>
        </w:rPr>
        <w:t>一、</w:t>
      </w:r>
      <w:r>
        <w:rPr>
          <w:rFonts w:hint="eastAsia" w:ascii="宋体" w:hAnsi="宋体" w:eastAsia="宋体" w:cs="宋体"/>
        </w:rPr>
        <w:t>项目基本情况</w:t>
      </w:r>
    </w:p>
    <w:p w14:paraId="3615A533">
      <w:pPr>
        <w:pageBreakBefore w:val="0"/>
        <w:widowControl w:val="0"/>
        <w:kinsoku/>
        <w:wordWrap/>
        <w:overflowPunct/>
        <w:topLinePunct w:val="0"/>
        <w:autoSpaceDE/>
        <w:autoSpaceDN/>
        <w:bidi w:val="0"/>
        <w:adjustRightInd/>
        <w:snapToGrid/>
        <w:spacing w:line="520" w:lineRule="exact"/>
        <w:ind w:left="0" w:leftChars="0" w:firstLine="420" w:firstLineChars="175"/>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项目编号：TD（CS）-2025-001</w:t>
      </w:r>
    </w:p>
    <w:p w14:paraId="5FEB7B2F">
      <w:pPr>
        <w:pageBreakBefore w:val="0"/>
        <w:widowControl w:val="0"/>
        <w:kinsoku/>
        <w:wordWrap/>
        <w:overflowPunct/>
        <w:topLinePunct w:val="0"/>
        <w:autoSpaceDE/>
        <w:autoSpaceDN/>
        <w:bidi w:val="0"/>
        <w:adjustRightInd/>
        <w:snapToGrid/>
        <w:spacing w:line="520" w:lineRule="exact"/>
        <w:ind w:left="0" w:leftChars="0" w:firstLine="420" w:firstLineChars="175"/>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项目名称：吐鲁番市高昌区蒲昌路消防救援站2025年度食堂主副食品采购项目</w:t>
      </w:r>
    </w:p>
    <w:p w14:paraId="0E38D93C">
      <w:pPr>
        <w:pageBreakBefore w:val="0"/>
        <w:widowControl w:val="0"/>
        <w:kinsoku/>
        <w:wordWrap/>
        <w:overflowPunct/>
        <w:topLinePunct w:val="0"/>
        <w:autoSpaceDE/>
        <w:autoSpaceDN/>
        <w:bidi w:val="0"/>
        <w:adjustRightInd/>
        <w:snapToGrid/>
        <w:spacing w:line="520" w:lineRule="exact"/>
        <w:ind w:left="0" w:leftChars="0" w:firstLine="420" w:firstLineChars="175"/>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采购方式：竞争性磋商</w:t>
      </w:r>
    </w:p>
    <w:p w14:paraId="179ACFCB">
      <w:pPr>
        <w:pageBreakBefore w:val="0"/>
        <w:widowControl w:val="0"/>
        <w:kinsoku/>
        <w:wordWrap/>
        <w:overflowPunct/>
        <w:topLinePunct w:val="0"/>
        <w:autoSpaceDE/>
        <w:autoSpaceDN/>
        <w:bidi w:val="0"/>
        <w:adjustRightInd/>
        <w:snapToGrid/>
        <w:spacing w:line="520" w:lineRule="exact"/>
        <w:ind w:left="0" w:leftChars="0" w:firstLine="420" w:firstLineChars="175"/>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预算金额（元）：985500元 </w:t>
      </w:r>
    </w:p>
    <w:p w14:paraId="37C069CE">
      <w:pPr>
        <w:pageBreakBefore w:val="0"/>
        <w:widowControl w:val="0"/>
        <w:kinsoku/>
        <w:wordWrap/>
        <w:overflowPunct/>
        <w:topLinePunct w:val="0"/>
        <w:autoSpaceDE/>
        <w:autoSpaceDN/>
        <w:bidi w:val="0"/>
        <w:adjustRightInd/>
        <w:snapToGrid/>
        <w:spacing w:line="520" w:lineRule="exact"/>
        <w:ind w:left="0" w:leftChars="0" w:firstLine="420" w:firstLineChars="175"/>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采购需求：</w:t>
      </w:r>
    </w:p>
    <w:p w14:paraId="11C318D1">
      <w:pPr>
        <w:pageBreakBefore w:val="0"/>
        <w:widowControl w:val="0"/>
        <w:kinsoku/>
        <w:wordWrap/>
        <w:overflowPunct/>
        <w:topLinePunct w:val="0"/>
        <w:autoSpaceDE/>
        <w:autoSpaceDN/>
        <w:bidi w:val="0"/>
        <w:adjustRightInd/>
        <w:snapToGrid/>
        <w:spacing w:line="520" w:lineRule="exact"/>
        <w:ind w:left="0" w:leftChars="0" w:firstLine="420" w:firstLineChars="175"/>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第一包：吐鲁番市高昌区蒲昌路消防救援站2025年度食堂主副食品采购项目第一包</w:t>
      </w:r>
    </w:p>
    <w:p w14:paraId="23137D3D">
      <w:pPr>
        <w:pageBreakBefore w:val="0"/>
        <w:widowControl w:val="0"/>
        <w:kinsoku/>
        <w:wordWrap/>
        <w:overflowPunct/>
        <w:topLinePunct w:val="0"/>
        <w:autoSpaceDE/>
        <w:autoSpaceDN/>
        <w:bidi w:val="0"/>
        <w:adjustRightInd/>
        <w:snapToGrid/>
        <w:spacing w:line="520" w:lineRule="exact"/>
        <w:ind w:left="0" w:leftChars="0" w:firstLine="420" w:firstLineChars="175"/>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预算金额：480000元 </w:t>
      </w:r>
    </w:p>
    <w:p w14:paraId="62A0B357">
      <w:pPr>
        <w:pageBreakBefore w:val="0"/>
        <w:widowControl w:val="0"/>
        <w:kinsoku/>
        <w:wordWrap/>
        <w:overflowPunct/>
        <w:topLinePunct w:val="0"/>
        <w:autoSpaceDE/>
        <w:autoSpaceDN/>
        <w:bidi w:val="0"/>
        <w:adjustRightInd/>
        <w:snapToGrid/>
        <w:spacing w:line="520" w:lineRule="exact"/>
        <w:ind w:left="0" w:leftChars="0" w:firstLine="420" w:firstLineChars="175"/>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采购内容：采购蔬菜、水果、粮油、调料、奶制品类等副食品（具体参数详见磋商文件）</w:t>
      </w:r>
    </w:p>
    <w:p w14:paraId="0B965577">
      <w:pPr>
        <w:pageBreakBefore w:val="0"/>
        <w:widowControl w:val="0"/>
        <w:kinsoku/>
        <w:wordWrap/>
        <w:overflowPunct/>
        <w:topLinePunct w:val="0"/>
        <w:autoSpaceDE/>
        <w:autoSpaceDN/>
        <w:bidi w:val="0"/>
        <w:adjustRightInd/>
        <w:snapToGrid/>
        <w:spacing w:line="520" w:lineRule="exact"/>
        <w:ind w:left="0" w:leftChars="0" w:firstLine="420" w:firstLineChars="175"/>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第二包：吐鲁番市高昌区蒲昌路消防救援站2025年度食堂主副食品采购项目第二包</w:t>
      </w:r>
    </w:p>
    <w:p w14:paraId="512FACEE">
      <w:pPr>
        <w:pageBreakBefore w:val="0"/>
        <w:widowControl w:val="0"/>
        <w:kinsoku/>
        <w:wordWrap/>
        <w:overflowPunct/>
        <w:topLinePunct w:val="0"/>
        <w:autoSpaceDE/>
        <w:autoSpaceDN/>
        <w:bidi w:val="0"/>
        <w:adjustRightInd/>
        <w:snapToGrid/>
        <w:spacing w:line="520" w:lineRule="exact"/>
        <w:ind w:left="0" w:leftChars="0" w:firstLine="420" w:firstLineChars="175"/>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预算金额：505500元</w:t>
      </w:r>
    </w:p>
    <w:p w14:paraId="564FE893">
      <w:pPr>
        <w:pageBreakBefore w:val="0"/>
        <w:widowControl w:val="0"/>
        <w:kinsoku/>
        <w:wordWrap/>
        <w:overflowPunct/>
        <w:topLinePunct w:val="0"/>
        <w:autoSpaceDE/>
        <w:autoSpaceDN/>
        <w:bidi w:val="0"/>
        <w:adjustRightInd/>
        <w:snapToGrid/>
        <w:spacing w:line="520" w:lineRule="exact"/>
        <w:ind w:left="0" w:leftChars="0" w:firstLine="420" w:firstLineChars="175"/>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采购内容：采购肉禽类（具体参数详见磋商文件）</w:t>
      </w:r>
    </w:p>
    <w:p w14:paraId="502C2961">
      <w:pPr>
        <w:pageBreakBefore w:val="0"/>
        <w:widowControl w:val="0"/>
        <w:kinsoku/>
        <w:wordWrap/>
        <w:overflowPunct/>
        <w:topLinePunct w:val="0"/>
        <w:autoSpaceDE/>
        <w:autoSpaceDN/>
        <w:bidi w:val="0"/>
        <w:adjustRightInd/>
        <w:snapToGrid/>
        <w:spacing w:line="520" w:lineRule="exact"/>
        <w:ind w:left="0" w:leftChars="0" w:firstLine="420" w:firstLineChars="175"/>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合同履行期限：自合同签订之日起一年。</w:t>
      </w:r>
    </w:p>
    <w:p w14:paraId="7FF4340E">
      <w:pPr>
        <w:pageBreakBefore w:val="0"/>
        <w:widowControl w:val="0"/>
        <w:kinsoku/>
        <w:wordWrap/>
        <w:overflowPunct/>
        <w:topLinePunct w:val="0"/>
        <w:autoSpaceDE/>
        <w:autoSpaceDN/>
        <w:bidi w:val="0"/>
        <w:adjustRightInd/>
        <w:snapToGrid/>
        <w:spacing w:line="520" w:lineRule="exact"/>
        <w:ind w:left="0" w:leftChars="0" w:firstLine="420" w:firstLineChars="175"/>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本项目（否）接受联合体投标。</w:t>
      </w:r>
    </w:p>
    <w:p w14:paraId="0D5D8E7E">
      <w:pPr>
        <w:pStyle w:val="4"/>
        <w:pageBreakBefore w:val="0"/>
        <w:widowControl w:val="0"/>
        <w:kinsoku/>
        <w:wordWrap/>
        <w:overflowPunct/>
        <w:topLinePunct w:val="0"/>
        <w:autoSpaceDE/>
        <w:autoSpaceDN/>
        <w:bidi w:val="0"/>
        <w:adjustRightInd/>
        <w:snapToGrid/>
        <w:spacing w:before="0" w:after="0" w:line="520" w:lineRule="exact"/>
        <w:textAlignment w:val="auto"/>
        <w:rPr>
          <w:rFonts w:hint="eastAsia" w:ascii="宋体" w:hAnsi="宋体" w:eastAsia="宋体" w:cs="宋体"/>
        </w:rPr>
      </w:pPr>
      <w:r>
        <w:rPr>
          <w:rFonts w:hint="eastAsia" w:ascii="宋体" w:hAnsi="宋体" w:eastAsia="宋体" w:cs="宋体"/>
        </w:rPr>
        <w:t>二、申请人的资格要求</w:t>
      </w:r>
    </w:p>
    <w:p w14:paraId="73B28202">
      <w:pPr>
        <w:pageBreakBefore w:val="0"/>
        <w:widowControl w:val="0"/>
        <w:kinsoku/>
        <w:wordWrap/>
        <w:overflowPunct/>
        <w:topLinePunct w:val="0"/>
        <w:autoSpaceDE/>
        <w:autoSpaceDN/>
        <w:bidi w:val="0"/>
        <w:adjustRightInd/>
        <w:snapToGrid/>
        <w:spacing w:line="520" w:lineRule="exact"/>
        <w:ind w:left="0" w:leftChars="0" w:firstLine="420" w:firstLineChars="175"/>
        <w:jc w:val="left"/>
        <w:textAlignment w:val="auto"/>
        <w:rPr>
          <w:rFonts w:hint="eastAsia" w:ascii="宋体" w:hAnsi="宋体" w:eastAsia="宋体" w:cs="宋体"/>
          <w:sz w:val="24"/>
          <w:szCs w:val="24"/>
        </w:rPr>
      </w:pPr>
      <w:r>
        <w:rPr>
          <w:rFonts w:hint="eastAsia" w:ascii="宋体" w:hAnsi="宋体" w:eastAsia="宋体" w:cs="宋体"/>
          <w:sz w:val="24"/>
          <w:szCs w:val="24"/>
        </w:rPr>
        <w:t>1.满足《中华人民共和国政府采购法》第二十二条规定；</w:t>
      </w:r>
    </w:p>
    <w:p w14:paraId="50ECC5C7">
      <w:pPr>
        <w:pageBreakBefore w:val="0"/>
        <w:widowControl w:val="0"/>
        <w:kinsoku/>
        <w:wordWrap/>
        <w:overflowPunct/>
        <w:topLinePunct w:val="0"/>
        <w:autoSpaceDE/>
        <w:autoSpaceDN/>
        <w:bidi w:val="0"/>
        <w:adjustRightInd/>
        <w:snapToGrid/>
        <w:spacing w:line="520" w:lineRule="exact"/>
        <w:ind w:left="0" w:leftChars="0" w:firstLine="420" w:firstLineChars="175"/>
        <w:jc w:val="left"/>
        <w:textAlignment w:val="auto"/>
        <w:rPr>
          <w:rFonts w:hint="eastAsia" w:ascii="宋体" w:hAnsi="宋体" w:eastAsia="宋体" w:cs="宋体"/>
          <w:sz w:val="24"/>
          <w:szCs w:val="24"/>
        </w:rPr>
      </w:pPr>
      <w:r>
        <w:rPr>
          <w:rFonts w:hint="eastAsia" w:ascii="宋体" w:hAnsi="宋体" w:eastAsia="宋体" w:cs="宋体"/>
          <w:sz w:val="24"/>
          <w:szCs w:val="24"/>
        </w:rPr>
        <w:t>2.落实政府采购政策需满足的资格要求：1）</w:t>
      </w:r>
      <w:r>
        <w:rPr>
          <w:rFonts w:hint="eastAsia" w:ascii="宋体" w:hAnsi="宋体" w:eastAsia="宋体" w:cs="宋体"/>
          <w:sz w:val="24"/>
          <w:szCs w:val="24"/>
          <w:lang w:val="zh-CN"/>
        </w:rPr>
        <w:t>本项目专门面向中小企业采购；</w:t>
      </w:r>
      <w:r>
        <w:rPr>
          <w:rFonts w:hint="eastAsia" w:ascii="宋体" w:hAnsi="宋体" w:eastAsia="宋体" w:cs="宋体"/>
          <w:sz w:val="24"/>
          <w:szCs w:val="24"/>
        </w:rPr>
        <w:t>2）落实《关于调整优化节能产品、环境标志产品政府采购执行机制的通知》（财库[2019]9号）、财政部《关于进一步加大政府采购支持中小企业力度的通知》（财库[2022]19号）、关于印发《政府采购促进中小企业发展管理办法》的通知（财库[2020]46号）、《财政部、司法部关于政府采购支持监狱企业发展有关问题的通知》（财库[2014]68号）和《关于促进残疾人就业政府采购政策的通知》（财库[2017]141号）等政府采购政策。</w:t>
      </w:r>
    </w:p>
    <w:p w14:paraId="7DDCDCAB">
      <w:pPr>
        <w:pageBreakBefore w:val="0"/>
        <w:widowControl w:val="0"/>
        <w:kinsoku/>
        <w:wordWrap/>
        <w:overflowPunct/>
        <w:topLinePunct w:val="0"/>
        <w:autoSpaceDE/>
        <w:autoSpaceDN/>
        <w:bidi w:val="0"/>
        <w:adjustRightInd/>
        <w:snapToGrid/>
        <w:spacing w:line="520" w:lineRule="exact"/>
        <w:ind w:left="0" w:leftChars="0" w:firstLine="420" w:firstLineChars="175"/>
        <w:jc w:val="left"/>
        <w:textAlignment w:val="auto"/>
        <w:rPr>
          <w:rFonts w:hint="eastAsia" w:ascii="宋体" w:hAnsi="宋体" w:eastAsia="宋体" w:cs="宋体"/>
          <w:sz w:val="24"/>
          <w:szCs w:val="24"/>
        </w:rPr>
      </w:pPr>
      <w:r>
        <w:rPr>
          <w:rFonts w:hint="eastAsia" w:ascii="宋体" w:hAnsi="宋体" w:eastAsia="宋体" w:cs="宋体"/>
          <w:sz w:val="24"/>
          <w:szCs w:val="24"/>
        </w:rPr>
        <w:t>3.本项目的特定资格要求：</w:t>
      </w:r>
    </w:p>
    <w:p w14:paraId="3EB82D9B">
      <w:pPr>
        <w:pageBreakBefore w:val="0"/>
        <w:widowControl w:val="0"/>
        <w:kinsoku/>
        <w:wordWrap/>
        <w:overflowPunct/>
        <w:topLinePunct w:val="0"/>
        <w:autoSpaceDE/>
        <w:autoSpaceDN/>
        <w:bidi w:val="0"/>
        <w:adjustRightInd/>
        <w:snapToGrid/>
        <w:spacing w:line="520" w:lineRule="exact"/>
        <w:ind w:left="0" w:leftChars="0" w:firstLine="420" w:firstLineChars="175"/>
        <w:jc w:val="left"/>
        <w:textAlignment w:val="auto"/>
        <w:rPr>
          <w:rFonts w:hint="eastAsia" w:ascii="宋体" w:hAnsi="宋体" w:eastAsia="宋体" w:cs="宋体"/>
          <w:sz w:val="24"/>
          <w:szCs w:val="24"/>
        </w:rPr>
      </w:pPr>
      <w:r>
        <w:rPr>
          <w:rFonts w:hint="eastAsia" w:ascii="宋体" w:hAnsi="宋体" w:eastAsia="宋体" w:cs="宋体"/>
          <w:sz w:val="24"/>
          <w:szCs w:val="24"/>
        </w:rPr>
        <w:t>1）第一包：具有有效的《食品经营许可证》或《食品流通许可证》或《食品生产许可证》；参与第二包企业还需具有有效的《动物防疫合格证》或《动物检疫合格证明》；以上所列证照必须是通过年检的有效证件，如证件处于年审阶段，投标人应提供年审受理回执复印件，并承诺中标签订合同时提供通过年审的证件；相关工作人员提供健康证；</w:t>
      </w:r>
    </w:p>
    <w:p w14:paraId="43A317A9">
      <w:pPr>
        <w:pageBreakBefore w:val="0"/>
        <w:widowControl w:val="0"/>
        <w:kinsoku/>
        <w:wordWrap/>
        <w:overflowPunct/>
        <w:topLinePunct w:val="0"/>
        <w:autoSpaceDE/>
        <w:autoSpaceDN/>
        <w:bidi w:val="0"/>
        <w:adjustRightInd/>
        <w:snapToGrid/>
        <w:spacing w:line="520" w:lineRule="exact"/>
        <w:ind w:left="0" w:leftChars="0" w:firstLine="420" w:firstLineChars="175"/>
        <w:jc w:val="left"/>
        <w:textAlignment w:val="auto"/>
        <w:rPr>
          <w:rFonts w:hint="eastAsia" w:ascii="宋体" w:hAnsi="宋体" w:eastAsia="宋体" w:cs="宋体"/>
          <w:sz w:val="24"/>
          <w:szCs w:val="24"/>
        </w:rPr>
      </w:pPr>
      <w:r>
        <w:rPr>
          <w:rFonts w:hint="eastAsia" w:ascii="宋体" w:hAnsi="宋体" w:eastAsia="宋体" w:cs="宋体"/>
          <w:sz w:val="24"/>
          <w:szCs w:val="24"/>
        </w:rPr>
        <w:t>2）与采购人存在利害关系可能影响招标公正性的法人、其他组织或者个人，不得参加</w:t>
      </w:r>
      <w:r>
        <w:rPr>
          <w:rFonts w:hint="eastAsia" w:ascii="宋体" w:hAnsi="宋体" w:eastAsia="宋体" w:cs="宋体"/>
          <w:sz w:val="24"/>
          <w:szCs w:val="24"/>
          <w:lang w:val="en-US" w:eastAsia="zh-CN"/>
        </w:rPr>
        <w:t>投标</w:t>
      </w:r>
      <w:r>
        <w:rPr>
          <w:rFonts w:hint="eastAsia" w:ascii="宋体" w:hAnsi="宋体" w:eastAsia="宋体" w:cs="宋体"/>
          <w:sz w:val="24"/>
          <w:szCs w:val="24"/>
        </w:rPr>
        <w:t>；</w:t>
      </w:r>
    </w:p>
    <w:p w14:paraId="3436F7F5">
      <w:pPr>
        <w:pageBreakBefore w:val="0"/>
        <w:widowControl w:val="0"/>
        <w:kinsoku/>
        <w:wordWrap/>
        <w:overflowPunct/>
        <w:topLinePunct w:val="0"/>
        <w:autoSpaceDE/>
        <w:autoSpaceDN/>
        <w:bidi w:val="0"/>
        <w:adjustRightInd/>
        <w:snapToGrid/>
        <w:spacing w:line="520" w:lineRule="exact"/>
        <w:ind w:left="0" w:leftChars="0" w:firstLine="420" w:firstLineChars="175"/>
        <w:jc w:val="left"/>
        <w:textAlignment w:val="auto"/>
        <w:rPr>
          <w:rFonts w:hint="eastAsia" w:ascii="宋体" w:hAnsi="宋体" w:eastAsia="宋体" w:cs="宋体"/>
          <w:sz w:val="24"/>
          <w:szCs w:val="24"/>
        </w:rPr>
      </w:pPr>
      <w:r>
        <w:rPr>
          <w:rFonts w:hint="eastAsia" w:ascii="宋体" w:hAnsi="宋体" w:eastAsia="宋体" w:cs="宋体"/>
          <w:sz w:val="24"/>
          <w:szCs w:val="24"/>
        </w:rPr>
        <w:t>3）投标人负责人为同一人或者存在控股、管理关系的不同单位，不得同时参加本项目的投标。</w:t>
      </w:r>
    </w:p>
    <w:p w14:paraId="385969F5">
      <w:pPr>
        <w:pageBreakBefore w:val="0"/>
        <w:widowControl w:val="0"/>
        <w:kinsoku/>
        <w:wordWrap/>
        <w:overflowPunct/>
        <w:topLinePunct w:val="0"/>
        <w:autoSpaceDE/>
        <w:autoSpaceDN/>
        <w:bidi w:val="0"/>
        <w:adjustRightInd/>
        <w:snapToGrid/>
        <w:spacing w:line="520" w:lineRule="exact"/>
        <w:ind w:left="0" w:leftChars="0" w:firstLine="420" w:firstLineChars="175"/>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4）列入失信被执行人、重大税收违法失信主体、政府采购严重违法失信行为记录名单的（处罚期内），不得参加本项目投标。</w:t>
      </w:r>
    </w:p>
    <w:p w14:paraId="5A7DF5BA">
      <w:pPr>
        <w:pageBreakBefore w:val="0"/>
        <w:widowControl w:val="0"/>
        <w:kinsoku/>
        <w:wordWrap/>
        <w:overflowPunct/>
        <w:topLinePunct w:val="0"/>
        <w:autoSpaceDE/>
        <w:autoSpaceDN/>
        <w:bidi w:val="0"/>
        <w:adjustRightInd/>
        <w:snapToGrid/>
        <w:spacing w:line="520" w:lineRule="exact"/>
        <w:ind w:left="0" w:leftChars="0" w:firstLine="420" w:firstLineChars="175"/>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本项目不接受联合体投标。</w:t>
      </w:r>
    </w:p>
    <w:p w14:paraId="7AC68C7F">
      <w:pPr>
        <w:pageBreakBefore w:val="0"/>
        <w:widowControl w:val="0"/>
        <w:kinsoku/>
        <w:wordWrap/>
        <w:overflowPunct/>
        <w:topLinePunct w:val="0"/>
        <w:autoSpaceDE/>
        <w:autoSpaceDN/>
        <w:bidi w:val="0"/>
        <w:adjustRightInd/>
        <w:snapToGrid/>
        <w:spacing w:line="520" w:lineRule="exact"/>
        <w:jc w:val="left"/>
        <w:textAlignment w:val="auto"/>
        <w:rPr>
          <w:rFonts w:hint="eastAsia" w:ascii="宋体" w:hAnsi="宋体" w:eastAsia="宋体" w:cs="宋体"/>
          <w:lang w:eastAsia="zh-CN"/>
        </w:rPr>
      </w:pPr>
      <w:r>
        <w:rPr>
          <w:rFonts w:hint="eastAsia" w:ascii="宋体" w:hAnsi="宋体" w:eastAsia="宋体" w:cs="宋体"/>
          <w:b/>
          <w:bCs/>
          <w:kern w:val="2"/>
          <w:sz w:val="30"/>
          <w:szCs w:val="30"/>
          <w:lang w:val="en-US" w:eastAsia="zh-CN" w:bidi="ar-SA"/>
        </w:rPr>
        <w:t>三、获取磋商文件</w:t>
      </w:r>
    </w:p>
    <w:p w14:paraId="08BF9EE2">
      <w:pPr>
        <w:pageBreakBefore w:val="0"/>
        <w:widowControl w:val="0"/>
        <w:kinsoku/>
        <w:wordWrap/>
        <w:overflowPunct/>
        <w:topLinePunct w:val="0"/>
        <w:autoSpaceDE/>
        <w:autoSpaceDN/>
        <w:bidi w:val="0"/>
        <w:adjustRightInd/>
        <w:snapToGrid/>
        <w:spacing w:line="520" w:lineRule="exact"/>
        <w:ind w:left="0" w:leftChars="0" w:firstLine="420" w:firstLineChars="175"/>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时间：2025 年</w:t>
      </w:r>
      <w:r>
        <w:rPr>
          <w:rFonts w:hint="eastAsia" w:ascii="宋体" w:hAnsi="宋体" w:eastAsia="宋体" w:cs="宋体"/>
          <w:b w:val="0"/>
          <w:bCs w:val="0"/>
          <w:sz w:val="24"/>
          <w:szCs w:val="24"/>
          <w:lang w:val="en-US" w:eastAsia="zh-CN"/>
        </w:rPr>
        <w:t>2</w:t>
      </w:r>
      <w:r>
        <w:rPr>
          <w:rFonts w:hint="eastAsia" w:ascii="宋体" w:hAnsi="宋体" w:eastAsia="宋体" w:cs="宋体"/>
          <w:b w:val="0"/>
          <w:bCs w:val="0"/>
          <w:sz w:val="24"/>
          <w:szCs w:val="24"/>
        </w:rPr>
        <w:t>月</w:t>
      </w:r>
      <w:r>
        <w:rPr>
          <w:rFonts w:hint="eastAsia" w:ascii="宋体" w:hAnsi="宋体" w:eastAsia="宋体" w:cs="宋体"/>
          <w:b w:val="0"/>
          <w:bCs w:val="0"/>
          <w:sz w:val="24"/>
          <w:szCs w:val="24"/>
          <w:lang w:val="en-US" w:eastAsia="zh-CN"/>
        </w:rPr>
        <w:t>13</w:t>
      </w:r>
      <w:r>
        <w:rPr>
          <w:rFonts w:hint="eastAsia" w:ascii="宋体" w:hAnsi="宋体" w:eastAsia="宋体" w:cs="宋体"/>
          <w:b w:val="0"/>
          <w:bCs w:val="0"/>
          <w:sz w:val="24"/>
          <w:szCs w:val="24"/>
        </w:rPr>
        <w:t>日至 2025 年</w:t>
      </w:r>
      <w:r>
        <w:rPr>
          <w:rFonts w:hint="eastAsia" w:ascii="宋体" w:hAnsi="宋体" w:eastAsia="宋体" w:cs="宋体"/>
          <w:b w:val="0"/>
          <w:bCs w:val="0"/>
          <w:sz w:val="24"/>
          <w:szCs w:val="24"/>
          <w:lang w:val="en-US" w:eastAsia="zh-CN"/>
        </w:rPr>
        <w:t>2</w:t>
      </w:r>
      <w:r>
        <w:rPr>
          <w:rFonts w:hint="eastAsia" w:ascii="宋体" w:hAnsi="宋体" w:eastAsia="宋体" w:cs="宋体"/>
          <w:b w:val="0"/>
          <w:bCs w:val="0"/>
          <w:sz w:val="24"/>
          <w:szCs w:val="24"/>
        </w:rPr>
        <w:t>月</w:t>
      </w:r>
      <w:r>
        <w:rPr>
          <w:rFonts w:hint="eastAsia" w:ascii="宋体" w:hAnsi="宋体" w:eastAsia="宋体" w:cs="宋体"/>
          <w:b w:val="0"/>
          <w:bCs w:val="0"/>
          <w:sz w:val="24"/>
          <w:szCs w:val="24"/>
          <w:lang w:val="en-US" w:eastAsia="zh-CN"/>
        </w:rPr>
        <w:t>20</w:t>
      </w:r>
      <w:r>
        <w:rPr>
          <w:rFonts w:hint="eastAsia" w:ascii="宋体" w:hAnsi="宋体" w:eastAsia="宋体" w:cs="宋体"/>
          <w:b w:val="0"/>
          <w:bCs w:val="0"/>
          <w:sz w:val="24"/>
          <w:szCs w:val="24"/>
        </w:rPr>
        <w:t>日，每天上午 10:00 至 1</w:t>
      </w:r>
      <w:r>
        <w:rPr>
          <w:rFonts w:hint="eastAsia" w:ascii="宋体" w:hAnsi="宋体" w:eastAsia="宋体" w:cs="宋体"/>
          <w:b w:val="0"/>
          <w:bCs w:val="0"/>
          <w:sz w:val="24"/>
          <w:szCs w:val="24"/>
          <w:lang w:val="en-US" w:eastAsia="zh-CN"/>
        </w:rPr>
        <w:t>3</w:t>
      </w:r>
      <w:r>
        <w:rPr>
          <w:rFonts w:hint="eastAsia" w:ascii="宋体" w:hAnsi="宋体" w:eastAsia="宋体" w:cs="宋体"/>
          <w:b w:val="0"/>
          <w:bCs w:val="0"/>
          <w:sz w:val="24"/>
          <w:szCs w:val="24"/>
        </w:rPr>
        <w:t>:</w:t>
      </w:r>
      <w:r>
        <w:rPr>
          <w:rFonts w:hint="eastAsia" w:ascii="宋体" w:hAnsi="宋体" w:eastAsia="宋体" w:cs="宋体"/>
          <w:b w:val="0"/>
          <w:bCs w:val="0"/>
          <w:sz w:val="24"/>
          <w:szCs w:val="24"/>
          <w:lang w:val="en-US" w:eastAsia="zh-CN"/>
        </w:rPr>
        <w:t>3</w:t>
      </w:r>
      <w:r>
        <w:rPr>
          <w:rFonts w:hint="eastAsia" w:ascii="宋体" w:hAnsi="宋体" w:eastAsia="宋体" w:cs="宋体"/>
          <w:b w:val="0"/>
          <w:bCs w:val="0"/>
          <w:sz w:val="24"/>
          <w:szCs w:val="24"/>
        </w:rPr>
        <w:t>0，下午 15:30至 19:30（北京时间，法定节假日除外）</w:t>
      </w:r>
    </w:p>
    <w:p w14:paraId="3C7AF357">
      <w:pPr>
        <w:pageBreakBefore w:val="0"/>
        <w:widowControl w:val="0"/>
        <w:kinsoku/>
        <w:wordWrap/>
        <w:overflowPunct/>
        <w:topLinePunct w:val="0"/>
        <w:autoSpaceDE/>
        <w:autoSpaceDN/>
        <w:bidi w:val="0"/>
        <w:adjustRightInd/>
        <w:snapToGrid/>
        <w:spacing w:line="520" w:lineRule="exact"/>
        <w:ind w:left="0" w:leftChars="0" w:firstLine="420" w:firstLineChars="175"/>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地点：政采云平台线上</w:t>
      </w:r>
    </w:p>
    <w:p w14:paraId="6FDA919C">
      <w:pPr>
        <w:pageBreakBefore w:val="0"/>
        <w:widowControl w:val="0"/>
        <w:kinsoku/>
        <w:wordWrap/>
        <w:overflowPunct/>
        <w:topLinePunct w:val="0"/>
        <w:autoSpaceDE/>
        <w:autoSpaceDN/>
        <w:bidi w:val="0"/>
        <w:adjustRightInd/>
        <w:snapToGrid/>
        <w:spacing w:line="520" w:lineRule="exact"/>
        <w:ind w:left="0" w:leftChars="0" w:firstLine="420" w:firstLineChars="175"/>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方式：供应商登录政采云平台 https://www.zcygov.cn/在线申请获取采购文件（进入“项目采购”应用，在获取采购文件菜单中选择项目，申请获取采购文件）</w:t>
      </w:r>
    </w:p>
    <w:p w14:paraId="2CB035E2">
      <w:pPr>
        <w:pageBreakBefore w:val="0"/>
        <w:widowControl w:val="0"/>
        <w:kinsoku/>
        <w:wordWrap/>
        <w:overflowPunct/>
        <w:topLinePunct w:val="0"/>
        <w:autoSpaceDE/>
        <w:autoSpaceDN/>
        <w:bidi w:val="0"/>
        <w:adjustRightInd/>
        <w:snapToGrid/>
        <w:spacing w:line="520" w:lineRule="exact"/>
        <w:ind w:left="0" w:leftChars="0" w:firstLine="420" w:firstLineChars="175"/>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售价：0 元</w:t>
      </w:r>
    </w:p>
    <w:p w14:paraId="7A8147B4">
      <w:pPr>
        <w:pStyle w:val="4"/>
        <w:pageBreakBefore w:val="0"/>
        <w:widowControl w:val="0"/>
        <w:kinsoku/>
        <w:wordWrap/>
        <w:overflowPunct/>
        <w:topLinePunct w:val="0"/>
        <w:autoSpaceDE/>
        <w:autoSpaceDN/>
        <w:bidi w:val="0"/>
        <w:adjustRightInd/>
        <w:snapToGrid/>
        <w:spacing w:before="0" w:after="0" w:line="520" w:lineRule="exact"/>
        <w:textAlignment w:val="auto"/>
        <w:rPr>
          <w:rFonts w:hint="eastAsia" w:ascii="宋体" w:hAnsi="宋体" w:eastAsia="宋体" w:cs="宋体"/>
        </w:rPr>
      </w:pPr>
      <w:r>
        <w:rPr>
          <w:rFonts w:hint="eastAsia" w:ascii="宋体" w:hAnsi="宋体" w:eastAsia="宋体" w:cs="宋体"/>
        </w:rPr>
        <w:t>四、</w:t>
      </w:r>
      <w:r>
        <w:rPr>
          <w:rFonts w:hint="eastAsia" w:ascii="宋体" w:hAnsi="宋体" w:eastAsia="宋体" w:cs="宋体"/>
          <w:lang w:eastAsia="zh-CN"/>
        </w:rPr>
        <w:t>响应文件</w:t>
      </w:r>
      <w:r>
        <w:rPr>
          <w:rFonts w:hint="eastAsia" w:ascii="宋体" w:hAnsi="宋体" w:eastAsia="宋体" w:cs="宋体"/>
        </w:rPr>
        <w:t>提交</w:t>
      </w:r>
    </w:p>
    <w:p w14:paraId="6C78C9E8">
      <w:pPr>
        <w:pageBreakBefore w:val="0"/>
        <w:widowControl w:val="0"/>
        <w:kinsoku/>
        <w:wordWrap/>
        <w:overflowPunct/>
        <w:topLinePunct w:val="0"/>
        <w:autoSpaceDE/>
        <w:autoSpaceDN/>
        <w:bidi w:val="0"/>
        <w:adjustRightInd/>
        <w:snapToGrid/>
        <w:spacing w:line="520" w:lineRule="exact"/>
        <w:ind w:left="0" w:leftChars="0" w:firstLine="420" w:firstLineChars="175"/>
        <w:jc w:val="left"/>
        <w:textAlignment w:val="auto"/>
        <w:rPr>
          <w:rFonts w:hint="eastAsia" w:ascii="宋体" w:hAnsi="宋体" w:eastAsia="宋体" w:cs="宋体"/>
          <w:sz w:val="24"/>
          <w:szCs w:val="24"/>
        </w:rPr>
      </w:pPr>
      <w:r>
        <w:rPr>
          <w:rFonts w:hint="eastAsia" w:ascii="宋体" w:hAnsi="宋体" w:eastAsia="宋体" w:cs="宋体"/>
          <w:sz w:val="24"/>
          <w:szCs w:val="24"/>
        </w:rPr>
        <w:t>截止时间：2025年</w:t>
      </w:r>
      <w:r>
        <w:rPr>
          <w:rFonts w:hint="eastAsia" w:ascii="宋体" w:hAnsi="宋体" w:eastAsia="宋体" w:cs="宋体"/>
          <w:sz w:val="24"/>
          <w:szCs w:val="24"/>
          <w:lang w:val="en-US" w:eastAsia="zh-CN"/>
        </w:rPr>
        <w:t>2</w:t>
      </w:r>
      <w:r>
        <w:rPr>
          <w:rFonts w:hint="eastAsia" w:ascii="宋体" w:hAnsi="宋体" w:eastAsia="宋体" w:cs="宋体"/>
          <w:sz w:val="24"/>
          <w:szCs w:val="24"/>
        </w:rPr>
        <w:t>月</w:t>
      </w:r>
      <w:r>
        <w:rPr>
          <w:rFonts w:hint="eastAsia" w:ascii="宋体" w:hAnsi="宋体" w:eastAsia="宋体" w:cs="宋体"/>
          <w:sz w:val="24"/>
          <w:szCs w:val="24"/>
          <w:lang w:val="en-US" w:eastAsia="zh-CN"/>
        </w:rPr>
        <w:t>24</w:t>
      </w:r>
      <w:r>
        <w:rPr>
          <w:rFonts w:hint="eastAsia" w:ascii="宋体" w:hAnsi="宋体" w:eastAsia="宋体" w:cs="宋体"/>
          <w:sz w:val="24"/>
          <w:szCs w:val="24"/>
        </w:rPr>
        <w:t xml:space="preserve">日10:30分（北京时间） </w:t>
      </w:r>
    </w:p>
    <w:p w14:paraId="24FCD313">
      <w:pPr>
        <w:pageBreakBefore w:val="0"/>
        <w:widowControl w:val="0"/>
        <w:kinsoku/>
        <w:wordWrap/>
        <w:overflowPunct/>
        <w:topLinePunct w:val="0"/>
        <w:autoSpaceDE/>
        <w:autoSpaceDN/>
        <w:bidi w:val="0"/>
        <w:adjustRightInd/>
        <w:snapToGrid/>
        <w:spacing w:line="520" w:lineRule="exact"/>
        <w:ind w:left="0" w:leftChars="0" w:firstLine="420" w:firstLineChars="175"/>
        <w:jc w:val="left"/>
        <w:textAlignment w:val="auto"/>
        <w:rPr>
          <w:rFonts w:hint="eastAsia" w:ascii="宋体" w:hAnsi="宋体" w:eastAsia="宋体" w:cs="宋体"/>
          <w:bCs/>
          <w:sz w:val="24"/>
          <w:szCs w:val="24"/>
          <w:u w:val="single"/>
          <w:lang w:eastAsia="zh-CN"/>
        </w:rPr>
      </w:pPr>
      <w:r>
        <w:rPr>
          <w:rFonts w:hint="eastAsia" w:ascii="宋体" w:hAnsi="宋体" w:eastAsia="宋体" w:cs="宋体"/>
          <w:sz w:val="24"/>
          <w:szCs w:val="24"/>
        </w:rPr>
        <w:t>地点：请登录政采云投标客户端投标</w:t>
      </w:r>
    </w:p>
    <w:p w14:paraId="45428045">
      <w:pPr>
        <w:pStyle w:val="4"/>
        <w:pageBreakBefore w:val="0"/>
        <w:widowControl w:val="0"/>
        <w:kinsoku/>
        <w:wordWrap/>
        <w:overflowPunct/>
        <w:topLinePunct w:val="0"/>
        <w:autoSpaceDE/>
        <w:autoSpaceDN/>
        <w:bidi w:val="0"/>
        <w:adjustRightInd/>
        <w:snapToGrid/>
        <w:spacing w:before="0" w:after="0" w:line="520" w:lineRule="exact"/>
        <w:textAlignment w:val="auto"/>
        <w:rPr>
          <w:rFonts w:hint="eastAsia" w:ascii="宋体" w:hAnsi="宋体" w:eastAsia="宋体" w:cs="宋体"/>
        </w:rPr>
      </w:pPr>
      <w:r>
        <w:rPr>
          <w:rFonts w:hint="eastAsia" w:ascii="宋体" w:hAnsi="宋体" w:eastAsia="宋体" w:cs="宋体"/>
        </w:rPr>
        <w:t>五、开启</w:t>
      </w:r>
    </w:p>
    <w:p w14:paraId="77EA8250">
      <w:pPr>
        <w:pageBreakBefore w:val="0"/>
        <w:widowControl w:val="0"/>
        <w:kinsoku/>
        <w:wordWrap/>
        <w:overflowPunct/>
        <w:topLinePunct w:val="0"/>
        <w:autoSpaceDE/>
        <w:autoSpaceDN/>
        <w:bidi w:val="0"/>
        <w:adjustRightInd/>
        <w:snapToGrid/>
        <w:spacing w:line="520" w:lineRule="exact"/>
        <w:ind w:left="0" w:leftChars="0" w:firstLine="420" w:firstLineChars="175"/>
        <w:jc w:val="left"/>
        <w:textAlignment w:val="auto"/>
        <w:rPr>
          <w:rFonts w:hint="eastAsia" w:ascii="宋体" w:hAnsi="宋体" w:eastAsia="宋体" w:cs="宋体"/>
          <w:sz w:val="24"/>
          <w:szCs w:val="24"/>
        </w:rPr>
      </w:pPr>
      <w:r>
        <w:rPr>
          <w:rFonts w:hint="eastAsia" w:ascii="宋体" w:hAnsi="宋体" w:eastAsia="宋体" w:cs="宋体"/>
          <w:sz w:val="24"/>
          <w:szCs w:val="24"/>
        </w:rPr>
        <w:t>开启时间：2025年</w:t>
      </w:r>
      <w:r>
        <w:rPr>
          <w:rFonts w:hint="eastAsia" w:ascii="宋体" w:hAnsi="宋体" w:eastAsia="宋体" w:cs="宋体"/>
          <w:sz w:val="24"/>
          <w:szCs w:val="24"/>
          <w:lang w:val="en-US" w:eastAsia="zh-CN"/>
        </w:rPr>
        <w:t>2</w:t>
      </w:r>
      <w:r>
        <w:rPr>
          <w:rFonts w:hint="eastAsia" w:ascii="宋体" w:hAnsi="宋体" w:eastAsia="宋体" w:cs="宋体"/>
          <w:sz w:val="24"/>
          <w:szCs w:val="24"/>
        </w:rPr>
        <w:t>月</w:t>
      </w:r>
      <w:r>
        <w:rPr>
          <w:rFonts w:hint="eastAsia" w:ascii="宋体" w:hAnsi="宋体" w:eastAsia="宋体" w:cs="宋体"/>
          <w:sz w:val="24"/>
          <w:szCs w:val="24"/>
          <w:lang w:val="en-US" w:eastAsia="zh-CN"/>
        </w:rPr>
        <w:t>24</w:t>
      </w:r>
      <w:r>
        <w:rPr>
          <w:rFonts w:hint="eastAsia" w:ascii="宋体" w:hAnsi="宋体" w:eastAsia="宋体" w:cs="宋体"/>
          <w:sz w:val="24"/>
          <w:szCs w:val="24"/>
        </w:rPr>
        <w:t>日10:30分（北京时间）</w:t>
      </w:r>
    </w:p>
    <w:p w14:paraId="0DCC03E5">
      <w:pPr>
        <w:pageBreakBefore w:val="0"/>
        <w:widowControl w:val="0"/>
        <w:kinsoku/>
        <w:wordWrap/>
        <w:overflowPunct/>
        <w:topLinePunct w:val="0"/>
        <w:autoSpaceDE/>
        <w:autoSpaceDN/>
        <w:bidi w:val="0"/>
        <w:adjustRightInd/>
        <w:snapToGrid/>
        <w:spacing w:line="520" w:lineRule="exact"/>
        <w:ind w:left="0" w:leftChars="0" w:firstLine="420" w:firstLineChars="175"/>
        <w:jc w:val="left"/>
        <w:textAlignment w:val="auto"/>
        <w:rPr>
          <w:rFonts w:hint="eastAsia" w:ascii="宋体" w:hAnsi="宋体" w:eastAsia="宋体" w:cs="宋体"/>
          <w:bCs/>
          <w:sz w:val="24"/>
          <w:szCs w:val="24"/>
          <w:u w:val="single"/>
          <w:lang w:eastAsia="zh-CN"/>
        </w:rPr>
      </w:pPr>
      <w:r>
        <w:rPr>
          <w:rFonts w:hint="eastAsia" w:ascii="宋体" w:hAnsi="宋体" w:eastAsia="宋体" w:cs="宋体"/>
          <w:sz w:val="24"/>
          <w:szCs w:val="24"/>
        </w:rPr>
        <w:t>地点：投标人登录政采云平台 https://www.zcygov.cn/，进入“项目采购-开标评标-右边选择对应项目点击“进入项目”进入开标大厅。</w:t>
      </w:r>
    </w:p>
    <w:p w14:paraId="51E3CA2A">
      <w:pPr>
        <w:pStyle w:val="4"/>
        <w:pageBreakBefore w:val="0"/>
        <w:widowControl w:val="0"/>
        <w:kinsoku/>
        <w:wordWrap/>
        <w:overflowPunct/>
        <w:topLinePunct w:val="0"/>
        <w:autoSpaceDE/>
        <w:autoSpaceDN/>
        <w:bidi w:val="0"/>
        <w:adjustRightInd/>
        <w:snapToGrid/>
        <w:spacing w:before="0" w:after="0" w:line="520" w:lineRule="exact"/>
        <w:textAlignment w:val="auto"/>
        <w:rPr>
          <w:rFonts w:hint="eastAsia" w:ascii="宋体" w:hAnsi="宋体" w:eastAsia="宋体" w:cs="宋体"/>
        </w:rPr>
      </w:pPr>
      <w:r>
        <w:rPr>
          <w:rFonts w:hint="eastAsia" w:ascii="宋体" w:hAnsi="宋体" w:eastAsia="宋体" w:cs="宋体"/>
        </w:rPr>
        <w:t>六、公告期限</w:t>
      </w:r>
    </w:p>
    <w:p w14:paraId="678FF66B">
      <w:pPr>
        <w:pageBreakBefore w:val="0"/>
        <w:widowControl w:val="0"/>
        <w:kinsoku/>
        <w:wordWrap/>
        <w:overflowPunct/>
        <w:topLinePunct w:val="0"/>
        <w:autoSpaceDE/>
        <w:autoSpaceDN/>
        <w:bidi w:val="0"/>
        <w:adjustRightInd/>
        <w:snapToGrid/>
        <w:spacing w:line="520" w:lineRule="exact"/>
        <w:ind w:left="0" w:leftChars="0" w:firstLine="420" w:firstLineChars="175"/>
        <w:jc w:val="left"/>
        <w:textAlignment w:val="auto"/>
        <w:rPr>
          <w:rFonts w:hint="eastAsia" w:ascii="宋体" w:hAnsi="宋体" w:eastAsia="宋体" w:cs="宋体"/>
          <w:kern w:val="0"/>
          <w:sz w:val="24"/>
          <w:szCs w:val="24"/>
          <w:highlight w:val="yellow"/>
        </w:rPr>
      </w:pPr>
      <w:r>
        <w:rPr>
          <w:rFonts w:hint="eastAsia" w:ascii="宋体" w:hAnsi="宋体" w:eastAsia="宋体" w:cs="宋体"/>
          <w:color w:val="auto"/>
          <w:kern w:val="0"/>
          <w:sz w:val="24"/>
          <w:szCs w:val="24"/>
          <w:highlight w:val="none"/>
        </w:rPr>
        <w:t>自本公告发布之日起5个工作日。</w:t>
      </w:r>
    </w:p>
    <w:p w14:paraId="688AFECC">
      <w:pPr>
        <w:pStyle w:val="4"/>
        <w:pageBreakBefore w:val="0"/>
        <w:widowControl w:val="0"/>
        <w:numPr>
          <w:ilvl w:val="0"/>
          <w:numId w:val="0"/>
        </w:numPr>
        <w:kinsoku/>
        <w:wordWrap/>
        <w:overflowPunct/>
        <w:topLinePunct w:val="0"/>
        <w:autoSpaceDE/>
        <w:autoSpaceDN/>
        <w:bidi w:val="0"/>
        <w:adjustRightInd/>
        <w:snapToGrid/>
        <w:spacing w:before="0" w:after="0" w:line="520" w:lineRule="exact"/>
        <w:textAlignment w:val="auto"/>
        <w:rPr>
          <w:rFonts w:hint="eastAsia" w:ascii="宋体" w:hAnsi="宋体" w:eastAsia="宋体" w:cs="宋体"/>
        </w:rPr>
      </w:pPr>
      <w:r>
        <w:rPr>
          <w:rFonts w:hint="eastAsia" w:ascii="宋体" w:hAnsi="宋体" w:eastAsia="宋体" w:cs="宋体"/>
          <w:lang w:val="en-US" w:eastAsia="zh-CN"/>
        </w:rPr>
        <w:t>七、</w:t>
      </w:r>
      <w:r>
        <w:rPr>
          <w:rFonts w:hint="eastAsia" w:ascii="宋体" w:hAnsi="宋体" w:eastAsia="宋体" w:cs="宋体"/>
        </w:rPr>
        <w:t>其他补充事宜</w:t>
      </w:r>
    </w:p>
    <w:p w14:paraId="5873C50E">
      <w:pPr>
        <w:pageBreakBefore w:val="0"/>
        <w:widowControl w:val="0"/>
        <w:kinsoku/>
        <w:wordWrap/>
        <w:overflowPunct/>
        <w:topLinePunct w:val="0"/>
        <w:autoSpaceDE/>
        <w:autoSpaceDN/>
        <w:bidi w:val="0"/>
        <w:adjustRightInd/>
        <w:snapToGrid/>
        <w:spacing w:line="520" w:lineRule="exact"/>
        <w:ind w:left="0" w:leftChars="0" w:firstLine="420" w:firstLineChars="175"/>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1.本项目实行网上投标，采用电子响应文件；</w:t>
      </w:r>
    </w:p>
    <w:p w14:paraId="5DF42261">
      <w:pPr>
        <w:pageBreakBefore w:val="0"/>
        <w:widowControl w:val="0"/>
        <w:kinsoku/>
        <w:wordWrap/>
        <w:overflowPunct/>
        <w:topLinePunct w:val="0"/>
        <w:autoSpaceDE/>
        <w:autoSpaceDN/>
        <w:bidi w:val="0"/>
        <w:adjustRightInd/>
        <w:snapToGrid/>
        <w:spacing w:line="520" w:lineRule="exact"/>
        <w:ind w:left="0" w:leftChars="0" w:firstLine="420" w:firstLineChars="175"/>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各供应商在开标前应确保成为新疆政府采购网正式注册入库供应商，并完成CA数字证书（符合国密标准）申领。因未注册入库、未办理CA数字证书等原因造成无法投标或投标失败等后果由供应商自行承担。有意向参与电子开评标的供应商，可访问新疆数字证书认证中心官方网站（https://www.xjca.com.cn/） 或下载“ 新疆政务通”APP自行申领。如需咨询， 请联系新疆CA服务热线0991-2819290；</w:t>
      </w:r>
    </w:p>
    <w:p w14:paraId="6CE5BF62">
      <w:pPr>
        <w:pageBreakBefore w:val="0"/>
        <w:widowControl w:val="0"/>
        <w:kinsoku/>
        <w:wordWrap/>
        <w:overflowPunct/>
        <w:topLinePunct w:val="0"/>
        <w:autoSpaceDE/>
        <w:autoSpaceDN/>
        <w:bidi w:val="0"/>
        <w:adjustRightInd/>
        <w:snapToGrid/>
        <w:spacing w:line="520" w:lineRule="exact"/>
        <w:ind w:left="0" w:leftChars="0" w:firstLine="420" w:firstLineChars="175"/>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3.供应商在完成政采云电子交易客户端下载、安装后，可通过账号密码或CA登录客户端进行响应文件的制作。在使用政采云投标客户端时，建议使用WIN7及以 上 操 作 系 统 。 客 户 端 请 至 新 疆 政 府 采 购 网</w:t>
      </w:r>
    </w:p>
    <w:p w14:paraId="0E2475D4">
      <w:pPr>
        <w:pageBreakBefore w:val="0"/>
        <w:widowControl w:val="0"/>
        <w:kinsoku/>
        <w:wordWrap/>
        <w:overflowPunct/>
        <w:topLinePunct w:val="0"/>
        <w:autoSpaceDE/>
        <w:autoSpaceDN/>
        <w:bidi w:val="0"/>
        <w:adjustRightInd/>
        <w:snapToGrid/>
        <w:spacing w:line="520" w:lineRule="exact"/>
        <w:ind w:left="0" w:leftChars="0" w:firstLine="420" w:firstLineChars="175"/>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http://www.ccgp-xinjiang.gov.cn/）下载专区查看，如遇问题可拨打政采云客户服务热线95763进行咨询。如因供应商自身原因导致在规定时间内无法正常解密的（如：浏览器故障、未安装相关驱动、网络故障、加密CA与解密CA不一致等），代理机构不予异常处理，视为供应商自动弃标；</w:t>
      </w:r>
    </w:p>
    <w:p w14:paraId="2E115615">
      <w:pPr>
        <w:pageBreakBefore w:val="0"/>
        <w:widowControl w:val="0"/>
        <w:kinsoku/>
        <w:wordWrap/>
        <w:overflowPunct/>
        <w:topLinePunct w:val="0"/>
        <w:autoSpaceDE/>
        <w:autoSpaceDN/>
        <w:bidi w:val="0"/>
        <w:adjustRightInd/>
        <w:snapToGrid/>
        <w:spacing w:line="520" w:lineRule="exact"/>
        <w:ind w:left="0" w:leftChars="0" w:firstLine="420" w:firstLineChars="175"/>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4.供应商应当在投标截止时间前,将生成的“电子加密响应文件”上传递交至“政府采购云平台”,投标截止时间以后上传递交的响应文件将被“政府采购云平台” 拒收；</w:t>
      </w:r>
    </w:p>
    <w:p w14:paraId="6735D736">
      <w:pPr>
        <w:pageBreakBefore w:val="0"/>
        <w:widowControl w:val="0"/>
        <w:kinsoku/>
        <w:wordWrap/>
        <w:overflowPunct/>
        <w:topLinePunct w:val="0"/>
        <w:autoSpaceDE/>
        <w:autoSpaceDN/>
        <w:bidi w:val="0"/>
        <w:adjustRightInd/>
        <w:snapToGrid/>
        <w:spacing w:line="520" w:lineRule="exact"/>
        <w:ind w:left="0" w:leftChars="0" w:firstLine="420" w:firstLineChars="175"/>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供应商在开标前须提前配置好电脑浏览器（建议使用360浏览器或谷歌浏览器）,开标时登录政采云平台，在“项目采购-开标评标”功能中，使用制作加密电子响应文件的CA锁进行解密及报价确认。本项目响应文件的解密时间定为30分钟内,若供应商在规定时间内因自身原因导致无法正常解密,后果由供应商自行承担；</w:t>
      </w:r>
    </w:p>
    <w:p w14:paraId="14B7F7FB">
      <w:pPr>
        <w:pageBreakBefore w:val="0"/>
        <w:widowControl w:val="0"/>
        <w:kinsoku/>
        <w:wordWrap/>
        <w:overflowPunct/>
        <w:topLinePunct w:val="0"/>
        <w:autoSpaceDE/>
        <w:autoSpaceDN/>
        <w:bidi w:val="0"/>
        <w:adjustRightInd/>
        <w:snapToGrid/>
        <w:spacing w:line="520" w:lineRule="exact"/>
        <w:ind w:left="0" w:leftChars="0" w:firstLine="420" w:firstLineChars="175"/>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6.供应商登录政采云平台，在开标时间后30分钟内用“项目采购-开标评标”功能进行解密响应文件。若供应商在规定时间内未按时解密的，视为无效投标。解密与加密响应文件须使用同一个 CA。</w:t>
      </w:r>
    </w:p>
    <w:p w14:paraId="6B3A6059">
      <w:pPr>
        <w:pageBreakBefore w:val="0"/>
        <w:widowControl w:val="0"/>
        <w:kinsoku/>
        <w:wordWrap/>
        <w:overflowPunct/>
        <w:topLinePunct w:val="0"/>
        <w:autoSpaceDE/>
        <w:autoSpaceDN/>
        <w:bidi w:val="0"/>
        <w:adjustRightInd/>
        <w:snapToGrid/>
        <w:spacing w:line="520" w:lineRule="exact"/>
        <w:ind w:left="0" w:leftChars="0" w:firstLine="420" w:firstLineChars="175"/>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特别提示：</w:t>
      </w:r>
    </w:p>
    <w:p w14:paraId="448072D7">
      <w:pPr>
        <w:pageBreakBefore w:val="0"/>
        <w:widowControl w:val="0"/>
        <w:kinsoku/>
        <w:wordWrap/>
        <w:overflowPunct/>
        <w:topLinePunct w:val="0"/>
        <w:autoSpaceDE/>
        <w:autoSpaceDN/>
        <w:bidi w:val="0"/>
        <w:adjustRightInd/>
        <w:snapToGrid/>
        <w:spacing w:line="520" w:lineRule="exact"/>
        <w:ind w:left="0" w:leftChars="0" w:firstLine="420" w:firstLineChars="175"/>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1、采购限额标准以上，200万元以下的货物和服务采购项目、400万元以下的工程采购项目，适宜由中小企业提供的，采购人应当专门面向中小企业采购。</w:t>
      </w:r>
    </w:p>
    <w:p w14:paraId="01BBDACA">
      <w:pPr>
        <w:pageBreakBefore w:val="0"/>
        <w:widowControl w:val="0"/>
        <w:kinsoku/>
        <w:wordWrap/>
        <w:overflowPunct/>
        <w:topLinePunct w:val="0"/>
        <w:autoSpaceDE/>
        <w:autoSpaceDN/>
        <w:bidi w:val="0"/>
        <w:adjustRightInd/>
        <w:snapToGrid/>
        <w:spacing w:line="520" w:lineRule="exact"/>
        <w:ind w:left="0" w:leftChars="0" w:firstLine="420" w:firstLineChars="175"/>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2、超过200万元的货物和服务采购项目，预留该部分采购项目预算总额的30%以上专门面向中小企业采购，其中预留给小微企业的比例不低于60%。</w:t>
      </w:r>
    </w:p>
    <w:p w14:paraId="409E91D3">
      <w:pPr>
        <w:pageBreakBefore w:val="0"/>
        <w:widowControl w:val="0"/>
        <w:kinsoku/>
        <w:wordWrap/>
        <w:overflowPunct/>
        <w:topLinePunct w:val="0"/>
        <w:autoSpaceDE/>
        <w:autoSpaceDN/>
        <w:bidi w:val="0"/>
        <w:adjustRightInd/>
        <w:snapToGrid/>
        <w:spacing w:line="520" w:lineRule="exact"/>
        <w:ind w:left="0" w:leftChars="0" w:firstLine="420" w:firstLineChars="175"/>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3、超过400万元的工程采购项目中适宜由中小企业提供的，预留该部分采购项目预算总额的40%以上专门面向中小企业采购，其中预留给小微企业的比例不低于60%。</w:t>
      </w:r>
    </w:p>
    <w:p w14:paraId="04646049">
      <w:pPr>
        <w:pageBreakBefore w:val="0"/>
        <w:widowControl w:val="0"/>
        <w:kinsoku/>
        <w:wordWrap/>
        <w:overflowPunct/>
        <w:topLinePunct w:val="0"/>
        <w:autoSpaceDE/>
        <w:autoSpaceDN/>
        <w:bidi w:val="0"/>
        <w:adjustRightInd/>
        <w:snapToGrid/>
        <w:spacing w:line="520" w:lineRule="exact"/>
        <w:ind w:left="0" w:leftChars="0" w:firstLine="420" w:firstLineChars="175"/>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61798849">
      <w:pPr>
        <w:pageBreakBefore w:val="0"/>
        <w:widowControl w:val="0"/>
        <w:kinsoku/>
        <w:wordWrap/>
        <w:overflowPunct/>
        <w:topLinePunct w:val="0"/>
        <w:autoSpaceDE/>
        <w:autoSpaceDN/>
        <w:bidi w:val="0"/>
        <w:adjustRightInd/>
        <w:snapToGrid/>
        <w:spacing w:line="520" w:lineRule="exact"/>
        <w:ind w:left="0" w:leftChars="0" w:firstLine="420" w:firstLineChars="175"/>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14:paraId="2B23949A">
      <w:pPr>
        <w:pStyle w:val="4"/>
        <w:pageBreakBefore w:val="0"/>
        <w:widowControl w:val="0"/>
        <w:kinsoku/>
        <w:wordWrap/>
        <w:overflowPunct/>
        <w:topLinePunct w:val="0"/>
        <w:autoSpaceDE/>
        <w:autoSpaceDN/>
        <w:bidi w:val="0"/>
        <w:adjustRightInd/>
        <w:snapToGrid/>
        <w:spacing w:before="0" w:after="0" w:line="520" w:lineRule="exact"/>
        <w:textAlignment w:val="auto"/>
        <w:rPr>
          <w:rFonts w:hint="eastAsia" w:ascii="宋体" w:hAnsi="宋体" w:eastAsia="宋体" w:cs="宋体"/>
        </w:rPr>
      </w:pPr>
      <w:r>
        <w:rPr>
          <w:rFonts w:hint="eastAsia" w:ascii="宋体" w:hAnsi="宋体" w:eastAsia="宋体" w:cs="宋体"/>
        </w:rPr>
        <w:t>八、凡对本次采购提出询问，请按以下方式联系</w:t>
      </w:r>
    </w:p>
    <w:p w14:paraId="2E11CE62">
      <w:pPr>
        <w:pageBreakBefore w:val="0"/>
        <w:widowControl w:val="0"/>
        <w:kinsoku/>
        <w:wordWrap/>
        <w:overflowPunct/>
        <w:topLinePunct w:val="0"/>
        <w:autoSpaceDE/>
        <w:autoSpaceDN/>
        <w:bidi w:val="0"/>
        <w:adjustRightInd/>
        <w:snapToGrid/>
        <w:spacing w:line="520" w:lineRule="exact"/>
        <w:ind w:left="0" w:leftChars="0" w:firstLine="420" w:firstLineChars="175"/>
        <w:jc w:val="left"/>
        <w:textAlignment w:val="auto"/>
        <w:rPr>
          <w:rFonts w:hint="eastAsia" w:ascii="宋体" w:hAnsi="宋体" w:eastAsia="宋体" w:cs="宋体"/>
          <w:sz w:val="24"/>
          <w:szCs w:val="24"/>
        </w:rPr>
      </w:pPr>
      <w:r>
        <w:rPr>
          <w:rFonts w:hint="eastAsia" w:ascii="宋体" w:hAnsi="宋体" w:eastAsia="宋体" w:cs="宋体"/>
          <w:sz w:val="24"/>
          <w:szCs w:val="24"/>
        </w:rPr>
        <w:t>1.采购人信息</w:t>
      </w:r>
    </w:p>
    <w:p w14:paraId="62E3076D">
      <w:pPr>
        <w:pageBreakBefore w:val="0"/>
        <w:widowControl w:val="0"/>
        <w:kinsoku/>
        <w:wordWrap/>
        <w:overflowPunct/>
        <w:topLinePunct w:val="0"/>
        <w:autoSpaceDE/>
        <w:autoSpaceDN/>
        <w:bidi w:val="0"/>
        <w:adjustRightInd/>
        <w:snapToGrid/>
        <w:spacing w:line="520" w:lineRule="exact"/>
        <w:ind w:left="0" w:leftChars="0" w:firstLine="420" w:firstLineChars="175"/>
        <w:jc w:val="left"/>
        <w:textAlignment w:val="auto"/>
        <w:rPr>
          <w:rFonts w:hint="eastAsia" w:ascii="宋体" w:hAnsi="宋体" w:eastAsia="宋体" w:cs="宋体"/>
          <w:sz w:val="24"/>
          <w:szCs w:val="24"/>
          <w:u w:val="single"/>
        </w:rPr>
      </w:pPr>
      <w:r>
        <w:rPr>
          <w:rFonts w:hint="eastAsia" w:ascii="宋体" w:hAnsi="宋体" w:eastAsia="宋体" w:cs="宋体"/>
          <w:sz w:val="24"/>
          <w:szCs w:val="24"/>
        </w:rPr>
        <w:t>名    称：</w:t>
      </w:r>
      <w:r>
        <w:rPr>
          <w:rFonts w:hint="eastAsia" w:ascii="宋体" w:hAnsi="宋体" w:eastAsia="宋体" w:cs="宋体"/>
          <w:sz w:val="24"/>
          <w:szCs w:val="24"/>
          <w:u w:val="single"/>
          <w:lang w:eastAsia="zh-CN"/>
        </w:rPr>
        <w:t>吐鲁番市消防救援支队</w:t>
      </w:r>
      <w:r>
        <w:rPr>
          <w:rFonts w:hint="eastAsia" w:ascii="宋体" w:hAnsi="宋体" w:eastAsia="宋体" w:cs="宋体"/>
          <w:sz w:val="24"/>
          <w:szCs w:val="24"/>
          <w:u w:val="single"/>
        </w:rPr>
        <w:t xml:space="preserve">    </w:t>
      </w:r>
    </w:p>
    <w:p w14:paraId="63348FBB">
      <w:pPr>
        <w:pageBreakBefore w:val="0"/>
        <w:widowControl w:val="0"/>
        <w:kinsoku/>
        <w:wordWrap/>
        <w:overflowPunct/>
        <w:topLinePunct w:val="0"/>
        <w:autoSpaceDE/>
        <w:autoSpaceDN/>
        <w:bidi w:val="0"/>
        <w:adjustRightInd/>
        <w:snapToGrid/>
        <w:spacing w:line="520" w:lineRule="exact"/>
        <w:ind w:left="0" w:leftChars="0" w:firstLine="420" w:firstLineChars="175"/>
        <w:jc w:val="left"/>
        <w:textAlignment w:val="auto"/>
        <w:rPr>
          <w:rFonts w:hint="eastAsia" w:ascii="宋体" w:hAnsi="宋体" w:eastAsia="宋体" w:cs="宋体"/>
          <w:sz w:val="24"/>
          <w:szCs w:val="24"/>
        </w:rPr>
      </w:pPr>
      <w:r>
        <w:rPr>
          <w:rFonts w:hint="eastAsia" w:ascii="宋体" w:hAnsi="宋体" w:eastAsia="宋体" w:cs="宋体"/>
          <w:sz w:val="24"/>
          <w:szCs w:val="24"/>
        </w:rPr>
        <w:t>地    址：</w:t>
      </w:r>
      <w:r>
        <w:rPr>
          <w:rFonts w:hint="eastAsia" w:ascii="宋体" w:hAnsi="宋体" w:eastAsia="宋体" w:cs="宋体"/>
          <w:sz w:val="24"/>
          <w:szCs w:val="24"/>
          <w:u w:val="single"/>
          <w:lang w:val="en-US" w:eastAsia="zh-CN"/>
        </w:rPr>
        <w:t>新疆吐鲁番市高昌区蒲昌路</w:t>
      </w:r>
      <w:r>
        <w:rPr>
          <w:rFonts w:hint="eastAsia" w:ascii="宋体" w:hAnsi="宋体" w:eastAsia="宋体" w:cs="宋体"/>
          <w:sz w:val="24"/>
          <w:szCs w:val="24"/>
          <w:u w:val="single"/>
        </w:rPr>
        <w:t xml:space="preserve">           </w:t>
      </w:r>
    </w:p>
    <w:p w14:paraId="212D40B8">
      <w:pPr>
        <w:pageBreakBefore w:val="0"/>
        <w:widowControl w:val="0"/>
        <w:kinsoku/>
        <w:wordWrap/>
        <w:overflowPunct/>
        <w:topLinePunct w:val="0"/>
        <w:autoSpaceDE/>
        <w:autoSpaceDN/>
        <w:bidi w:val="0"/>
        <w:adjustRightInd/>
        <w:snapToGrid/>
        <w:spacing w:line="520" w:lineRule="exact"/>
        <w:ind w:left="0" w:leftChars="0" w:firstLine="420" w:firstLineChars="175"/>
        <w:jc w:val="left"/>
        <w:textAlignment w:val="auto"/>
        <w:rPr>
          <w:rFonts w:hint="eastAsia" w:ascii="宋体" w:hAnsi="宋体" w:eastAsia="宋体" w:cs="宋体"/>
          <w:sz w:val="24"/>
          <w:szCs w:val="24"/>
          <w:u w:val="single"/>
          <w:lang w:eastAsia="zh-CN"/>
        </w:rPr>
      </w:pPr>
      <w:r>
        <w:rPr>
          <w:rFonts w:hint="eastAsia" w:ascii="宋体" w:hAnsi="宋体" w:eastAsia="宋体" w:cs="宋体"/>
          <w:sz w:val="24"/>
          <w:szCs w:val="24"/>
          <w:lang w:val="zh-CN"/>
        </w:rPr>
        <w:t>联</w:t>
      </w:r>
      <w:r>
        <w:rPr>
          <w:rFonts w:hint="eastAsia" w:ascii="宋体" w:hAnsi="宋体" w:eastAsia="宋体" w:cs="宋体"/>
          <w:sz w:val="24"/>
          <w:szCs w:val="24"/>
        </w:rPr>
        <w:t xml:space="preserve"> </w:t>
      </w:r>
      <w:r>
        <w:rPr>
          <w:rFonts w:hint="eastAsia" w:ascii="宋体" w:hAnsi="宋体" w:eastAsia="宋体" w:cs="宋体"/>
          <w:sz w:val="24"/>
          <w:szCs w:val="24"/>
          <w:lang w:val="zh-CN"/>
        </w:rPr>
        <w:t>系</w:t>
      </w:r>
      <w:r>
        <w:rPr>
          <w:rFonts w:hint="eastAsia" w:ascii="宋体" w:hAnsi="宋体" w:eastAsia="宋体" w:cs="宋体"/>
          <w:sz w:val="24"/>
          <w:szCs w:val="24"/>
        </w:rPr>
        <w:t xml:space="preserve"> </w:t>
      </w:r>
      <w:r>
        <w:rPr>
          <w:rFonts w:hint="eastAsia" w:ascii="宋体" w:hAnsi="宋体" w:eastAsia="宋体" w:cs="宋体"/>
          <w:sz w:val="24"/>
          <w:szCs w:val="24"/>
          <w:lang w:val="zh-CN"/>
        </w:rPr>
        <w:t>人：</w:t>
      </w:r>
      <w:r>
        <w:rPr>
          <w:rFonts w:hint="eastAsia" w:ascii="宋体" w:hAnsi="宋体" w:eastAsia="宋体" w:cs="宋体"/>
          <w:sz w:val="24"/>
          <w:szCs w:val="24"/>
          <w:u w:val="single"/>
          <w:lang w:eastAsia="zh-CN"/>
        </w:rPr>
        <w:t>孔伟</w:t>
      </w:r>
    </w:p>
    <w:p w14:paraId="0027F9DD">
      <w:pPr>
        <w:pStyle w:val="123"/>
        <w:pageBreakBefore w:val="0"/>
        <w:widowControl w:val="0"/>
        <w:kinsoku/>
        <w:wordWrap/>
        <w:overflowPunct/>
        <w:topLinePunct w:val="0"/>
        <w:autoSpaceDE/>
        <w:autoSpaceDN/>
        <w:bidi w:val="0"/>
        <w:adjustRightInd/>
        <w:snapToGrid/>
        <w:spacing w:line="520" w:lineRule="exact"/>
        <w:ind w:left="0" w:leftChars="0" w:firstLine="420" w:firstLineChars="175"/>
        <w:textAlignment w:val="auto"/>
        <w:rPr>
          <w:rFonts w:hint="eastAsia" w:ascii="宋体" w:hAnsi="宋体" w:eastAsia="宋体" w:cs="宋体"/>
          <w:kern w:val="2"/>
          <w:u w:val="single"/>
          <w:lang w:eastAsia="zh-CN" w:bidi="ar-SA"/>
        </w:rPr>
      </w:pPr>
      <w:r>
        <w:rPr>
          <w:rFonts w:hint="eastAsia" w:ascii="宋体" w:hAnsi="宋体" w:eastAsia="宋体" w:cs="宋体"/>
          <w:lang w:eastAsia="zh-CN"/>
        </w:rPr>
        <w:t>联</w:t>
      </w:r>
      <w:r>
        <w:rPr>
          <w:rFonts w:hint="eastAsia" w:ascii="宋体" w:hAnsi="宋体" w:eastAsia="宋体" w:cs="宋体"/>
          <w:kern w:val="2"/>
          <w:lang w:eastAsia="zh-CN" w:bidi="ar-SA"/>
        </w:rPr>
        <w:t>系方式：</w:t>
      </w:r>
      <w:r>
        <w:rPr>
          <w:rFonts w:hint="eastAsia" w:ascii="宋体" w:hAnsi="宋体" w:eastAsia="宋体" w:cs="宋体"/>
          <w:kern w:val="2"/>
          <w:u w:val="single"/>
          <w:lang w:eastAsia="zh-CN" w:bidi="ar-SA"/>
        </w:rPr>
        <w:t>19999535095</w:t>
      </w:r>
    </w:p>
    <w:p w14:paraId="6C125C0E">
      <w:pPr>
        <w:spacing w:line="360" w:lineRule="auto"/>
        <w:ind w:left="0" w:leftChars="0" w:firstLine="420" w:firstLineChars="175"/>
        <w:jc w:val="left"/>
        <w:rPr>
          <w:rFonts w:ascii="宋体" w:hAnsi="宋体" w:cs="宋体"/>
          <w:sz w:val="24"/>
          <w:szCs w:val="24"/>
          <w:highlight w:val="none"/>
        </w:rPr>
      </w:pPr>
      <w:r>
        <w:rPr>
          <w:rFonts w:hint="eastAsia" w:ascii="宋体" w:hAnsi="宋体" w:cs="宋体"/>
          <w:sz w:val="24"/>
          <w:szCs w:val="24"/>
          <w:highlight w:val="none"/>
        </w:rPr>
        <w:t>2.采购代理机构信息</w:t>
      </w:r>
    </w:p>
    <w:p w14:paraId="43A50C34">
      <w:pPr>
        <w:spacing w:line="360" w:lineRule="auto"/>
        <w:ind w:left="0" w:leftChars="0" w:firstLine="420" w:firstLineChars="175"/>
        <w:jc w:val="left"/>
        <w:rPr>
          <w:rFonts w:hint="eastAsia" w:ascii="宋体" w:hAnsi="宋体" w:eastAsia="宋体" w:cs="宋体"/>
          <w:sz w:val="24"/>
          <w:szCs w:val="24"/>
          <w:highlight w:val="none"/>
          <w:lang w:eastAsia="zh-CN"/>
        </w:rPr>
      </w:pPr>
      <w:r>
        <w:rPr>
          <w:rFonts w:hint="eastAsia" w:ascii="宋体" w:hAnsi="宋体" w:cs="宋体"/>
          <w:sz w:val="24"/>
          <w:szCs w:val="24"/>
          <w:highlight w:val="none"/>
        </w:rPr>
        <w:t>名    称：</w:t>
      </w:r>
      <w:r>
        <w:rPr>
          <w:rFonts w:hint="eastAsia" w:ascii="宋体" w:hAnsi="宋体" w:cs="宋体"/>
          <w:sz w:val="24"/>
          <w:szCs w:val="24"/>
          <w:highlight w:val="none"/>
          <w:u w:val="single"/>
          <w:lang w:eastAsia="zh-CN"/>
        </w:rPr>
        <w:t>腾德工程咨询有限公司</w:t>
      </w:r>
    </w:p>
    <w:p w14:paraId="2D94695E">
      <w:pPr>
        <w:spacing w:line="360" w:lineRule="auto"/>
        <w:ind w:left="0" w:leftChars="0" w:firstLine="420" w:firstLineChars="175"/>
        <w:jc w:val="left"/>
        <w:rPr>
          <w:rFonts w:hint="eastAsia" w:ascii="宋体" w:hAnsi="宋体" w:eastAsia="宋体" w:cs="宋体"/>
          <w:sz w:val="24"/>
          <w:szCs w:val="24"/>
          <w:highlight w:val="none"/>
          <w:u w:val="single"/>
          <w:lang w:eastAsia="zh-CN"/>
        </w:rPr>
      </w:pPr>
      <w:r>
        <w:rPr>
          <w:rFonts w:hint="eastAsia" w:ascii="宋体" w:hAnsi="宋体" w:cs="宋体"/>
          <w:sz w:val="24"/>
          <w:szCs w:val="24"/>
          <w:highlight w:val="none"/>
        </w:rPr>
        <w:t>地　　址：</w:t>
      </w:r>
      <w:r>
        <w:rPr>
          <w:rFonts w:hint="eastAsia" w:ascii="宋体" w:hAnsi="宋体" w:cs="宋体"/>
          <w:sz w:val="24"/>
          <w:szCs w:val="24"/>
          <w:highlight w:val="none"/>
          <w:u w:val="single"/>
          <w:lang w:eastAsia="zh-CN"/>
        </w:rPr>
        <w:t>新疆吐鲁番市高昌区葡萄镇木纳尔社区一组0001号（A-2）</w:t>
      </w:r>
    </w:p>
    <w:p w14:paraId="6B991A92">
      <w:pPr>
        <w:spacing w:line="360" w:lineRule="auto"/>
        <w:ind w:left="0" w:leftChars="0" w:firstLine="420" w:firstLineChars="175"/>
        <w:jc w:val="left"/>
        <w:rPr>
          <w:rFonts w:ascii="宋体" w:hAnsi="宋体" w:cs="宋体"/>
          <w:sz w:val="24"/>
          <w:szCs w:val="24"/>
          <w:highlight w:val="none"/>
          <w:u w:val="single"/>
        </w:rPr>
      </w:pPr>
      <w:r>
        <w:rPr>
          <w:rFonts w:hint="eastAsia" w:ascii="宋体" w:hAnsi="宋体" w:cs="宋体"/>
          <w:sz w:val="24"/>
          <w:szCs w:val="24"/>
          <w:highlight w:val="none"/>
          <w:lang w:val="zh-CN"/>
        </w:rPr>
        <w:t>联</w:t>
      </w:r>
      <w:r>
        <w:rPr>
          <w:rFonts w:hint="eastAsia" w:ascii="宋体" w:hAnsi="宋体" w:cs="宋体"/>
          <w:sz w:val="24"/>
          <w:szCs w:val="24"/>
          <w:highlight w:val="none"/>
        </w:rPr>
        <w:t xml:space="preserve"> </w:t>
      </w:r>
      <w:r>
        <w:rPr>
          <w:rFonts w:hint="eastAsia" w:ascii="宋体" w:hAnsi="宋体" w:cs="宋体"/>
          <w:sz w:val="24"/>
          <w:szCs w:val="24"/>
          <w:highlight w:val="none"/>
          <w:lang w:val="zh-CN"/>
        </w:rPr>
        <w:t>系</w:t>
      </w:r>
      <w:r>
        <w:rPr>
          <w:rFonts w:hint="eastAsia" w:ascii="宋体" w:hAnsi="宋体" w:cs="宋体"/>
          <w:sz w:val="24"/>
          <w:szCs w:val="24"/>
          <w:highlight w:val="none"/>
        </w:rPr>
        <w:t xml:space="preserve"> </w:t>
      </w:r>
      <w:r>
        <w:rPr>
          <w:rFonts w:hint="eastAsia" w:ascii="宋体" w:hAnsi="宋体" w:cs="宋体"/>
          <w:sz w:val="24"/>
          <w:szCs w:val="24"/>
          <w:highlight w:val="none"/>
          <w:lang w:val="zh-CN"/>
        </w:rPr>
        <w:t>人：</w:t>
      </w:r>
      <w:r>
        <w:rPr>
          <w:rFonts w:hint="eastAsia" w:ascii="宋体" w:hAnsi="宋体" w:cs="宋体"/>
          <w:sz w:val="24"/>
          <w:szCs w:val="24"/>
          <w:highlight w:val="none"/>
          <w:u w:val="single"/>
          <w:lang w:val="zh-CN"/>
        </w:rPr>
        <w:t xml:space="preserve">蔡裕强 </w:t>
      </w:r>
      <w:r>
        <w:rPr>
          <w:rFonts w:hint="eastAsia" w:ascii="宋体" w:hAnsi="宋体" w:cs="宋体"/>
          <w:sz w:val="24"/>
          <w:szCs w:val="24"/>
          <w:highlight w:val="none"/>
          <w:u w:val="single"/>
        </w:rPr>
        <w:t xml:space="preserve">        </w:t>
      </w:r>
    </w:p>
    <w:p w14:paraId="00A9B287">
      <w:pPr>
        <w:spacing w:line="360" w:lineRule="auto"/>
        <w:ind w:left="0" w:leftChars="0" w:firstLine="420" w:firstLineChars="175"/>
        <w:jc w:val="left"/>
        <w:rPr>
          <w:rFonts w:hint="eastAsia" w:ascii="宋体" w:hAnsi="宋体" w:eastAsia="宋体" w:cs="宋体"/>
          <w:spacing w:val="10"/>
          <w:sz w:val="24"/>
          <w:szCs w:val="24"/>
          <w:highlight w:val="none"/>
          <w:u w:val="single"/>
          <w:lang w:eastAsia="zh-CN"/>
        </w:rPr>
      </w:pPr>
      <w:r>
        <w:rPr>
          <w:rFonts w:hint="eastAsia" w:ascii="宋体" w:hAnsi="宋体" w:cs="宋体"/>
          <w:sz w:val="24"/>
          <w:szCs w:val="24"/>
          <w:highlight w:val="none"/>
        </w:rPr>
        <w:t>联系方式：</w:t>
      </w:r>
      <w:r>
        <w:rPr>
          <w:rFonts w:hint="eastAsia" w:ascii="宋体" w:hAnsi="宋体" w:cs="宋体"/>
          <w:spacing w:val="10"/>
          <w:sz w:val="24"/>
          <w:szCs w:val="24"/>
          <w:highlight w:val="none"/>
          <w:u w:val="single"/>
          <w:lang w:eastAsia="zh-CN"/>
        </w:rPr>
        <w:t>18299292148</w:t>
      </w:r>
    </w:p>
    <w:bookmarkEnd w:id="14"/>
    <w:p w14:paraId="71F37B52">
      <w:pPr>
        <w:pStyle w:val="2"/>
        <w:spacing w:line="360" w:lineRule="auto"/>
        <w:rPr>
          <w:highlight w:val="none"/>
        </w:rPr>
      </w:pPr>
      <w:bookmarkStart w:id="22" w:name="_Toc16938518"/>
      <w:bookmarkStart w:id="23" w:name="_Toc20823274"/>
      <w:bookmarkStart w:id="24" w:name="_Toc513029202"/>
      <w:bookmarkStart w:id="25" w:name="_Toc120614213"/>
      <w:bookmarkStart w:id="26" w:name="_Toc26763"/>
      <w:bookmarkStart w:id="27" w:name="_Toc9359"/>
      <w:bookmarkStart w:id="28" w:name="_Toc13939"/>
      <w:r>
        <w:rPr>
          <w:rFonts w:hint="eastAsia"/>
          <w:highlight w:val="none"/>
        </w:rPr>
        <w:t>第二章 投标人须知</w:t>
      </w:r>
      <w:bookmarkEnd w:id="15"/>
      <w:bookmarkEnd w:id="22"/>
      <w:bookmarkEnd w:id="23"/>
      <w:bookmarkEnd w:id="24"/>
      <w:bookmarkEnd w:id="25"/>
      <w:bookmarkEnd w:id="26"/>
      <w:bookmarkEnd w:id="27"/>
      <w:bookmarkEnd w:id="28"/>
    </w:p>
    <w:p w14:paraId="211EEBB4">
      <w:pPr>
        <w:pStyle w:val="4"/>
        <w:spacing w:before="0" w:after="0" w:line="360" w:lineRule="auto"/>
        <w:ind w:left="0" w:leftChars="0" w:firstLine="641" w:firstLineChars="213"/>
        <w:rPr>
          <w:highlight w:val="none"/>
        </w:rPr>
      </w:pPr>
      <w:bookmarkStart w:id="29" w:name="_Toc19352"/>
      <w:bookmarkStart w:id="30" w:name="_Toc21065"/>
      <w:bookmarkStart w:id="31" w:name="_Toc534725606"/>
      <w:r>
        <w:rPr>
          <w:rFonts w:hint="eastAsia"/>
          <w:highlight w:val="none"/>
        </w:rPr>
        <w:t xml:space="preserve">一、总  </w:t>
      </w:r>
      <w:bookmarkStart w:id="32" w:name="_Toc9510635"/>
      <w:r>
        <w:rPr>
          <w:rFonts w:hint="eastAsia"/>
          <w:highlight w:val="none"/>
        </w:rPr>
        <w:t>则</w:t>
      </w:r>
      <w:bookmarkEnd w:id="29"/>
      <w:bookmarkEnd w:id="30"/>
    </w:p>
    <w:p w14:paraId="03D989CB">
      <w:pPr>
        <w:pStyle w:val="5"/>
        <w:spacing w:before="0" w:after="0" w:line="360" w:lineRule="auto"/>
        <w:ind w:left="0" w:leftChars="0" w:firstLine="599" w:firstLineChars="213"/>
        <w:rPr>
          <w:highlight w:val="none"/>
        </w:rPr>
      </w:pPr>
      <w:bookmarkStart w:id="33" w:name="_Toc26214"/>
      <w:r>
        <w:rPr>
          <w:rFonts w:hint="eastAsia"/>
          <w:highlight w:val="none"/>
        </w:rPr>
        <w:t>1、适用</w:t>
      </w:r>
      <w:bookmarkEnd w:id="32"/>
      <w:r>
        <w:rPr>
          <w:rFonts w:hint="eastAsia"/>
          <w:highlight w:val="none"/>
        </w:rPr>
        <w:t>范围</w:t>
      </w:r>
      <w:bookmarkEnd w:id="33"/>
    </w:p>
    <w:p w14:paraId="59390846">
      <w:pPr>
        <w:adjustRightInd w:val="0"/>
        <w:snapToGrid w:val="0"/>
        <w:spacing w:line="360" w:lineRule="auto"/>
        <w:ind w:left="0" w:leftChars="0" w:firstLine="511" w:firstLineChars="213"/>
        <w:jc w:val="left"/>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本</w:t>
      </w:r>
      <w:r>
        <w:rPr>
          <w:rFonts w:hint="eastAsia" w:asciiTheme="majorEastAsia" w:hAnsiTheme="majorEastAsia" w:eastAsiaTheme="majorEastAsia" w:cstheme="majorEastAsia"/>
          <w:sz w:val="24"/>
          <w:szCs w:val="24"/>
          <w:highlight w:val="none"/>
          <w:lang w:eastAsia="zh-CN"/>
        </w:rPr>
        <w:t>磋商文件</w:t>
      </w:r>
      <w:r>
        <w:rPr>
          <w:rFonts w:hint="eastAsia" w:asciiTheme="majorEastAsia" w:hAnsiTheme="majorEastAsia" w:eastAsiaTheme="majorEastAsia" w:cstheme="majorEastAsia"/>
          <w:sz w:val="24"/>
          <w:szCs w:val="24"/>
          <w:highlight w:val="none"/>
        </w:rPr>
        <w:t>适用于</w:t>
      </w:r>
      <w:r>
        <w:rPr>
          <w:rFonts w:hint="eastAsia" w:asciiTheme="majorEastAsia" w:hAnsiTheme="majorEastAsia" w:eastAsiaTheme="majorEastAsia" w:cstheme="majorEastAsia"/>
          <w:bCs/>
          <w:sz w:val="24"/>
          <w:szCs w:val="24"/>
          <w:highlight w:val="none"/>
        </w:rPr>
        <w:t>本次采购项目</w:t>
      </w:r>
      <w:r>
        <w:rPr>
          <w:rFonts w:hint="eastAsia" w:asciiTheme="majorEastAsia" w:hAnsiTheme="majorEastAsia" w:eastAsiaTheme="majorEastAsia" w:cstheme="majorEastAsia"/>
          <w:sz w:val="24"/>
          <w:szCs w:val="24"/>
          <w:highlight w:val="none"/>
        </w:rPr>
        <w:t>的招标、投标、评标、定标、验收、合同履约、付款等行为（法律、法规另有规定的，从其规定）。</w:t>
      </w:r>
    </w:p>
    <w:p w14:paraId="1FBCB8F0">
      <w:pPr>
        <w:pStyle w:val="5"/>
        <w:spacing w:before="0" w:after="0" w:line="360" w:lineRule="auto"/>
        <w:ind w:left="0" w:leftChars="0" w:firstLine="599" w:firstLineChars="213"/>
        <w:rPr>
          <w:highlight w:val="none"/>
        </w:rPr>
      </w:pPr>
      <w:bookmarkStart w:id="34" w:name="_Toc24800"/>
      <w:r>
        <w:rPr>
          <w:rFonts w:hint="eastAsia"/>
          <w:highlight w:val="none"/>
        </w:rPr>
        <w:t>2、定义</w:t>
      </w:r>
      <w:bookmarkEnd w:id="34"/>
    </w:p>
    <w:p w14:paraId="585268F4">
      <w:pPr>
        <w:adjustRightInd w:val="0"/>
        <w:snapToGrid w:val="0"/>
        <w:spacing w:line="360" w:lineRule="auto"/>
        <w:ind w:left="0" w:leftChars="0" w:firstLine="511" w:firstLineChars="213"/>
        <w:jc w:val="left"/>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2.1 招标采购单位（采购人）系指采购单位。</w:t>
      </w:r>
    </w:p>
    <w:p w14:paraId="41E2F08F">
      <w:pPr>
        <w:adjustRightInd w:val="0"/>
        <w:snapToGrid w:val="0"/>
        <w:spacing w:line="360" w:lineRule="auto"/>
        <w:ind w:left="0" w:leftChars="0" w:firstLine="511" w:firstLineChars="213"/>
        <w:jc w:val="left"/>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2.2 “投标人”系指向采购方提交</w:t>
      </w:r>
      <w:r>
        <w:rPr>
          <w:rFonts w:hint="eastAsia" w:asciiTheme="majorEastAsia" w:hAnsiTheme="majorEastAsia" w:eastAsiaTheme="majorEastAsia" w:cstheme="majorEastAsia"/>
          <w:sz w:val="24"/>
          <w:szCs w:val="24"/>
          <w:highlight w:val="none"/>
          <w:lang w:eastAsia="zh-CN"/>
        </w:rPr>
        <w:t>响应文件</w:t>
      </w:r>
      <w:r>
        <w:rPr>
          <w:rFonts w:hint="eastAsia" w:asciiTheme="majorEastAsia" w:hAnsiTheme="majorEastAsia" w:eastAsiaTheme="majorEastAsia" w:cstheme="majorEastAsia"/>
          <w:sz w:val="24"/>
          <w:szCs w:val="24"/>
          <w:highlight w:val="none"/>
        </w:rPr>
        <w:t>的法人、其他组织或者自然人。</w:t>
      </w:r>
    </w:p>
    <w:p w14:paraId="6E44B706">
      <w:pPr>
        <w:adjustRightInd w:val="0"/>
        <w:snapToGrid w:val="0"/>
        <w:spacing w:line="360" w:lineRule="auto"/>
        <w:ind w:left="0" w:leftChars="0" w:firstLine="511" w:firstLineChars="213"/>
        <w:jc w:val="left"/>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2.3 “产品”系指供方按</w:t>
      </w:r>
      <w:r>
        <w:rPr>
          <w:rFonts w:hint="eastAsia" w:asciiTheme="majorEastAsia" w:hAnsiTheme="majorEastAsia" w:eastAsiaTheme="majorEastAsia" w:cstheme="majorEastAsia"/>
          <w:sz w:val="24"/>
          <w:szCs w:val="24"/>
          <w:highlight w:val="none"/>
          <w:lang w:eastAsia="zh-CN"/>
        </w:rPr>
        <w:t>磋商文件</w:t>
      </w:r>
      <w:r>
        <w:rPr>
          <w:rFonts w:hint="eastAsia" w:asciiTheme="majorEastAsia" w:hAnsiTheme="majorEastAsia" w:eastAsiaTheme="majorEastAsia" w:cstheme="majorEastAsia"/>
          <w:sz w:val="24"/>
          <w:szCs w:val="24"/>
          <w:highlight w:val="none"/>
        </w:rPr>
        <w:t>规定，须向采购人提供的一切设备、保险、税金、备品备件、工具、手册及其它有关技术资料和材料。</w:t>
      </w:r>
    </w:p>
    <w:p w14:paraId="4442E602">
      <w:pPr>
        <w:adjustRightInd w:val="0"/>
        <w:snapToGrid w:val="0"/>
        <w:spacing w:line="360" w:lineRule="auto"/>
        <w:ind w:left="0" w:leftChars="0" w:firstLine="511" w:firstLineChars="213"/>
        <w:jc w:val="left"/>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2.4 “服务”系指</w:t>
      </w:r>
      <w:r>
        <w:rPr>
          <w:rFonts w:hint="eastAsia" w:asciiTheme="majorEastAsia" w:hAnsiTheme="majorEastAsia" w:eastAsiaTheme="majorEastAsia" w:cstheme="majorEastAsia"/>
          <w:sz w:val="24"/>
          <w:szCs w:val="24"/>
          <w:highlight w:val="none"/>
          <w:lang w:eastAsia="zh-CN"/>
        </w:rPr>
        <w:t>磋商文件</w:t>
      </w:r>
      <w:r>
        <w:rPr>
          <w:rFonts w:hint="eastAsia" w:asciiTheme="majorEastAsia" w:hAnsiTheme="majorEastAsia" w:eastAsiaTheme="majorEastAsia" w:cstheme="majorEastAsia"/>
          <w:sz w:val="24"/>
          <w:szCs w:val="24"/>
          <w:highlight w:val="none"/>
        </w:rPr>
        <w:t>规定投标人须承担的安装、调试、技术协助、校准、培训、技术指导以及其他类似的义务。</w:t>
      </w:r>
    </w:p>
    <w:p w14:paraId="0BB668E2">
      <w:pPr>
        <w:adjustRightInd w:val="0"/>
        <w:snapToGrid w:val="0"/>
        <w:spacing w:line="360" w:lineRule="auto"/>
        <w:ind w:left="0" w:leftChars="0" w:firstLine="511" w:firstLineChars="213"/>
        <w:jc w:val="left"/>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2.5 “项目”系指投标人按</w:t>
      </w:r>
      <w:r>
        <w:rPr>
          <w:rFonts w:hint="eastAsia" w:asciiTheme="majorEastAsia" w:hAnsiTheme="majorEastAsia" w:eastAsiaTheme="majorEastAsia" w:cstheme="majorEastAsia"/>
          <w:sz w:val="24"/>
          <w:szCs w:val="24"/>
          <w:highlight w:val="none"/>
          <w:lang w:eastAsia="zh-CN"/>
        </w:rPr>
        <w:t>磋商文件</w:t>
      </w:r>
      <w:r>
        <w:rPr>
          <w:rFonts w:hint="eastAsia" w:asciiTheme="majorEastAsia" w:hAnsiTheme="majorEastAsia" w:eastAsiaTheme="majorEastAsia" w:cstheme="majorEastAsia"/>
          <w:sz w:val="24"/>
          <w:szCs w:val="24"/>
          <w:highlight w:val="none"/>
        </w:rPr>
        <w:t>规定向采购人提供的产品和服务。</w:t>
      </w:r>
    </w:p>
    <w:p w14:paraId="4C45B647">
      <w:pPr>
        <w:adjustRightInd w:val="0"/>
        <w:snapToGrid w:val="0"/>
        <w:spacing w:line="360" w:lineRule="auto"/>
        <w:ind w:left="0" w:leftChars="0" w:firstLine="511" w:firstLineChars="213"/>
        <w:jc w:val="left"/>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2.6 “书面形式”包括信函、传真、电子邮件等。</w:t>
      </w:r>
    </w:p>
    <w:p w14:paraId="54F04FA3">
      <w:pPr>
        <w:adjustRightInd w:val="0"/>
        <w:snapToGrid w:val="0"/>
        <w:spacing w:line="360" w:lineRule="auto"/>
        <w:ind w:left="0" w:leftChars="0" w:firstLine="511" w:firstLineChars="213"/>
        <w:jc w:val="left"/>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2.7实质性响应:系指</w:t>
      </w:r>
      <w:r>
        <w:rPr>
          <w:rFonts w:hint="eastAsia" w:asciiTheme="majorEastAsia" w:hAnsiTheme="majorEastAsia" w:eastAsiaTheme="majorEastAsia" w:cstheme="majorEastAsia"/>
          <w:sz w:val="24"/>
          <w:szCs w:val="24"/>
          <w:highlight w:val="none"/>
          <w:lang w:eastAsia="zh-CN"/>
        </w:rPr>
        <w:t>响应文件</w:t>
      </w:r>
      <w:r>
        <w:rPr>
          <w:rFonts w:hint="eastAsia" w:asciiTheme="majorEastAsia" w:hAnsiTheme="majorEastAsia" w:eastAsiaTheme="majorEastAsia" w:cstheme="majorEastAsia"/>
          <w:sz w:val="24"/>
          <w:szCs w:val="24"/>
          <w:highlight w:val="none"/>
        </w:rPr>
        <w:t>符合</w:t>
      </w:r>
      <w:r>
        <w:rPr>
          <w:rFonts w:hint="eastAsia" w:asciiTheme="majorEastAsia" w:hAnsiTheme="majorEastAsia" w:eastAsiaTheme="majorEastAsia" w:cstheme="majorEastAsia"/>
          <w:sz w:val="24"/>
          <w:szCs w:val="24"/>
          <w:highlight w:val="none"/>
          <w:lang w:eastAsia="zh-CN"/>
        </w:rPr>
        <w:t>磋商文件</w:t>
      </w:r>
      <w:r>
        <w:rPr>
          <w:rFonts w:hint="eastAsia" w:asciiTheme="majorEastAsia" w:hAnsiTheme="majorEastAsia" w:eastAsiaTheme="majorEastAsia" w:cstheme="majorEastAsia"/>
          <w:sz w:val="24"/>
          <w:szCs w:val="24"/>
          <w:highlight w:val="none"/>
        </w:rPr>
        <w:t>规定的实质性内容、条件和规定。</w:t>
      </w:r>
    </w:p>
    <w:p w14:paraId="1E76BE7A">
      <w:pPr>
        <w:adjustRightInd w:val="0"/>
        <w:snapToGrid w:val="0"/>
        <w:spacing w:line="360" w:lineRule="auto"/>
        <w:ind w:left="0" w:leftChars="0" w:firstLine="511" w:firstLineChars="213"/>
        <w:jc w:val="left"/>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2.8重大偏离或保留：系指将会影响到</w:t>
      </w:r>
      <w:r>
        <w:rPr>
          <w:rFonts w:hint="eastAsia" w:asciiTheme="majorEastAsia" w:hAnsiTheme="majorEastAsia" w:eastAsiaTheme="majorEastAsia" w:cstheme="majorEastAsia"/>
          <w:sz w:val="24"/>
          <w:szCs w:val="24"/>
          <w:highlight w:val="none"/>
          <w:lang w:eastAsia="zh-CN"/>
        </w:rPr>
        <w:t>磋商文件</w:t>
      </w:r>
      <w:r>
        <w:rPr>
          <w:rFonts w:hint="eastAsia" w:asciiTheme="majorEastAsia" w:hAnsiTheme="majorEastAsia" w:eastAsiaTheme="majorEastAsia" w:cstheme="majorEastAsia"/>
          <w:sz w:val="24"/>
          <w:szCs w:val="24"/>
          <w:highlight w:val="none"/>
        </w:rPr>
        <w:t>规定的服务范围、质量标准，或会给合同中规定的采购人的权利和投标人的责任造成实质性限制，而纠正这些偏离或保留将对其他提交了实质性响应的</w:t>
      </w:r>
      <w:r>
        <w:rPr>
          <w:rFonts w:hint="eastAsia" w:asciiTheme="majorEastAsia" w:hAnsiTheme="majorEastAsia" w:eastAsiaTheme="majorEastAsia" w:cstheme="majorEastAsia"/>
          <w:sz w:val="24"/>
          <w:szCs w:val="24"/>
          <w:highlight w:val="none"/>
          <w:lang w:eastAsia="zh-CN"/>
        </w:rPr>
        <w:t>响应文件</w:t>
      </w:r>
      <w:r>
        <w:rPr>
          <w:rFonts w:hint="eastAsia" w:asciiTheme="majorEastAsia" w:hAnsiTheme="majorEastAsia" w:eastAsiaTheme="majorEastAsia" w:cstheme="majorEastAsia"/>
          <w:sz w:val="24"/>
          <w:szCs w:val="24"/>
          <w:highlight w:val="none"/>
        </w:rPr>
        <w:t>的投标人产生不公平影响的。</w:t>
      </w:r>
    </w:p>
    <w:p w14:paraId="0F2B12C1">
      <w:pPr>
        <w:adjustRightInd w:val="0"/>
        <w:snapToGrid w:val="0"/>
        <w:spacing w:line="360" w:lineRule="auto"/>
        <w:ind w:left="0" w:leftChars="0" w:firstLine="511" w:firstLineChars="213"/>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2.9 细微偏离：系指</w:t>
      </w:r>
      <w:r>
        <w:rPr>
          <w:rFonts w:hint="eastAsia" w:asciiTheme="majorEastAsia" w:hAnsiTheme="majorEastAsia" w:eastAsiaTheme="majorEastAsia" w:cstheme="majorEastAsia"/>
          <w:sz w:val="24"/>
          <w:szCs w:val="24"/>
          <w:highlight w:val="none"/>
          <w:lang w:eastAsia="zh-CN"/>
        </w:rPr>
        <w:t>响应文件</w:t>
      </w:r>
      <w:r>
        <w:rPr>
          <w:rFonts w:hint="eastAsia" w:asciiTheme="majorEastAsia" w:hAnsiTheme="majorEastAsia" w:eastAsiaTheme="majorEastAsia" w:cstheme="majorEastAsia"/>
          <w:sz w:val="24"/>
          <w:szCs w:val="24"/>
          <w:highlight w:val="none"/>
        </w:rPr>
        <w:t>对</w:t>
      </w:r>
      <w:r>
        <w:rPr>
          <w:rFonts w:hint="eastAsia" w:asciiTheme="majorEastAsia" w:hAnsiTheme="majorEastAsia" w:eastAsiaTheme="majorEastAsia" w:cstheme="majorEastAsia"/>
          <w:sz w:val="24"/>
          <w:szCs w:val="24"/>
          <w:highlight w:val="none"/>
          <w:lang w:eastAsia="zh-CN"/>
        </w:rPr>
        <w:t>磋商文件</w:t>
      </w:r>
      <w:r>
        <w:rPr>
          <w:rFonts w:hint="eastAsia" w:asciiTheme="majorEastAsia" w:hAnsiTheme="majorEastAsia" w:eastAsiaTheme="majorEastAsia" w:cstheme="majorEastAsia"/>
          <w:sz w:val="24"/>
          <w:szCs w:val="24"/>
          <w:highlight w:val="none"/>
        </w:rPr>
        <w:t>的非实质性内容存在不完全响应或不响应。</w:t>
      </w:r>
    </w:p>
    <w:p w14:paraId="16254B54">
      <w:pPr>
        <w:pStyle w:val="5"/>
        <w:spacing w:before="0" w:after="0" w:line="360" w:lineRule="auto"/>
        <w:ind w:left="0" w:leftChars="0" w:firstLine="599" w:firstLineChars="213"/>
        <w:rPr>
          <w:highlight w:val="none"/>
        </w:rPr>
      </w:pPr>
      <w:bookmarkStart w:id="35" w:name="_Toc17392"/>
      <w:r>
        <w:rPr>
          <w:rFonts w:hint="eastAsia"/>
          <w:highlight w:val="none"/>
        </w:rPr>
        <w:t>3、招标方式</w:t>
      </w:r>
      <w:bookmarkEnd w:id="35"/>
    </w:p>
    <w:p w14:paraId="55753CAF">
      <w:pPr>
        <w:adjustRightInd w:val="0"/>
        <w:snapToGrid w:val="0"/>
        <w:spacing w:line="360" w:lineRule="auto"/>
        <w:ind w:left="0" w:leftChars="0" w:firstLine="511" w:firstLineChars="213"/>
        <w:jc w:val="left"/>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本项目采用</w:t>
      </w:r>
      <w:r>
        <w:rPr>
          <w:rFonts w:hint="eastAsia" w:asciiTheme="majorEastAsia" w:hAnsiTheme="majorEastAsia" w:eastAsiaTheme="majorEastAsia" w:cstheme="majorEastAsia"/>
          <w:sz w:val="24"/>
          <w:szCs w:val="24"/>
          <w:highlight w:val="none"/>
          <w:lang w:eastAsia="zh-CN"/>
        </w:rPr>
        <w:t>竞争性磋商</w:t>
      </w:r>
      <w:r>
        <w:rPr>
          <w:rFonts w:hint="eastAsia" w:asciiTheme="majorEastAsia" w:hAnsiTheme="majorEastAsia" w:eastAsiaTheme="majorEastAsia" w:cstheme="majorEastAsia"/>
          <w:sz w:val="24"/>
          <w:szCs w:val="24"/>
          <w:highlight w:val="none"/>
        </w:rPr>
        <w:t>方式进行。</w:t>
      </w:r>
    </w:p>
    <w:p w14:paraId="6973D578">
      <w:pPr>
        <w:pStyle w:val="5"/>
        <w:spacing w:before="0" w:after="0" w:line="360" w:lineRule="auto"/>
        <w:ind w:left="0" w:leftChars="0" w:firstLine="599" w:firstLineChars="213"/>
        <w:rPr>
          <w:highlight w:val="none"/>
        </w:rPr>
      </w:pPr>
      <w:bookmarkStart w:id="36" w:name="_Toc32376"/>
      <w:r>
        <w:rPr>
          <w:rFonts w:hint="eastAsia"/>
          <w:highlight w:val="none"/>
        </w:rPr>
        <w:t>4、投标委托</w:t>
      </w:r>
      <w:bookmarkEnd w:id="36"/>
    </w:p>
    <w:p w14:paraId="456A0602">
      <w:pPr>
        <w:adjustRightInd w:val="0"/>
        <w:snapToGrid w:val="0"/>
        <w:spacing w:line="360" w:lineRule="auto"/>
        <w:ind w:left="0" w:leftChars="0" w:firstLine="494" w:firstLineChars="213"/>
        <w:jc w:val="left"/>
        <w:rPr>
          <w:rFonts w:asciiTheme="majorEastAsia" w:hAnsiTheme="majorEastAsia" w:eastAsiaTheme="majorEastAsia" w:cstheme="majorEastAsia"/>
          <w:spacing w:val="-4"/>
          <w:sz w:val="24"/>
          <w:szCs w:val="24"/>
          <w:highlight w:val="none"/>
        </w:rPr>
      </w:pPr>
      <w:r>
        <w:rPr>
          <w:rFonts w:hint="eastAsia" w:asciiTheme="majorEastAsia" w:hAnsiTheme="majorEastAsia" w:eastAsiaTheme="majorEastAsia" w:cstheme="majorEastAsia"/>
          <w:spacing w:val="-4"/>
          <w:sz w:val="24"/>
          <w:szCs w:val="24"/>
          <w:highlight w:val="none"/>
        </w:rPr>
        <w:t>投标人代表须携带有效身份证件。如投标人代表不是法定代表人（负责人、自然人），须有法定代表人（负责人、自然人）出具的授权委托书（格式见第五章）。</w:t>
      </w:r>
    </w:p>
    <w:p w14:paraId="0CCAE8E6">
      <w:pPr>
        <w:pStyle w:val="5"/>
        <w:spacing w:before="0" w:after="0" w:line="360" w:lineRule="auto"/>
        <w:ind w:left="0" w:leftChars="0" w:firstLine="599" w:firstLineChars="213"/>
        <w:rPr>
          <w:highlight w:val="none"/>
        </w:rPr>
      </w:pPr>
      <w:bookmarkStart w:id="37" w:name="_Toc21031"/>
      <w:r>
        <w:rPr>
          <w:rFonts w:hint="eastAsia"/>
          <w:highlight w:val="none"/>
        </w:rPr>
        <w:t>5、投标费用</w:t>
      </w:r>
      <w:bookmarkEnd w:id="37"/>
    </w:p>
    <w:p w14:paraId="04F4483A">
      <w:pPr>
        <w:adjustRightInd w:val="0"/>
        <w:snapToGrid w:val="0"/>
        <w:spacing w:line="360" w:lineRule="auto"/>
        <w:ind w:left="0" w:leftChars="0" w:firstLine="511" w:firstLineChars="213"/>
        <w:jc w:val="left"/>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不论投标结果如何，投标人均应自行承担所有与投标有关的全部费用。</w:t>
      </w:r>
    </w:p>
    <w:p w14:paraId="729FAAAD">
      <w:pPr>
        <w:pStyle w:val="5"/>
        <w:spacing w:before="0" w:after="0" w:line="360" w:lineRule="auto"/>
        <w:ind w:left="0" w:leftChars="0" w:firstLine="599" w:firstLineChars="213"/>
        <w:rPr>
          <w:highlight w:val="none"/>
        </w:rPr>
      </w:pPr>
      <w:bookmarkStart w:id="38" w:name="_Toc505"/>
      <w:r>
        <w:rPr>
          <w:rFonts w:hint="eastAsia"/>
          <w:highlight w:val="none"/>
        </w:rPr>
        <w:t>6、分包转包</w:t>
      </w:r>
      <w:bookmarkEnd w:id="38"/>
    </w:p>
    <w:p w14:paraId="3D93FA41">
      <w:pPr>
        <w:adjustRightInd w:val="0"/>
        <w:snapToGrid w:val="0"/>
        <w:spacing w:line="360" w:lineRule="auto"/>
        <w:ind w:left="0" w:leftChars="0" w:firstLine="511" w:firstLineChars="213"/>
        <w:jc w:val="left"/>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本项目不允许分包和转包。</w:t>
      </w:r>
    </w:p>
    <w:p w14:paraId="257D642C">
      <w:pPr>
        <w:pStyle w:val="5"/>
        <w:spacing w:before="0" w:after="0" w:line="360" w:lineRule="auto"/>
        <w:ind w:left="0" w:leftChars="0" w:firstLine="599" w:firstLineChars="213"/>
        <w:rPr>
          <w:highlight w:val="none"/>
        </w:rPr>
      </w:pPr>
      <w:bookmarkStart w:id="39" w:name="_Toc5076"/>
      <w:r>
        <w:rPr>
          <w:rFonts w:hint="eastAsia"/>
          <w:highlight w:val="none"/>
        </w:rPr>
        <w:t>7、提供相同品牌产品处理</w:t>
      </w:r>
      <w:bookmarkEnd w:id="39"/>
    </w:p>
    <w:p w14:paraId="67BBC6ED">
      <w:pPr>
        <w:adjustRightInd w:val="0"/>
        <w:snapToGrid w:val="0"/>
        <w:spacing w:line="360" w:lineRule="auto"/>
        <w:ind w:left="0" w:leftChars="0" w:firstLine="511" w:firstLineChars="213"/>
        <w:jc w:val="left"/>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 xml:space="preserve">提供相同品牌产品且通过资格审查、符合性审查的不同投标人参加同一合同项下投标的，按一家投标人计算，评审后得分最高的同品牌投标人获得成交投标人推荐资格；评审得分相同的，商务部分得分最高的获得成交投标人推荐资格，商务部分得分相同的采取随机抽取方式确定，其他同品牌投标人不作为中标候选人。 </w:t>
      </w:r>
    </w:p>
    <w:p w14:paraId="056F8798">
      <w:pPr>
        <w:adjustRightInd w:val="0"/>
        <w:snapToGrid w:val="0"/>
        <w:spacing w:line="360" w:lineRule="auto"/>
        <w:ind w:left="0" w:leftChars="0" w:firstLine="511" w:firstLineChars="213"/>
        <w:jc w:val="left"/>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非单一产品采购项目，采购人应当根据采购项目技术构成、产品价格比重等合理确定核心产品，并在</w:t>
      </w:r>
      <w:r>
        <w:rPr>
          <w:rFonts w:hint="eastAsia" w:asciiTheme="majorEastAsia" w:hAnsiTheme="majorEastAsia" w:eastAsiaTheme="majorEastAsia" w:cstheme="majorEastAsia"/>
          <w:sz w:val="24"/>
          <w:szCs w:val="24"/>
          <w:highlight w:val="none"/>
          <w:lang w:eastAsia="zh-CN"/>
        </w:rPr>
        <w:t>磋商文件</w:t>
      </w:r>
      <w:r>
        <w:rPr>
          <w:rFonts w:hint="eastAsia" w:asciiTheme="majorEastAsia" w:hAnsiTheme="majorEastAsia" w:eastAsiaTheme="majorEastAsia" w:cstheme="majorEastAsia"/>
          <w:sz w:val="24"/>
          <w:szCs w:val="24"/>
          <w:highlight w:val="none"/>
        </w:rPr>
        <w:t>中载明。多家投标人提供的任一核心产品品牌相同的，按前款规定处理。</w:t>
      </w:r>
    </w:p>
    <w:p w14:paraId="17615622">
      <w:pPr>
        <w:pStyle w:val="5"/>
        <w:spacing w:before="0" w:after="0" w:line="360" w:lineRule="auto"/>
        <w:ind w:left="0" w:leftChars="0" w:firstLine="599" w:firstLineChars="213"/>
        <w:rPr>
          <w:highlight w:val="none"/>
        </w:rPr>
      </w:pPr>
      <w:bookmarkStart w:id="40" w:name="_Toc21631"/>
      <w:r>
        <w:rPr>
          <w:rFonts w:hint="eastAsia"/>
          <w:highlight w:val="none"/>
        </w:rPr>
        <w:t>8、特别说明：</w:t>
      </w:r>
      <w:bookmarkEnd w:id="40"/>
    </w:p>
    <w:p w14:paraId="73E06889">
      <w:pPr>
        <w:adjustRightInd w:val="0"/>
        <w:snapToGrid w:val="0"/>
        <w:spacing w:line="360" w:lineRule="auto"/>
        <w:ind w:left="0" w:leftChars="0" w:firstLine="511" w:firstLineChars="213"/>
        <w:jc w:val="left"/>
        <w:rPr>
          <w:rFonts w:asciiTheme="majorEastAsia" w:hAnsiTheme="majorEastAsia" w:eastAsiaTheme="majorEastAsia" w:cstheme="majorEastAsia"/>
          <w:b/>
          <w:sz w:val="24"/>
          <w:szCs w:val="24"/>
          <w:highlight w:val="none"/>
        </w:rPr>
      </w:pPr>
      <w:r>
        <w:rPr>
          <w:rFonts w:hint="eastAsia" w:asciiTheme="majorEastAsia" w:hAnsiTheme="majorEastAsia" w:eastAsiaTheme="majorEastAsia" w:cstheme="majorEastAsia"/>
          <w:sz w:val="24"/>
          <w:szCs w:val="24"/>
          <w:highlight w:val="none"/>
        </w:rPr>
        <w:t>8.1 投标人投标所使用的资格、信誉、荣誉、业绩与认证证书必须为本法人（其他组织、个人）所拥有。</w:t>
      </w:r>
    </w:p>
    <w:p w14:paraId="4E0BFAF2">
      <w:pPr>
        <w:adjustRightInd w:val="0"/>
        <w:snapToGrid w:val="0"/>
        <w:spacing w:line="360" w:lineRule="auto"/>
        <w:ind w:left="0" w:leftChars="0" w:firstLine="511" w:firstLineChars="213"/>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8.2 投标人应仔细阅读</w:t>
      </w:r>
      <w:r>
        <w:rPr>
          <w:rFonts w:hint="eastAsia" w:asciiTheme="majorEastAsia" w:hAnsiTheme="majorEastAsia" w:eastAsiaTheme="majorEastAsia" w:cstheme="majorEastAsia"/>
          <w:sz w:val="24"/>
          <w:szCs w:val="24"/>
          <w:highlight w:val="none"/>
          <w:lang w:eastAsia="zh-CN"/>
        </w:rPr>
        <w:t>磋商文件</w:t>
      </w:r>
      <w:r>
        <w:rPr>
          <w:rFonts w:hint="eastAsia" w:asciiTheme="majorEastAsia" w:hAnsiTheme="majorEastAsia" w:eastAsiaTheme="majorEastAsia" w:cstheme="majorEastAsia"/>
          <w:sz w:val="24"/>
          <w:szCs w:val="24"/>
          <w:highlight w:val="none"/>
        </w:rPr>
        <w:t>的所有内容，按照</w:t>
      </w:r>
      <w:r>
        <w:rPr>
          <w:rFonts w:hint="eastAsia" w:asciiTheme="majorEastAsia" w:hAnsiTheme="majorEastAsia" w:eastAsiaTheme="majorEastAsia" w:cstheme="majorEastAsia"/>
          <w:sz w:val="24"/>
          <w:szCs w:val="24"/>
          <w:highlight w:val="none"/>
          <w:lang w:eastAsia="zh-CN"/>
        </w:rPr>
        <w:t>磋商文件</w:t>
      </w:r>
      <w:r>
        <w:rPr>
          <w:rFonts w:hint="eastAsia" w:asciiTheme="majorEastAsia" w:hAnsiTheme="majorEastAsia" w:eastAsiaTheme="majorEastAsia" w:cstheme="majorEastAsia"/>
          <w:sz w:val="24"/>
          <w:szCs w:val="24"/>
          <w:highlight w:val="none"/>
        </w:rPr>
        <w:t>的要求提交</w:t>
      </w:r>
      <w:r>
        <w:rPr>
          <w:rFonts w:hint="eastAsia" w:asciiTheme="majorEastAsia" w:hAnsiTheme="majorEastAsia" w:eastAsiaTheme="majorEastAsia" w:cstheme="majorEastAsia"/>
          <w:sz w:val="24"/>
          <w:szCs w:val="24"/>
          <w:highlight w:val="none"/>
          <w:lang w:eastAsia="zh-CN"/>
        </w:rPr>
        <w:t>响应文件</w:t>
      </w:r>
      <w:r>
        <w:rPr>
          <w:rFonts w:hint="eastAsia" w:asciiTheme="majorEastAsia" w:hAnsiTheme="majorEastAsia" w:eastAsiaTheme="majorEastAsia" w:cstheme="majorEastAsia"/>
          <w:sz w:val="24"/>
          <w:szCs w:val="24"/>
          <w:highlight w:val="none"/>
        </w:rPr>
        <w:t>，并对所提供的全部资料的真实性承担法律责任。</w:t>
      </w:r>
    </w:p>
    <w:p w14:paraId="408E125A">
      <w:pPr>
        <w:adjustRightInd w:val="0"/>
        <w:snapToGrid w:val="0"/>
        <w:spacing w:line="360" w:lineRule="auto"/>
        <w:ind w:left="0" w:leftChars="0" w:firstLine="511" w:firstLineChars="213"/>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8.3 投标人在投标活动中提供任何虚假材料,其投标无效，并报监管部门查处；中标后发现的,成交投标人须依照《中华人民共和国消费者权益保护法》第49条之规定双倍赔偿采购人，且民事赔偿并不免除违法投标人的行政与刑事责任。</w:t>
      </w:r>
    </w:p>
    <w:p w14:paraId="06D65C55">
      <w:pPr>
        <w:pStyle w:val="5"/>
        <w:spacing w:before="0" w:after="0" w:line="360" w:lineRule="auto"/>
        <w:ind w:left="0" w:leftChars="0" w:firstLine="599" w:firstLineChars="213"/>
        <w:rPr>
          <w:highlight w:val="none"/>
        </w:rPr>
      </w:pPr>
      <w:bookmarkStart w:id="41" w:name="_Toc24888"/>
      <w:r>
        <w:rPr>
          <w:rFonts w:hint="eastAsia"/>
          <w:highlight w:val="none"/>
        </w:rPr>
        <w:t>9、质疑</w:t>
      </w:r>
      <w:bookmarkEnd w:id="41"/>
    </w:p>
    <w:p w14:paraId="227A4D30">
      <w:pPr>
        <w:adjustRightInd w:val="0"/>
        <w:snapToGrid w:val="0"/>
        <w:spacing w:line="360" w:lineRule="auto"/>
        <w:ind w:left="0" w:leftChars="0" w:firstLine="511" w:firstLineChars="213"/>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9.1投标人认为</w:t>
      </w:r>
      <w:r>
        <w:rPr>
          <w:rFonts w:hint="eastAsia" w:asciiTheme="majorEastAsia" w:hAnsiTheme="majorEastAsia" w:eastAsiaTheme="majorEastAsia" w:cstheme="majorEastAsia"/>
          <w:sz w:val="24"/>
          <w:szCs w:val="24"/>
          <w:highlight w:val="none"/>
          <w:lang w:eastAsia="zh-CN"/>
        </w:rPr>
        <w:t>磋商文件</w:t>
      </w:r>
      <w:r>
        <w:rPr>
          <w:rFonts w:hint="eastAsia" w:asciiTheme="majorEastAsia" w:hAnsiTheme="majorEastAsia" w:eastAsiaTheme="majorEastAsia" w:cstheme="majorEastAsia"/>
          <w:sz w:val="24"/>
          <w:szCs w:val="24"/>
          <w:highlight w:val="none"/>
        </w:rPr>
        <w:t>、采购过程和中标、成交结果使自己的权益受到损害的，可以在知道或者应知其权益受到损害之日起七个工作日内，以书面形式向采购人提出质疑。投标人应在法定质疑期内一次性提出针对同一采购程序环节的质疑。</w:t>
      </w:r>
    </w:p>
    <w:p w14:paraId="2CE181B6">
      <w:pPr>
        <w:adjustRightInd w:val="0"/>
        <w:snapToGrid w:val="0"/>
        <w:spacing w:line="360" w:lineRule="auto"/>
        <w:ind w:left="0" w:leftChars="0" w:firstLine="511" w:firstLineChars="213"/>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质疑投标人对采购人、采购代理机构的答复不满意或者采购人、采购代理机构未在规定的时间内作出答复的，可以在答复期满后十五个工作日内向同级政府采购监督管理部门投诉。</w:t>
      </w:r>
    </w:p>
    <w:p w14:paraId="1F54A1DF">
      <w:pPr>
        <w:adjustRightInd w:val="0"/>
        <w:snapToGrid w:val="0"/>
        <w:spacing w:line="360" w:lineRule="auto"/>
        <w:ind w:left="0" w:leftChars="0" w:firstLine="511" w:firstLineChars="213"/>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9.2 质疑、投诉应当采用书面形式，质疑书、投诉书均应明确阐述</w:t>
      </w:r>
      <w:r>
        <w:rPr>
          <w:rFonts w:hint="eastAsia" w:asciiTheme="majorEastAsia" w:hAnsiTheme="majorEastAsia" w:eastAsiaTheme="majorEastAsia" w:cstheme="majorEastAsia"/>
          <w:sz w:val="24"/>
          <w:szCs w:val="24"/>
          <w:highlight w:val="none"/>
          <w:lang w:eastAsia="zh-CN"/>
        </w:rPr>
        <w:t>磋商文件</w:t>
      </w:r>
      <w:r>
        <w:rPr>
          <w:rFonts w:hint="eastAsia" w:asciiTheme="majorEastAsia" w:hAnsiTheme="majorEastAsia" w:eastAsiaTheme="majorEastAsia" w:cstheme="majorEastAsia"/>
          <w:sz w:val="24"/>
          <w:szCs w:val="24"/>
          <w:highlight w:val="none"/>
        </w:rPr>
        <w:t>、招标过程或中标结果中使自己合法权益受到损害的实质性内容，提供相关事实、依据和证据及其来源或线索，便于有关单位调查、答复和处理。</w:t>
      </w:r>
    </w:p>
    <w:p w14:paraId="3959E228">
      <w:pPr>
        <w:adjustRightInd w:val="0"/>
        <w:snapToGrid w:val="0"/>
        <w:spacing w:line="360" w:lineRule="auto"/>
        <w:ind w:left="0" w:leftChars="0" w:firstLine="511" w:firstLineChars="213"/>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9.3质疑（投诉）书应载明质疑（投诉）人全称、地址、邮编、传真、联系人、联系电话，电子邮箱。投标人可以委托代理人进行质疑和投诉，其授权委托书应当载明代理人的姓名或者名称、代理事项、具体权限、期限和相关事项。投标人为自然人的，应当由本人签字；投标人为法人或者其他组织的，应当由法定代表人、主要负责人签字或者盖章，并加盖公章。投标人委托代理人提出质疑（投诉），应当提交投标人签署的授权委托书。质疑（投诉）书必须有联系人署名。（质疑函格式见本文件质疑函范本）。</w:t>
      </w:r>
    </w:p>
    <w:p w14:paraId="1EC31445">
      <w:pPr>
        <w:adjustRightInd w:val="0"/>
        <w:snapToGrid w:val="0"/>
        <w:spacing w:line="360" w:lineRule="auto"/>
        <w:ind w:left="0" w:leftChars="0" w:firstLine="511" w:firstLineChars="213"/>
        <w:rPr>
          <w:rFonts w:hint="eastAsia" w:asciiTheme="majorEastAsia" w:hAnsiTheme="majorEastAsia" w:eastAsiaTheme="majorEastAsia" w:cstheme="majorEastAsia"/>
          <w:sz w:val="24"/>
          <w:szCs w:val="24"/>
          <w:highlight w:val="none"/>
          <w:lang w:val="en-US" w:eastAsia="zh-CN"/>
        </w:rPr>
      </w:pPr>
      <w:bookmarkStart w:id="42" w:name="_Toc12925"/>
      <w:bookmarkStart w:id="43" w:name="_Toc31383"/>
      <w:r>
        <w:rPr>
          <w:rFonts w:hint="eastAsia" w:asciiTheme="majorEastAsia" w:hAnsiTheme="majorEastAsia" w:eastAsiaTheme="majorEastAsia" w:cstheme="majorEastAsia"/>
          <w:sz w:val="24"/>
          <w:szCs w:val="24"/>
          <w:highlight w:val="none"/>
        </w:rPr>
        <w:t>9.4质疑</w:t>
      </w:r>
      <w:r>
        <w:rPr>
          <w:rFonts w:hint="eastAsia" w:asciiTheme="majorEastAsia" w:hAnsiTheme="majorEastAsia" w:eastAsiaTheme="majorEastAsia" w:cstheme="majorEastAsia"/>
          <w:sz w:val="24"/>
          <w:szCs w:val="24"/>
          <w:highlight w:val="none"/>
          <w:lang w:val="en-US" w:eastAsia="zh-CN"/>
        </w:rPr>
        <w:t>函接受单位：</w:t>
      </w:r>
      <w:r>
        <w:rPr>
          <w:rFonts w:hint="eastAsia" w:asciiTheme="majorEastAsia" w:hAnsiTheme="majorEastAsia" w:eastAsiaTheme="majorEastAsia" w:cstheme="majorEastAsia"/>
          <w:sz w:val="24"/>
          <w:szCs w:val="24"/>
          <w:highlight w:val="none"/>
          <w:lang w:eastAsia="zh-CN"/>
        </w:rPr>
        <w:t>腾德工程咨询有限公司</w:t>
      </w:r>
    </w:p>
    <w:p w14:paraId="292477F5">
      <w:pPr>
        <w:adjustRightInd w:val="0"/>
        <w:snapToGrid w:val="0"/>
        <w:spacing w:line="360" w:lineRule="auto"/>
        <w:ind w:left="0" w:leftChars="0" w:firstLine="511" w:firstLineChars="213"/>
        <w:rPr>
          <w:rFonts w:hint="default" w:asciiTheme="majorEastAsia" w:hAnsiTheme="majorEastAsia" w:eastAsiaTheme="majorEastAsia" w:cstheme="majorEastAsia"/>
          <w:sz w:val="24"/>
          <w:szCs w:val="24"/>
          <w:highlight w:val="none"/>
          <w:lang w:val="en-US" w:eastAsia="zh-CN"/>
        </w:rPr>
      </w:pPr>
      <w:r>
        <w:rPr>
          <w:rFonts w:hint="eastAsia" w:asciiTheme="majorEastAsia" w:hAnsiTheme="majorEastAsia" w:eastAsiaTheme="majorEastAsia" w:cstheme="majorEastAsia"/>
          <w:sz w:val="24"/>
          <w:szCs w:val="24"/>
          <w:highlight w:val="none"/>
          <w:lang w:val="en-US" w:eastAsia="zh-CN"/>
        </w:rPr>
        <w:t>接收方式：质疑函扫描后发送至指定邮箱84491785@qq.com或邮寄至接收单位</w:t>
      </w:r>
    </w:p>
    <w:p w14:paraId="6A858BE5">
      <w:pPr>
        <w:adjustRightInd w:val="0"/>
        <w:snapToGrid w:val="0"/>
        <w:spacing w:line="360" w:lineRule="auto"/>
        <w:ind w:left="0" w:leftChars="0" w:firstLine="511" w:firstLineChars="213"/>
        <w:rPr>
          <w:rFonts w:hint="eastAsia" w:asciiTheme="majorEastAsia" w:hAnsiTheme="majorEastAsia" w:eastAsiaTheme="majorEastAsia" w:cstheme="majorEastAsia"/>
          <w:sz w:val="24"/>
          <w:szCs w:val="24"/>
          <w:highlight w:val="none"/>
          <w:lang w:eastAsia="zh-CN"/>
        </w:rPr>
      </w:pPr>
      <w:r>
        <w:rPr>
          <w:rFonts w:hint="eastAsia" w:asciiTheme="majorEastAsia" w:hAnsiTheme="majorEastAsia" w:eastAsiaTheme="majorEastAsia" w:cstheme="majorEastAsia"/>
          <w:sz w:val="24"/>
          <w:szCs w:val="24"/>
          <w:highlight w:val="none"/>
        </w:rPr>
        <w:t>接收</w:t>
      </w:r>
      <w:r>
        <w:rPr>
          <w:rFonts w:hint="eastAsia" w:asciiTheme="majorEastAsia" w:hAnsiTheme="majorEastAsia" w:eastAsiaTheme="majorEastAsia" w:cstheme="majorEastAsia"/>
          <w:sz w:val="24"/>
          <w:szCs w:val="24"/>
          <w:highlight w:val="none"/>
          <w:lang w:val="en-US" w:eastAsia="zh-CN"/>
        </w:rPr>
        <w:t>单位联系</w:t>
      </w:r>
      <w:r>
        <w:rPr>
          <w:rFonts w:hint="eastAsia" w:asciiTheme="majorEastAsia" w:hAnsiTheme="majorEastAsia" w:eastAsiaTheme="majorEastAsia" w:cstheme="majorEastAsia"/>
          <w:sz w:val="24"/>
          <w:szCs w:val="24"/>
          <w:highlight w:val="none"/>
        </w:rPr>
        <w:t>人：</w:t>
      </w:r>
      <w:r>
        <w:rPr>
          <w:rFonts w:hint="eastAsia" w:asciiTheme="majorEastAsia" w:hAnsiTheme="majorEastAsia" w:eastAsiaTheme="majorEastAsia" w:cstheme="majorEastAsia"/>
          <w:sz w:val="24"/>
          <w:szCs w:val="24"/>
          <w:highlight w:val="none"/>
          <w:lang w:eastAsia="zh-CN"/>
        </w:rPr>
        <w:t>蔡裕强</w:t>
      </w:r>
    </w:p>
    <w:p w14:paraId="712CF805">
      <w:pPr>
        <w:adjustRightInd w:val="0"/>
        <w:snapToGrid w:val="0"/>
        <w:spacing w:line="360" w:lineRule="auto"/>
        <w:ind w:left="0" w:leftChars="0" w:firstLine="511" w:firstLineChars="213"/>
        <w:rPr>
          <w:rFonts w:hint="default" w:asciiTheme="majorEastAsia" w:hAnsiTheme="majorEastAsia" w:eastAsiaTheme="majorEastAsia" w:cstheme="majorEastAsia"/>
          <w:sz w:val="24"/>
          <w:szCs w:val="24"/>
          <w:highlight w:val="none"/>
          <w:lang w:val="en-US" w:eastAsia="zh-CN"/>
        </w:rPr>
      </w:pPr>
      <w:r>
        <w:rPr>
          <w:rFonts w:hint="eastAsia" w:asciiTheme="majorEastAsia" w:hAnsiTheme="majorEastAsia" w:eastAsiaTheme="majorEastAsia" w:cstheme="majorEastAsia"/>
          <w:sz w:val="24"/>
          <w:szCs w:val="24"/>
          <w:highlight w:val="none"/>
        </w:rPr>
        <w:t>联系电话：</w:t>
      </w:r>
      <w:r>
        <w:rPr>
          <w:rFonts w:hint="eastAsia" w:asciiTheme="majorEastAsia" w:hAnsiTheme="majorEastAsia" w:eastAsiaTheme="majorEastAsia" w:cstheme="majorEastAsia"/>
          <w:sz w:val="24"/>
          <w:szCs w:val="24"/>
          <w:highlight w:val="none"/>
          <w:lang w:val="en-US" w:eastAsia="zh-CN"/>
        </w:rPr>
        <w:t>18299292148</w:t>
      </w:r>
    </w:p>
    <w:p w14:paraId="198A42BC">
      <w:pPr>
        <w:adjustRightInd w:val="0"/>
        <w:snapToGrid w:val="0"/>
        <w:spacing w:line="360" w:lineRule="auto"/>
        <w:ind w:left="0" w:leftChars="0" w:firstLine="511" w:firstLineChars="213"/>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通讯地址：新疆吐鲁番市高昌区葡萄镇木纳尔社区一组0001号(A-2)</w:t>
      </w:r>
    </w:p>
    <w:p w14:paraId="27C33F65">
      <w:pPr>
        <w:pStyle w:val="4"/>
        <w:spacing w:before="0" w:after="0" w:line="360" w:lineRule="auto"/>
        <w:ind w:left="0" w:leftChars="0" w:firstLine="641" w:firstLineChars="213"/>
        <w:rPr>
          <w:highlight w:val="none"/>
        </w:rPr>
      </w:pPr>
      <w:r>
        <w:rPr>
          <w:rFonts w:hint="eastAsia"/>
          <w:highlight w:val="none"/>
        </w:rPr>
        <w:t>二、</w:t>
      </w:r>
      <w:bookmarkEnd w:id="42"/>
      <w:bookmarkEnd w:id="43"/>
      <w:bookmarkStart w:id="44" w:name="_Toc9510636"/>
      <w:r>
        <w:rPr>
          <w:rFonts w:hint="eastAsia"/>
          <w:highlight w:val="none"/>
          <w:lang w:val="en-US" w:eastAsia="zh-CN"/>
        </w:rPr>
        <w:t>磋商</w:t>
      </w:r>
      <w:r>
        <w:rPr>
          <w:rFonts w:hint="eastAsia"/>
          <w:highlight w:val="none"/>
        </w:rPr>
        <w:t>文件</w:t>
      </w:r>
    </w:p>
    <w:p w14:paraId="5CA281F7">
      <w:pPr>
        <w:pStyle w:val="5"/>
        <w:spacing w:before="0" w:after="0" w:line="360" w:lineRule="auto"/>
        <w:ind w:left="0" w:leftChars="0" w:firstLine="599" w:firstLineChars="213"/>
        <w:rPr>
          <w:highlight w:val="none"/>
        </w:rPr>
      </w:pPr>
      <w:bookmarkStart w:id="45" w:name="_Toc11465"/>
      <w:r>
        <w:rPr>
          <w:rFonts w:hint="eastAsia"/>
          <w:highlight w:val="none"/>
        </w:rPr>
        <w:t>10、</w:t>
      </w:r>
      <w:bookmarkEnd w:id="44"/>
      <w:r>
        <w:rPr>
          <w:rFonts w:hint="eastAsia"/>
          <w:highlight w:val="none"/>
          <w:lang w:val="en-US" w:eastAsia="zh-CN"/>
        </w:rPr>
        <w:t>磋商</w:t>
      </w:r>
      <w:r>
        <w:rPr>
          <w:rFonts w:hint="eastAsia"/>
          <w:highlight w:val="none"/>
        </w:rPr>
        <w:t>文件的构成</w:t>
      </w:r>
      <w:bookmarkEnd w:id="45"/>
      <w:r>
        <w:rPr>
          <w:rFonts w:hint="eastAsia" w:asciiTheme="majorEastAsia" w:hAnsiTheme="majorEastAsia" w:eastAsiaTheme="majorEastAsia" w:cstheme="majorEastAsia"/>
          <w:b w:val="0"/>
          <w:bCs w:val="0"/>
          <w:sz w:val="24"/>
          <w:szCs w:val="24"/>
          <w:highlight w:val="none"/>
        </w:rPr>
        <w:t>（详见本</w:t>
      </w:r>
      <w:r>
        <w:rPr>
          <w:rFonts w:hint="eastAsia" w:asciiTheme="majorEastAsia" w:hAnsiTheme="majorEastAsia" w:eastAsiaTheme="majorEastAsia" w:cstheme="majorEastAsia"/>
          <w:b w:val="0"/>
          <w:bCs w:val="0"/>
          <w:sz w:val="24"/>
          <w:szCs w:val="24"/>
          <w:highlight w:val="none"/>
          <w:lang w:eastAsia="zh-CN"/>
        </w:rPr>
        <w:t>磋商文件</w:t>
      </w:r>
      <w:r>
        <w:rPr>
          <w:rFonts w:hint="eastAsia" w:asciiTheme="majorEastAsia" w:hAnsiTheme="majorEastAsia" w:eastAsiaTheme="majorEastAsia" w:cstheme="majorEastAsia"/>
          <w:b w:val="0"/>
          <w:bCs w:val="0"/>
          <w:sz w:val="24"/>
          <w:szCs w:val="24"/>
          <w:highlight w:val="none"/>
        </w:rPr>
        <w:t>目录明细）</w:t>
      </w:r>
    </w:p>
    <w:p w14:paraId="7A421379">
      <w:pPr>
        <w:pStyle w:val="5"/>
        <w:spacing w:before="0" w:after="0" w:line="360" w:lineRule="auto"/>
        <w:ind w:left="0" w:leftChars="0" w:firstLine="599" w:firstLineChars="213"/>
        <w:rPr>
          <w:highlight w:val="none"/>
        </w:rPr>
      </w:pPr>
      <w:bookmarkStart w:id="46" w:name="_Toc9329"/>
      <w:r>
        <w:rPr>
          <w:rFonts w:hint="eastAsia"/>
          <w:highlight w:val="none"/>
        </w:rPr>
        <w:t>11、投标人的风险</w:t>
      </w:r>
      <w:bookmarkEnd w:id="46"/>
    </w:p>
    <w:p w14:paraId="54A876C6">
      <w:pPr>
        <w:adjustRightInd w:val="0"/>
        <w:snapToGrid w:val="0"/>
        <w:spacing w:line="360" w:lineRule="auto"/>
        <w:ind w:left="0" w:leftChars="0" w:firstLine="511" w:firstLineChars="213"/>
        <w:jc w:val="left"/>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投标人没有按照</w:t>
      </w:r>
      <w:r>
        <w:rPr>
          <w:rFonts w:hint="eastAsia" w:asciiTheme="majorEastAsia" w:hAnsiTheme="majorEastAsia" w:eastAsiaTheme="majorEastAsia" w:cstheme="majorEastAsia"/>
          <w:sz w:val="24"/>
          <w:szCs w:val="24"/>
          <w:highlight w:val="none"/>
          <w:lang w:eastAsia="zh-CN"/>
        </w:rPr>
        <w:t>磋商文件</w:t>
      </w:r>
      <w:r>
        <w:rPr>
          <w:rFonts w:hint="eastAsia" w:asciiTheme="majorEastAsia" w:hAnsiTheme="majorEastAsia" w:eastAsiaTheme="majorEastAsia" w:cstheme="majorEastAsia"/>
          <w:sz w:val="24"/>
          <w:szCs w:val="24"/>
          <w:highlight w:val="none"/>
        </w:rPr>
        <w:t>要求提供全部资料，或者投标人没有对</w:t>
      </w:r>
      <w:r>
        <w:rPr>
          <w:rFonts w:hint="eastAsia" w:asciiTheme="majorEastAsia" w:hAnsiTheme="majorEastAsia" w:eastAsiaTheme="majorEastAsia" w:cstheme="majorEastAsia"/>
          <w:sz w:val="24"/>
          <w:szCs w:val="24"/>
          <w:highlight w:val="none"/>
          <w:lang w:eastAsia="zh-CN"/>
        </w:rPr>
        <w:t>磋商文件</w:t>
      </w:r>
      <w:r>
        <w:rPr>
          <w:rFonts w:hint="eastAsia" w:asciiTheme="majorEastAsia" w:hAnsiTheme="majorEastAsia" w:eastAsiaTheme="majorEastAsia" w:cstheme="majorEastAsia"/>
          <w:sz w:val="24"/>
          <w:szCs w:val="24"/>
          <w:highlight w:val="none"/>
        </w:rPr>
        <w:t>在各方面作出实质性响应是投标人的风险，并可能导致其投标被拒绝。</w:t>
      </w:r>
    </w:p>
    <w:p w14:paraId="1EDEA728">
      <w:pPr>
        <w:pStyle w:val="5"/>
        <w:spacing w:before="0" w:after="0" w:line="360" w:lineRule="auto"/>
        <w:ind w:left="0" w:leftChars="0" w:firstLine="599" w:firstLineChars="213"/>
        <w:rPr>
          <w:highlight w:val="none"/>
        </w:rPr>
      </w:pPr>
      <w:bookmarkStart w:id="47" w:name="_Toc14128"/>
      <w:r>
        <w:rPr>
          <w:rFonts w:hint="eastAsia"/>
          <w:highlight w:val="none"/>
        </w:rPr>
        <w:t>1</w:t>
      </w:r>
      <w:bookmarkStart w:id="48" w:name="_Toc9510637"/>
      <w:r>
        <w:rPr>
          <w:rFonts w:hint="eastAsia"/>
          <w:highlight w:val="none"/>
        </w:rPr>
        <w:t>2、</w:t>
      </w:r>
      <w:r>
        <w:rPr>
          <w:rFonts w:hint="eastAsia"/>
          <w:highlight w:val="none"/>
          <w:lang w:eastAsia="zh-CN"/>
        </w:rPr>
        <w:t>磋商文件</w:t>
      </w:r>
      <w:r>
        <w:rPr>
          <w:rFonts w:hint="eastAsia"/>
          <w:highlight w:val="none"/>
        </w:rPr>
        <w:t>的澄清与修改</w:t>
      </w:r>
      <w:bookmarkEnd w:id="47"/>
    </w:p>
    <w:p w14:paraId="4C5BA084">
      <w:pPr>
        <w:spacing w:line="360" w:lineRule="auto"/>
        <w:ind w:left="0" w:leftChars="0" w:firstLine="511" w:firstLineChars="213"/>
        <w:rPr>
          <w:sz w:val="24"/>
          <w:szCs w:val="24"/>
          <w:highlight w:val="none"/>
        </w:rPr>
      </w:pPr>
      <w:r>
        <w:rPr>
          <w:rFonts w:hint="eastAsia"/>
          <w:sz w:val="24"/>
          <w:szCs w:val="24"/>
          <w:highlight w:val="none"/>
        </w:rPr>
        <w:t>12.1采购人或采购代理机构对已发出的</w:t>
      </w:r>
      <w:r>
        <w:rPr>
          <w:rFonts w:hint="eastAsia"/>
          <w:sz w:val="24"/>
          <w:szCs w:val="24"/>
          <w:highlight w:val="none"/>
          <w:lang w:eastAsia="zh-CN"/>
        </w:rPr>
        <w:t>磋商文件</w:t>
      </w:r>
      <w:r>
        <w:rPr>
          <w:rFonts w:hint="eastAsia"/>
          <w:sz w:val="24"/>
          <w:szCs w:val="24"/>
          <w:highlight w:val="none"/>
        </w:rPr>
        <w:t>进行必要澄清或者修改的，应当在投标人须知前附表规定的提交</w:t>
      </w:r>
      <w:r>
        <w:rPr>
          <w:rFonts w:hint="eastAsia"/>
          <w:sz w:val="24"/>
          <w:szCs w:val="24"/>
          <w:highlight w:val="none"/>
          <w:lang w:eastAsia="zh-CN"/>
        </w:rPr>
        <w:t>响应文件</w:t>
      </w:r>
      <w:r>
        <w:rPr>
          <w:rFonts w:hint="eastAsia"/>
          <w:sz w:val="24"/>
          <w:szCs w:val="24"/>
          <w:highlight w:val="none"/>
        </w:rPr>
        <w:t>截止时间</w:t>
      </w:r>
      <w:r>
        <w:rPr>
          <w:rFonts w:hint="eastAsia"/>
          <w:sz w:val="24"/>
          <w:szCs w:val="24"/>
          <w:highlight w:val="none"/>
          <w:lang w:val="en-US" w:eastAsia="zh-CN"/>
        </w:rPr>
        <w:t>5</w:t>
      </w:r>
      <w:r>
        <w:rPr>
          <w:rFonts w:hint="eastAsia"/>
          <w:sz w:val="24"/>
          <w:szCs w:val="24"/>
          <w:highlight w:val="none"/>
        </w:rPr>
        <w:t>日前，在原刊登招标公告的媒体上发布更正公告，并以书面形式通知所有</w:t>
      </w:r>
      <w:r>
        <w:rPr>
          <w:rFonts w:hint="eastAsia"/>
          <w:sz w:val="24"/>
          <w:szCs w:val="24"/>
          <w:highlight w:val="none"/>
          <w:lang w:eastAsia="zh-CN"/>
        </w:rPr>
        <w:t>磋商文件</w:t>
      </w:r>
      <w:r>
        <w:rPr>
          <w:rFonts w:hint="eastAsia"/>
          <w:sz w:val="24"/>
          <w:szCs w:val="24"/>
          <w:highlight w:val="none"/>
        </w:rPr>
        <w:t>收受人。</w:t>
      </w:r>
    </w:p>
    <w:p w14:paraId="6E1C112E">
      <w:pPr>
        <w:spacing w:line="360" w:lineRule="auto"/>
        <w:ind w:left="0" w:leftChars="0" w:firstLine="511" w:firstLineChars="213"/>
        <w:rPr>
          <w:sz w:val="24"/>
          <w:szCs w:val="24"/>
          <w:highlight w:val="none"/>
        </w:rPr>
      </w:pPr>
      <w:r>
        <w:rPr>
          <w:rFonts w:hint="eastAsia"/>
          <w:sz w:val="24"/>
          <w:szCs w:val="24"/>
          <w:highlight w:val="none"/>
        </w:rPr>
        <w:t>12.2澄清或者修改的内容可能影响</w:t>
      </w:r>
      <w:r>
        <w:rPr>
          <w:rFonts w:hint="eastAsia"/>
          <w:sz w:val="24"/>
          <w:szCs w:val="24"/>
          <w:highlight w:val="none"/>
          <w:lang w:eastAsia="zh-CN"/>
        </w:rPr>
        <w:t>响应文件</w:t>
      </w:r>
      <w:r>
        <w:rPr>
          <w:rFonts w:hint="eastAsia"/>
          <w:sz w:val="24"/>
          <w:szCs w:val="24"/>
          <w:highlight w:val="none"/>
        </w:rPr>
        <w:t>编制的，采购人或者采购代理机构应当在投标截止时间至少</w:t>
      </w:r>
      <w:r>
        <w:rPr>
          <w:rFonts w:hint="eastAsia"/>
          <w:sz w:val="24"/>
          <w:szCs w:val="24"/>
          <w:highlight w:val="none"/>
          <w:lang w:val="en-US" w:eastAsia="zh-CN"/>
        </w:rPr>
        <w:t>5</w:t>
      </w:r>
      <w:r>
        <w:rPr>
          <w:rFonts w:hint="eastAsia"/>
          <w:sz w:val="24"/>
          <w:szCs w:val="24"/>
          <w:highlight w:val="none"/>
        </w:rPr>
        <w:t>日前，以书面形式通知所有获取</w:t>
      </w:r>
      <w:r>
        <w:rPr>
          <w:rFonts w:hint="eastAsia"/>
          <w:sz w:val="24"/>
          <w:szCs w:val="24"/>
          <w:highlight w:val="none"/>
          <w:lang w:eastAsia="zh-CN"/>
        </w:rPr>
        <w:t>磋商文件</w:t>
      </w:r>
      <w:r>
        <w:rPr>
          <w:rFonts w:hint="eastAsia"/>
          <w:sz w:val="24"/>
          <w:szCs w:val="24"/>
          <w:highlight w:val="none"/>
        </w:rPr>
        <w:t>的潜在投标人；不足</w:t>
      </w:r>
      <w:r>
        <w:rPr>
          <w:rFonts w:hint="eastAsia"/>
          <w:sz w:val="24"/>
          <w:szCs w:val="24"/>
          <w:highlight w:val="none"/>
          <w:lang w:val="en-US" w:eastAsia="zh-CN"/>
        </w:rPr>
        <w:t>5</w:t>
      </w:r>
      <w:r>
        <w:rPr>
          <w:rFonts w:hint="eastAsia"/>
          <w:sz w:val="24"/>
          <w:szCs w:val="24"/>
          <w:highlight w:val="none"/>
        </w:rPr>
        <w:t>日的，采购人或者采购代理机构应当顺延提交</w:t>
      </w:r>
      <w:r>
        <w:rPr>
          <w:rFonts w:hint="eastAsia"/>
          <w:sz w:val="24"/>
          <w:szCs w:val="24"/>
          <w:highlight w:val="none"/>
          <w:lang w:eastAsia="zh-CN"/>
        </w:rPr>
        <w:t>响应文件</w:t>
      </w:r>
      <w:r>
        <w:rPr>
          <w:rFonts w:hint="eastAsia"/>
          <w:sz w:val="24"/>
          <w:szCs w:val="24"/>
          <w:highlight w:val="none"/>
        </w:rPr>
        <w:t>的截止时间。</w:t>
      </w:r>
    </w:p>
    <w:p w14:paraId="534B23A8">
      <w:pPr>
        <w:spacing w:line="360" w:lineRule="auto"/>
        <w:ind w:left="0" w:leftChars="0" w:firstLine="511" w:firstLineChars="213"/>
        <w:rPr>
          <w:sz w:val="24"/>
          <w:szCs w:val="24"/>
          <w:highlight w:val="none"/>
        </w:rPr>
      </w:pPr>
      <w:r>
        <w:rPr>
          <w:rFonts w:hint="eastAsia"/>
          <w:sz w:val="24"/>
          <w:szCs w:val="24"/>
          <w:highlight w:val="none"/>
        </w:rPr>
        <w:t>12.3澄清或者修改内容为</w:t>
      </w:r>
      <w:r>
        <w:rPr>
          <w:rFonts w:hint="eastAsia"/>
          <w:sz w:val="24"/>
          <w:szCs w:val="24"/>
          <w:highlight w:val="none"/>
          <w:lang w:eastAsia="zh-CN"/>
        </w:rPr>
        <w:t>磋商文件</w:t>
      </w:r>
      <w:r>
        <w:rPr>
          <w:rFonts w:hint="eastAsia"/>
          <w:sz w:val="24"/>
          <w:szCs w:val="24"/>
          <w:highlight w:val="none"/>
        </w:rPr>
        <w:t>的组成部分，对所有领取了</w:t>
      </w:r>
      <w:r>
        <w:rPr>
          <w:rFonts w:hint="eastAsia"/>
          <w:sz w:val="24"/>
          <w:szCs w:val="24"/>
          <w:highlight w:val="none"/>
          <w:lang w:eastAsia="zh-CN"/>
        </w:rPr>
        <w:t>磋商文件</w:t>
      </w:r>
      <w:r>
        <w:rPr>
          <w:rFonts w:hint="eastAsia"/>
          <w:sz w:val="24"/>
          <w:szCs w:val="24"/>
          <w:highlight w:val="none"/>
        </w:rPr>
        <w:t>的潜在投标人均具有约束力。</w:t>
      </w:r>
    </w:p>
    <w:p w14:paraId="2856366D">
      <w:pPr>
        <w:pStyle w:val="4"/>
        <w:spacing w:before="0" w:after="0" w:line="360" w:lineRule="auto"/>
        <w:ind w:left="0" w:leftChars="0" w:firstLine="641" w:firstLineChars="213"/>
        <w:rPr>
          <w:highlight w:val="none"/>
        </w:rPr>
      </w:pPr>
      <w:bookmarkStart w:id="49" w:name="_Toc3009"/>
      <w:bookmarkStart w:id="50" w:name="_Toc25731"/>
      <w:r>
        <w:rPr>
          <w:rFonts w:hint="eastAsia"/>
          <w:highlight w:val="none"/>
        </w:rPr>
        <w:t>三、</w:t>
      </w:r>
      <w:r>
        <w:rPr>
          <w:rFonts w:hint="eastAsia"/>
          <w:highlight w:val="none"/>
          <w:lang w:eastAsia="zh-CN"/>
        </w:rPr>
        <w:t>响应文件</w:t>
      </w:r>
      <w:r>
        <w:rPr>
          <w:rFonts w:hint="eastAsia"/>
          <w:highlight w:val="none"/>
        </w:rPr>
        <w:t>的编制</w:t>
      </w:r>
      <w:bookmarkEnd w:id="49"/>
      <w:bookmarkEnd w:id="50"/>
    </w:p>
    <w:bookmarkEnd w:id="48"/>
    <w:p w14:paraId="3B02EA5E">
      <w:pPr>
        <w:adjustRightInd w:val="0"/>
        <w:snapToGrid w:val="0"/>
        <w:spacing w:line="360" w:lineRule="auto"/>
        <w:ind w:left="0" w:leftChars="0" w:firstLine="513" w:firstLineChars="213"/>
        <w:jc w:val="left"/>
        <w:rPr>
          <w:rFonts w:hint="eastAsia" w:asciiTheme="majorEastAsia" w:hAnsiTheme="majorEastAsia" w:eastAsiaTheme="majorEastAsia" w:cstheme="majorEastAsia"/>
          <w:b/>
          <w:sz w:val="24"/>
          <w:szCs w:val="24"/>
          <w:highlight w:val="none"/>
        </w:rPr>
      </w:pPr>
      <w:r>
        <w:rPr>
          <w:rFonts w:hint="eastAsia" w:asciiTheme="majorEastAsia" w:hAnsiTheme="majorEastAsia" w:eastAsiaTheme="majorEastAsia" w:cstheme="majorEastAsia"/>
          <w:b/>
          <w:sz w:val="24"/>
          <w:szCs w:val="24"/>
          <w:highlight w:val="none"/>
        </w:rPr>
        <w:t>响应文件的编写</w:t>
      </w:r>
    </w:p>
    <w:p w14:paraId="66D15B71">
      <w:pPr>
        <w:adjustRightInd w:val="0"/>
        <w:snapToGrid w:val="0"/>
        <w:spacing w:line="360" w:lineRule="auto"/>
        <w:ind w:left="0" w:leftChars="0" w:firstLine="511" w:firstLineChars="213"/>
        <w:jc w:val="left"/>
        <w:rPr>
          <w:rFonts w:hint="eastAsia" w:asciiTheme="majorEastAsia" w:hAnsiTheme="majorEastAsia" w:eastAsiaTheme="majorEastAsia" w:cstheme="majorEastAsia"/>
          <w:b w:val="0"/>
          <w:bCs/>
          <w:sz w:val="24"/>
          <w:szCs w:val="24"/>
          <w:highlight w:val="none"/>
        </w:rPr>
      </w:pPr>
      <w:r>
        <w:rPr>
          <w:rFonts w:hint="eastAsia" w:asciiTheme="majorEastAsia" w:hAnsiTheme="majorEastAsia" w:eastAsiaTheme="majorEastAsia" w:cstheme="majorEastAsia"/>
          <w:b w:val="0"/>
          <w:bCs/>
          <w:sz w:val="24"/>
          <w:szCs w:val="24"/>
          <w:highlight w:val="none"/>
        </w:rPr>
        <w:t>供应商应仔细阅读磋商文件，了解磋商文件的要求，并在充分理解磋商文件提出的货物技术规范、服务和商务条款后的基础上制作响应文件。</w:t>
      </w:r>
    </w:p>
    <w:p w14:paraId="1C6E805A">
      <w:pPr>
        <w:pStyle w:val="5"/>
        <w:spacing w:before="0" w:after="0" w:line="360" w:lineRule="auto"/>
        <w:ind w:left="0" w:leftChars="0" w:firstLine="599" w:firstLineChars="213"/>
        <w:rPr>
          <w:highlight w:val="none"/>
        </w:rPr>
      </w:pPr>
      <w:bookmarkStart w:id="51" w:name="_Toc29638"/>
      <w:r>
        <w:rPr>
          <w:rFonts w:hint="eastAsia"/>
          <w:highlight w:val="none"/>
        </w:rPr>
        <w:t>1</w:t>
      </w:r>
      <w:r>
        <w:rPr>
          <w:rFonts w:hint="eastAsia"/>
          <w:highlight w:val="none"/>
          <w:lang w:val="en-US" w:eastAsia="zh-CN"/>
        </w:rPr>
        <w:t>3</w:t>
      </w:r>
      <w:r>
        <w:rPr>
          <w:rFonts w:hint="eastAsia"/>
          <w:highlight w:val="none"/>
        </w:rPr>
        <w:t>、</w:t>
      </w:r>
      <w:r>
        <w:rPr>
          <w:rFonts w:hint="eastAsia"/>
          <w:highlight w:val="none"/>
          <w:lang w:eastAsia="zh-CN"/>
        </w:rPr>
        <w:t>响应文件</w:t>
      </w:r>
      <w:r>
        <w:rPr>
          <w:rFonts w:hint="eastAsia"/>
          <w:highlight w:val="none"/>
        </w:rPr>
        <w:t>的组成</w:t>
      </w:r>
      <w:bookmarkEnd w:id="51"/>
    </w:p>
    <w:p w14:paraId="2852E4A7">
      <w:pPr>
        <w:adjustRightInd w:val="0"/>
        <w:snapToGrid w:val="0"/>
        <w:spacing w:line="360" w:lineRule="auto"/>
        <w:ind w:left="0" w:leftChars="0" w:firstLine="511" w:firstLineChars="213"/>
        <w:jc w:val="left"/>
        <w:rPr>
          <w:rFonts w:hint="eastAsia" w:asciiTheme="majorEastAsia" w:hAnsiTheme="majorEastAsia" w:eastAsiaTheme="majorEastAsia" w:cstheme="majorEastAsia"/>
          <w:b w:val="0"/>
          <w:bCs/>
          <w:sz w:val="24"/>
          <w:szCs w:val="24"/>
          <w:highlight w:val="none"/>
          <w:lang w:eastAsia="zh-CN"/>
        </w:rPr>
      </w:pPr>
      <w:bookmarkStart w:id="52" w:name="_Toc26745"/>
      <w:r>
        <w:rPr>
          <w:rFonts w:hint="eastAsia" w:asciiTheme="majorEastAsia" w:hAnsiTheme="majorEastAsia" w:eastAsiaTheme="majorEastAsia" w:cstheme="majorEastAsia"/>
          <w:b w:val="0"/>
          <w:bCs/>
          <w:sz w:val="24"/>
          <w:szCs w:val="24"/>
          <w:highlight w:val="none"/>
          <w:lang w:val="en-US" w:eastAsia="zh-CN"/>
        </w:rPr>
        <w:t>13</w:t>
      </w:r>
      <w:r>
        <w:rPr>
          <w:rFonts w:hint="eastAsia" w:asciiTheme="majorEastAsia" w:hAnsiTheme="majorEastAsia" w:eastAsiaTheme="majorEastAsia" w:cstheme="majorEastAsia"/>
          <w:b w:val="0"/>
          <w:bCs/>
          <w:sz w:val="24"/>
          <w:szCs w:val="24"/>
          <w:highlight w:val="none"/>
          <w:lang w:eastAsia="zh-CN"/>
        </w:rPr>
        <w:t>.1供应商编写的响应文件应包括但不限于下列内容：</w:t>
      </w:r>
    </w:p>
    <w:p w14:paraId="30F623A9">
      <w:pPr>
        <w:adjustRightInd w:val="0"/>
        <w:snapToGrid w:val="0"/>
        <w:spacing w:line="360" w:lineRule="auto"/>
        <w:ind w:left="0" w:leftChars="0" w:firstLine="511" w:firstLineChars="213"/>
        <w:jc w:val="left"/>
        <w:rPr>
          <w:rFonts w:hint="eastAsia" w:asciiTheme="majorEastAsia" w:hAnsiTheme="majorEastAsia" w:eastAsiaTheme="majorEastAsia" w:cstheme="majorEastAsia"/>
          <w:b w:val="0"/>
          <w:bCs/>
          <w:sz w:val="24"/>
          <w:szCs w:val="24"/>
          <w:highlight w:val="none"/>
          <w:lang w:eastAsia="zh-CN"/>
        </w:rPr>
      </w:pPr>
      <w:r>
        <w:rPr>
          <w:rFonts w:hint="eastAsia" w:asciiTheme="majorEastAsia" w:hAnsiTheme="majorEastAsia" w:eastAsiaTheme="majorEastAsia" w:cstheme="majorEastAsia"/>
          <w:b w:val="0"/>
          <w:bCs/>
          <w:sz w:val="24"/>
          <w:szCs w:val="24"/>
          <w:highlight w:val="none"/>
          <w:lang w:val="en-US" w:eastAsia="zh-CN"/>
        </w:rPr>
        <w:t>13</w:t>
      </w:r>
      <w:r>
        <w:rPr>
          <w:rFonts w:hint="eastAsia" w:asciiTheme="majorEastAsia" w:hAnsiTheme="majorEastAsia" w:eastAsiaTheme="majorEastAsia" w:cstheme="majorEastAsia"/>
          <w:b w:val="0"/>
          <w:bCs/>
          <w:sz w:val="24"/>
          <w:szCs w:val="24"/>
          <w:highlight w:val="none"/>
          <w:lang w:eastAsia="zh-CN"/>
        </w:rPr>
        <w:t>.1.1报价要求响应文件：</w:t>
      </w:r>
    </w:p>
    <w:p w14:paraId="47B1E234">
      <w:pPr>
        <w:adjustRightInd w:val="0"/>
        <w:snapToGrid w:val="0"/>
        <w:spacing w:line="360" w:lineRule="auto"/>
        <w:ind w:left="0" w:leftChars="0" w:firstLine="511" w:firstLineChars="213"/>
        <w:jc w:val="left"/>
        <w:rPr>
          <w:rFonts w:hint="eastAsia" w:asciiTheme="majorEastAsia" w:hAnsiTheme="majorEastAsia" w:eastAsiaTheme="majorEastAsia" w:cstheme="majorEastAsia"/>
          <w:b w:val="0"/>
          <w:bCs/>
          <w:sz w:val="24"/>
          <w:szCs w:val="24"/>
          <w:highlight w:val="none"/>
          <w:lang w:eastAsia="zh-CN"/>
        </w:rPr>
      </w:pPr>
      <w:r>
        <w:rPr>
          <w:rFonts w:hint="eastAsia" w:asciiTheme="majorEastAsia" w:hAnsiTheme="majorEastAsia" w:eastAsiaTheme="majorEastAsia" w:cstheme="majorEastAsia"/>
          <w:b w:val="0"/>
          <w:bCs/>
          <w:sz w:val="24"/>
          <w:szCs w:val="24"/>
          <w:highlight w:val="none"/>
          <w:lang w:eastAsia="zh-CN"/>
        </w:rPr>
        <w:t>（1）响应报价表</w:t>
      </w:r>
    </w:p>
    <w:p w14:paraId="05009C43">
      <w:pPr>
        <w:adjustRightInd w:val="0"/>
        <w:snapToGrid w:val="0"/>
        <w:spacing w:line="360" w:lineRule="auto"/>
        <w:ind w:left="0" w:leftChars="0" w:firstLine="511" w:firstLineChars="213"/>
        <w:jc w:val="left"/>
        <w:rPr>
          <w:rFonts w:hint="eastAsia" w:asciiTheme="majorEastAsia" w:hAnsiTheme="majorEastAsia" w:eastAsiaTheme="majorEastAsia" w:cstheme="majorEastAsia"/>
          <w:b w:val="0"/>
          <w:bCs/>
          <w:sz w:val="24"/>
          <w:szCs w:val="24"/>
          <w:highlight w:val="none"/>
          <w:lang w:eastAsia="zh-CN"/>
        </w:rPr>
      </w:pPr>
      <w:r>
        <w:rPr>
          <w:rFonts w:hint="eastAsia" w:asciiTheme="majorEastAsia" w:hAnsiTheme="majorEastAsia" w:eastAsiaTheme="majorEastAsia" w:cstheme="majorEastAsia"/>
          <w:b w:val="0"/>
          <w:bCs/>
          <w:sz w:val="24"/>
          <w:szCs w:val="24"/>
          <w:highlight w:val="none"/>
          <w:lang w:val="en-US" w:eastAsia="zh-CN"/>
        </w:rPr>
        <w:t>13</w:t>
      </w:r>
      <w:r>
        <w:rPr>
          <w:rFonts w:hint="eastAsia" w:asciiTheme="majorEastAsia" w:hAnsiTheme="majorEastAsia" w:eastAsiaTheme="majorEastAsia" w:cstheme="majorEastAsia"/>
          <w:b w:val="0"/>
          <w:bCs/>
          <w:sz w:val="24"/>
          <w:szCs w:val="24"/>
          <w:highlight w:val="none"/>
          <w:lang w:eastAsia="zh-CN"/>
        </w:rPr>
        <w:t>.1.2资格响应文件：</w:t>
      </w:r>
    </w:p>
    <w:p w14:paraId="02C5D4E0">
      <w:pPr>
        <w:adjustRightInd w:val="0"/>
        <w:snapToGrid w:val="0"/>
        <w:spacing w:line="360" w:lineRule="auto"/>
        <w:ind w:left="0" w:leftChars="0" w:firstLine="511" w:firstLineChars="213"/>
        <w:jc w:val="left"/>
        <w:rPr>
          <w:rFonts w:hint="eastAsia" w:asciiTheme="majorEastAsia" w:hAnsiTheme="majorEastAsia" w:eastAsiaTheme="majorEastAsia" w:cstheme="majorEastAsia"/>
          <w:b w:val="0"/>
          <w:bCs/>
          <w:sz w:val="24"/>
          <w:szCs w:val="24"/>
          <w:highlight w:val="none"/>
          <w:lang w:eastAsia="zh-CN"/>
        </w:rPr>
      </w:pPr>
      <w:r>
        <w:rPr>
          <w:rFonts w:hint="eastAsia" w:asciiTheme="majorEastAsia" w:hAnsiTheme="majorEastAsia" w:eastAsiaTheme="majorEastAsia" w:cstheme="majorEastAsia"/>
          <w:b w:val="0"/>
          <w:bCs/>
          <w:sz w:val="24"/>
          <w:szCs w:val="24"/>
          <w:highlight w:val="none"/>
          <w:lang w:eastAsia="zh-CN"/>
        </w:rPr>
        <w:t>（1）供应商符合投标人资格条件的证明文件</w:t>
      </w:r>
    </w:p>
    <w:p w14:paraId="2DF91FE3">
      <w:pPr>
        <w:adjustRightInd w:val="0"/>
        <w:snapToGrid w:val="0"/>
        <w:spacing w:line="360" w:lineRule="auto"/>
        <w:ind w:left="0" w:leftChars="0" w:firstLine="511" w:firstLineChars="213"/>
        <w:jc w:val="left"/>
        <w:rPr>
          <w:rFonts w:hint="eastAsia" w:asciiTheme="majorEastAsia" w:hAnsiTheme="majorEastAsia" w:eastAsiaTheme="majorEastAsia" w:cstheme="majorEastAsia"/>
          <w:b w:val="0"/>
          <w:bCs/>
          <w:sz w:val="24"/>
          <w:szCs w:val="24"/>
          <w:highlight w:val="none"/>
          <w:lang w:eastAsia="zh-CN"/>
        </w:rPr>
      </w:pPr>
      <w:r>
        <w:rPr>
          <w:rFonts w:hint="eastAsia" w:asciiTheme="majorEastAsia" w:hAnsiTheme="majorEastAsia" w:eastAsiaTheme="majorEastAsia" w:cstheme="majorEastAsia"/>
          <w:b w:val="0"/>
          <w:bCs/>
          <w:sz w:val="24"/>
          <w:szCs w:val="24"/>
          <w:highlight w:val="none"/>
          <w:lang w:val="en-US" w:eastAsia="zh-CN"/>
        </w:rPr>
        <w:t>13</w:t>
      </w:r>
      <w:r>
        <w:rPr>
          <w:rFonts w:hint="eastAsia" w:asciiTheme="majorEastAsia" w:hAnsiTheme="majorEastAsia" w:eastAsiaTheme="majorEastAsia" w:cstheme="majorEastAsia"/>
          <w:b w:val="0"/>
          <w:bCs/>
          <w:sz w:val="24"/>
          <w:szCs w:val="24"/>
          <w:highlight w:val="none"/>
          <w:lang w:eastAsia="zh-CN"/>
        </w:rPr>
        <w:t>.1.3商务技术响应文件：</w:t>
      </w:r>
    </w:p>
    <w:p w14:paraId="6A7F396F">
      <w:pPr>
        <w:adjustRightInd w:val="0"/>
        <w:snapToGrid w:val="0"/>
        <w:spacing w:line="360" w:lineRule="auto"/>
        <w:ind w:left="0" w:leftChars="0" w:firstLine="511" w:firstLineChars="213"/>
        <w:jc w:val="left"/>
        <w:rPr>
          <w:rFonts w:hint="eastAsia" w:asciiTheme="majorEastAsia" w:hAnsiTheme="majorEastAsia" w:eastAsiaTheme="majorEastAsia" w:cstheme="majorEastAsia"/>
          <w:b w:val="0"/>
          <w:bCs/>
          <w:sz w:val="24"/>
          <w:szCs w:val="24"/>
          <w:highlight w:val="none"/>
          <w:lang w:eastAsia="zh-CN"/>
        </w:rPr>
      </w:pPr>
      <w:r>
        <w:rPr>
          <w:rFonts w:hint="eastAsia" w:asciiTheme="majorEastAsia" w:hAnsiTheme="majorEastAsia" w:eastAsiaTheme="majorEastAsia" w:cstheme="majorEastAsia"/>
          <w:b w:val="0"/>
          <w:bCs/>
          <w:sz w:val="24"/>
          <w:szCs w:val="24"/>
          <w:highlight w:val="none"/>
          <w:lang w:eastAsia="zh-CN"/>
        </w:rPr>
        <w:t>（1）磋商承诺书</w:t>
      </w:r>
    </w:p>
    <w:p w14:paraId="298A1D03">
      <w:pPr>
        <w:adjustRightInd w:val="0"/>
        <w:snapToGrid w:val="0"/>
        <w:spacing w:line="360" w:lineRule="auto"/>
        <w:ind w:left="0" w:leftChars="0" w:firstLine="511" w:firstLineChars="213"/>
        <w:jc w:val="left"/>
        <w:rPr>
          <w:rFonts w:hint="eastAsia" w:asciiTheme="majorEastAsia" w:hAnsiTheme="majorEastAsia" w:eastAsiaTheme="majorEastAsia" w:cstheme="majorEastAsia"/>
          <w:b w:val="0"/>
          <w:bCs/>
          <w:sz w:val="24"/>
          <w:szCs w:val="24"/>
          <w:highlight w:val="none"/>
          <w:lang w:eastAsia="zh-CN"/>
        </w:rPr>
      </w:pPr>
      <w:r>
        <w:rPr>
          <w:rFonts w:hint="eastAsia" w:asciiTheme="majorEastAsia" w:hAnsiTheme="majorEastAsia" w:eastAsiaTheme="majorEastAsia" w:cstheme="majorEastAsia"/>
          <w:b w:val="0"/>
          <w:bCs/>
          <w:sz w:val="24"/>
          <w:szCs w:val="24"/>
          <w:highlight w:val="none"/>
          <w:lang w:eastAsia="zh-CN"/>
        </w:rPr>
        <w:t>（2）法定代表人资格证明书</w:t>
      </w:r>
    </w:p>
    <w:p w14:paraId="0C5C976C">
      <w:pPr>
        <w:adjustRightInd w:val="0"/>
        <w:snapToGrid w:val="0"/>
        <w:spacing w:line="360" w:lineRule="auto"/>
        <w:ind w:left="0" w:leftChars="0" w:firstLine="511" w:firstLineChars="213"/>
        <w:jc w:val="left"/>
        <w:rPr>
          <w:rFonts w:hint="eastAsia" w:asciiTheme="majorEastAsia" w:hAnsiTheme="majorEastAsia" w:eastAsiaTheme="majorEastAsia" w:cstheme="majorEastAsia"/>
          <w:b w:val="0"/>
          <w:bCs/>
          <w:sz w:val="24"/>
          <w:szCs w:val="24"/>
          <w:highlight w:val="none"/>
          <w:lang w:eastAsia="zh-CN"/>
        </w:rPr>
      </w:pPr>
      <w:r>
        <w:rPr>
          <w:rFonts w:hint="eastAsia" w:asciiTheme="majorEastAsia" w:hAnsiTheme="majorEastAsia" w:eastAsiaTheme="majorEastAsia" w:cstheme="majorEastAsia"/>
          <w:b w:val="0"/>
          <w:bCs/>
          <w:sz w:val="24"/>
          <w:szCs w:val="24"/>
          <w:highlight w:val="none"/>
          <w:lang w:eastAsia="zh-CN"/>
        </w:rPr>
        <w:t>（3）法定代表人授权委托书</w:t>
      </w:r>
    </w:p>
    <w:p w14:paraId="07D5A908">
      <w:pPr>
        <w:adjustRightInd w:val="0"/>
        <w:snapToGrid w:val="0"/>
        <w:spacing w:line="360" w:lineRule="auto"/>
        <w:ind w:left="0" w:leftChars="0" w:firstLine="511" w:firstLineChars="213"/>
        <w:jc w:val="left"/>
        <w:rPr>
          <w:rFonts w:hint="eastAsia" w:asciiTheme="majorEastAsia" w:hAnsiTheme="majorEastAsia" w:eastAsiaTheme="majorEastAsia" w:cstheme="majorEastAsia"/>
          <w:b w:val="0"/>
          <w:bCs/>
          <w:sz w:val="24"/>
          <w:szCs w:val="24"/>
          <w:highlight w:val="none"/>
          <w:lang w:eastAsia="zh-CN"/>
        </w:rPr>
      </w:pPr>
      <w:r>
        <w:rPr>
          <w:rFonts w:hint="eastAsia" w:asciiTheme="majorEastAsia" w:hAnsiTheme="majorEastAsia" w:eastAsiaTheme="majorEastAsia" w:cstheme="majorEastAsia"/>
          <w:b w:val="0"/>
          <w:bCs/>
          <w:sz w:val="24"/>
          <w:szCs w:val="24"/>
          <w:highlight w:val="none"/>
          <w:lang w:eastAsia="zh-CN"/>
        </w:rPr>
        <w:t>（4）商务条款偏离表</w:t>
      </w:r>
    </w:p>
    <w:p w14:paraId="3E2E4E02">
      <w:pPr>
        <w:adjustRightInd w:val="0"/>
        <w:snapToGrid w:val="0"/>
        <w:spacing w:line="360" w:lineRule="auto"/>
        <w:ind w:left="0" w:leftChars="0" w:firstLine="511" w:firstLineChars="213"/>
        <w:jc w:val="left"/>
        <w:rPr>
          <w:rFonts w:hint="eastAsia" w:asciiTheme="majorEastAsia" w:hAnsiTheme="majorEastAsia" w:eastAsiaTheme="majorEastAsia" w:cstheme="majorEastAsia"/>
          <w:b w:val="0"/>
          <w:bCs/>
          <w:sz w:val="24"/>
          <w:szCs w:val="24"/>
          <w:highlight w:val="none"/>
          <w:lang w:eastAsia="zh-CN"/>
        </w:rPr>
      </w:pPr>
      <w:r>
        <w:rPr>
          <w:rFonts w:hint="eastAsia" w:asciiTheme="majorEastAsia" w:hAnsiTheme="majorEastAsia" w:eastAsiaTheme="majorEastAsia" w:cstheme="majorEastAsia"/>
          <w:b w:val="0"/>
          <w:bCs/>
          <w:sz w:val="24"/>
          <w:szCs w:val="24"/>
          <w:highlight w:val="none"/>
          <w:lang w:eastAsia="zh-CN"/>
        </w:rPr>
        <w:t>（5）投标人概况表</w:t>
      </w:r>
    </w:p>
    <w:p w14:paraId="7B9C40C2">
      <w:pPr>
        <w:adjustRightInd w:val="0"/>
        <w:snapToGrid w:val="0"/>
        <w:spacing w:line="360" w:lineRule="auto"/>
        <w:ind w:left="0" w:leftChars="0" w:firstLine="511" w:firstLineChars="213"/>
        <w:jc w:val="left"/>
        <w:rPr>
          <w:rFonts w:hint="eastAsia" w:asciiTheme="majorEastAsia" w:hAnsiTheme="majorEastAsia" w:eastAsiaTheme="majorEastAsia" w:cstheme="majorEastAsia"/>
          <w:b w:val="0"/>
          <w:bCs/>
          <w:sz w:val="24"/>
          <w:szCs w:val="24"/>
          <w:highlight w:val="none"/>
          <w:lang w:eastAsia="zh-CN"/>
        </w:rPr>
      </w:pPr>
      <w:r>
        <w:rPr>
          <w:rFonts w:hint="eastAsia" w:asciiTheme="majorEastAsia" w:hAnsiTheme="majorEastAsia" w:eastAsiaTheme="majorEastAsia" w:cstheme="majorEastAsia"/>
          <w:b w:val="0"/>
          <w:bCs/>
          <w:sz w:val="24"/>
          <w:szCs w:val="24"/>
          <w:highlight w:val="none"/>
          <w:lang w:eastAsia="zh-CN"/>
        </w:rPr>
        <w:t>（6）项目负责人及实施团队</w:t>
      </w:r>
    </w:p>
    <w:p w14:paraId="686418DF">
      <w:pPr>
        <w:adjustRightInd w:val="0"/>
        <w:snapToGrid w:val="0"/>
        <w:spacing w:line="360" w:lineRule="auto"/>
        <w:ind w:left="0" w:leftChars="0" w:firstLine="511" w:firstLineChars="213"/>
        <w:jc w:val="left"/>
        <w:rPr>
          <w:rFonts w:hint="eastAsia" w:asciiTheme="majorEastAsia" w:hAnsiTheme="majorEastAsia" w:eastAsiaTheme="majorEastAsia" w:cstheme="majorEastAsia"/>
          <w:b w:val="0"/>
          <w:bCs/>
          <w:sz w:val="24"/>
          <w:szCs w:val="24"/>
          <w:highlight w:val="none"/>
          <w:lang w:eastAsia="zh-CN"/>
        </w:rPr>
      </w:pPr>
      <w:r>
        <w:rPr>
          <w:rFonts w:hint="eastAsia" w:asciiTheme="majorEastAsia" w:hAnsiTheme="majorEastAsia" w:eastAsiaTheme="majorEastAsia" w:cstheme="majorEastAsia"/>
          <w:b w:val="0"/>
          <w:bCs/>
          <w:sz w:val="24"/>
          <w:szCs w:val="24"/>
          <w:highlight w:val="none"/>
          <w:lang w:eastAsia="zh-CN"/>
        </w:rPr>
        <w:t>（7）技术方案</w:t>
      </w:r>
    </w:p>
    <w:p w14:paraId="79AA2D7B">
      <w:pPr>
        <w:adjustRightInd w:val="0"/>
        <w:snapToGrid w:val="0"/>
        <w:spacing w:line="360" w:lineRule="auto"/>
        <w:ind w:left="0" w:leftChars="0" w:firstLine="511" w:firstLineChars="213"/>
        <w:jc w:val="left"/>
        <w:rPr>
          <w:rFonts w:hint="eastAsia" w:asciiTheme="majorEastAsia" w:hAnsiTheme="majorEastAsia" w:eastAsiaTheme="majorEastAsia" w:cstheme="majorEastAsia"/>
          <w:b w:val="0"/>
          <w:bCs/>
          <w:sz w:val="24"/>
          <w:szCs w:val="24"/>
          <w:highlight w:val="none"/>
          <w:lang w:eastAsia="zh-CN"/>
        </w:rPr>
      </w:pPr>
      <w:r>
        <w:rPr>
          <w:rFonts w:hint="eastAsia" w:asciiTheme="majorEastAsia" w:hAnsiTheme="majorEastAsia" w:eastAsiaTheme="majorEastAsia" w:cstheme="majorEastAsia"/>
          <w:b w:val="0"/>
          <w:bCs/>
          <w:sz w:val="24"/>
          <w:szCs w:val="24"/>
          <w:highlight w:val="none"/>
          <w:lang w:eastAsia="zh-CN"/>
        </w:rPr>
        <w:t>（8）供应商类似项目业绩</w:t>
      </w:r>
    </w:p>
    <w:p w14:paraId="651C1B1B">
      <w:pPr>
        <w:adjustRightInd w:val="0"/>
        <w:snapToGrid w:val="0"/>
        <w:spacing w:line="360" w:lineRule="auto"/>
        <w:ind w:left="0" w:leftChars="0" w:firstLine="511" w:firstLineChars="213"/>
        <w:jc w:val="left"/>
        <w:rPr>
          <w:rFonts w:hint="eastAsia" w:asciiTheme="majorEastAsia" w:hAnsiTheme="majorEastAsia" w:eastAsiaTheme="majorEastAsia" w:cstheme="majorEastAsia"/>
          <w:b w:val="0"/>
          <w:bCs/>
          <w:sz w:val="24"/>
          <w:szCs w:val="24"/>
          <w:highlight w:val="none"/>
          <w:lang w:eastAsia="zh-CN"/>
        </w:rPr>
      </w:pPr>
      <w:r>
        <w:rPr>
          <w:rFonts w:hint="eastAsia" w:asciiTheme="majorEastAsia" w:hAnsiTheme="majorEastAsia" w:eastAsiaTheme="majorEastAsia" w:cstheme="majorEastAsia"/>
          <w:b w:val="0"/>
          <w:bCs/>
          <w:sz w:val="24"/>
          <w:szCs w:val="24"/>
          <w:highlight w:val="none"/>
          <w:lang w:eastAsia="zh-CN"/>
        </w:rPr>
        <w:t>（9）供应商认为有必要提供的其他资料</w:t>
      </w:r>
    </w:p>
    <w:p w14:paraId="595EDB94">
      <w:pPr>
        <w:adjustRightInd w:val="0"/>
        <w:snapToGrid w:val="0"/>
        <w:spacing w:line="360" w:lineRule="auto"/>
        <w:ind w:left="0" w:leftChars="0" w:firstLine="513" w:firstLineChars="213"/>
        <w:jc w:val="left"/>
        <w:rPr>
          <w:rFonts w:hint="eastAsia" w:asciiTheme="majorEastAsia" w:hAnsiTheme="majorEastAsia" w:eastAsiaTheme="majorEastAsia" w:cstheme="majorEastAsia"/>
          <w:b/>
          <w:bCs w:val="0"/>
          <w:sz w:val="24"/>
          <w:szCs w:val="24"/>
          <w:highlight w:val="none"/>
          <w:lang w:eastAsia="zh-CN"/>
        </w:rPr>
      </w:pPr>
      <w:r>
        <w:rPr>
          <w:rFonts w:hint="eastAsia" w:asciiTheme="majorEastAsia" w:hAnsiTheme="majorEastAsia" w:eastAsiaTheme="majorEastAsia" w:cstheme="majorEastAsia"/>
          <w:b/>
          <w:bCs w:val="0"/>
          <w:sz w:val="24"/>
          <w:szCs w:val="24"/>
          <w:highlight w:val="none"/>
          <w:lang w:val="en-US" w:eastAsia="zh-CN"/>
        </w:rPr>
        <w:t>13</w:t>
      </w:r>
      <w:r>
        <w:rPr>
          <w:rFonts w:hint="eastAsia" w:asciiTheme="majorEastAsia" w:hAnsiTheme="majorEastAsia" w:eastAsiaTheme="majorEastAsia" w:cstheme="majorEastAsia"/>
          <w:b/>
          <w:bCs w:val="0"/>
          <w:sz w:val="24"/>
          <w:szCs w:val="24"/>
          <w:highlight w:val="none"/>
          <w:lang w:eastAsia="zh-CN"/>
        </w:rPr>
        <w:t xml:space="preserve">.2 第 </w:t>
      </w:r>
      <w:r>
        <w:rPr>
          <w:rFonts w:hint="eastAsia" w:asciiTheme="majorEastAsia" w:hAnsiTheme="majorEastAsia" w:eastAsiaTheme="majorEastAsia" w:cstheme="majorEastAsia"/>
          <w:b/>
          <w:bCs w:val="0"/>
          <w:sz w:val="24"/>
          <w:szCs w:val="24"/>
          <w:highlight w:val="none"/>
          <w:lang w:val="en-US" w:eastAsia="zh-CN"/>
        </w:rPr>
        <w:t>13</w:t>
      </w:r>
      <w:r>
        <w:rPr>
          <w:rFonts w:hint="eastAsia" w:asciiTheme="majorEastAsia" w:hAnsiTheme="majorEastAsia" w:eastAsiaTheme="majorEastAsia" w:cstheme="majorEastAsia"/>
          <w:b/>
          <w:bCs w:val="0"/>
          <w:sz w:val="24"/>
          <w:szCs w:val="24"/>
          <w:highlight w:val="none"/>
          <w:lang w:eastAsia="zh-CN"/>
        </w:rPr>
        <w:t xml:space="preserve">.1.1 条中第(1) 项， 第 </w:t>
      </w:r>
      <w:r>
        <w:rPr>
          <w:rFonts w:hint="eastAsia" w:asciiTheme="majorEastAsia" w:hAnsiTheme="majorEastAsia" w:eastAsiaTheme="majorEastAsia" w:cstheme="majorEastAsia"/>
          <w:b/>
          <w:bCs w:val="0"/>
          <w:sz w:val="24"/>
          <w:szCs w:val="24"/>
          <w:highlight w:val="none"/>
          <w:lang w:val="en-US" w:eastAsia="zh-CN"/>
        </w:rPr>
        <w:t>13</w:t>
      </w:r>
      <w:r>
        <w:rPr>
          <w:rFonts w:hint="eastAsia" w:asciiTheme="majorEastAsia" w:hAnsiTheme="majorEastAsia" w:eastAsiaTheme="majorEastAsia" w:cstheme="majorEastAsia"/>
          <w:b/>
          <w:bCs w:val="0"/>
          <w:sz w:val="24"/>
          <w:szCs w:val="24"/>
          <w:highlight w:val="none"/>
          <w:lang w:eastAsia="zh-CN"/>
        </w:rPr>
        <w:t xml:space="preserve">.1.2 条中第(1) 项、 第 </w:t>
      </w:r>
      <w:r>
        <w:rPr>
          <w:rFonts w:hint="eastAsia" w:asciiTheme="majorEastAsia" w:hAnsiTheme="majorEastAsia" w:eastAsiaTheme="majorEastAsia" w:cstheme="majorEastAsia"/>
          <w:b/>
          <w:bCs w:val="0"/>
          <w:sz w:val="24"/>
          <w:szCs w:val="24"/>
          <w:highlight w:val="none"/>
          <w:lang w:val="en-US" w:eastAsia="zh-CN"/>
        </w:rPr>
        <w:t>13</w:t>
      </w:r>
      <w:r>
        <w:rPr>
          <w:rFonts w:hint="eastAsia" w:asciiTheme="majorEastAsia" w:hAnsiTheme="majorEastAsia" w:eastAsiaTheme="majorEastAsia" w:cstheme="majorEastAsia"/>
          <w:b/>
          <w:bCs w:val="0"/>
          <w:sz w:val="24"/>
          <w:szCs w:val="24"/>
          <w:highlight w:val="none"/>
          <w:lang w:eastAsia="zh-CN"/>
        </w:rPr>
        <w:t>.1.3 条中第(1)(2)(3)(4)(5)(6)(7)项为必备项，供应商在响应文件中必须提供有关材料，如果缺项，或不符合要求，将导致投标无效。</w:t>
      </w:r>
    </w:p>
    <w:p w14:paraId="46FAF95B">
      <w:pPr>
        <w:adjustRightInd w:val="0"/>
        <w:snapToGrid w:val="0"/>
        <w:spacing w:line="360" w:lineRule="auto"/>
        <w:ind w:left="0" w:leftChars="0" w:firstLine="511" w:firstLineChars="213"/>
        <w:jc w:val="left"/>
        <w:rPr>
          <w:rFonts w:hint="eastAsia"/>
          <w:b w:val="0"/>
          <w:bCs/>
          <w:sz w:val="24"/>
          <w:szCs w:val="24"/>
          <w:highlight w:val="none"/>
        </w:rPr>
      </w:pPr>
      <w:r>
        <w:rPr>
          <w:rFonts w:hint="eastAsia" w:asciiTheme="majorEastAsia" w:hAnsiTheme="majorEastAsia" w:eastAsiaTheme="majorEastAsia" w:cstheme="majorEastAsia"/>
          <w:b w:val="0"/>
          <w:bCs/>
          <w:sz w:val="24"/>
          <w:szCs w:val="24"/>
          <w:highlight w:val="none"/>
          <w:lang w:val="en-US" w:eastAsia="zh-CN"/>
        </w:rPr>
        <w:t>13</w:t>
      </w:r>
      <w:r>
        <w:rPr>
          <w:rFonts w:hint="eastAsia" w:asciiTheme="majorEastAsia" w:hAnsiTheme="majorEastAsia" w:eastAsiaTheme="majorEastAsia" w:cstheme="majorEastAsia"/>
          <w:b w:val="0"/>
          <w:bCs/>
          <w:sz w:val="24"/>
          <w:szCs w:val="24"/>
          <w:highlight w:val="none"/>
          <w:lang w:eastAsia="zh-CN"/>
        </w:rPr>
        <w:t>.3 供应商在投标中违反国家有关法律法规的强制性规定的，其投标按未满足招标文件实质性要求处理。</w:t>
      </w:r>
    </w:p>
    <w:p w14:paraId="41FD9CDF">
      <w:pPr>
        <w:pStyle w:val="5"/>
        <w:spacing w:before="0" w:after="0" w:line="360" w:lineRule="auto"/>
        <w:ind w:left="0" w:leftChars="0" w:firstLine="599" w:firstLineChars="213"/>
        <w:rPr>
          <w:highlight w:val="none"/>
        </w:rPr>
      </w:pPr>
      <w:r>
        <w:rPr>
          <w:rFonts w:hint="eastAsia"/>
          <w:highlight w:val="none"/>
        </w:rPr>
        <w:t>14、</w:t>
      </w:r>
      <w:r>
        <w:rPr>
          <w:rFonts w:hint="eastAsia"/>
          <w:highlight w:val="none"/>
          <w:lang w:eastAsia="zh-CN"/>
        </w:rPr>
        <w:t>响应文件</w:t>
      </w:r>
      <w:r>
        <w:rPr>
          <w:rFonts w:hint="eastAsia"/>
          <w:highlight w:val="none"/>
        </w:rPr>
        <w:t>的语言及计量</w:t>
      </w:r>
      <w:bookmarkEnd w:id="52"/>
    </w:p>
    <w:p w14:paraId="0E3B0556">
      <w:pPr>
        <w:adjustRightInd w:val="0"/>
        <w:snapToGrid w:val="0"/>
        <w:spacing w:line="360" w:lineRule="auto"/>
        <w:ind w:left="0" w:leftChars="0" w:firstLine="511" w:firstLineChars="213"/>
        <w:jc w:val="left"/>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 xml:space="preserve">14.1 </w:t>
      </w:r>
      <w:r>
        <w:rPr>
          <w:rFonts w:hint="eastAsia" w:asciiTheme="majorEastAsia" w:hAnsiTheme="majorEastAsia" w:eastAsiaTheme="majorEastAsia" w:cstheme="majorEastAsia"/>
          <w:sz w:val="24"/>
          <w:szCs w:val="24"/>
          <w:highlight w:val="none"/>
          <w:lang w:eastAsia="zh-CN"/>
        </w:rPr>
        <w:t>响应文件</w:t>
      </w:r>
      <w:r>
        <w:rPr>
          <w:rFonts w:hint="eastAsia" w:asciiTheme="majorEastAsia" w:hAnsiTheme="majorEastAsia" w:eastAsiaTheme="majorEastAsia" w:cstheme="majorEastAsia"/>
          <w:sz w:val="24"/>
          <w:szCs w:val="24"/>
          <w:highlight w:val="none"/>
        </w:rPr>
        <w:t>以及投标方与招标方就有关投标事宜的所有来往函电，均应以中文汉语书写。除签名、盖章、专用名称等特殊情形外，以中文汉语以外的文字表述的</w:t>
      </w:r>
      <w:r>
        <w:rPr>
          <w:rFonts w:hint="eastAsia" w:asciiTheme="majorEastAsia" w:hAnsiTheme="majorEastAsia" w:eastAsiaTheme="majorEastAsia" w:cstheme="majorEastAsia"/>
          <w:sz w:val="24"/>
          <w:szCs w:val="24"/>
          <w:highlight w:val="none"/>
          <w:lang w:eastAsia="zh-CN"/>
        </w:rPr>
        <w:t>响应文件</w:t>
      </w:r>
      <w:r>
        <w:rPr>
          <w:rFonts w:hint="eastAsia" w:asciiTheme="majorEastAsia" w:hAnsiTheme="majorEastAsia" w:eastAsiaTheme="majorEastAsia" w:cstheme="majorEastAsia"/>
          <w:sz w:val="24"/>
          <w:szCs w:val="24"/>
          <w:highlight w:val="none"/>
        </w:rPr>
        <w:t>视同未提供。</w:t>
      </w:r>
    </w:p>
    <w:p w14:paraId="23E289F9">
      <w:pPr>
        <w:adjustRightInd w:val="0"/>
        <w:snapToGrid w:val="0"/>
        <w:spacing w:line="360" w:lineRule="auto"/>
        <w:ind w:left="0" w:leftChars="0" w:firstLine="511" w:firstLineChars="213"/>
        <w:jc w:val="left"/>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14.2 投标计量单位，</w:t>
      </w:r>
      <w:r>
        <w:rPr>
          <w:rFonts w:hint="eastAsia" w:asciiTheme="majorEastAsia" w:hAnsiTheme="majorEastAsia" w:eastAsiaTheme="majorEastAsia" w:cstheme="majorEastAsia"/>
          <w:sz w:val="24"/>
          <w:szCs w:val="24"/>
          <w:highlight w:val="none"/>
          <w:lang w:eastAsia="zh-CN"/>
        </w:rPr>
        <w:t>磋商文件</w:t>
      </w:r>
      <w:r>
        <w:rPr>
          <w:rFonts w:hint="eastAsia" w:asciiTheme="majorEastAsia" w:hAnsiTheme="majorEastAsia" w:eastAsiaTheme="majorEastAsia" w:cstheme="majorEastAsia"/>
          <w:sz w:val="24"/>
          <w:szCs w:val="24"/>
          <w:highlight w:val="none"/>
        </w:rPr>
        <w:t>已有明确规定的，使用</w:t>
      </w:r>
      <w:r>
        <w:rPr>
          <w:rFonts w:hint="eastAsia" w:asciiTheme="majorEastAsia" w:hAnsiTheme="majorEastAsia" w:eastAsiaTheme="majorEastAsia" w:cstheme="majorEastAsia"/>
          <w:sz w:val="24"/>
          <w:szCs w:val="24"/>
          <w:highlight w:val="none"/>
          <w:lang w:eastAsia="zh-CN"/>
        </w:rPr>
        <w:t>磋商文件</w:t>
      </w:r>
      <w:r>
        <w:rPr>
          <w:rFonts w:hint="eastAsia" w:asciiTheme="majorEastAsia" w:hAnsiTheme="majorEastAsia" w:eastAsiaTheme="majorEastAsia" w:cstheme="majorEastAsia"/>
          <w:sz w:val="24"/>
          <w:szCs w:val="24"/>
          <w:highlight w:val="none"/>
        </w:rPr>
        <w:t>规定的计量单位；</w:t>
      </w:r>
      <w:r>
        <w:rPr>
          <w:rFonts w:hint="eastAsia" w:asciiTheme="majorEastAsia" w:hAnsiTheme="majorEastAsia" w:eastAsiaTheme="majorEastAsia" w:cstheme="majorEastAsia"/>
          <w:sz w:val="24"/>
          <w:szCs w:val="24"/>
          <w:highlight w:val="none"/>
          <w:lang w:eastAsia="zh-CN"/>
        </w:rPr>
        <w:t>磋商文件</w:t>
      </w:r>
      <w:r>
        <w:rPr>
          <w:rFonts w:hint="eastAsia" w:asciiTheme="majorEastAsia" w:hAnsiTheme="majorEastAsia" w:eastAsiaTheme="majorEastAsia" w:cstheme="majorEastAsia"/>
          <w:sz w:val="24"/>
          <w:szCs w:val="24"/>
          <w:highlight w:val="none"/>
        </w:rPr>
        <w:t>没有规定的，应采用中华人民共和国法定计量单位（货币单位：人民币元），否则视同未响应。</w:t>
      </w:r>
    </w:p>
    <w:p w14:paraId="44895653">
      <w:pPr>
        <w:pStyle w:val="5"/>
        <w:spacing w:before="0" w:after="0" w:line="360" w:lineRule="auto"/>
        <w:ind w:left="0" w:leftChars="0" w:firstLine="599" w:firstLineChars="213"/>
        <w:rPr>
          <w:highlight w:val="none"/>
        </w:rPr>
      </w:pPr>
      <w:bookmarkStart w:id="53" w:name="_Toc10847"/>
      <w:r>
        <w:rPr>
          <w:rFonts w:hint="eastAsia"/>
          <w:highlight w:val="none"/>
        </w:rPr>
        <w:t>15、投标报价</w:t>
      </w:r>
      <w:bookmarkEnd w:id="53"/>
    </w:p>
    <w:p w14:paraId="0F053EA9">
      <w:pPr>
        <w:adjustRightInd w:val="0"/>
        <w:snapToGrid w:val="0"/>
        <w:spacing w:line="360" w:lineRule="auto"/>
        <w:ind w:left="0" w:leftChars="0" w:firstLine="511" w:firstLineChars="213"/>
        <w:jc w:val="left"/>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15.1 投标报价按</w:t>
      </w:r>
      <w:r>
        <w:rPr>
          <w:rFonts w:hint="eastAsia" w:asciiTheme="majorEastAsia" w:hAnsiTheme="majorEastAsia" w:eastAsiaTheme="majorEastAsia" w:cstheme="majorEastAsia"/>
          <w:sz w:val="24"/>
          <w:szCs w:val="24"/>
          <w:highlight w:val="none"/>
          <w:lang w:eastAsia="zh-CN"/>
        </w:rPr>
        <w:t>磋商文件</w:t>
      </w:r>
      <w:r>
        <w:rPr>
          <w:rFonts w:hint="eastAsia" w:asciiTheme="majorEastAsia" w:hAnsiTheme="majorEastAsia" w:eastAsiaTheme="majorEastAsia" w:cstheme="majorEastAsia"/>
          <w:sz w:val="24"/>
          <w:szCs w:val="24"/>
          <w:highlight w:val="none"/>
        </w:rPr>
        <w:t>中相关附表格式填写，每个产品只允许一个报价。</w:t>
      </w:r>
      <w:r>
        <w:rPr>
          <w:rFonts w:hint="eastAsia" w:asciiTheme="majorEastAsia" w:hAnsiTheme="majorEastAsia" w:eastAsiaTheme="majorEastAsia" w:cstheme="majorEastAsia"/>
          <w:bCs/>
          <w:sz w:val="24"/>
          <w:szCs w:val="24"/>
          <w:highlight w:val="none"/>
        </w:rPr>
        <w:t>同型号产品参与不同标包投标的，则其报价必须相同，否则视为有选择性报价，按无效标处理</w:t>
      </w:r>
      <w:r>
        <w:rPr>
          <w:rFonts w:hint="eastAsia" w:asciiTheme="majorEastAsia" w:hAnsiTheme="majorEastAsia" w:eastAsiaTheme="majorEastAsia" w:cstheme="majorEastAsia"/>
          <w:sz w:val="24"/>
          <w:szCs w:val="24"/>
          <w:highlight w:val="none"/>
        </w:rPr>
        <w:t>。</w:t>
      </w:r>
    </w:p>
    <w:p w14:paraId="0B74C2F6">
      <w:pPr>
        <w:adjustRightInd w:val="0"/>
        <w:snapToGrid w:val="0"/>
        <w:spacing w:line="360" w:lineRule="auto"/>
        <w:ind w:left="0" w:leftChars="0" w:firstLine="511" w:firstLineChars="213"/>
        <w:jc w:val="left"/>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15.2 报价方式：折扣率报价：</w:t>
      </w:r>
      <w:r>
        <w:rPr>
          <w:rFonts w:hint="eastAsia" w:asciiTheme="majorEastAsia" w:hAnsiTheme="majorEastAsia" w:eastAsiaTheme="majorEastAsia" w:cstheme="majorEastAsia"/>
          <w:sz w:val="24"/>
          <w:szCs w:val="24"/>
          <w:highlight w:val="none"/>
          <w:lang w:eastAsia="zh-CN"/>
        </w:rPr>
        <w:t>是指按吐鲁番市发改委提供的市场零售价作为基准点参考依据。</w:t>
      </w:r>
      <w:r>
        <w:rPr>
          <w:rFonts w:hint="eastAsia" w:asciiTheme="majorEastAsia" w:hAnsiTheme="majorEastAsia" w:eastAsiaTheme="majorEastAsia" w:cstheme="majorEastAsia"/>
          <w:sz w:val="24"/>
          <w:szCs w:val="24"/>
          <w:highlight w:val="none"/>
        </w:rPr>
        <w:t>，每月共同调研次数不少于两次。</w:t>
      </w:r>
    </w:p>
    <w:p w14:paraId="3C586E3E">
      <w:pPr>
        <w:adjustRightInd w:val="0"/>
        <w:snapToGrid w:val="0"/>
        <w:spacing w:line="360" w:lineRule="auto"/>
        <w:ind w:left="0" w:leftChars="0" w:firstLine="511" w:firstLineChars="213"/>
        <w:jc w:val="left"/>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要求投标人以共同调研认可的市场价为准报下浮比例，下浮比例不能低于5%，否则其响应文件将被拒绝。。</w:t>
      </w:r>
    </w:p>
    <w:p w14:paraId="197D1F7F">
      <w:pPr>
        <w:tabs>
          <w:tab w:val="left" w:pos="525"/>
        </w:tabs>
        <w:adjustRightInd w:val="0"/>
        <w:snapToGrid w:val="0"/>
        <w:spacing w:line="360" w:lineRule="auto"/>
        <w:ind w:left="0" w:leftChars="0" w:firstLine="511" w:firstLineChars="213"/>
        <w:jc w:val="left"/>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15.3 每种货物只允许有一个报价，有选择的或有条件的报价将不予接受。</w:t>
      </w:r>
    </w:p>
    <w:p w14:paraId="43AEBD4F">
      <w:pPr>
        <w:pStyle w:val="5"/>
        <w:spacing w:before="0" w:after="0" w:line="360" w:lineRule="auto"/>
        <w:ind w:left="0" w:leftChars="0" w:firstLine="599" w:firstLineChars="213"/>
        <w:rPr>
          <w:highlight w:val="none"/>
        </w:rPr>
      </w:pPr>
      <w:bookmarkStart w:id="54" w:name="_Toc11872"/>
      <w:r>
        <w:rPr>
          <w:rFonts w:hint="eastAsia"/>
          <w:highlight w:val="none"/>
        </w:rPr>
        <w:t>16、</w:t>
      </w:r>
      <w:r>
        <w:rPr>
          <w:rFonts w:hint="eastAsia"/>
          <w:highlight w:val="none"/>
          <w:lang w:eastAsia="zh-CN"/>
        </w:rPr>
        <w:t>响应文件</w:t>
      </w:r>
      <w:r>
        <w:rPr>
          <w:rFonts w:hint="eastAsia"/>
          <w:highlight w:val="none"/>
        </w:rPr>
        <w:t>的有效期</w:t>
      </w:r>
      <w:bookmarkEnd w:id="54"/>
    </w:p>
    <w:p w14:paraId="2C1CC33E">
      <w:pPr>
        <w:tabs>
          <w:tab w:val="left" w:pos="454"/>
          <w:tab w:val="left" w:pos="720"/>
        </w:tabs>
        <w:adjustRightInd w:val="0"/>
        <w:snapToGrid w:val="0"/>
        <w:spacing w:line="360" w:lineRule="auto"/>
        <w:ind w:left="0" w:leftChars="0" w:firstLine="511" w:firstLineChars="213"/>
        <w:jc w:val="left"/>
        <w:rPr>
          <w:rFonts w:asciiTheme="majorEastAsia" w:hAnsiTheme="majorEastAsia" w:eastAsiaTheme="majorEastAsia" w:cstheme="majorEastAsia"/>
          <w:kern w:val="0"/>
          <w:sz w:val="24"/>
          <w:szCs w:val="24"/>
          <w:highlight w:val="none"/>
        </w:rPr>
      </w:pPr>
      <w:r>
        <w:rPr>
          <w:rFonts w:hint="eastAsia" w:asciiTheme="majorEastAsia" w:hAnsiTheme="majorEastAsia" w:eastAsiaTheme="majorEastAsia" w:cstheme="majorEastAsia"/>
          <w:kern w:val="0"/>
          <w:sz w:val="24"/>
          <w:szCs w:val="24"/>
          <w:highlight w:val="none"/>
        </w:rPr>
        <w:t>16.1 自投标截止日起</w:t>
      </w:r>
      <w:r>
        <w:rPr>
          <w:rFonts w:hint="eastAsia" w:asciiTheme="majorEastAsia" w:hAnsiTheme="majorEastAsia" w:eastAsiaTheme="majorEastAsia" w:cstheme="majorEastAsia"/>
          <w:kern w:val="0"/>
          <w:sz w:val="24"/>
          <w:szCs w:val="24"/>
          <w:highlight w:val="none"/>
          <w:u w:val="single"/>
        </w:rPr>
        <w:t>90</w:t>
      </w:r>
      <w:r>
        <w:rPr>
          <w:rFonts w:hint="eastAsia" w:asciiTheme="majorEastAsia" w:hAnsiTheme="majorEastAsia" w:eastAsiaTheme="majorEastAsia" w:cstheme="majorEastAsia"/>
          <w:kern w:val="0"/>
          <w:sz w:val="24"/>
          <w:szCs w:val="24"/>
          <w:highlight w:val="none"/>
        </w:rPr>
        <w:t>天</w:t>
      </w:r>
      <w:r>
        <w:rPr>
          <w:rFonts w:hint="eastAsia" w:asciiTheme="majorEastAsia" w:hAnsiTheme="majorEastAsia" w:eastAsiaTheme="majorEastAsia" w:cstheme="majorEastAsia"/>
          <w:kern w:val="0"/>
          <w:sz w:val="24"/>
          <w:szCs w:val="24"/>
          <w:highlight w:val="none"/>
          <w:lang w:eastAsia="zh-CN"/>
        </w:rPr>
        <w:t>响应文件</w:t>
      </w:r>
      <w:r>
        <w:rPr>
          <w:rFonts w:hint="eastAsia" w:asciiTheme="majorEastAsia" w:hAnsiTheme="majorEastAsia" w:eastAsiaTheme="majorEastAsia" w:cstheme="majorEastAsia"/>
          <w:kern w:val="0"/>
          <w:sz w:val="24"/>
          <w:szCs w:val="24"/>
          <w:highlight w:val="none"/>
        </w:rPr>
        <w:t>应保持有效。</w:t>
      </w:r>
    </w:p>
    <w:p w14:paraId="5504AD75">
      <w:pPr>
        <w:tabs>
          <w:tab w:val="left" w:pos="454"/>
          <w:tab w:val="left" w:pos="720"/>
        </w:tabs>
        <w:adjustRightInd w:val="0"/>
        <w:snapToGrid w:val="0"/>
        <w:spacing w:line="360" w:lineRule="auto"/>
        <w:ind w:left="0" w:leftChars="0" w:firstLine="511" w:firstLineChars="213"/>
        <w:jc w:val="left"/>
        <w:rPr>
          <w:rFonts w:asciiTheme="majorEastAsia" w:hAnsiTheme="majorEastAsia" w:eastAsiaTheme="majorEastAsia" w:cstheme="majorEastAsia"/>
          <w:kern w:val="0"/>
          <w:sz w:val="24"/>
          <w:szCs w:val="24"/>
          <w:highlight w:val="none"/>
        </w:rPr>
      </w:pPr>
      <w:r>
        <w:rPr>
          <w:rFonts w:hint="eastAsia" w:asciiTheme="majorEastAsia" w:hAnsiTheme="majorEastAsia" w:eastAsiaTheme="majorEastAsia" w:cstheme="majorEastAsia"/>
          <w:kern w:val="0"/>
          <w:sz w:val="24"/>
          <w:szCs w:val="24"/>
          <w:highlight w:val="none"/>
        </w:rPr>
        <w:t>16.2 在特殊情况下，采购人可与投标人协商延长投标书的有效期，这种要求和答复均以书面形式进行。</w:t>
      </w:r>
    </w:p>
    <w:p w14:paraId="4A552775">
      <w:pPr>
        <w:adjustRightInd w:val="0"/>
        <w:snapToGrid w:val="0"/>
        <w:spacing w:line="360" w:lineRule="auto"/>
        <w:ind w:left="0" w:leftChars="0" w:firstLine="511" w:firstLineChars="213"/>
        <w:jc w:val="left"/>
        <w:rPr>
          <w:rFonts w:asciiTheme="majorEastAsia" w:hAnsiTheme="majorEastAsia" w:eastAsiaTheme="majorEastAsia" w:cstheme="majorEastAsia"/>
          <w:b/>
          <w:sz w:val="24"/>
          <w:szCs w:val="24"/>
          <w:highlight w:val="none"/>
        </w:rPr>
      </w:pPr>
      <w:r>
        <w:rPr>
          <w:rFonts w:hint="eastAsia" w:asciiTheme="majorEastAsia" w:hAnsiTheme="majorEastAsia" w:eastAsiaTheme="majorEastAsia" w:cstheme="majorEastAsia"/>
          <w:sz w:val="24"/>
          <w:szCs w:val="24"/>
          <w:highlight w:val="none"/>
        </w:rPr>
        <w:t>16.3 投标人可拒绝接受延期要求而不会导致投标保证金被没收。同意延长有效期的投标人需要相应延长投标保证金的有效期，但不能修改</w:t>
      </w:r>
      <w:r>
        <w:rPr>
          <w:rFonts w:hint="eastAsia" w:asciiTheme="majorEastAsia" w:hAnsiTheme="majorEastAsia" w:eastAsiaTheme="majorEastAsia" w:cstheme="majorEastAsia"/>
          <w:sz w:val="24"/>
          <w:szCs w:val="24"/>
          <w:highlight w:val="none"/>
          <w:lang w:eastAsia="zh-CN"/>
        </w:rPr>
        <w:t>响应文件</w:t>
      </w:r>
      <w:r>
        <w:rPr>
          <w:rFonts w:hint="eastAsia" w:asciiTheme="majorEastAsia" w:hAnsiTheme="majorEastAsia" w:eastAsiaTheme="majorEastAsia" w:cstheme="majorEastAsia"/>
          <w:sz w:val="24"/>
          <w:szCs w:val="24"/>
          <w:highlight w:val="none"/>
        </w:rPr>
        <w:t>。</w:t>
      </w:r>
    </w:p>
    <w:p w14:paraId="7E5D741E">
      <w:pPr>
        <w:adjustRightInd w:val="0"/>
        <w:snapToGrid w:val="0"/>
        <w:spacing w:line="360" w:lineRule="auto"/>
        <w:ind w:left="0" w:leftChars="0" w:firstLine="511" w:firstLineChars="213"/>
        <w:jc w:val="left"/>
        <w:rPr>
          <w:rFonts w:asciiTheme="majorEastAsia" w:hAnsiTheme="majorEastAsia" w:eastAsiaTheme="majorEastAsia" w:cstheme="majorEastAsia"/>
          <w:b/>
          <w:sz w:val="24"/>
          <w:szCs w:val="24"/>
          <w:highlight w:val="none"/>
        </w:rPr>
      </w:pPr>
      <w:r>
        <w:rPr>
          <w:rFonts w:hint="eastAsia" w:asciiTheme="majorEastAsia" w:hAnsiTheme="majorEastAsia" w:eastAsiaTheme="majorEastAsia" w:cstheme="majorEastAsia"/>
          <w:sz w:val="24"/>
          <w:szCs w:val="24"/>
          <w:highlight w:val="none"/>
        </w:rPr>
        <w:t>16.4 成交投标人的</w:t>
      </w:r>
      <w:r>
        <w:rPr>
          <w:rFonts w:hint="eastAsia" w:asciiTheme="majorEastAsia" w:hAnsiTheme="majorEastAsia" w:eastAsiaTheme="majorEastAsia" w:cstheme="majorEastAsia"/>
          <w:sz w:val="24"/>
          <w:szCs w:val="24"/>
          <w:highlight w:val="none"/>
          <w:lang w:eastAsia="zh-CN"/>
        </w:rPr>
        <w:t>响应文件</w:t>
      </w:r>
      <w:r>
        <w:rPr>
          <w:rFonts w:hint="eastAsia" w:asciiTheme="majorEastAsia" w:hAnsiTheme="majorEastAsia" w:eastAsiaTheme="majorEastAsia" w:cstheme="majorEastAsia"/>
          <w:sz w:val="24"/>
          <w:szCs w:val="24"/>
          <w:highlight w:val="none"/>
        </w:rPr>
        <w:t>自开标之日起至合同履行完毕止均应保持有效。</w:t>
      </w:r>
    </w:p>
    <w:p w14:paraId="07DF08B2">
      <w:pPr>
        <w:pStyle w:val="5"/>
        <w:spacing w:before="0" w:after="0" w:line="360" w:lineRule="auto"/>
        <w:ind w:left="0" w:leftChars="0" w:firstLine="599" w:firstLineChars="213"/>
        <w:rPr>
          <w:highlight w:val="none"/>
        </w:rPr>
      </w:pPr>
      <w:bookmarkStart w:id="55" w:name="_Toc2098"/>
      <w:r>
        <w:rPr>
          <w:rFonts w:hint="eastAsia"/>
          <w:highlight w:val="none"/>
        </w:rPr>
        <w:t>17、投标保证金</w:t>
      </w:r>
      <w:bookmarkEnd w:id="55"/>
    </w:p>
    <w:p w14:paraId="3128CAF7">
      <w:pPr>
        <w:adjustRightInd w:val="0"/>
        <w:snapToGrid w:val="0"/>
        <w:spacing w:line="360" w:lineRule="auto"/>
        <w:ind w:left="0" w:leftChars="0" w:firstLine="511" w:firstLineChars="213"/>
        <w:jc w:val="left"/>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17.1 投标人须按规定提交投标保证金。否则，其投标将被拒绝。</w:t>
      </w:r>
    </w:p>
    <w:p w14:paraId="216AAE4F">
      <w:pPr>
        <w:adjustRightInd w:val="0"/>
        <w:snapToGrid w:val="0"/>
        <w:spacing w:line="360" w:lineRule="auto"/>
        <w:ind w:left="0" w:leftChars="0" w:firstLine="511" w:firstLineChars="213"/>
        <w:jc w:val="left"/>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17.2 保证金形式：投标保证金应当以支票、汇票、本票或者金融机构、担保机构出具的保函等非现金形式提交，投标人未按照</w:t>
      </w:r>
      <w:r>
        <w:rPr>
          <w:rFonts w:hint="eastAsia" w:asciiTheme="majorEastAsia" w:hAnsiTheme="majorEastAsia" w:eastAsiaTheme="majorEastAsia" w:cstheme="majorEastAsia"/>
          <w:sz w:val="24"/>
          <w:szCs w:val="24"/>
          <w:highlight w:val="none"/>
          <w:lang w:eastAsia="zh-CN"/>
        </w:rPr>
        <w:t>磋商文件</w:t>
      </w:r>
      <w:r>
        <w:rPr>
          <w:rFonts w:hint="eastAsia" w:asciiTheme="majorEastAsia" w:hAnsiTheme="majorEastAsia" w:eastAsiaTheme="majorEastAsia" w:cstheme="majorEastAsia"/>
          <w:sz w:val="24"/>
          <w:szCs w:val="24"/>
          <w:highlight w:val="none"/>
        </w:rPr>
        <w:t>要求提交投标保证金的，投标无效。</w:t>
      </w:r>
    </w:p>
    <w:p w14:paraId="2CF75EF1">
      <w:pPr>
        <w:adjustRightInd w:val="0"/>
        <w:snapToGrid w:val="0"/>
        <w:spacing w:line="360" w:lineRule="auto"/>
        <w:ind w:left="0" w:leftChars="0" w:firstLine="511" w:firstLineChars="213"/>
        <w:jc w:val="left"/>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17.3 退还保证金时，投标人提供单位账户信息。</w:t>
      </w:r>
    </w:p>
    <w:p w14:paraId="59C442D1">
      <w:pPr>
        <w:adjustRightInd w:val="0"/>
        <w:snapToGrid w:val="0"/>
        <w:spacing w:line="360" w:lineRule="auto"/>
        <w:ind w:left="0" w:leftChars="0" w:firstLine="511" w:firstLineChars="213"/>
        <w:jc w:val="left"/>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17.4 采购代理机构应当自中标通知书发出之日起5个工作日内退还未中标单位的投标保证金，自政府采购合同签订之日起 5 个工作日内退还中标单位的投标保证金。但因投标人自身原因导致无法及时退还的除外。</w:t>
      </w:r>
    </w:p>
    <w:p w14:paraId="3EF1BC89">
      <w:pPr>
        <w:adjustRightInd w:val="0"/>
        <w:snapToGrid w:val="0"/>
        <w:spacing w:line="360" w:lineRule="auto"/>
        <w:ind w:left="0" w:leftChars="0" w:firstLine="513" w:firstLineChars="213"/>
        <w:jc w:val="left"/>
        <w:rPr>
          <w:rFonts w:asciiTheme="majorEastAsia" w:hAnsiTheme="majorEastAsia" w:eastAsiaTheme="majorEastAsia" w:cstheme="majorEastAsia"/>
          <w:b/>
          <w:bCs/>
          <w:sz w:val="24"/>
          <w:szCs w:val="24"/>
          <w:highlight w:val="none"/>
        </w:rPr>
      </w:pPr>
      <w:r>
        <w:rPr>
          <w:rFonts w:hint="eastAsia" w:asciiTheme="majorEastAsia" w:hAnsiTheme="majorEastAsia" w:eastAsiaTheme="majorEastAsia" w:cstheme="majorEastAsia"/>
          <w:b/>
          <w:bCs/>
          <w:sz w:val="24"/>
          <w:szCs w:val="24"/>
          <w:highlight w:val="none"/>
        </w:rPr>
        <w:t>17.5 投标人有下列情形之一的，投标保证金将不予退还：</w:t>
      </w:r>
    </w:p>
    <w:p w14:paraId="03EF9851">
      <w:pPr>
        <w:adjustRightInd w:val="0"/>
        <w:snapToGrid w:val="0"/>
        <w:spacing w:line="360" w:lineRule="auto"/>
        <w:ind w:left="0" w:leftChars="0" w:firstLine="513" w:firstLineChars="213"/>
        <w:jc w:val="left"/>
        <w:rPr>
          <w:rFonts w:asciiTheme="majorEastAsia" w:hAnsiTheme="majorEastAsia" w:eastAsiaTheme="majorEastAsia" w:cstheme="majorEastAsia"/>
          <w:b/>
          <w:sz w:val="24"/>
          <w:szCs w:val="24"/>
          <w:highlight w:val="none"/>
        </w:rPr>
      </w:pPr>
      <w:r>
        <w:rPr>
          <w:rFonts w:hint="eastAsia" w:asciiTheme="majorEastAsia" w:hAnsiTheme="majorEastAsia" w:eastAsiaTheme="majorEastAsia" w:cstheme="majorEastAsia"/>
          <w:b/>
          <w:sz w:val="24"/>
          <w:szCs w:val="24"/>
          <w:highlight w:val="none"/>
        </w:rPr>
        <w:t>（1）投标人在投标有效期内撤回</w:t>
      </w:r>
      <w:r>
        <w:rPr>
          <w:rFonts w:hint="eastAsia" w:asciiTheme="majorEastAsia" w:hAnsiTheme="majorEastAsia" w:eastAsiaTheme="majorEastAsia" w:cstheme="majorEastAsia"/>
          <w:b/>
          <w:sz w:val="24"/>
          <w:szCs w:val="24"/>
          <w:highlight w:val="none"/>
          <w:lang w:eastAsia="zh-CN"/>
        </w:rPr>
        <w:t>响应文件</w:t>
      </w:r>
      <w:r>
        <w:rPr>
          <w:rFonts w:hint="eastAsia" w:asciiTheme="majorEastAsia" w:hAnsiTheme="majorEastAsia" w:eastAsiaTheme="majorEastAsia" w:cstheme="majorEastAsia"/>
          <w:b/>
          <w:sz w:val="24"/>
          <w:szCs w:val="24"/>
          <w:highlight w:val="none"/>
        </w:rPr>
        <w:t>的；</w:t>
      </w:r>
    </w:p>
    <w:p w14:paraId="208AEEB7">
      <w:pPr>
        <w:adjustRightInd w:val="0"/>
        <w:snapToGrid w:val="0"/>
        <w:spacing w:line="360" w:lineRule="auto"/>
        <w:ind w:left="0" w:leftChars="0" w:firstLine="513" w:firstLineChars="213"/>
        <w:jc w:val="left"/>
        <w:rPr>
          <w:rFonts w:asciiTheme="majorEastAsia" w:hAnsiTheme="majorEastAsia" w:eastAsiaTheme="majorEastAsia" w:cstheme="majorEastAsia"/>
          <w:b/>
          <w:sz w:val="24"/>
          <w:szCs w:val="24"/>
          <w:highlight w:val="none"/>
        </w:rPr>
      </w:pPr>
      <w:r>
        <w:rPr>
          <w:rFonts w:hint="eastAsia" w:asciiTheme="majorEastAsia" w:hAnsiTheme="majorEastAsia" w:eastAsiaTheme="majorEastAsia" w:cstheme="majorEastAsia"/>
          <w:b/>
          <w:sz w:val="24"/>
          <w:szCs w:val="24"/>
          <w:highlight w:val="none"/>
        </w:rPr>
        <w:t>（2）投标人在投标过程中弄虚作假，提供虚假材料的；</w:t>
      </w:r>
    </w:p>
    <w:p w14:paraId="1C61EE4C">
      <w:pPr>
        <w:adjustRightInd w:val="0"/>
        <w:snapToGrid w:val="0"/>
        <w:spacing w:line="360" w:lineRule="auto"/>
        <w:ind w:left="0" w:leftChars="0" w:firstLine="513" w:firstLineChars="213"/>
        <w:rPr>
          <w:rFonts w:asciiTheme="majorEastAsia" w:hAnsiTheme="majorEastAsia" w:eastAsiaTheme="majorEastAsia" w:cstheme="majorEastAsia"/>
          <w:b/>
          <w:sz w:val="24"/>
          <w:szCs w:val="24"/>
          <w:highlight w:val="none"/>
        </w:rPr>
      </w:pPr>
      <w:r>
        <w:rPr>
          <w:rFonts w:hint="eastAsia" w:asciiTheme="majorEastAsia" w:hAnsiTheme="majorEastAsia" w:eastAsiaTheme="majorEastAsia" w:cstheme="majorEastAsia"/>
          <w:b/>
          <w:sz w:val="24"/>
          <w:szCs w:val="24"/>
          <w:highlight w:val="none"/>
        </w:rPr>
        <w:t>（3）成交投标人无正当理由不与采购人签订合同的；</w:t>
      </w:r>
    </w:p>
    <w:p w14:paraId="0C4AAB16">
      <w:pPr>
        <w:adjustRightInd w:val="0"/>
        <w:snapToGrid w:val="0"/>
        <w:spacing w:line="360" w:lineRule="auto"/>
        <w:ind w:left="0" w:leftChars="0" w:firstLine="513" w:firstLineChars="213"/>
        <w:rPr>
          <w:rFonts w:asciiTheme="majorEastAsia" w:hAnsiTheme="majorEastAsia" w:eastAsiaTheme="majorEastAsia" w:cstheme="majorEastAsia"/>
          <w:b/>
          <w:sz w:val="24"/>
          <w:szCs w:val="24"/>
          <w:highlight w:val="none"/>
        </w:rPr>
      </w:pPr>
      <w:r>
        <w:rPr>
          <w:rFonts w:hint="eastAsia" w:asciiTheme="majorEastAsia" w:hAnsiTheme="majorEastAsia" w:eastAsiaTheme="majorEastAsia" w:cstheme="majorEastAsia"/>
          <w:b/>
          <w:sz w:val="24"/>
          <w:szCs w:val="24"/>
          <w:highlight w:val="none"/>
        </w:rPr>
        <w:t>（4）</w:t>
      </w:r>
      <w:r>
        <w:rPr>
          <w:rFonts w:hint="eastAsia" w:asciiTheme="majorEastAsia" w:hAnsiTheme="majorEastAsia" w:eastAsiaTheme="majorEastAsia" w:cstheme="majorEastAsia"/>
          <w:b/>
          <w:bCs/>
          <w:sz w:val="24"/>
          <w:szCs w:val="24"/>
          <w:highlight w:val="none"/>
        </w:rPr>
        <w:t>将中标项目转让给他人或者在</w:t>
      </w:r>
      <w:r>
        <w:rPr>
          <w:rFonts w:hint="eastAsia" w:asciiTheme="majorEastAsia" w:hAnsiTheme="majorEastAsia" w:eastAsiaTheme="majorEastAsia" w:cstheme="majorEastAsia"/>
          <w:b/>
          <w:bCs/>
          <w:sz w:val="24"/>
          <w:szCs w:val="24"/>
          <w:highlight w:val="none"/>
          <w:lang w:eastAsia="zh-CN"/>
        </w:rPr>
        <w:t>响应文件</w:t>
      </w:r>
      <w:r>
        <w:rPr>
          <w:rFonts w:hint="eastAsia" w:asciiTheme="majorEastAsia" w:hAnsiTheme="majorEastAsia" w:eastAsiaTheme="majorEastAsia" w:cstheme="majorEastAsia"/>
          <w:b/>
          <w:bCs/>
          <w:sz w:val="24"/>
          <w:szCs w:val="24"/>
          <w:highlight w:val="none"/>
        </w:rPr>
        <w:t>中未说明且未经招标采购单位同意，将项目分包给他人的；</w:t>
      </w:r>
    </w:p>
    <w:p w14:paraId="54B63CAA">
      <w:pPr>
        <w:adjustRightInd w:val="0"/>
        <w:snapToGrid w:val="0"/>
        <w:spacing w:line="360" w:lineRule="auto"/>
        <w:ind w:left="0" w:leftChars="0" w:firstLine="513" w:firstLineChars="213"/>
        <w:rPr>
          <w:rFonts w:asciiTheme="majorEastAsia" w:hAnsiTheme="majorEastAsia" w:eastAsiaTheme="majorEastAsia" w:cstheme="majorEastAsia"/>
          <w:b/>
          <w:sz w:val="24"/>
          <w:szCs w:val="24"/>
          <w:highlight w:val="none"/>
        </w:rPr>
      </w:pPr>
      <w:r>
        <w:rPr>
          <w:rFonts w:hint="eastAsia" w:asciiTheme="majorEastAsia" w:hAnsiTheme="majorEastAsia" w:eastAsiaTheme="majorEastAsia" w:cstheme="majorEastAsia"/>
          <w:b/>
          <w:sz w:val="24"/>
          <w:szCs w:val="24"/>
          <w:highlight w:val="none"/>
        </w:rPr>
        <w:t>（5）拒绝履行合同义务的；</w:t>
      </w:r>
    </w:p>
    <w:p w14:paraId="11D15A5F">
      <w:pPr>
        <w:adjustRightInd w:val="0"/>
        <w:snapToGrid w:val="0"/>
        <w:spacing w:line="360" w:lineRule="auto"/>
        <w:ind w:left="0" w:leftChars="0" w:firstLine="513" w:firstLineChars="213"/>
        <w:rPr>
          <w:rFonts w:asciiTheme="majorEastAsia" w:hAnsiTheme="majorEastAsia" w:eastAsiaTheme="majorEastAsia" w:cstheme="majorEastAsia"/>
          <w:b/>
          <w:sz w:val="24"/>
          <w:szCs w:val="24"/>
          <w:highlight w:val="none"/>
        </w:rPr>
      </w:pPr>
      <w:r>
        <w:rPr>
          <w:rFonts w:hint="eastAsia" w:asciiTheme="majorEastAsia" w:hAnsiTheme="majorEastAsia" w:eastAsiaTheme="majorEastAsia" w:cstheme="majorEastAsia"/>
          <w:b/>
          <w:sz w:val="24"/>
          <w:szCs w:val="24"/>
          <w:highlight w:val="none"/>
        </w:rPr>
        <w:t>（6）其他严重扰乱招投标程序的。</w:t>
      </w:r>
    </w:p>
    <w:p w14:paraId="01E99A9C">
      <w:pPr>
        <w:pStyle w:val="5"/>
        <w:spacing w:before="0" w:after="0" w:line="360" w:lineRule="auto"/>
        <w:ind w:left="0" w:leftChars="0" w:firstLine="513" w:firstLineChars="213"/>
        <w:rPr>
          <w:rFonts w:hint="default" w:asciiTheme="majorEastAsia" w:hAnsiTheme="majorEastAsia" w:eastAsiaTheme="majorEastAsia" w:cstheme="majorEastAsia"/>
          <w:sz w:val="24"/>
          <w:szCs w:val="24"/>
          <w:highlight w:val="none"/>
          <w:lang w:val="en-US" w:eastAsia="zh-CN"/>
        </w:rPr>
      </w:pPr>
      <w:bookmarkStart w:id="56" w:name="_Toc16494"/>
      <w:r>
        <w:rPr>
          <w:rFonts w:hint="eastAsia" w:asciiTheme="majorEastAsia" w:hAnsiTheme="majorEastAsia" w:eastAsiaTheme="majorEastAsia" w:cstheme="majorEastAsia"/>
          <w:sz w:val="24"/>
          <w:szCs w:val="24"/>
          <w:highlight w:val="none"/>
        </w:rPr>
        <w:t>18、</w:t>
      </w:r>
      <w:bookmarkEnd w:id="56"/>
      <w:r>
        <w:rPr>
          <w:rFonts w:hint="eastAsia" w:asciiTheme="majorEastAsia" w:hAnsiTheme="majorEastAsia" w:eastAsiaTheme="majorEastAsia" w:cstheme="majorEastAsia"/>
          <w:sz w:val="24"/>
          <w:szCs w:val="24"/>
          <w:highlight w:val="none"/>
          <w:lang w:val="en-US" w:eastAsia="zh-CN"/>
        </w:rPr>
        <w:t>响应文件的上传</w:t>
      </w:r>
    </w:p>
    <w:p w14:paraId="2630637E">
      <w:pPr>
        <w:adjustRightInd w:val="0"/>
        <w:snapToGrid w:val="0"/>
        <w:spacing w:line="360" w:lineRule="auto"/>
        <w:ind w:left="0" w:leftChars="0" w:firstLine="511" w:firstLineChars="213"/>
        <w:rPr>
          <w:rFonts w:hint="eastAsia" w:asciiTheme="majorEastAsia" w:hAnsiTheme="majorEastAsia" w:eastAsiaTheme="majorEastAsia" w:cstheme="majorEastAsia"/>
          <w:sz w:val="24"/>
          <w:szCs w:val="24"/>
          <w:highlight w:val="none"/>
        </w:rPr>
      </w:pPr>
      <w:bookmarkStart w:id="57" w:name="_Toc233618975"/>
      <w:bookmarkStart w:id="58" w:name="_Toc86216991"/>
      <w:r>
        <w:rPr>
          <w:rFonts w:hint="eastAsia" w:asciiTheme="majorEastAsia" w:hAnsiTheme="majorEastAsia" w:eastAsiaTheme="majorEastAsia" w:cstheme="majorEastAsia"/>
          <w:sz w:val="24"/>
          <w:szCs w:val="24"/>
          <w:highlight w:val="none"/>
          <w:lang w:val="en-US" w:eastAsia="zh-CN"/>
        </w:rPr>
        <w:t>18.1</w:t>
      </w:r>
      <w:r>
        <w:rPr>
          <w:rFonts w:hint="eastAsia" w:asciiTheme="majorEastAsia" w:hAnsiTheme="majorEastAsia" w:eastAsiaTheme="majorEastAsia" w:cstheme="majorEastAsia"/>
          <w:sz w:val="24"/>
          <w:szCs w:val="24"/>
          <w:highlight w:val="none"/>
        </w:rPr>
        <w:t>本项目使用政采云平台采用全流程电子招投标。供应商根据磋商文件及政采云电子招投标供应商操作手册要求编制、生成并提交（上传）电子响应文件。采购人及采购代理机构拒绝接受通过电子交易平台以外的任何形式提交（上传）的响应文件。</w:t>
      </w:r>
    </w:p>
    <w:p w14:paraId="1B1D5610">
      <w:pPr>
        <w:adjustRightInd w:val="0"/>
        <w:snapToGrid w:val="0"/>
        <w:spacing w:line="360" w:lineRule="auto"/>
        <w:ind w:left="0" w:leftChars="0" w:firstLine="511" w:firstLineChars="213"/>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18.</w:t>
      </w:r>
      <w:r>
        <w:rPr>
          <w:rFonts w:hint="eastAsia" w:asciiTheme="majorEastAsia" w:hAnsiTheme="majorEastAsia" w:eastAsiaTheme="majorEastAsia" w:cstheme="majorEastAsia"/>
          <w:sz w:val="24"/>
          <w:szCs w:val="24"/>
          <w:highlight w:val="none"/>
          <w:lang w:val="en-US" w:eastAsia="zh-CN"/>
        </w:rPr>
        <w:t>2</w:t>
      </w:r>
      <w:r>
        <w:rPr>
          <w:rFonts w:hint="eastAsia" w:asciiTheme="majorEastAsia" w:hAnsiTheme="majorEastAsia" w:eastAsiaTheme="majorEastAsia" w:cstheme="majorEastAsia"/>
          <w:sz w:val="24"/>
          <w:szCs w:val="24"/>
          <w:highlight w:val="none"/>
        </w:rPr>
        <w:t>响应文件上传的截止日期</w:t>
      </w:r>
    </w:p>
    <w:p w14:paraId="36798783">
      <w:pPr>
        <w:adjustRightInd w:val="0"/>
        <w:snapToGrid w:val="0"/>
        <w:spacing w:line="360" w:lineRule="auto"/>
        <w:ind w:left="0" w:leftChars="0" w:firstLine="511" w:firstLineChars="213"/>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18.</w:t>
      </w:r>
      <w:r>
        <w:rPr>
          <w:rFonts w:hint="eastAsia" w:asciiTheme="majorEastAsia" w:hAnsiTheme="majorEastAsia" w:eastAsiaTheme="majorEastAsia" w:cstheme="majorEastAsia"/>
          <w:sz w:val="24"/>
          <w:szCs w:val="24"/>
          <w:highlight w:val="none"/>
          <w:lang w:val="en-US" w:eastAsia="zh-CN"/>
        </w:rPr>
        <w:t>2.1</w:t>
      </w:r>
      <w:r>
        <w:rPr>
          <w:rFonts w:hint="eastAsia" w:asciiTheme="majorEastAsia" w:hAnsiTheme="majorEastAsia" w:eastAsiaTheme="majorEastAsia" w:cstheme="majorEastAsia"/>
          <w:sz w:val="24"/>
          <w:szCs w:val="24"/>
          <w:highlight w:val="none"/>
        </w:rPr>
        <w:t>供应商必须在《磋商须知前附表》中规定的时间之前将响应文件上传到规定的地点。</w:t>
      </w:r>
    </w:p>
    <w:p w14:paraId="52094A3A">
      <w:pPr>
        <w:adjustRightInd w:val="0"/>
        <w:snapToGrid w:val="0"/>
        <w:spacing w:line="360" w:lineRule="auto"/>
        <w:ind w:left="0" w:leftChars="0" w:firstLine="511" w:firstLineChars="213"/>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18.2</w:t>
      </w:r>
      <w:r>
        <w:rPr>
          <w:rFonts w:hint="eastAsia" w:asciiTheme="majorEastAsia" w:hAnsiTheme="majorEastAsia" w:eastAsiaTheme="majorEastAsia" w:cstheme="majorEastAsia"/>
          <w:sz w:val="24"/>
          <w:szCs w:val="24"/>
          <w:highlight w:val="none"/>
          <w:lang w:val="en-US" w:eastAsia="zh-CN"/>
        </w:rPr>
        <w:t>.2</w:t>
      </w:r>
      <w:r>
        <w:rPr>
          <w:rFonts w:hint="eastAsia" w:asciiTheme="majorEastAsia" w:hAnsiTheme="majorEastAsia" w:eastAsiaTheme="majorEastAsia" w:cstheme="majorEastAsia"/>
          <w:sz w:val="24"/>
          <w:szCs w:val="24"/>
          <w:highlight w:val="none"/>
        </w:rPr>
        <w:t>超过磋商文件规定的响应截止时间上传的响应文件将不予接受。</w:t>
      </w:r>
    </w:p>
    <w:p w14:paraId="7698E685">
      <w:pPr>
        <w:adjustRightInd w:val="0"/>
        <w:snapToGrid w:val="0"/>
        <w:spacing w:line="360" w:lineRule="auto"/>
        <w:ind w:left="0" w:leftChars="0" w:firstLine="511" w:firstLineChars="213"/>
        <w:rPr>
          <w:rFonts w:hint="default" w:asciiTheme="majorEastAsia" w:hAnsiTheme="majorEastAsia" w:eastAsiaTheme="majorEastAsia" w:cstheme="majorEastAsia"/>
          <w:sz w:val="24"/>
          <w:szCs w:val="24"/>
          <w:highlight w:val="none"/>
          <w:lang w:val="en-US" w:eastAsia="zh-CN"/>
        </w:rPr>
      </w:pPr>
      <w:r>
        <w:rPr>
          <w:rFonts w:hint="eastAsia" w:asciiTheme="majorEastAsia" w:hAnsiTheme="majorEastAsia" w:eastAsiaTheme="majorEastAsia" w:cstheme="majorEastAsia"/>
          <w:sz w:val="24"/>
          <w:szCs w:val="24"/>
          <w:highlight w:val="none"/>
          <w:lang w:val="en-US" w:eastAsia="zh-CN"/>
        </w:rPr>
        <w:t>18.3</w:t>
      </w:r>
      <w:r>
        <w:rPr>
          <w:rFonts w:hint="eastAsia" w:asciiTheme="majorEastAsia" w:hAnsiTheme="majorEastAsia" w:eastAsiaTheme="majorEastAsia" w:cstheme="majorEastAsia"/>
          <w:b/>
          <w:bCs/>
          <w:sz w:val="24"/>
          <w:szCs w:val="24"/>
          <w:highlight w:val="none"/>
        </w:rPr>
        <w:t>供应商开标时无需到达现场，远程解密，开标（未办理CA的供应商可自主通过新疆CA申领渠道“新疆政务通”申请政采云平台可使用的CA设备，如原有兵团或公共资源使用的CA，可与新疆CA联系，申请增加电子证书即可，无需重复申领。）未按本须知要上传的响应文件，采购代理机构不对其后果负责。</w:t>
      </w:r>
    </w:p>
    <w:bookmarkEnd w:id="57"/>
    <w:bookmarkEnd w:id="58"/>
    <w:p w14:paraId="7351D38D">
      <w:pPr>
        <w:pStyle w:val="5"/>
        <w:spacing w:before="0" w:after="0" w:line="360" w:lineRule="auto"/>
        <w:ind w:left="0" w:leftChars="0" w:firstLine="599" w:firstLineChars="213"/>
        <w:rPr>
          <w:highlight w:val="none"/>
        </w:rPr>
      </w:pPr>
      <w:bookmarkStart w:id="59" w:name="_Toc8464"/>
      <w:r>
        <w:rPr>
          <w:rFonts w:hint="eastAsia"/>
          <w:highlight w:val="none"/>
        </w:rPr>
        <w:t>19、</w:t>
      </w:r>
      <w:r>
        <w:rPr>
          <w:rFonts w:hint="eastAsia"/>
          <w:highlight w:val="none"/>
          <w:lang w:eastAsia="zh-CN"/>
        </w:rPr>
        <w:t>响应文件</w:t>
      </w:r>
      <w:r>
        <w:rPr>
          <w:rFonts w:hint="eastAsia"/>
          <w:highlight w:val="none"/>
        </w:rPr>
        <w:t>的包装、递交、修改和撤回</w:t>
      </w:r>
      <w:bookmarkEnd w:id="59"/>
    </w:p>
    <w:p w14:paraId="7767CBD1">
      <w:pPr>
        <w:pStyle w:val="193"/>
        <w:snapToGrid w:val="0"/>
        <w:spacing w:before="0" w:line="360" w:lineRule="auto"/>
        <w:ind w:left="0" w:leftChars="0" w:firstLine="511" w:firstLineChars="213"/>
        <w:rPr>
          <w:rFonts w:hint="eastAsia" w:asciiTheme="majorEastAsia" w:hAnsiTheme="majorEastAsia" w:eastAsiaTheme="majorEastAsia" w:cstheme="majorEastAsia"/>
          <w:b w:val="0"/>
          <w:bCs w:val="0"/>
          <w:sz w:val="24"/>
          <w:szCs w:val="24"/>
          <w:highlight w:val="none"/>
        </w:rPr>
      </w:pPr>
      <w:r>
        <w:rPr>
          <w:rFonts w:hint="eastAsia" w:asciiTheme="majorEastAsia" w:hAnsiTheme="majorEastAsia" w:eastAsiaTheme="majorEastAsia" w:cstheme="majorEastAsia"/>
          <w:b w:val="0"/>
          <w:bCs w:val="0"/>
          <w:sz w:val="24"/>
          <w:szCs w:val="24"/>
          <w:highlight w:val="none"/>
        </w:rPr>
        <w:t>19.1.提交响应文件截止时间前，供应商可以通过电子交易平台对所提交</w:t>
      </w:r>
    </w:p>
    <w:p w14:paraId="68BFA111">
      <w:pPr>
        <w:pStyle w:val="193"/>
        <w:snapToGrid w:val="0"/>
        <w:spacing w:before="0" w:line="360" w:lineRule="auto"/>
        <w:ind w:left="0" w:leftChars="0" w:firstLine="511" w:firstLineChars="213"/>
        <w:rPr>
          <w:rFonts w:hint="eastAsia" w:asciiTheme="majorEastAsia" w:hAnsiTheme="majorEastAsia" w:eastAsiaTheme="majorEastAsia" w:cstheme="majorEastAsia"/>
          <w:b w:val="0"/>
          <w:bCs w:val="0"/>
          <w:sz w:val="24"/>
          <w:szCs w:val="24"/>
          <w:highlight w:val="none"/>
        </w:rPr>
      </w:pPr>
      <w:r>
        <w:rPr>
          <w:rFonts w:hint="eastAsia" w:asciiTheme="majorEastAsia" w:hAnsiTheme="majorEastAsia" w:eastAsiaTheme="majorEastAsia" w:cstheme="majorEastAsia"/>
          <w:b w:val="0"/>
          <w:bCs w:val="0"/>
          <w:sz w:val="24"/>
          <w:szCs w:val="24"/>
          <w:highlight w:val="none"/>
        </w:rPr>
        <w:t>（上传）的响应文件进行补充、修改或者撤回。</w:t>
      </w:r>
    </w:p>
    <w:p w14:paraId="6BBD92C2">
      <w:pPr>
        <w:pStyle w:val="193"/>
        <w:snapToGrid w:val="0"/>
        <w:spacing w:before="0" w:line="360" w:lineRule="auto"/>
        <w:ind w:left="0" w:leftChars="0" w:firstLine="511" w:firstLineChars="213"/>
        <w:rPr>
          <w:rFonts w:hint="eastAsia" w:asciiTheme="majorEastAsia" w:hAnsiTheme="majorEastAsia" w:eastAsiaTheme="majorEastAsia" w:cstheme="majorEastAsia"/>
          <w:b w:val="0"/>
          <w:bCs w:val="0"/>
          <w:kern w:val="2"/>
          <w:sz w:val="24"/>
          <w:szCs w:val="24"/>
          <w:highlight w:val="none"/>
          <w:lang w:eastAsia="zh-CN"/>
        </w:rPr>
      </w:pPr>
      <w:r>
        <w:rPr>
          <w:rFonts w:hint="eastAsia" w:asciiTheme="majorEastAsia" w:hAnsiTheme="majorEastAsia" w:eastAsiaTheme="majorEastAsia" w:cstheme="majorEastAsia"/>
          <w:b w:val="0"/>
          <w:bCs w:val="0"/>
          <w:sz w:val="24"/>
          <w:szCs w:val="24"/>
          <w:highlight w:val="none"/>
        </w:rPr>
        <w:t>19.2 供应商不得在响应截止时间起至响应文件有效期满前撤销响应文件， 否则其磋商保证金将被没收。</w:t>
      </w:r>
    </w:p>
    <w:p w14:paraId="7A61A20F">
      <w:pPr>
        <w:pStyle w:val="5"/>
        <w:spacing w:before="0" w:after="0" w:line="360" w:lineRule="auto"/>
        <w:ind w:left="0" w:leftChars="0" w:firstLine="599" w:firstLineChars="213"/>
        <w:rPr>
          <w:highlight w:val="none"/>
        </w:rPr>
      </w:pPr>
      <w:bookmarkStart w:id="60" w:name="_Toc5085"/>
      <w:r>
        <w:rPr>
          <w:rFonts w:hint="eastAsia"/>
          <w:highlight w:val="none"/>
        </w:rPr>
        <w:t>20、投标截止期</w:t>
      </w:r>
      <w:bookmarkEnd w:id="60"/>
    </w:p>
    <w:p w14:paraId="7648F39F">
      <w:pPr>
        <w:adjustRightInd w:val="0"/>
        <w:snapToGrid w:val="0"/>
        <w:spacing w:line="360" w:lineRule="auto"/>
        <w:ind w:left="0" w:leftChars="0" w:firstLine="511" w:firstLineChars="213"/>
        <w:jc w:val="left"/>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20.1 投标人应按照前附表规定的日期、时间和地点递交</w:t>
      </w:r>
      <w:r>
        <w:rPr>
          <w:rFonts w:hint="eastAsia" w:asciiTheme="majorEastAsia" w:hAnsiTheme="majorEastAsia" w:eastAsiaTheme="majorEastAsia" w:cstheme="majorEastAsia"/>
          <w:sz w:val="24"/>
          <w:szCs w:val="24"/>
          <w:highlight w:val="none"/>
          <w:lang w:eastAsia="zh-CN"/>
        </w:rPr>
        <w:t>响应文件</w:t>
      </w:r>
      <w:r>
        <w:rPr>
          <w:rFonts w:hint="eastAsia" w:asciiTheme="majorEastAsia" w:hAnsiTheme="majorEastAsia" w:eastAsiaTheme="majorEastAsia" w:cstheme="majorEastAsia"/>
          <w:sz w:val="24"/>
          <w:szCs w:val="24"/>
          <w:highlight w:val="none"/>
        </w:rPr>
        <w:t>。</w:t>
      </w:r>
    </w:p>
    <w:p w14:paraId="4D19EC61">
      <w:pPr>
        <w:adjustRightInd w:val="0"/>
        <w:snapToGrid w:val="0"/>
        <w:spacing w:line="360" w:lineRule="auto"/>
        <w:ind w:left="0" w:leftChars="0" w:firstLine="511" w:firstLineChars="213"/>
        <w:jc w:val="left"/>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20.2 采购人将拒绝并原封退回在前附表中规定的截止时间后收到的</w:t>
      </w:r>
      <w:r>
        <w:rPr>
          <w:rFonts w:hint="eastAsia" w:asciiTheme="majorEastAsia" w:hAnsiTheme="majorEastAsia" w:eastAsiaTheme="majorEastAsia" w:cstheme="majorEastAsia"/>
          <w:sz w:val="24"/>
          <w:szCs w:val="24"/>
          <w:highlight w:val="none"/>
          <w:lang w:eastAsia="zh-CN"/>
        </w:rPr>
        <w:t>响应文件</w:t>
      </w:r>
      <w:r>
        <w:rPr>
          <w:rFonts w:hint="eastAsia" w:asciiTheme="majorEastAsia" w:hAnsiTheme="majorEastAsia" w:eastAsiaTheme="majorEastAsia" w:cstheme="majorEastAsia"/>
          <w:sz w:val="24"/>
          <w:szCs w:val="24"/>
          <w:highlight w:val="none"/>
        </w:rPr>
        <w:t>。</w:t>
      </w:r>
    </w:p>
    <w:p w14:paraId="4845FA4E">
      <w:pPr>
        <w:adjustRightInd w:val="0"/>
        <w:snapToGrid w:val="0"/>
        <w:spacing w:line="360" w:lineRule="auto"/>
        <w:ind w:left="0" w:leftChars="0" w:firstLine="511" w:firstLineChars="213"/>
        <w:jc w:val="left"/>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20.3 采购人可以按本须知第12条的规定，通过修改</w:t>
      </w:r>
      <w:r>
        <w:rPr>
          <w:rFonts w:hint="eastAsia" w:asciiTheme="majorEastAsia" w:hAnsiTheme="majorEastAsia" w:eastAsiaTheme="majorEastAsia" w:cstheme="majorEastAsia"/>
          <w:sz w:val="24"/>
          <w:szCs w:val="24"/>
          <w:highlight w:val="none"/>
          <w:lang w:eastAsia="zh-CN"/>
        </w:rPr>
        <w:t>磋商文件</w:t>
      </w:r>
      <w:r>
        <w:rPr>
          <w:rFonts w:hint="eastAsia" w:asciiTheme="majorEastAsia" w:hAnsiTheme="majorEastAsia" w:eastAsiaTheme="majorEastAsia" w:cstheme="majorEastAsia"/>
          <w:sz w:val="24"/>
          <w:szCs w:val="24"/>
          <w:highlight w:val="none"/>
        </w:rPr>
        <w:t>适当延长投标截止时间。如投标截止时间有延长的，采购人和投标人受投标截止期制约的所有权利和义务均应延长至新的截止期。</w:t>
      </w:r>
    </w:p>
    <w:p w14:paraId="6079C8E5">
      <w:pPr>
        <w:pStyle w:val="4"/>
        <w:spacing w:before="0" w:after="0" w:line="360" w:lineRule="auto"/>
        <w:ind w:left="0" w:leftChars="0" w:firstLine="599" w:firstLineChars="213"/>
        <w:rPr>
          <w:rFonts w:hint="eastAsia" w:ascii="宋体" w:hAnsi="宋体" w:eastAsia="宋体" w:cs="宋体"/>
          <w:b/>
          <w:bCs/>
          <w:kern w:val="2"/>
          <w:sz w:val="28"/>
          <w:szCs w:val="32"/>
          <w:highlight w:val="none"/>
          <w:lang w:val="en-US" w:eastAsia="zh-CN" w:bidi="ar-SA"/>
        </w:rPr>
      </w:pPr>
      <w:bookmarkStart w:id="61" w:name="_Toc19368"/>
      <w:bookmarkStart w:id="62" w:name="_Toc12370"/>
      <w:r>
        <w:rPr>
          <w:rFonts w:hint="eastAsia" w:ascii="宋体" w:hAnsi="宋体" w:eastAsia="宋体" w:cs="宋体"/>
          <w:b/>
          <w:bCs/>
          <w:kern w:val="2"/>
          <w:sz w:val="28"/>
          <w:szCs w:val="32"/>
          <w:highlight w:val="none"/>
          <w:lang w:val="en-US" w:eastAsia="zh-CN" w:bidi="ar-SA"/>
        </w:rPr>
        <w:t>21.有下列情形之一的，视为供应商串通磋商，其磋商无效：</w:t>
      </w:r>
    </w:p>
    <w:p w14:paraId="598A5863">
      <w:pPr>
        <w:pStyle w:val="4"/>
        <w:spacing w:before="0" w:after="0" w:line="360" w:lineRule="auto"/>
        <w:ind w:left="0" w:leftChars="0" w:firstLine="513" w:firstLineChars="213"/>
        <w:rPr>
          <w:rFonts w:hint="eastAsia" w:ascii="宋体" w:hAnsi="宋体" w:eastAsia="宋体" w:cs="宋体"/>
          <w:bCs/>
          <w:sz w:val="24"/>
          <w:szCs w:val="24"/>
          <w:highlight w:val="none"/>
        </w:rPr>
      </w:pPr>
      <w:r>
        <w:rPr>
          <w:rFonts w:hint="eastAsia" w:ascii="宋体" w:hAnsi="宋体" w:eastAsia="宋体" w:cs="宋体"/>
          <w:bCs/>
          <w:sz w:val="24"/>
          <w:szCs w:val="24"/>
          <w:highlight w:val="none"/>
        </w:rPr>
        <w:t>⑴ 不同供应商的响应文件由同一单位或者个人编制;</w:t>
      </w:r>
    </w:p>
    <w:p w14:paraId="4FF50DED">
      <w:pPr>
        <w:pStyle w:val="4"/>
        <w:spacing w:before="0" w:after="0" w:line="360" w:lineRule="auto"/>
        <w:ind w:left="0" w:leftChars="0" w:firstLine="513" w:firstLineChars="213"/>
        <w:rPr>
          <w:rFonts w:hint="eastAsia" w:ascii="宋体" w:hAnsi="宋体" w:eastAsia="宋体" w:cs="宋体"/>
          <w:bCs/>
          <w:sz w:val="24"/>
          <w:szCs w:val="24"/>
          <w:highlight w:val="none"/>
        </w:rPr>
      </w:pPr>
      <w:r>
        <w:rPr>
          <w:rFonts w:hint="eastAsia" w:ascii="宋体" w:hAnsi="宋体" w:eastAsia="宋体" w:cs="宋体"/>
          <w:bCs/>
          <w:sz w:val="24"/>
          <w:szCs w:val="24"/>
          <w:highlight w:val="none"/>
        </w:rPr>
        <w:t>⑵ 不同供应商委托同一单位或者个人办理磋商事宜;</w:t>
      </w:r>
    </w:p>
    <w:p w14:paraId="3381772E">
      <w:pPr>
        <w:pStyle w:val="4"/>
        <w:spacing w:before="0" w:after="0" w:line="360" w:lineRule="auto"/>
        <w:ind w:left="0" w:leftChars="0" w:firstLine="513" w:firstLineChars="213"/>
        <w:rPr>
          <w:rFonts w:hint="eastAsia" w:ascii="宋体" w:hAnsi="宋体" w:eastAsia="宋体" w:cs="宋体"/>
          <w:bCs/>
          <w:sz w:val="24"/>
          <w:szCs w:val="24"/>
          <w:highlight w:val="none"/>
        </w:rPr>
      </w:pPr>
      <w:r>
        <w:rPr>
          <w:rFonts w:hint="eastAsia" w:ascii="宋体" w:hAnsi="宋体" w:eastAsia="宋体" w:cs="宋体"/>
          <w:bCs/>
          <w:sz w:val="24"/>
          <w:szCs w:val="24"/>
          <w:highlight w:val="none"/>
        </w:rPr>
        <w:t>⑶ 不同供应商的响应文件载明的项目管理成员或者联系人员为同一人;</w:t>
      </w:r>
    </w:p>
    <w:p w14:paraId="466D5020">
      <w:pPr>
        <w:pStyle w:val="4"/>
        <w:spacing w:before="0" w:after="0" w:line="360" w:lineRule="auto"/>
        <w:ind w:left="0" w:leftChars="0" w:firstLine="513" w:firstLineChars="213"/>
        <w:rPr>
          <w:rFonts w:hint="eastAsia" w:ascii="宋体" w:hAnsi="宋体" w:eastAsia="宋体" w:cs="宋体"/>
          <w:bCs/>
          <w:sz w:val="24"/>
          <w:szCs w:val="24"/>
          <w:highlight w:val="none"/>
        </w:rPr>
      </w:pPr>
      <w:r>
        <w:rPr>
          <w:rFonts w:hint="eastAsia" w:ascii="宋体" w:hAnsi="宋体" w:eastAsia="宋体" w:cs="宋体"/>
          <w:bCs/>
          <w:sz w:val="24"/>
          <w:szCs w:val="24"/>
          <w:highlight w:val="none"/>
        </w:rPr>
        <w:t>⑷ 不同供应商的响应文件异常一致或者磋商报价呈规律性差异;</w:t>
      </w:r>
    </w:p>
    <w:p w14:paraId="53722BB0">
      <w:pPr>
        <w:pStyle w:val="4"/>
        <w:spacing w:before="0" w:after="0" w:line="360" w:lineRule="auto"/>
        <w:ind w:left="0" w:leftChars="0" w:firstLine="513" w:firstLineChars="213"/>
        <w:rPr>
          <w:rFonts w:hint="eastAsia" w:ascii="宋体" w:hAnsi="宋体" w:eastAsia="宋体" w:cs="宋体"/>
          <w:bCs/>
          <w:sz w:val="24"/>
          <w:szCs w:val="24"/>
          <w:highlight w:val="none"/>
        </w:rPr>
      </w:pPr>
      <w:r>
        <w:rPr>
          <w:rFonts w:hint="eastAsia" w:ascii="宋体" w:hAnsi="宋体" w:eastAsia="宋体" w:cs="宋体"/>
          <w:bCs/>
          <w:sz w:val="24"/>
          <w:szCs w:val="24"/>
          <w:highlight w:val="none"/>
        </w:rPr>
        <w:t>⑸ 不同供应商的响应文件相互混装;</w:t>
      </w:r>
    </w:p>
    <w:p w14:paraId="20BFE146">
      <w:pPr>
        <w:pStyle w:val="4"/>
        <w:spacing w:before="0" w:after="0" w:line="360" w:lineRule="auto"/>
        <w:ind w:left="0" w:leftChars="0" w:firstLine="513" w:firstLineChars="213"/>
        <w:rPr>
          <w:rFonts w:hint="eastAsia" w:ascii="宋体" w:hAnsi="宋体" w:eastAsia="宋体" w:cs="宋体"/>
          <w:bCs/>
          <w:sz w:val="24"/>
          <w:szCs w:val="24"/>
          <w:highlight w:val="none"/>
        </w:rPr>
      </w:pPr>
      <w:r>
        <w:rPr>
          <w:rFonts w:hint="eastAsia" w:ascii="宋体" w:hAnsi="宋体" w:eastAsia="宋体" w:cs="宋体"/>
          <w:bCs/>
          <w:sz w:val="24"/>
          <w:szCs w:val="24"/>
          <w:highlight w:val="none"/>
        </w:rPr>
        <w:t>⑹ 不同供应商的磋商保证金从同一单位或者个人的账户转出。</w:t>
      </w:r>
    </w:p>
    <w:p w14:paraId="404A2369">
      <w:pPr>
        <w:pStyle w:val="4"/>
        <w:spacing w:before="0" w:after="0" w:line="360" w:lineRule="auto"/>
        <w:ind w:left="0" w:leftChars="0" w:firstLine="641" w:firstLineChars="213"/>
        <w:jc w:val="left"/>
        <w:rPr>
          <w:rFonts w:hint="eastAsia"/>
          <w:highlight w:val="none"/>
          <w:lang w:val="en-US" w:eastAsia="zh-CN"/>
        </w:rPr>
      </w:pPr>
    </w:p>
    <w:p w14:paraId="3A64F1D8">
      <w:pPr>
        <w:pStyle w:val="4"/>
        <w:keepNext/>
        <w:keepLines/>
        <w:pageBreakBefore/>
        <w:widowControl w:val="0"/>
        <w:kinsoku/>
        <w:wordWrap/>
        <w:overflowPunct/>
        <w:topLinePunct w:val="0"/>
        <w:autoSpaceDE/>
        <w:autoSpaceDN/>
        <w:bidi w:val="0"/>
        <w:adjustRightInd/>
        <w:snapToGrid/>
        <w:spacing w:before="0" w:after="0" w:line="360" w:lineRule="auto"/>
        <w:ind w:left="0" w:leftChars="0" w:firstLine="684" w:firstLineChars="213"/>
        <w:jc w:val="center"/>
        <w:textAlignment w:val="auto"/>
        <w:rPr>
          <w:rFonts w:hint="eastAsia"/>
          <w:highlight w:val="none"/>
          <w:lang w:val="en-US" w:eastAsia="zh-CN"/>
        </w:rPr>
      </w:pPr>
      <w:r>
        <w:rPr>
          <w:rFonts w:hint="eastAsia" w:ascii="楷体_GB2312" w:hAnsi="楷体_GB2312" w:eastAsia="宋体" w:cs="Times New Roman"/>
          <w:b/>
          <w:bCs w:val="0"/>
          <w:kern w:val="2"/>
          <w:sz w:val="32"/>
          <w:szCs w:val="32"/>
          <w:highlight w:val="none"/>
          <w:lang w:val="en-US" w:eastAsia="zh-CN" w:bidi="ar-SA"/>
        </w:rPr>
        <w:t>第三章 评分办法及评分标准</w:t>
      </w:r>
    </w:p>
    <w:p w14:paraId="553F1360">
      <w:pPr>
        <w:pStyle w:val="4"/>
        <w:spacing w:before="0" w:after="0" w:line="360" w:lineRule="auto"/>
        <w:ind w:left="0" w:leftChars="0" w:firstLine="641" w:firstLineChars="213"/>
        <w:jc w:val="left"/>
        <w:rPr>
          <w:rFonts w:hint="eastAsia" w:eastAsia="宋体"/>
          <w:highlight w:val="none"/>
          <w:lang w:eastAsia="zh-CN"/>
        </w:rPr>
      </w:pPr>
      <w:r>
        <w:rPr>
          <w:rFonts w:hint="eastAsia"/>
          <w:highlight w:val="none"/>
          <w:lang w:val="en-US" w:eastAsia="zh-CN"/>
        </w:rPr>
        <w:t>一</w:t>
      </w:r>
      <w:r>
        <w:rPr>
          <w:rFonts w:hint="eastAsia"/>
          <w:highlight w:val="none"/>
        </w:rPr>
        <w:t>、</w:t>
      </w:r>
      <w:bookmarkEnd w:id="61"/>
      <w:bookmarkEnd w:id="62"/>
      <w:r>
        <w:rPr>
          <w:rFonts w:hint="eastAsia"/>
          <w:highlight w:val="none"/>
          <w:lang w:val="en-US" w:eastAsia="zh-CN"/>
        </w:rPr>
        <w:t>磋商</w:t>
      </w:r>
    </w:p>
    <w:p w14:paraId="24970629">
      <w:pPr>
        <w:pStyle w:val="123"/>
        <w:numPr>
          <w:ilvl w:val="0"/>
          <w:numId w:val="0"/>
        </w:numPr>
        <w:tabs>
          <w:tab w:val="left" w:pos="1654"/>
        </w:tabs>
        <w:spacing w:before="0" w:after="0" w:line="240" w:lineRule="auto"/>
        <w:ind w:left="0" w:leftChars="0" w:right="0" w:rightChars="0" w:firstLine="511" w:firstLineChars="213"/>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22.</w:t>
      </w:r>
      <w:r>
        <w:rPr>
          <w:rFonts w:hint="eastAsia" w:ascii="宋体" w:hAnsi="宋体" w:eastAsia="宋体" w:cs="宋体"/>
          <w:sz w:val="24"/>
          <w:szCs w:val="24"/>
          <w:highlight w:val="none"/>
        </w:rPr>
        <w:t>磋商</w:t>
      </w:r>
    </w:p>
    <w:p w14:paraId="2B70BBB8">
      <w:pPr>
        <w:pStyle w:val="123"/>
        <w:numPr>
          <w:ilvl w:val="0"/>
          <w:numId w:val="0"/>
        </w:numPr>
        <w:tabs>
          <w:tab w:val="left" w:pos="1798"/>
        </w:tabs>
        <w:spacing w:before="181" w:after="0" w:line="362" w:lineRule="auto"/>
        <w:ind w:left="0" w:leftChars="0" w:right="310" w:rightChars="0" w:firstLine="489" w:firstLineChars="213"/>
        <w:jc w:val="left"/>
        <w:rPr>
          <w:rFonts w:hint="eastAsia" w:ascii="宋体" w:hAnsi="宋体" w:eastAsia="宋体" w:cs="宋体"/>
          <w:sz w:val="24"/>
          <w:szCs w:val="24"/>
          <w:highlight w:val="none"/>
        </w:rPr>
      </w:pPr>
      <w:r>
        <w:rPr>
          <w:rFonts w:hint="eastAsia" w:ascii="宋体" w:hAnsi="宋体" w:eastAsia="宋体" w:cs="宋体"/>
          <w:spacing w:val="-5"/>
          <w:sz w:val="24"/>
          <w:szCs w:val="24"/>
          <w:highlight w:val="none"/>
          <w:lang w:val="en-US" w:eastAsia="zh-CN"/>
        </w:rPr>
        <w:t>22.1</w:t>
      </w:r>
      <w:r>
        <w:rPr>
          <w:rFonts w:hint="eastAsia" w:ascii="宋体" w:hAnsi="宋体" w:eastAsia="宋体" w:cs="宋体"/>
          <w:spacing w:val="-5"/>
          <w:sz w:val="24"/>
          <w:szCs w:val="24"/>
          <w:highlight w:val="none"/>
        </w:rPr>
        <w:t>除非采购代理机构另外书面通知，本项目将按本磋商文件《投标须知</w:t>
      </w:r>
      <w:r>
        <w:rPr>
          <w:rFonts w:hint="eastAsia" w:ascii="宋体" w:hAnsi="宋体" w:eastAsia="宋体" w:cs="宋体"/>
          <w:spacing w:val="-3"/>
          <w:sz w:val="24"/>
          <w:szCs w:val="24"/>
          <w:highlight w:val="none"/>
        </w:rPr>
        <w:t>前附表》中规定的时间和地点进行磋商。</w:t>
      </w:r>
    </w:p>
    <w:p w14:paraId="1CB95FD5">
      <w:pPr>
        <w:pStyle w:val="4"/>
        <w:numPr>
          <w:ilvl w:val="0"/>
          <w:numId w:val="0"/>
        </w:numPr>
        <w:tabs>
          <w:tab w:val="left" w:pos="1798"/>
        </w:tabs>
        <w:spacing w:before="0" w:after="0" w:line="355" w:lineRule="exact"/>
        <w:ind w:left="0" w:leftChars="0" w:right="0" w:rightChars="0" w:firstLine="445" w:firstLineChars="213"/>
        <w:jc w:val="left"/>
        <w:rPr>
          <w:rFonts w:hint="eastAsia" w:ascii="宋体" w:hAnsi="宋体" w:eastAsia="宋体" w:cs="宋体"/>
          <w:b w:val="0"/>
          <w:sz w:val="24"/>
          <w:szCs w:val="24"/>
          <w:highlight w:val="none"/>
        </w:rPr>
      </w:pPr>
      <w:r>
        <w:rPr>
          <w:rFonts w:hint="eastAsia" w:ascii="宋体" w:hAnsi="宋体" w:eastAsia="宋体" w:cs="宋体"/>
          <w:spacing w:val="-16"/>
          <w:sz w:val="24"/>
          <w:szCs w:val="24"/>
          <w:highlight w:val="none"/>
          <w:lang w:val="en-US" w:eastAsia="zh-CN"/>
        </w:rPr>
        <w:t>22.2</w:t>
      </w:r>
      <w:r>
        <w:rPr>
          <w:rFonts w:hint="eastAsia" w:ascii="宋体" w:hAnsi="宋体" w:eastAsia="宋体" w:cs="宋体"/>
          <w:spacing w:val="-16"/>
          <w:sz w:val="24"/>
          <w:szCs w:val="24"/>
          <w:highlight w:val="none"/>
        </w:rPr>
        <w:t>磋商时，采购人对其资格进行审查。资格审查不合格的，其磋商无效</w:t>
      </w:r>
      <w:r>
        <w:rPr>
          <w:rFonts w:hint="eastAsia" w:ascii="宋体" w:hAnsi="宋体" w:eastAsia="宋体" w:cs="宋体"/>
          <w:b w:val="0"/>
          <w:sz w:val="24"/>
          <w:szCs w:val="24"/>
          <w:highlight w:val="none"/>
        </w:rPr>
        <w:t>。</w:t>
      </w:r>
    </w:p>
    <w:p w14:paraId="633DB572">
      <w:pPr>
        <w:pStyle w:val="123"/>
        <w:numPr>
          <w:ilvl w:val="0"/>
          <w:numId w:val="0"/>
        </w:numPr>
        <w:tabs>
          <w:tab w:val="left" w:pos="1793"/>
        </w:tabs>
        <w:spacing w:before="45" w:after="0" w:line="362" w:lineRule="auto"/>
        <w:ind w:left="0" w:leftChars="0" w:right="310" w:rightChars="0" w:firstLine="489" w:firstLineChars="213"/>
        <w:jc w:val="left"/>
        <w:rPr>
          <w:rFonts w:hint="eastAsia" w:ascii="宋体" w:hAnsi="宋体" w:eastAsia="宋体" w:cs="宋体"/>
          <w:bCs/>
          <w:sz w:val="24"/>
          <w:szCs w:val="24"/>
          <w:highlight w:val="none"/>
        </w:rPr>
      </w:pPr>
      <w:r>
        <w:rPr>
          <w:rFonts w:hint="eastAsia" w:ascii="宋体" w:hAnsi="宋体" w:eastAsia="宋体" w:cs="宋体"/>
          <w:spacing w:val="-5"/>
          <w:sz w:val="24"/>
          <w:szCs w:val="24"/>
          <w:highlight w:val="none"/>
          <w:lang w:val="en-US" w:eastAsia="zh-CN"/>
        </w:rPr>
        <w:t>22.3</w:t>
      </w:r>
      <w:r>
        <w:rPr>
          <w:rFonts w:hint="eastAsia" w:ascii="宋体" w:hAnsi="宋体" w:eastAsia="宋体" w:cs="宋体"/>
          <w:spacing w:val="-5"/>
          <w:sz w:val="24"/>
          <w:szCs w:val="24"/>
          <w:highlight w:val="none"/>
        </w:rPr>
        <w:t>供应商上传的响应一览表均记录在案，并经各供应商代表、和监标人</w:t>
      </w:r>
      <w:r>
        <w:rPr>
          <w:rFonts w:hint="eastAsia" w:ascii="宋体" w:hAnsi="宋体" w:eastAsia="宋体" w:cs="宋体"/>
          <w:spacing w:val="-3"/>
          <w:sz w:val="24"/>
          <w:szCs w:val="24"/>
          <w:highlight w:val="none"/>
        </w:rPr>
        <w:t>员签字，作为各供应商响应文件的组成部分。</w:t>
      </w:r>
    </w:p>
    <w:p w14:paraId="2BF4DD9F">
      <w:pPr>
        <w:pStyle w:val="5"/>
        <w:spacing w:before="0" w:after="0" w:line="360" w:lineRule="auto"/>
        <w:ind w:left="0" w:leftChars="0" w:firstLine="599" w:firstLineChars="213"/>
        <w:rPr>
          <w:highlight w:val="none"/>
        </w:rPr>
      </w:pPr>
      <w:bookmarkStart w:id="63" w:name="_Toc14026"/>
      <w:r>
        <w:rPr>
          <w:rFonts w:hint="eastAsia"/>
          <w:highlight w:val="none"/>
          <w:lang w:val="en-US" w:eastAsia="zh-CN"/>
        </w:rPr>
        <w:t>23</w:t>
      </w:r>
      <w:r>
        <w:rPr>
          <w:rFonts w:hint="eastAsia"/>
          <w:highlight w:val="none"/>
        </w:rPr>
        <w:t>、资格审查</w:t>
      </w:r>
      <w:bookmarkEnd w:id="63"/>
    </w:p>
    <w:p w14:paraId="025E71FB">
      <w:pPr>
        <w:adjustRightInd w:val="0"/>
        <w:snapToGrid w:val="0"/>
        <w:spacing w:line="360" w:lineRule="auto"/>
        <w:ind w:left="0" w:leftChars="0" w:firstLine="511" w:firstLineChars="213"/>
        <w:rPr>
          <w:rFonts w:hint="eastAsia" w:asciiTheme="majorEastAsia" w:hAnsiTheme="majorEastAsia" w:eastAsiaTheme="majorEastAsia" w:cstheme="majorEastAsia"/>
          <w:bCs/>
          <w:sz w:val="24"/>
          <w:szCs w:val="24"/>
          <w:highlight w:val="none"/>
          <w:lang w:eastAsia="zh-CN"/>
        </w:rPr>
      </w:pPr>
      <w:r>
        <w:rPr>
          <w:rFonts w:hint="eastAsia" w:asciiTheme="majorEastAsia" w:hAnsiTheme="majorEastAsia" w:eastAsiaTheme="majorEastAsia" w:cstheme="majorEastAsia"/>
          <w:bCs/>
          <w:sz w:val="24"/>
          <w:szCs w:val="24"/>
          <w:highlight w:val="none"/>
          <w:lang w:eastAsia="zh-CN"/>
        </w:rPr>
        <w:t>2</w:t>
      </w:r>
      <w:r>
        <w:rPr>
          <w:rFonts w:hint="eastAsia" w:asciiTheme="majorEastAsia" w:hAnsiTheme="majorEastAsia" w:eastAsiaTheme="majorEastAsia" w:cstheme="majorEastAsia"/>
          <w:bCs/>
          <w:sz w:val="24"/>
          <w:szCs w:val="24"/>
          <w:highlight w:val="none"/>
          <w:lang w:val="en-US" w:eastAsia="zh-CN"/>
        </w:rPr>
        <w:t>3</w:t>
      </w:r>
      <w:r>
        <w:rPr>
          <w:rFonts w:hint="eastAsia" w:asciiTheme="majorEastAsia" w:hAnsiTheme="majorEastAsia" w:eastAsiaTheme="majorEastAsia" w:cstheme="majorEastAsia"/>
          <w:bCs/>
          <w:sz w:val="24"/>
          <w:szCs w:val="24"/>
          <w:highlight w:val="none"/>
          <w:lang w:eastAsia="zh-CN"/>
        </w:rPr>
        <w:t>.1磋商结束后，采购人对各供应商的响应文件进行资格审查。资格审查不合格的，其磋商无效。</w:t>
      </w:r>
    </w:p>
    <w:p w14:paraId="2BE7D9A6">
      <w:pPr>
        <w:adjustRightInd w:val="0"/>
        <w:snapToGrid w:val="0"/>
        <w:spacing w:line="360" w:lineRule="auto"/>
        <w:ind w:left="0" w:leftChars="0" w:firstLine="511" w:firstLineChars="213"/>
        <w:rPr>
          <w:rFonts w:asciiTheme="majorEastAsia" w:hAnsiTheme="majorEastAsia" w:eastAsiaTheme="majorEastAsia" w:cstheme="majorEastAsia"/>
          <w:bCs/>
          <w:sz w:val="24"/>
          <w:szCs w:val="24"/>
          <w:highlight w:val="none"/>
        </w:rPr>
      </w:pPr>
      <w:r>
        <w:rPr>
          <w:rFonts w:hint="eastAsia" w:asciiTheme="majorEastAsia" w:hAnsiTheme="majorEastAsia" w:eastAsiaTheme="majorEastAsia" w:cstheme="majorEastAsia"/>
          <w:bCs/>
          <w:sz w:val="24"/>
          <w:szCs w:val="24"/>
          <w:highlight w:val="none"/>
          <w:lang w:eastAsia="zh-CN"/>
        </w:rPr>
        <w:t>2</w:t>
      </w:r>
      <w:r>
        <w:rPr>
          <w:rFonts w:hint="eastAsia" w:asciiTheme="majorEastAsia" w:hAnsiTheme="majorEastAsia" w:eastAsiaTheme="majorEastAsia" w:cstheme="majorEastAsia"/>
          <w:bCs/>
          <w:sz w:val="24"/>
          <w:szCs w:val="24"/>
          <w:highlight w:val="none"/>
          <w:lang w:val="en-US" w:eastAsia="zh-CN"/>
        </w:rPr>
        <w:t>3</w:t>
      </w:r>
      <w:r>
        <w:rPr>
          <w:rFonts w:hint="eastAsia" w:asciiTheme="majorEastAsia" w:hAnsiTheme="majorEastAsia" w:eastAsiaTheme="majorEastAsia" w:cstheme="majorEastAsia"/>
          <w:bCs/>
          <w:sz w:val="24"/>
          <w:szCs w:val="24"/>
          <w:highlight w:val="none"/>
          <w:lang w:eastAsia="zh-CN"/>
        </w:rPr>
        <w:t>.2合格供应商不足三家的，不进行磋商。</w:t>
      </w:r>
    </w:p>
    <w:p w14:paraId="4E1A629C">
      <w:pPr>
        <w:pStyle w:val="29"/>
        <w:ind w:left="0" w:leftChars="0" w:firstLine="599" w:firstLineChars="213"/>
        <w:rPr>
          <w:rFonts w:hint="eastAsia" w:ascii="Times New Roman" w:hAnsi="Times New Roman" w:eastAsia="宋体" w:cs="Times New Roman"/>
          <w:b/>
          <w:bCs/>
          <w:kern w:val="2"/>
          <w:sz w:val="28"/>
          <w:szCs w:val="32"/>
          <w:highlight w:val="none"/>
          <w:lang w:val="en-US" w:eastAsia="zh-CN" w:bidi="ar-SA"/>
        </w:rPr>
      </w:pPr>
      <w:r>
        <w:rPr>
          <w:rFonts w:hint="eastAsia" w:ascii="Times New Roman" w:hAnsi="Times New Roman" w:eastAsia="宋体" w:cs="Times New Roman"/>
          <w:b/>
          <w:bCs/>
          <w:kern w:val="2"/>
          <w:sz w:val="28"/>
          <w:szCs w:val="32"/>
          <w:highlight w:val="none"/>
          <w:lang w:val="en-US" w:eastAsia="zh-CN" w:bidi="ar-SA"/>
        </w:rPr>
        <w:t>24、磋商和定标</w:t>
      </w:r>
    </w:p>
    <w:p w14:paraId="51AAAD4F">
      <w:pPr>
        <w:pStyle w:val="29"/>
        <w:ind w:left="0" w:leftChars="0" w:firstLine="511" w:firstLineChars="213"/>
        <w:rPr>
          <w:rFonts w:hint="eastAsia" w:asciiTheme="minorEastAsia" w:hAnsiTheme="minorEastAsia" w:eastAsiaTheme="minorEastAsia" w:cstheme="minorEastAsia"/>
          <w:bCs/>
          <w:kern w:val="2"/>
          <w:sz w:val="24"/>
          <w:szCs w:val="24"/>
          <w:highlight w:val="none"/>
          <w:lang w:val="en-US" w:eastAsia="zh-CN" w:bidi="ar-SA"/>
        </w:rPr>
      </w:pPr>
      <w:r>
        <w:rPr>
          <w:rFonts w:hint="eastAsia" w:asciiTheme="minorEastAsia" w:hAnsiTheme="minorEastAsia" w:eastAsiaTheme="minorEastAsia" w:cstheme="minorEastAsia"/>
          <w:bCs/>
          <w:kern w:val="2"/>
          <w:sz w:val="24"/>
          <w:szCs w:val="24"/>
          <w:highlight w:val="none"/>
          <w:lang w:val="en-US" w:eastAsia="zh-CN" w:bidi="ar-SA"/>
        </w:rPr>
        <w:t>24.磋商原则</w:t>
      </w:r>
    </w:p>
    <w:p w14:paraId="4B7076AD">
      <w:pPr>
        <w:pStyle w:val="29"/>
        <w:ind w:left="0" w:leftChars="0" w:firstLine="511" w:firstLineChars="213"/>
        <w:rPr>
          <w:rFonts w:hint="eastAsia" w:asciiTheme="minorEastAsia" w:hAnsiTheme="minorEastAsia" w:eastAsiaTheme="minorEastAsia" w:cstheme="minorEastAsia"/>
          <w:bCs/>
          <w:kern w:val="2"/>
          <w:sz w:val="24"/>
          <w:szCs w:val="24"/>
          <w:highlight w:val="none"/>
          <w:lang w:val="en-US" w:eastAsia="zh-CN" w:bidi="ar-SA"/>
        </w:rPr>
      </w:pPr>
      <w:r>
        <w:rPr>
          <w:rFonts w:hint="eastAsia" w:asciiTheme="minorEastAsia" w:hAnsiTheme="minorEastAsia" w:eastAsiaTheme="minorEastAsia" w:cstheme="minorEastAsia"/>
          <w:bCs/>
          <w:kern w:val="2"/>
          <w:sz w:val="24"/>
          <w:szCs w:val="24"/>
          <w:highlight w:val="none"/>
          <w:lang w:val="en-US" w:eastAsia="zh-CN" w:bidi="ar-SA"/>
        </w:rPr>
        <w:t>24.1本项目的磋商遵循公平、公正、科学、择优的原则。</w:t>
      </w:r>
    </w:p>
    <w:p w14:paraId="07D67F6D">
      <w:pPr>
        <w:pStyle w:val="29"/>
        <w:ind w:left="0" w:leftChars="0" w:firstLine="511" w:firstLineChars="213"/>
        <w:rPr>
          <w:rFonts w:hint="eastAsia" w:asciiTheme="minorEastAsia" w:hAnsiTheme="minorEastAsia" w:eastAsiaTheme="minorEastAsia" w:cstheme="minorEastAsia"/>
          <w:bCs/>
          <w:kern w:val="2"/>
          <w:sz w:val="24"/>
          <w:szCs w:val="24"/>
          <w:highlight w:val="none"/>
          <w:lang w:val="en-US" w:eastAsia="zh-CN" w:bidi="ar-SA"/>
        </w:rPr>
      </w:pPr>
      <w:r>
        <w:rPr>
          <w:rFonts w:hint="eastAsia" w:asciiTheme="minorEastAsia" w:hAnsiTheme="minorEastAsia" w:eastAsiaTheme="minorEastAsia" w:cstheme="minorEastAsia"/>
          <w:bCs/>
          <w:kern w:val="2"/>
          <w:sz w:val="24"/>
          <w:szCs w:val="24"/>
          <w:highlight w:val="none"/>
          <w:lang w:val="en-US" w:eastAsia="zh-CN" w:bidi="ar-SA"/>
        </w:rPr>
        <w:t>24.2磋商小组将严格按照《中华人民共和国政府采购法》及其实施条例</w:t>
      </w:r>
    </w:p>
    <w:p w14:paraId="1390C81C">
      <w:pPr>
        <w:pStyle w:val="29"/>
        <w:ind w:left="0" w:leftChars="0" w:firstLine="511" w:firstLineChars="213"/>
        <w:rPr>
          <w:rFonts w:hint="eastAsia" w:asciiTheme="minorEastAsia" w:hAnsiTheme="minorEastAsia" w:eastAsiaTheme="minorEastAsia" w:cstheme="minorEastAsia"/>
          <w:bCs/>
          <w:kern w:val="2"/>
          <w:sz w:val="24"/>
          <w:szCs w:val="24"/>
          <w:highlight w:val="none"/>
          <w:lang w:val="en-US" w:eastAsia="zh-CN" w:bidi="ar-SA"/>
        </w:rPr>
      </w:pPr>
      <w:r>
        <w:rPr>
          <w:rFonts w:hint="eastAsia" w:asciiTheme="minorEastAsia" w:hAnsiTheme="minorEastAsia" w:eastAsiaTheme="minorEastAsia" w:cstheme="minorEastAsia"/>
          <w:bCs/>
          <w:kern w:val="2"/>
          <w:sz w:val="24"/>
          <w:szCs w:val="24"/>
          <w:highlight w:val="none"/>
          <w:lang w:val="en-US" w:eastAsia="zh-CN" w:bidi="ar-SA"/>
        </w:rPr>
        <w:t>（658号令）、《政府采购货物和服务招标投标管理办法》（财政部87号令）等相关法律法规的规定依法磋商，维护磋商磋商各方当事人的合法权益。</w:t>
      </w:r>
    </w:p>
    <w:p w14:paraId="2BA44E4A">
      <w:pPr>
        <w:pStyle w:val="29"/>
        <w:ind w:left="0" w:leftChars="0" w:firstLine="511" w:firstLineChars="213"/>
        <w:rPr>
          <w:rFonts w:hint="eastAsia" w:asciiTheme="minorEastAsia" w:hAnsiTheme="minorEastAsia" w:eastAsiaTheme="minorEastAsia" w:cstheme="minorEastAsia"/>
          <w:bCs/>
          <w:kern w:val="2"/>
          <w:sz w:val="24"/>
          <w:szCs w:val="24"/>
          <w:highlight w:val="none"/>
          <w:lang w:val="en-US" w:eastAsia="zh-CN" w:bidi="ar-SA"/>
        </w:rPr>
      </w:pPr>
      <w:r>
        <w:rPr>
          <w:rFonts w:hint="eastAsia" w:asciiTheme="minorEastAsia" w:hAnsiTheme="minorEastAsia" w:eastAsiaTheme="minorEastAsia" w:cstheme="minorEastAsia"/>
          <w:bCs/>
          <w:kern w:val="2"/>
          <w:sz w:val="24"/>
          <w:szCs w:val="24"/>
          <w:highlight w:val="none"/>
          <w:lang w:val="en-US" w:eastAsia="zh-CN" w:bidi="ar-SA"/>
        </w:rPr>
        <w:t>24.3不徇私情，不明招暗定。</w:t>
      </w:r>
    </w:p>
    <w:p w14:paraId="460FB6C8">
      <w:pPr>
        <w:pStyle w:val="29"/>
        <w:ind w:left="0" w:leftChars="0" w:firstLine="511" w:firstLineChars="213"/>
        <w:rPr>
          <w:rFonts w:hint="eastAsia" w:asciiTheme="minorEastAsia" w:hAnsiTheme="minorEastAsia" w:eastAsiaTheme="minorEastAsia" w:cstheme="minorEastAsia"/>
          <w:bCs/>
          <w:kern w:val="2"/>
          <w:sz w:val="24"/>
          <w:szCs w:val="24"/>
          <w:highlight w:val="none"/>
          <w:lang w:val="en-US" w:eastAsia="zh-CN" w:bidi="ar-SA"/>
        </w:rPr>
      </w:pPr>
      <w:r>
        <w:rPr>
          <w:rFonts w:hint="eastAsia" w:asciiTheme="minorEastAsia" w:hAnsiTheme="minorEastAsia" w:eastAsiaTheme="minorEastAsia" w:cstheme="minorEastAsia"/>
          <w:bCs/>
          <w:kern w:val="2"/>
          <w:sz w:val="24"/>
          <w:szCs w:val="24"/>
          <w:highlight w:val="none"/>
          <w:lang w:val="en-US" w:eastAsia="zh-CN" w:bidi="ar-SA"/>
        </w:rPr>
        <w:t>24.4资格审查合格的供应商，均有同等机会参加竞争。</w:t>
      </w:r>
    </w:p>
    <w:p w14:paraId="73B53DA6">
      <w:pPr>
        <w:pStyle w:val="29"/>
        <w:ind w:left="0" w:leftChars="0" w:firstLine="511" w:firstLineChars="213"/>
        <w:rPr>
          <w:rFonts w:hint="eastAsia" w:asciiTheme="minorEastAsia" w:hAnsiTheme="minorEastAsia" w:eastAsiaTheme="minorEastAsia" w:cstheme="minorEastAsia"/>
          <w:bCs/>
          <w:kern w:val="2"/>
          <w:sz w:val="24"/>
          <w:szCs w:val="24"/>
          <w:highlight w:val="none"/>
          <w:lang w:val="en-US" w:eastAsia="zh-CN" w:bidi="ar-SA"/>
        </w:rPr>
      </w:pPr>
      <w:r>
        <w:rPr>
          <w:rFonts w:hint="eastAsia" w:asciiTheme="minorEastAsia" w:hAnsiTheme="minorEastAsia" w:eastAsiaTheme="minorEastAsia" w:cstheme="minorEastAsia"/>
          <w:bCs/>
          <w:kern w:val="2"/>
          <w:sz w:val="24"/>
          <w:szCs w:val="24"/>
          <w:highlight w:val="none"/>
          <w:lang w:val="en-US" w:eastAsia="zh-CN" w:bidi="ar-SA"/>
        </w:rPr>
        <w:t>24.5磋商人员不得私自泄露磋商内容，不得进行旨在影响磋商结果公正、公平的任何活动。</w:t>
      </w:r>
    </w:p>
    <w:p w14:paraId="6677B93C">
      <w:pPr>
        <w:pStyle w:val="29"/>
        <w:ind w:left="0" w:leftChars="0" w:firstLine="511" w:firstLineChars="213"/>
        <w:rPr>
          <w:rFonts w:hint="eastAsia" w:asciiTheme="minorEastAsia" w:hAnsiTheme="minorEastAsia" w:eastAsiaTheme="minorEastAsia" w:cstheme="minorEastAsia"/>
          <w:bCs/>
          <w:kern w:val="2"/>
          <w:sz w:val="24"/>
          <w:szCs w:val="24"/>
          <w:highlight w:val="none"/>
          <w:lang w:val="en-US" w:eastAsia="zh-CN" w:bidi="ar-SA"/>
        </w:rPr>
      </w:pPr>
      <w:r>
        <w:rPr>
          <w:rFonts w:hint="eastAsia" w:asciiTheme="minorEastAsia" w:hAnsiTheme="minorEastAsia" w:eastAsiaTheme="minorEastAsia" w:cstheme="minorEastAsia"/>
          <w:bCs/>
          <w:kern w:val="2"/>
          <w:sz w:val="24"/>
          <w:szCs w:val="24"/>
          <w:highlight w:val="none"/>
          <w:lang w:val="en-US" w:eastAsia="zh-CN" w:bidi="ar-SA"/>
        </w:rPr>
        <w:t>25.磋商方法</w:t>
      </w:r>
    </w:p>
    <w:p w14:paraId="0BF49263">
      <w:pPr>
        <w:pStyle w:val="29"/>
        <w:ind w:left="0" w:leftChars="0" w:firstLine="511" w:firstLineChars="213"/>
        <w:rPr>
          <w:rFonts w:hint="eastAsia" w:asciiTheme="minorEastAsia" w:hAnsiTheme="minorEastAsia" w:eastAsiaTheme="minorEastAsia" w:cstheme="minorEastAsia"/>
          <w:bCs/>
          <w:kern w:val="2"/>
          <w:sz w:val="24"/>
          <w:szCs w:val="24"/>
          <w:highlight w:val="none"/>
          <w:lang w:val="en-US" w:eastAsia="zh-CN" w:bidi="ar-SA"/>
        </w:rPr>
      </w:pPr>
      <w:r>
        <w:rPr>
          <w:rFonts w:hint="eastAsia" w:asciiTheme="minorEastAsia" w:hAnsiTheme="minorEastAsia" w:eastAsiaTheme="minorEastAsia" w:cstheme="minorEastAsia"/>
          <w:bCs/>
          <w:kern w:val="2"/>
          <w:sz w:val="24"/>
          <w:szCs w:val="24"/>
          <w:highlight w:val="none"/>
          <w:lang w:val="en-US" w:eastAsia="zh-CN" w:bidi="ar-SA"/>
        </w:rPr>
        <w:t>25.1采购代理机构将根据有关法律法规的规定组建本次磋商的磋商小组。磋商小组成员由本行业相关技术、经济等方面的专家3人组成。其中，技术、经济等方面的专家不少于成员总人数的三分之二。</w:t>
      </w:r>
    </w:p>
    <w:p w14:paraId="5B38D689">
      <w:pPr>
        <w:pStyle w:val="29"/>
        <w:ind w:left="0" w:leftChars="0" w:firstLine="511" w:firstLineChars="213"/>
        <w:rPr>
          <w:rFonts w:hint="eastAsia" w:asciiTheme="minorEastAsia" w:hAnsiTheme="minorEastAsia" w:eastAsiaTheme="minorEastAsia" w:cstheme="minorEastAsia"/>
          <w:bCs/>
          <w:kern w:val="2"/>
          <w:sz w:val="24"/>
          <w:szCs w:val="24"/>
          <w:highlight w:val="none"/>
          <w:lang w:val="en-US" w:eastAsia="zh-CN" w:bidi="ar-SA"/>
        </w:rPr>
      </w:pPr>
      <w:r>
        <w:rPr>
          <w:rFonts w:hint="eastAsia" w:asciiTheme="minorEastAsia" w:hAnsiTheme="minorEastAsia" w:eastAsiaTheme="minorEastAsia" w:cstheme="minorEastAsia"/>
          <w:bCs/>
          <w:kern w:val="2"/>
          <w:sz w:val="24"/>
          <w:szCs w:val="24"/>
          <w:highlight w:val="none"/>
          <w:lang w:val="en-US" w:eastAsia="zh-CN" w:bidi="ar-SA"/>
        </w:rPr>
        <w:t>25.2磋商的依据为磋商文件和响应文件。根据相关法律法规的规定，磋商委员会不以任何外部证据作为其磋商的依据或标准。</w:t>
      </w:r>
    </w:p>
    <w:p w14:paraId="572F7982">
      <w:pPr>
        <w:pStyle w:val="29"/>
        <w:ind w:left="0" w:leftChars="0" w:firstLine="511" w:firstLineChars="213"/>
        <w:rPr>
          <w:rFonts w:hint="eastAsia" w:asciiTheme="minorEastAsia" w:hAnsiTheme="minorEastAsia" w:eastAsiaTheme="minorEastAsia" w:cstheme="minorEastAsia"/>
          <w:bCs/>
          <w:kern w:val="2"/>
          <w:sz w:val="24"/>
          <w:szCs w:val="24"/>
          <w:highlight w:val="none"/>
          <w:lang w:val="en-US" w:eastAsia="zh-CN" w:bidi="ar-SA"/>
        </w:rPr>
      </w:pPr>
      <w:r>
        <w:rPr>
          <w:rFonts w:hint="eastAsia" w:asciiTheme="minorEastAsia" w:hAnsiTheme="minorEastAsia" w:eastAsiaTheme="minorEastAsia" w:cstheme="minorEastAsia"/>
          <w:bCs/>
          <w:kern w:val="2"/>
          <w:sz w:val="24"/>
          <w:szCs w:val="24"/>
          <w:highlight w:val="none"/>
          <w:lang w:val="en-US" w:eastAsia="zh-CN" w:bidi="ar-SA"/>
        </w:rPr>
        <w:t>25.3磋商过程将严格保密。磋商后直到授予中标人合同止，凡是属于审查、澄清、评价和比较的有关磋商资料以及授标建议等均不得向供应商或其他无关的人员透露。</w:t>
      </w:r>
    </w:p>
    <w:p w14:paraId="7127CC0E">
      <w:pPr>
        <w:pStyle w:val="29"/>
        <w:ind w:left="0" w:leftChars="0" w:firstLine="511" w:firstLineChars="213"/>
        <w:rPr>
          <w:rFonts w:hint="eastAsia" w:asciiTheme="minorEastAsia" w:hAnsiTheme="minorEastAsia" w:eastAsiaTheme="minorEastAsia" w:cstheme="minorEastAsia"/>
          <w:bCs/>
          <w:kern w:val="2"/>
          <w:sz w:val="24"/>
          <w:szCs w:val="24"/>
          <w:highlight w:val="none"/>
          <w:lang w:val="en-US" w:eastAsia="zh-CN" w:bidi="ar-SA"/>
        </w:rPr>
      </w:pPr>
      <w:r>
        <w:rPr>
          <w:rFonts w:hint="eastAsia" w:asciiTheme="minorEastAsia" w:hAnsiTheme="minorEastAsia" w:eastAsiaTheme="minorEastAsia" w:cstheme="minorEastAsia"/>
          <w:bCs/>
          <w:kern w:val="2"/>
          <w:sz w:val="24"/>
          <w:szCs w:val="24"/>
          <w:highlight w:val="none"/>
          <w:lang w:val="en-US" w:eastAsia="zh-CN" w:bidi="ar-SA"/>
        </w:rPr>
        <w:t>25.4在磋商的整个过程中，供应商所进行的旨在影响磋商结果的活动，可能导致其响应被拒绝，或者被取消成交资格。</w:t>
      </w:r>
    </w:p>
    <w:p w14:paraId="4192EBD1">
      <w:pPr>
        <w:pStyle w:val="29"/>
        <w:ind w:left="0" w:leftChars="0" w:firstLine="511" w:firstLineChars="213"/>
        <w:rPr>
          <w:rFonts w:hint="eastAsia" w:asciiTheme="minorEastAsia" w:hAnsiTheme="minorEastAsia" w:eastAsiaTheme="minorEastAsia" w:cstheme="minorEastAsia"/>
          <w:bCs/>
          <w:kern w:val="2"/>
          <w:sz w:val="24"/>
          <w:szCs w:val="24"/>
          <w:highlight w:val="none"/>
          <w:lang w:val="en-US" w:eastAsia="zh-CN" w:bidi="ar-SA"/>
        </w:rPr>
      </w:pPr>
      <w:r>
        <w:rPr>
          <w:rFonts w:hint="eastAsia" w:asciiTheme="minorEastAsia" w:hAnsiTheme="minorEastAsia" w:eastAsiaTheme="minorEastAsia" w:cstheme="minorEastAsia"/>
          <w:bCs/>
          <w:kern w:val="2"/>
          <w:sz w:val="24"/>
          <w:szCs w:val="24"/>
          <w:highlight w:val="none"/>
          <w:lang w:val="en-US" w:eastAsia="zh-CN" w:bidi="ar-SA"/>
        </w:rPr>
        <w:t>25.5本次磋商采用综合评分法。</w:t>
      </w:r>
    </w:p>
    <w:p w14:paraId="1B89495B">
      <w:pPr>
        <w:pStyle w:val="29"/>
        <w:ind w:left="0" w:leftChars="0" w:firstLine="511" w:firstLineChars="213"/>
        <w:rPr>
          <w:rFonts w:hint="eastAsia" w:asciiTheme="minorEastAsia" w:hAnsiTheme="minorEastAsia" w:eastAsiaTheme="minorEastAsia" w:cstheme="minorEastAsia"/>
          <w:bCs/>
          <w:kern w:val="2"/>
          <w:sz w:val="24"/>
          <w:szCs w:val="24"/>
          <w:highlight w:val="none"/>
          <w:lang w:val="en-US" w:eastAsia="zh-CN" w:bidi="ar-SA"/>
        </w:rPr>
      </w:pPr>
      <w:r>
        <w:rPr>
          <w:rFonts w:hint="eastAsia" w:asciiTheme="minorEastAsia" w:hAnsiTheme="minorEastAsia" w:eastAsiaTheme="minorEastAsia" w:cstheme="minorEastAsia"/>
          <w:bCs/>
          <w:kern w:val="2"/>
          <w:sz w:val="24"/>
          <w:szCs w:val="24"/>
          <w:highlight w:val="none"/>
          <w:lang w:val="en-US" w:eastAsia="zh-CN" w:bidi="ar-SA"/>
        </w:rPr>
        <w:t>25.5.1只有通过符合性审查的磋商文件才可进入详细评审阶段。</w:t>
      </w:r>
    </w:p>
    <w:p w14:paraId="6988CFE5">
      <w:pPr>
        <w:pStyle w:val="29"/>
        <w:ind w:left="0" w:leftChars="0" w:firstLine="511" w:firstLineChars="213"/>
        <w:rPr>
          <w:rFonts w:hint="eastAsia" w:asciiTheme="minorEastAsia" w:hAnsiTheme="minorEastAsia" w:eastAsiaTheme="minorEastAsia" w:cstheme="minorEastAsia"/>
          <w:bCs/>
          <w:kern w:val="2"/>
          <w:sz w:val="24"/>
          <w:szCs w:val="24"/>
          <w:highlight w:val="none"/>
          <w:lang w:val="en-US" w:eastAsia="zh-CN" w:bidi="ar-SA"/>
        </w:rPr>
      </w:pPr>
      <w:r>
        <w:rPr>
          <w:rFonts w:hint="eastAsia" w:asciiTheme="minorEastAsia" w:hAnsiTheme="minorEastAsia" w:eastAsiaTheme="minorEastAsia" w:cstheme="minorEastAsia"/>
          <w:bCs/>
          <w:kern w:val="2"/>
          <w:sz w:val="24"/>
          <w:szCs w:val="24"/>
          <w:highlight w:val="none"/>
          <w:lang w:val="en-US" w:eastAsia="zh-CN" w:bidi="ar-SA"/>
        </w:rPr>
        <w:t>25.5.2详细评审分为商务评审（含响应报价得分计算）和技术评审两个部分。</w:t>
      </w:r>
    </w:p>
    <w:p w14:paraId="6D3D4D9F">
      <w:pPr>
        <w:pStyle w:val="29"/>
        <w:ind w:left="0" w:leftChars="0" w:firstLine="511" w:firstLineChars="213"/>
        <w:rPr>
          <w:rFonts w:hint="eastAsia" w:asciiTheme="minorEastAsia" w:hAnsiTheme="minorEastAsia" w:eastAsiaTheme="minorEastAsia" w:cstheme="minorEastAsia"/>
          <w:bCs/>
          <w:kern w:val="2"/>
          <w:sz w:val="24"/>
          <w:szCs w:val="24"/>
          <w:highlight w:val="none"/>
          <w:lang w:val="en-US" w:eastAsia="zh-CN" w:bidi="ar-SA"/>
        </w:rPr>
      </w:pPr>
      <w:r>
        <w:rPr>
          <w:rFonts w:hint="eastAsia" w:asciiTheme="minorEastAsia" w:hAnsiTheme="minorEastAsia" w:eastAsiaTheme="minorEastAsia" w:cstheme="minorEastAsia"/>
          <w:bCs/>
          <w:kern w:val="2"/>
          <w:sz w:val="24"/>
          <w:szCs w:val="24"/>
          <w:highlight w:val="none"/>
          <w:lang w:val="en-US" w:eastAsia="zh-CN" w:bidi="ar-SA"/>
        </w:rPr>
        <w:t>25.6资格审查、符合性审查</w:t>
      </w:r>
    </w:p>
    <w:p w14:paraId="60B9C539">
      <w:pPr>
        <w:pStyle w:val="29"/>
        <w:ind w:left="0" w:leftChars="0" w:firstLine="511" w:firstLineChars="213"/>
        <w:rPr>
          <w:rFonts w:hint="eastAsia" w:asciiTheme="minorEastAsia" w:hAnsiTheme="minorEastAsia" w:eastAsiaTheme="minorEastAsia" w:cstheme="minorEastAsia"/>
          <w:bCs/>
          <w:kern w:val="2"/>
          <w:sz w:val="24"/>
          <w:szCs w:val="24"/>
          <w:highlight w:val="none"/>
          <w:lang w:val="en-US" w:eastAsia="zh-CN" w:bidi="ar-SA"/>
        </w:rPr>
      </w:pPr>
      <w:r>
        <w:rPr>
          <w:rFonts w:hint="eastAsia" w:asciiTheme="minorEastAsia" w:hAnsiTheme="minorEastAsia" w:eastAsiaTheme="minorEastAsia" w:cstheme="minorEastAsia"/>
          <w:bCs/>
          <w:kern w:val="2"/>
          <w:sz w:val="24"/>
          <w:szCs w:val="24"/>
          <w:highlight w:val="none"/>
          <w:lang w:val="en-US" w:eastAsia="zh-CN" w:bidi="ar-SA"/>
        </w:rPr>
        <w:t>磋商小组对符合资格的供应商的响应文件进行符合性审查，以确定其是否满足磋商文件的实质性要求。</w:t>
      </w:r>
    </w:p>
    <w:p w14:paraId="64072A6F">
      <w:pPr>
        <w:pStyle w:val="4"/>
        <w:spacing w:before="2" w:after="24"/>
        <w:ind w:left="0" w:leftChars="0" w:firstLine="513" w:firstLineChars="213"/>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26、</w:t>
      </w:r>
      <w:r>
        <w:rPr>
          <w:rFonts w:hint="eastAsia" w:ascii="宋体" w:hAnsi="宋体" w:eastAsia="宋体" w:cs="宋体"/>
          <w:sz w:val="24"/>
          <w:szCs w:val="24"/>
          <w:highlight w:val="none"/>
        </w:rPr>
        <w:t>资格审查</w:t>
      </w:r>
    </w:p>
    <w:p w14:paraId="47970679">
      <w:pPr>
        <w:pStyle w:val="16"/>
        <w:bidi w:val="0"/>
        <w:ind w:left="0" w:leftChars="0" w:firstLine="511" w:firstLineChars="213"/>
        <w:rPr>
          <w:rFonts w:hint="eastAsia" w:ascii="宋体" w:hAnsi="宋体" w:eastAsia="宋体" w:cs="宋体"/>
          <w:sz w:val="24"/>
          <w:szCs w:val="24"/>
          <w:highlight w:val="none"/>
          <w:lang w:val="zh-CN" w:eastAsia="zh-CN"/>
        </w:rPr>
      </w:pPr>
      <w:r>
        <w:rPr>
          <w:rFonts w:hint="eastAsia" w:ascii="宋体" w:hAnsi="宋体" w:eastAsia="宋体" w:cs="宋体"/>
          <w:sz w:val="24"/>
          <w:szCs w:val="24"/>
          <w:highlight w:val="none"/>
          <w:lang w:val="zh-CN" w:eastAsia="zh-CN"/>
        </w:rPr>
        <w:t xml:space="preserve">开标结束后，采购人按照以下内容对各供应商的投标文件进行资格审查。资格审查不合格的，其投标无效。 </w:t>
      </w:r>
    </w:p>
    <w:p w14:paraId="2C589BA2">
      <w:pPr>
        <w:pStyle w:val="16"/>
        <w:bidi w:val="0"/>
        <w:ind w:left="0" w:leftChars="0" w:firstLine="511" w:firstLineChars="213"/>
        <w:rPr>
          <w:rFonts w:hint="eastAsia" w:ascii="宋体" w:hAnsi="宋体" w:eastAsia="宋体" w:cs="宋体"/>
          <w:sz w:val="24"/>
          <w:szCs w:val="24"/>
          <w:highlight w:val="none"/>
          <w:lang w:val="zh-CN" w:eastAsia="zh-CN"/>
        </w:rPr>
      </w:pPr>
      <w:r>
        <w:rPr>
          <w:rFonts w:hint="eastAsia" w:ascii="宋体" w:hAnsi="宋体" w:eastAsia="宋体" w:cs="宋体"/>
          <w:sz w:val="24"/>
          <w:szCs w:val="24"/>
          <w:highlight w:val="none"/>
          <w:lang w:val="zh-CN" w:eastAsia="zh-CN"/>
        </w:rPr>
        <w:t>（</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lang w:val="zh-CN" w:eastAsia="zh-CN"/>
        </w:rPr>
        <w:t xml:space="preserve">）供应商营业执照，证件原件的扫描件加盖企业公章； </w:t>
      </w:r>
    </w:p>
    <w:p w14:paraId="42EC79DE">
      <w:pPr>
        <w:pStyle w:val="16"/>
        <w:bidi w:val="0"/>
        <w:ind w:left="0" w:leftChars="0" w:firstLine="511" w:firstLineChars="213"/>
        <w:rPr>
          <w:rFonts w:hint="eastAsia" w:ascii="宋体" w:hAnsi="宋体" w:eastAsia="宋体" w:cs="宋体"/>
          <w:sz w:val="24"/>
          <w:szCs w:val="24"/>
          <w:highlight w:val="none"/>
          <w:lang w:val="zh-CN" w:eastAsia="zh-CN"/>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lang w:val="zh-CN" w:eastAsia="zh-CN"/>
        </w:rPr>
        <w:t>）</w:t>
      </w:r>
      <w:r>
        <w:rPr>
          <w:rFonts w:hint="eastAsia" w:ascii="宋体" w:hAnsi="宋体" w:eastAsia="宋体" w:cs="宋体"/>
          <w:sz w:val="24"/>
          <w:szCs w:val="24"/>
          <w:highlight w:val="none"/>
          <w:lang w:val="en-US" w:eastAsia="zh-CN"/>
        </w:rPr>
        <w:t>提供2022年、2023年财务报告，原件扫描件并加盖企业公章（成立不足一年的提供成立至今的财务报表）；</w:t>
      </w:r>
    </w:p>
    <w:p w14:paraId="0E7546A5">
      <w:pPr>
        <w:pStyle w:val="16"/>
        <w:bidi w:val="0"/>
        <w:ind w:left="0" w:leftChars="0" w:firstLine="511" w:firstLineChars="213"/>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zh-CN" w:eastAsia="zh-CN"/>
        </w:rPr>
        <w:t>（</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lang w:val="zh-CN" w:eastAsia="zh-CN"/>
        </w:rPr>
        <w:t>）第一包：具有有效的《食品经营许可证》或《食品流通许可证》或《食品生产许可证》；参与第二包企业还需具有有效的《动物防疫合格证》或《动物检疫合格证明》，</w:t>
      </w:r>
      <w:r>
        <w:rPr>
          <w:rFonts w:hint="eastAsia" w:ascii="宋体" w:hAnsi="宋体" w:eastAsia="宋体" w:cs="宋体"/>
          <w:sz w:val="24"/>
          <w:szCs w:val="24"/>
        </w:rPr>
        <w:t>相关工作人员提供健康证</w:t>
      </w:r>
      <w:r>
        <w:rPr>
          <w:rFonts w:hint="eastAsia" w:ascii="宋体" w:hAnsi="宋体" w:eastAsia="宋体" w:cs="宋体"/>
          <w:sz w:val="24"/>
          <w:szCs w:val="24"/>
          <w:lang w:eastAsia="zh-CN"/>
        </w:rPr>
        <w:t>，</w:t>
      </w:r>
      <w:r>
        <w:rPr>
          <w:rFonts w:hint="eastAsia" w:ascii="宋体" w:hAnsi="宋体" w:eastAsia="宋体" w:cs="宋体"/>
          <w:sz w:val="24"/>
          <w:szCs w:val="24"/>
          <w:highlight w:val="none"/>
          <w:lang w:val="zh-CN" w:eastAsia="zh-CN"/>
        </w:rPr>
        <w:t>原件扫描件加盖企业公章；</w:t>
      </w:r>
    </w:p>
    <w:p w14:paraId="2D4ACB84">
      <w:pPr>
        <w:pStyle w:val="16"/>
        <w:bidi w:val="0"/>
        <w:ind w:left="0" w:leftChars="0" w:firstLine="511" w:firstLineChars="213"/>
        <w:rPr>
          <w:rFonts w:hint="eastAsia" w:ascii="宋体" w:hAnsi="宋体" w:eastAsia="宋体" w:cs="宋体"/>
          <w:sz w:val="24"/>
          <w:szCs w:val="24"/>
          <w:highlight w:val="none"/>
          <w:lang w:val="zh-CN" w:eastAsia="zh-CN"/>
        </w:rPr>
      </w:pPr>
      <w:r>
        <w:rPr>
          <w:rFonts w:hint="eastAsia" w:ascii="宋体" w:hAnsi="宋体" w:eastAsia="宋体" w:cs="宋体"/>
          <w:sz w:val="24"/>
          <w:szCs w:val="24"/>
          <w:highlight w:val="none"/>
          <w:lang w:val="zh-CN" w:eastAsia="zh-CN"/>
        </w:rPr>
        <w:t>（</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lang w:val="zh-CN" w:eastAsia="zh-CN"/>
        </w:rPr>
        <w:t>）法定代表人资格证明书和法定代表人身份证，均为原件的扫描件加盖企业公章或法定代表人授权委托书及被授权人身份证，均为原件的扫描件加盖企业公章；</w:t>
      </w:r>
    </w:p>
    <w:p w14:paraId="28CC303F">
      <w:pPr>
        <w:pStyle w:val="16"/>
        <w:bidi w:val="0"/>
        <w:ind w:left="0" w:leftChars="0" w:firstLine="511" w:firstLineChars="213"/>
        <w:rPr>
          <w:rFonts w:hint="eastAsia" w:ascii="宋体" w:hAnsi="宋体" w:eastAsia="宋体" w:cs="宋体"/>
          <w:sz w:val="24"/>
          <w:szCs w:val="24"/>
          <w:highlight w:val="none"/>
          <w:lang w:val="zh-CN" w:eastAsia="zh-CN"/>
        </w:rPr>
      </w:pPr>
      <w:r>
        <w:rPr>
          <w:rFonts w:hint="eastAsia" w:ascii="宋体" w:hAnsi="宋体" w:eastAsia="宋体" w:cs="宋体"/>
          <w:sz w:val="24"/>
          <w:szCs w:val="24"/>
          <w:highlight w:val="none"/>
          <w:lang w:val="zh-CN" w:eastAsia="zh-CN"/>
        </w:rPr>
        <w:t>（</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lang w:val="zh-CN" w:eastAsia="zh-CN"/>
        </w:rPr>
        <w:t>）供应商出具加盖公章的《中小企业声明函》原件的扫描件加盖企业公章，不按格式填写按无效标处理。</w:t>
      </w:r>
    </w:p>
    <w:p w14:paraId="72D1C575">
      <w:pPr>
        <w:pStyle w:val="16"/>
        <w:bidi w:val="0"/>
        <w:ind w:left="0" w:leftChars="0" w:firstLine="511" w:firstLineChars="213"/>
        <w:rPr>
          <w:rFonts w:hint="eastAsia" w:ascii="宋体" w:hAnsi="宋体" w:eastAsia="宋体" w:cs="宋体"/>
          <w:sz w:val="24"/>
          <w:szCs w:val="24"/>
          <w:highlight w:val="none"/>
          <w:lang w:val="zh-CN" w:eastAsia="zh-CN"/>
        </w:rPr>
      </w:pPr>
      <w:r>
        <w:rPr>
          <w:rFonts w:hint="eastAsia" w:ascii="宋体" w:hAnsi="宋体" w:eastAsia="宋体" w:cs="宋体"/>
          <w:sz w:val="24"/>
          <w:szCs w:val="24"/>
          <w:highlight w:val="none"/>
          <w:lang w:val="zh-CN" w:eastAsia="zh-CN"/>
        </w:rPr>
        <w:t>（</w:t>
      </w: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lang w:val="zh-CN" w:eastAsia="zh-CN"/>
        </w:rPr>
        <w:t>）供应商提供投标保证金收据或保函，原件扫描件加盖企业公章。</w:t>
      </w:r>
    </w:p>
    <w:p w14:paraId="156CB811">
      <w:pPr>
        <w:pStyle w:val="16"/>
        <w:bidi w:val="0"/>
        <w:ind w:left="0" w:leftChars="0" w:firstLine="511" w:firstLineChars="213"/>
        <w:rPr>
          <w:rFonts w:hint="eastAsia" w:ascii="宋体" w:hAnsi="宋体" w:eastAsia="宋体" w:cs="宋体"/>
          <w:sz w:val="24"/>
          <w:szCs w:val="24"/>
          <w:highlight w:val="none"/>
        </w:rPr>
        <w:sectPr>
          <w:pgSz w:w="11910" w:h="16840"/>
          <w:pgMar w:top="1520" w:right="1010" w:bottom="1260" w:left="1020" w:header="0" w:footer="1068" w:gutter="0"/>
          <w:cols w:space="720" w:num="1"/>
        </w:sectPr>
      </w:pPr>
      <w:r>
        <w:rPr>
          <w:rFonts w:hint="eastAsia" w:ascii="宋体" w:hAnsi="宋体" w:eastAsia="宋体" w:cs="宋体"/>
          <w:sz w:val="24"/>
          <w:szCs w:val="24"/>
          <w:highlight w:val="none"/>
          <w:lang w:val="zh-CN" w:eastAsia="zh-CN"/>
        </w:rPr>
        <w:t>合格供应商不足三家的，不进行评标。</w:t>
      </w:r>
    </w:p>
    <w:p w14:paraId="6FD52BF4">
      <w:pPr>
        <w:spacing w:before="48" w:after="25"/>
        <w:ind w:left="0" w:leftChars="0" w:right="0" w:firstLine="513" w:firstLineChars="213"/>
        <w:jc w:val="left"/>
        <w:rPr>
          <w:rFonts w:hint="eastAsia" w:ascii="宋体" w:hAnsi="宋体" w:eastAsia="宋体" w:cs="宋体"/>
          <w:b/>
          <w:sz w:val="24"/>
          <w:szCs w:val="24"/>
          <w:highlight w:val="none"/>
        </w:rPr>
      </w:pPr>
      <w:r>
        <w:rPr>
          <w:rFonts w:hint="eastAsia" w:ascii="宋体" w:hAnsi="宋体" w:eastAsia="宋体" w:cs="宋体"/>
          <w:b/>
          <w:sz w:val="24"/>
          <w:szCs w:val="24"/>
          <w:highlight w:val="none"/>
        </w:rPr>
        <w:t>符合性审查</w:t>
      </w:r>
    </w:p>
    <w:tbl>
      <w:tblPr>
        <w:tblStyle w:val="37"/>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62"/>
        <w:gridCol w:w="5265"/>
        <w:gridCol w:w="1215"/>
        <w:gridCol w:w="1350"/>
        <w:gridCol w:w="1219"/>
      </w:tblGrid>
      <w:tr w14:paraId="0D7B03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5" w:hRule="atLeast"/>
          <w:jc w:val="center"/>
        </w:trPr>
        <w:tc>
          <w:tcPr>
            <w:tcW w:w="762" w:type="dxa"/>
          </w:tcPr>
          <w:p w14:paraId="7E0C27DB">
            <w:pPr>
              <w:pStyle w:val="137"/>
              <w:spacing w:before="158"/>
              <w:ind w:right="111"/>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序号</w:t>
            </w:r>
          </w:p>
        </w:tc>
        <w:tc>
          <w:tcPr>
            <w:tcW w:w="5265" w:type="dxa"/>
          </w:tcPr>
          <w:p w14:paraId="6EEFDCA5">
            <w:pPr>
              <w:pStyle w:val="137"/>
              <w:spacing w:before="158"/>
              <w:ind w:left="0" w:leftChars="0" w:right="2124" w:firstLine="511" w:firstLineChars="213"/>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评审内容</w:t>
            </w:r>
          </w:p>
        </w:tc>
        <w:tc>
          <w:tcPr>
            <w:tcW w:w="1215" w:type="dxa"/>
          </w:tcPr>
          <w:p w14:paraId="014FDEF4">
            <w:pPr>
              <w:pStyle w:val="137"/>
              <w:spacing w:before="158"/>
              <w:rPr>
                <w:rFonts w:hint="eastAsia" w:ascii="宋体" w:hAnsi="宋体" w:eastAsia="宋体" w:cs="宋体"/>
                <w:sz w:val="24"/>
                <w:szCs w:val="24"/>
                <w:highlight w:val="none"/>
              </w:rPr>
            </w:pPr>
            <w:r>
              <w:rPr>
                <w:rFonts w:hint="eastAsia" w:ascii="宋体" w:hAnsi="宋体" w:eastAsia="宋体" w:cs="宋体"/>
                <w:sz w:val="24"/>
                <w:szCs w:val="24"/>
                <w:highlight w:val="none"/>
              </w:rPr>
              <w:t>供应商 1</w:t>
            </w:r>
          </w:p>
        </w:tc>
        <w:tc>
          <w:tcPr>
            <w:tcW w:w="1350" w:type="dxa"/>
          </w:tcPr>
          <w:p w14:paraId="78E65C72">
            <w:pPr>
              <w:pStyle w:val="137"/>
              <w:spacing w:before="158"/>
              <w:rPr>
                <w:rFonts w:hint="eastAsia" w:ascii="宋体" w:hAnsi="宋体" w:eastAsia="宋体" w:cs="宋体"/>
                <w:sz w:val="24"/>
                <w:szCs w:val="24"/>
                <w:highlight w:val="none"/>
              </w:rPr>
            </w:pPr>
            <w:r>
              <w:rPr>
                <w:rFonts w:hint="eastAsia" w:ascii="宋体" w:hAnsi="宋体" w:eastAsia="宋体" w:cs="宋体"/>
                <w:sz w:val="24"/>
                <w:szCs w:val="24"/>
                <w:highlight w:val="none"/>
              </w:rPr>
              <w:t>供应商 2</w:t>
            </w:r>
          </w:p>
        </w:tc>
        <w:tc>
          <w:tcPr>
            <w:tcW w:w="1219" w:type="dxa"/>
          </w:tcPr>
          <w:p w14:paraId="7951EB6A">
            <w:pPr>
              <w:pStyle w:val="137"/>
              <w:spacing w:before="158"/>
              <w:rPr>
                <w:rFonts w:hint="eastAsia" w:ascii="宋体" w:hAnsi="宋体" w:eastAsia="宋体" w:cs="宋体"/>
                <w:sz w:val="24"/>
                <w:szCs w:val="24"/>
                <w:highlight w:val="none"/>
              </w:rPr>
            </w:pPr>
            <w:r>
              <w:rPr>
                <w:rFonts w:hint="eastAsia" w:ascii="宋体" w:hAnsi="宋体" w:eastAsia="宋体" w:cs="宋体"/>
                <w:sz w:val="24"/>
                <w:szCs w:val="24"/>
                <w:highlight w:val="none"/>
              </w:rPr>
              <w:t>供应商 3</w:t>
            </w:r>
          </w:p>
        </w:tc>
      </w:tr>
      <w:tr w14:paraId="09BE21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8" w:hRule="atLeast"/>
          <w:jc w:val="center"/>
        </w:trPr>
        <w:tc>
          <w:tcPr>
            <w:tcW w:w="762" w:type="dxa"/>
          </w:tcPr>
          <w:p w14:paraId="3E48D748">
            <w:pPr>
              <w:pStyle w:val="137"/>
              <w:spacing w:before="5"/>
              <w:ind w:left="0" w:leftChars="0" w:firstLine="513" w:firstLineChars="213"/>
              <w:rPr>
                <w:rFonts w:hint="eastAsia" w:ascii="宋体" w:hAnsi="宋体" w:eastAsia="宋体" w:cs="宋体"/>
                <w:b/>
                <w:sz w:val="24"/>
                <w:szCs w:val="24"/>
                <w:highlight w:val="none"/>
              </w:rPr>
            </w:pPr>
          </w:p>
          <w:p w14:paraId="1EADCCCB">
            <w:pPr>
              <w:pStyle w:val="137"/>
              <w:ind w:left="0" w:leftChars="0" w:firstLine="511" w:firstLineChars="213"/>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5265" w:type="dxa"/>
            <w:vAlign w:val="center"/>
          </w:tcPr>
          <w:p w14:paraId="0639144C">
            <w:pPr>
              <w:pStyle w:val="137"/>
              <w:spacing w:line="289" w:lineRule="exact"/>
              <w:jc w:val="both"/>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报价是否是唯一，报价是否高于设定的采购限价</w:t>
            </w:r>
            <w:r>
              <w:rPr>
                <w:rFonts w:hint="eastAsia" w:ascii="宋体" w:hAnsi="宋体" w:eastAsia="宋体" w:cs="宋体"/>
                <w:sz w:val="24"/>
                <w:szCs w:val="24"/>
                <w:highlight w:val="none"/>
                <w:lang w:eastAsia="zh-CN"/>
              </w:rPr>
              <w:t>；</w:t>
            </w:r>
            <w:r>
              <w:rPr>
                <w:rFonts w:hint="eastAsia" w:ascii="宋体" w:hAnsi="宋体" w:cs="宋体"/>
                <w:sz w:val="24"/>
                <w:szCs w:val="24"/>
                <w:highlight w:val="none"/>
                <w:lang w:eastAsia="zh-CN"/>
              </w:rPr>
              <w:t>（</w:t>
            </w:r>
            <w:r>
              <w:rPr>
                <w:rFonts w:hint="eastAsia"/>
                <w:sz w:val="24"/>
                <w:szCs w:val="24"/>
                <w:highlight w:val="none"/>
              </w:rPr>
              <w:t>要求投标人按吐鲁番市发改委提供的市场零售价作为基准点报下浮比例，下浮比例不能低于</w:t>
            </w:r>
            <w:r>
              <w:rPr>
                <w:rFonts w:hint="eastAsia"/>
                <w:sz w:val="24"/>
                <w:szCs w:val="24"/>
                <w:highlight w:val="none"/>
                <w:lang w:val="en-US" w:eastAsia="zh-CN"/>
              </w:rPr>
              <w:t>5</w:t>
            </w:r>
            <w:r>
              <w:rPr>
                <w:rFonts w:hint="eastAsia"/>
                <w:sz w:val="24"/>
                <w:szCs w:val="24"/>
                <w:highlight w:val="none"/>
              </w:rPr>
              <w:t>%</w:t>
            </w:r>
            <w:r>
              <w:rPr>
                <w:rFonts w:hint="eastAsia" w:ascii="宋体" w:hAnsi="宋体" w:cs="宋体"/>
                <w:sz w:val="24"/>
                <w:szCs w:val="24"/>
                <w:highlight w:val="none"/>
                <w:lang w:eastAsia="zh-CN"/>
              </w:rPr>
              <w:t>）</w:t>
            </w:r>
          </w:p>
        </w:tc>
        <w:tc>
          <w:tcPr>
            <w:tcW w:w="1215" w:type="dxa"/>
          </w:tcPr>
          <w:p w14:paraId="0C15821C">
            <w:pPr>
              <w:pStyle w:val="137"/>
              <w:ind w:left="0" w:leftChars="0" w:firstLine="511" w:firstLineChars="213"/>
              <w:rPr>
                <w:rFonts w:hint="eastAsia" w:ascii="宋体" w:hAnsi="宋体" w:eastAsia="宋体" w:cs="宋体"/>
                <w:sz w:val="24"/>
                <w:szCs w:val="24"/>
                <w:highlight w:val="none"/>
              </w:rPr>
            </w:pPr>
          </w:p>
        </w:tc>
        <w:tc>
          <w:tcPr>
            <w:tcW w:w="1350" w:type="dxa"/>
          </w:tcPr>
          <w:p w14:paraId="032797D8">
            <w:pPr>
              <w:pStyle w:val="137"/>
              <w:ind w:left="0" w:leftChars="0" w:firstLine="511" w:firstLineChars="213"/>
              <w:rPr>
                <w:rFonts w:hint="eastAsia" w:ascii="宋体" w:hAnsi="宋体" w:eastAsia="宋体" w:cs="宋体"/>
                <w:sz w:val="24"/>
                <w:szCs w:val="24"/>
                <w:highlight w:val="none"/>
              </w:rPr>
            </w:pPr>
          </w:p>
        </w:tc>
        <w:tc>
          <w:tcPr>
            <w:tcW w:w="1219" w:type="dxa"/>
          </w:tcPr>
          <w:p w14:paraId="66FF251B">
            <w:pPr>
              <w:pStyle w:val="137"/>
              <w:ind w:left="0" w:leftChars="0" w:firstLine="511" w:firstLineChars="213"/>
              <w:rPr>
                <w:rFonts w:hint="eastAsia" w:ascii="宋体" w:hAnsi="宋体" w:eastAsia="宋体" w:cs="宋体"/>
                <w:sz w:val="24"/>
                <w:szCs w:val="24"/>
                <w:highlight w:val="none"/>
              </w:rPr>
            </w:pPr>
          </w:p>
        </w:tc>
      </w:tr>
      <w:tr w14:paraId="1E7F36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4" w:hRule="atLeast"/>
          <w:jc w:val="center"/>
        </w:trPr>
        <w:tc>
          <w:tcPr>
            <w:tcW w:w="762" w:type="dxa"/>
          </w:tcPr>
          <w:p w14:paraId="75D7A3E7">
            <w:pPr>
              <w:pStyle w:val="137"/>
              <w:spacing w:before="196"/>
              <w:ind w:left="0" w:leftChars="0" w:firstLine="511" w:firstLineChars="213"/>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2</w:t>
            </w:r>
          </w:p>
        </w:tc>
        <w:tc>
          <w:tcPr>
            <w:tcW w:w="5265" w:type="dxa"/>
            <w:vAlign w:val="center"/>
          </w:tcPr>
          <w:p w14:paraId="08463599">
            <w:pPr>
              <w:pStyle w:val="137"/>
              <w:spacing w:before="40" w:line="242" w:lineRule="auto"/>
              <w:ind w:right="104"/>
              <w:jc w:val="both"/>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投标文件是否按招标文件要求签署、签字或盖章的</w:t>
            </w:r>
            <w:r>
              <w:rPr>
                <w:rFonts w:hint="eastAsia" w:ascii="宋体" w:hAnsi="宋体" w:eastAsia="宋体" w:cs="宋体"/>
                <w:sz w:val="24"/>
                <w:szCs w:val="24"/>
                <w:highlight w:val="none"/>
                <w:lang w:eastAsia="zh-CN"/>
              </w:rPr>
              <w:t>；</w:t>
            </w:r>
          </w:p>
        </w:tc>
        <w:tc>
          <w:tcPr>
            <w:tcW w:w="1215" w:type="dxa"/>
          </w:tcPr>
          <w:p w14:paraId="2EBAB942">
            <w:pPr>
              <w:pStyle w:val="137"/>
              <w:ind w:left="0" w:leftChars="0" w:firstLine="511" w:firstLineChars="213"/>
              <w:rPr>
                <w:rFonts w:hint="eastAsia" w:ascii="宋体" w:hAnsi="宋体" w:eastAsia="宋体" w:cs="宋体"/>
                <w:sz w:val="24"/>
                <w:szCs w:val="24"/>
                <w:highlight w:val="none"/>
              </w:rPr>
            </w:pPr>
          </w:p>
        </w:tc>
        <w:tc>
          <w:tcPr>
            <w:tcW w:w="1350" w:type="dxa"/>
          </w:tcPr>
          <w:p w14:paraId="2A538B9F">
            <w:pPr>
              <w:pStyle w:val="137"/>
              <w:ind w:left="0" w:leftChars="0" w:firstLine="511" w:firstLineChars="213"/>
              <w:rPr>
                <w:rFonts w:hint="eastAsia" w:ascii="宋体" w:hAnsi="宋体" w:eastAsia="宋体" w:cs="宋体"/>
                <w:sz w:val="24"/>
                <w:szCs w:val="24"/>
                <w:highlight w:val="none"/>
              </w:rPr>
            </w:pPr>
          </w:p>
        </w:tc>
        <w:tc>
          <w:tcPr>
            <w:tcW w:w="1219" w:type="dxa"/>
          </w:tcPr>
          <w:p w14:paraId="2C02BE8E">
            <w:pPr>
              <w:pStyle w:val="137"/>
              <w:ind w:left="0" w:leftChars="0" w:firstLine="511" w:firstLineChars="213"/>
              <w:rPr>
                <w:rFonts w:hint="eastAsia" w:ascii="宋体" w:hAnsi="宋体" w:eastAsia="宋体" w:cs="宋体"/>
                <w:sz w:val="24"/>
                <w:szCs w:val="24"/>
                <w:highlight w:val="none"/>
              </w:rPr>
            </w:pPr>
          </w:p>
        </w:tc>
      </w:tr>
      <w:tr w14:paraId="48974B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jc w:val="center"/>
        </w:trPr>
        <w:tc>
          <w:tcPr>
            <w:tcW w:w="762" w:type="dxa"/>
          </w:tcPr>
          <w:p w14:paraId="1F58ED49">
            <w:pPr>
              <w:pStyle w:val="137"/>
              <w:spacing w:before="27"/>
              <w:ind w:left="0" w:leftChars="0" w:firstLine="511" w:firstLineChars="213"/>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3</w:t>
            </w:r>
          </w:p>
        </w:tc>
        <w:tc>
          <w:tcPr>
            <w:tcW w:w="5265" w:type="dxa"/>
            <w:vAlign w:val="center"/>
          </w:tcPr>
          <w:p w14:paraId="013DB919">
            <w:pPr>
              <w:pStyle w:val="137"/>
              <w:spacing w:before="27"/>
              <w:jc w:val="both"/>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投标有效期是否满足招标文件要求的</w:t>
            </w:r>
            <w:r>
              <w:rPr>
                <w:rFonts w:hint="eastAsia" w:ascii="宋体" w:hAnsi="宋体" w:eastAsia="宋体" w:cs="宋体"/>
                <w:sz w:val="24"/>
                <w:szCs w:val="24"/>
                <w:highlight w:val="none"/>
                <w:lang w:eastAsia="zh-CN"/>
              </w:rPr>
              <w:t>；</w:t>
            </w:r>
          </w:p>
        </w:tc>
        <w:tc>
          <w:tcPr>
            <w:tcW w:w="1215" w:type="dxa"/>
          </w:tcPr>
          <w:p w14:paraId="0B62688C">
            <w:pPr>
              <w:pStyle w:val="137"/>
              <w:ind w:left="0" w:leftChars="0" w:firstLine="511" w:firstLineChars="213"/>
              <w:rPr>
                <w:rFonts w:hint="eastAsia" w:ascii="宋体" w:hAnsi="宋体" w:eastAsia="宋体" w:cs="宋体"/>
                <w:sz w:val="24"/>
                <w:szCs w:val="24"/>
                <w:highlight w:val="none"/>
              </w:rPr>
            </w:pPr>
          </w:p>
        </w:tc>
        <w:tc>
          <w:tcPr>
            <w:tcW w:w="1350" w:type="dxa"/>
          </w:tcPr>
          <w:p w14:paraId="747AB9EC">
            <w:pPr>
              <w:pStyle w:val="137"/>
              <w:ind w:left="0" w:leftChars="0" w:firstLine="511" w:firstLineChars="213"/>
              <w:rPr>
                <w:rFonts w:hint="eastAsia" w:ascii="宋体" w:hAnsi="宋体" w:eastAsia="宋体" w:cs="宋体"/>
                <w:sz w:val="24"/>
                <w:szCs w:val="24"/>
                <w:highlight w:val="none"/>
              </w:rPr>
            </w:pPr>
          </w:p>
        </w:tc>
        <w:tc>
          <w:tcPr>
            <w:tcW w:w="1219" w:type="dxa"/>
          </w:tcPr>
          <w:p w14:paraId="1D695554">
            <w:pPr>
              <w:pStyle w:val="137"/>
              <w:ind w:left="0" w:leftChars="0" w:firstLine="511" w:firstLineChars="213"/>
              <w:rPr>
                <w:rFonts w:hint="eastAsia" w:ascii="宋体" w:hAnsi="宋体" w:eastAsia="宋体" w:cs="宋体"/>
                <w:sz w:val="24"/>
                <w:szCs w:val="24"/>
                <w:highlight w:val="none"/>
              </w:rPr>
            </w:pPr>
          </w:p>
        </w:tc>
      </w:tr>
      <w:tr w14:paraId="6A4CB4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2" w:hRule="atLeast"/>
          <w:jc w:val="center"/>
        </w:trPr>
        <w:tc>
          <w:tcPr>
            <w:tcW w:w="762" w:type="dxa"/>
          </w:tcPr>
          <w:p w14:paraId="5FE81F88">
            <w:pPr>
              <w:pStyle w:val="137"/>
              <w:spacing w:before="40"/>
              <w:ind w:left="0" w:leftChars="0" w:firstLine="511" w:firstLineChars="213"/>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4</w:t>
            </w:r>
          </w:p>
        </w:tc>
        <w:tc>
          <w:tcPr>
            <w:tcW w:w="5265" w:type="dxa"/>
            <w:vAlign w:val="center"/>
          </w:tcPr>
          <w:p w14:paraId="17B5D7BA">
            <w:pPr>
              <w:pStyle w:val="137"/>
              <w:spacing w:before="27"/>
              <w:jc w:val="both"/>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明显不符合招标文件要求的；投标文件中含有采购人不能接受的附加条件的</w:t>
            </w:r>
            <w:r>
              <w:rPr>
                <w:rFonts w:hint="eastAsia" w:ascii="宋体" w:hAnsi="宋体" w:eastAsia="宋体" w:cs="宋体"/>
                <w:sz w:val="24"/>
                <w:szCs w:val="24"/>
                <w:highlight w:val="none"/>
                <w:lang w:eastAsia="zh-CN"/>
              </w:rPr>
              <w:t>；</w:t>
            </w:r>
          </w:p>
        </w:tc>
        <w:tc>
          <w:tcPr>
            <w:tcW w:w="1215" w:type="dxa"/>
          </w:tcPr>
          <w:p w14:paraId="433C9FB3">
            <w:pPr>
              <w:pStyle w:val="137"/>
              <w:ind w:left="0" w:leftChars="0" w:firstLine="511" w:firstLineChars="213"/>
              <w:rPr>
                <w:rFonts w:hint="eastAsia" w:ascii="宋体" w:hAnsi="宋体" w:eastAsia="宋体" w:cs="宋体"/>
                <w:sz w:val="24"/>
                <w:szCs w:val="24"/>
                <w:highlight w:val="none"/>
              </w:rPr>
            </w:pPr>
          </w:p>
        </w:tc>
        <w:tc>
          <w:tcPr>
            <w:tcW w:w="1350" w:type="dxa"/>
          </w:tcPr>
          <w:p w14:paraId="007F4E46">
            <w:pPr>
              <w:pStyle w:val="137"/>
              <w:ind w:left="0" w:leftChars="0" w:firstLine="511" w:firstLineChars="213"/>
              <w:rPr>
                <w:rFonts w:hint="eastAsia" w:ascii="宋体" w:hAnsi="宋体" w:eastAsia="宋体" w:cs="宋体"/>
                <w:sz w:val="24"/>
                <w:szCs w:val="24"/>
                <w:highlight w:val="none"/>
              </w:rPr>
            </w:pPr>
          </w:p>
        </w:tc>
        <w:tc>
          <w:tcPr>
            <w:tcW w:w="1219" w:type="dxa"/>
          </w:tcPr>
          <w:p w14:paraId="711A67C9">
            <w:pPr>
              <w:pStyle w:val="137"/>
              <w:ind w:left="0" w:leftChars="0" w:firstLine="511" w:firstLineChars="213"/>
              <w:rPr>
                <w:rFonts w:hint="eastAsia" w:ascii="宋体" w:hAnsi="宋体" w:eastAsia="宋体" w:cs="宋体"/>
                <w:sz w:val="24"/>
                <w:szCs w:val="24"/>
                <w:highlight w:val="none"/>
              </w:rPr>
            </w:pPr>
          </w:p>
        </w:tc>
      </w:tr>
      <w:tr w14:paraId="79DC8C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5" w:hRule="atLeast"/>
          <w:jc w:val="center"/>
        </w:trPr>
        <w:tc>
          <w:tcPr>
            <w:tcW w:w="762" w:type="dxa"/>
          </w:tcPr>
          <w:p w14:paraId="4F2093E7">
            <w:pPr>
              <w:pStyle w:val="137"/>
              <w:spacing w:before="156"/>
              <w:ind w:left="0" w:leftChars="0" w:firstLine="511" w:firstLineChars="213"/>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5</w:t>
            </w:r>
          </w:p>
        </w:tc>
        <w:tc>
          <w:tcPr>
            <w:tcW w:w="5265" w:type="dxa"/>
            <w:vAlign w:val="center"/>
          </w:tcPr>
          <w:p w14:paraId="52CA3074">
            <w:pPr>
              <w:pStyle w:val="137"/>
              <w:spacing w:line="310" w:lineRule="atLeast"/>
              <w:ind w:right="95"/>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投标声明书无法定代表人签名，或委托人未提供</w:t>
            </w:r>
          </w:p>
          <w:p w14:paraId="20E2BE49">
            <w:pPr>
              <w:pStyle w:val="137"/>
              <w:spacing w:line="310" w:lineRule="atLeast"/>
              <w:ind w:right="95"/>
              <w:jc w:val="both"/>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法定代表人授权委托书、填写项目不齐全的</w:t>
            </w:r>
            <w:r>
              <w:rPr>
                <w:rFonts w:hint="eastAsia" w:ascii="宋体" w:hAnsi="宋体" w:eastAsia="宋体" w:cs="宋体"/>
                <w:sz w:val="24"/>
                <w:szCs w:val="24"/>
                <w:highlight w:val="none"/>
                <w:lang w:eastAsia="zh-CN"/>
              </w:rPr>
              <w:t>；</w:t>
            </w:r>
          </w:p>
        </w:tc>
        <w:tc>
          <w:tcPr>
            <w:tcW w:w="1215" w:type="dxa"/>
          </w:tcPr>
          <w:p w14:paraId="2EA8B21C">
            <w:pPr>
              <w:pStyle w:val="137"/>
              <w:ind w:left="0" w:leftChars="0" w:firstLine="511" w:firstLineChars="213"/>
              <w:rPr>
                <w:rFonts w:hint="eastAsia" w:ascii="宋体" w:hAnsi="宋体" w:eastAsia="宋体" w:cs="宋体"/>
                <w:sz w:val="24"/>
                <w:szCs w:val="24"/>
                <w:highlight w:val="none"/>
              </w:rPr>
            </w:pPr>
          </w:p>
        </w:tc>
        <w:tc>
          <w:tcPr>
            <w:tcW w:w="1350" w:type="dxa"/>
          </w:tcPr>
          <w:p w14:paraId="125560E0">
            <w:pPr>
              <w:pStyle w:val="137"/>
              <w:ind w:left="0" w:leftChars="0" w:firstLine="511" w:firstLineChars="213"/>
              <w:rPr>
                <w:rFonts w:hint="eastAsia" w:ascii="宋体" w:hAnsi="宋体" w:eastAsia="宋体" w:cs="宋体"/>
                <w:sz w:val="24"/>
                <w:szCs w:val="24"/>
                <w:highlight w:val="none"/>
              </w:rPr>
            </w:pPr>
          </w:p>
        </w:tc>
        <w:tc>
          <w:tcPr>
            <w:tcW w:w="1219" w:type="dxa"/>
          </w:tcPr>
          <w:p w14:paraId="068DFA77">
            <w:pPr>
              <w:pStyle w:val="137"/>
              <w:ind w:left="0" w:leftChars="0" w:firstLine="511" w:firstLineChars="213"/>
              <w:rPr>
                <w:rFonts w:hint="eastAsia" w:ascii="宋体" w:hAnsi="宋体" w:eastAsia="宋体" w:cs="宋体"/>
                <w:sz w:val="24"/>
                <w:szCs w:val="24"/>
                <w:highlight w:val="none"/>
              </w:rPr>
            </w:pPr>
          </w:p>
        </w:tc>
      </w:tr>
      <w:tr w14:paraId="6CC077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jc w:val="center"/>
        </w:trPr>
        <w:tc>
          <w:tcPr>
            <w:tcW w:w="762" w:type="dxa"/>
          </w:tcPr>
          <w:p w14:paraId="0FFEA5FE">
            <w:pPr>
              <w:pStyle w:val="137"/>
              <w:spacing w:before="47"/>
              <w:ind w:left="0" w:leftChars="0" w:firstLine="511" w:firstLineChars="213"/>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6</w:t>
            </w:r>
          </w:p>
        </w:tc>
        <w:tc>
          <w:tcPr>
            <w:tcW w:w="5265" w:type="dxa"/>
            <w:vAlign w:val="center"/>
          </w:tcPr>
          <w:p w14:paraId="30728690">
            <w:pPr>
              <w:pStyle w:val="137"/>
              <w:spacing w:before="47"/>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投标文件格式不规范、提供资料不齐全或者内容</w:t>
            </w:r>
          </w:p>
          <w:p w14:paraId="0F912E25">
            <w:pPr>
              <w:pStyle w:val="137"/>
              <w:spacing w:before="47"/>
              <w:jc w:val="both"/>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虚假的</w:t>
            </w:r>
            <w:r>
              <w:rPr>
                <w:rFonts w:hint="eastAsia" w:ascii="宋体" w:hAnsi="宋体" w:eastAsia="宋体" w:cs="宋体"/>
                <w:sz w:val="24"/>
                <w:szCs w:val="24"/>
                <w:highlight w:val="none"/>
                <w:lang w:eastAsia="zh-CN"/>
              </w:rPr>
              <w:t>；</w:t>
            </w:r>
          </w:p>
        </w:tc>
        <w:tc>
          <w:tcPr>
            <w:tcW w:w="1215" w:type="dxa"/>
          </w:tcPr>
          <w:p w14:paraId="5DB7001C">
            <w:pPr>
              <w:pStyle w:val="137"/>
              <w:ind w:left="0" w:leftChars="0" w:firstLine="511" w:firstLineChars="213"/>
              <w:rPr>
                <w:rFonts w:hint="eastAsia" w:ascii="宋体" w:hAnsi="宋体" w:eastAsia="宋体" w:cs="宋体"/>
                <w:sz w:val="24"/>
                <w:szCs w:val="24"/>
                <w:highlight w:val="none"/>
              </w:rPr>
            </w:pPr>
          </w:p>
        </w:tc>
        <w:tc>
          <w:tcPr>
            <w:tcW w:w="1350" w:type="dxa"/>
          </w:tcPr>
          <w:p w14:paraId="4ECF79F5">
            <w:pPr>
              <w:pStyle w:val="137"/>
              <w:ind w:left="0" w:leftChars="0" w:firstLine="511" w:firstLineChars="213"/>
              <w:rPr>
                <w:rFonts w:hint="eastAsia" w:ascii="宋体" w:hAnsi="宋体" w:eastAsia="宋体" w:cs="宋体"/>
                <w:sz w:val="24"/>
                <w:szCs w:val="24"/>
                <w:highlight w:val="none"/>
              </w:rPr>
            </w:pPr>
          </w:p>
        </w:tc>
        <w:tc>
          <w:tcPr>
            <w:tcW w:w="1219" w:type="dxa"/>
          </w:tcPr>
          <w:p w14:paraId="24D41D4E">
            <w:pPr>
              <w:pStyle w:val="137"/>
              <w:ind w:left="0" w:leftChars="0" w:firstLine="511" w:firstLineChars="213"/>
              <w:rPr>
                <w:rFonts w:hint="eastAsia" w:ascii="宋体" w:hAnsi="宋体" w:eastAsia="宋体" w:cs="宋体"/>
                <w:sz w:val="24"/>
                <w:szCs w:val="24"/>
                <w:highlight w:val="none"/>
              </w:rPr>
            </w:pPr>
          </w:p>
        </w:tc>
      </w:tr>
      <w:tr w14:paraId="74C8D2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6" w:hRule="atLeast"/>
          <w:jc w:val="center"/>
        </w:trPr>
        <w:tc>
          <w:tcPr>
            <w:tcW w:w="762" w:type="dxa"/>
          </w:tcPr>
          <w:p w14:paraId="669EFF02">
            <w:pPr>
              <w:pStyle w:val="137"/>
              <w:spacing w:before="172"/>
              <w:ind w:left="0" w:leftChars="0" w:firstLine="511" w:firstLineChars="213"/>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7</w:t>
            </w:r>
          </w:p>
        </w:tc>
        <w:tc>
          <w:tcPr>
            <w:tcW w:w="5265" w:type="dxa"/>
            <w:vAlign w:val="center"/>
          </w:tcPr>
          <w:p w14:paraId="2962F9B1">
            <w:pPr>
              <w:pStyle w:val="137"/>
              <w:spacing w:before="16" w:line="310" w:lineRule="atLeast"/>
              <w:ind w:right="104"/>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投标文件的实质性内容未使用中文表述、表述不</w:t>
            </w:r>
          </w:p>
          <w:p w14:paraId="23ED21D7">
            <w:pPr>
              <w:pStyle w:val="137"/>
              <w:spacing w:before="16" w:line="310" w:lineRule="atLeast"/>
              <w:ind w:right="104"/>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明确、前后矛盾或者使用计量单位不符合招标文</w:t>
            </w:r>
          </w:p>
          <w:p w14:paraId="74DDDCE6">
            <w:pPr>
              <w:pStyle w:val="137"/>
              <w:spacing w:before="16" w:line="310" w:lineRule="atLeast"/>
              <w:ind w:right="104"/>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件要求的（经评标委员会认定并允许其当场更正</w:t>
            </w:r>
          </w:p>
          <w:p w14:paraId="41C5F28A">
            <w:pPr>
              <w:pStyle w:val="137"/>
              <w:spacing w:before="16" w:line="310" w:lineRule="atLeast"/>
              <w:ind w:right="104"/>
              <w:jc w:val="both"/>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的笔误除外）</w:t>
            </w:r>
            <w:r>
              <w:rPr>
                <w:rFonts w:hint="eastAsia" w:ascii="宋体" w:hAnsi="宋体" w:eastAsia="宋体" w:cs="宋体"/>
                <w:sz w:val="24"/>
                <w:szCs w:val="24"/>
                <w:highlight w:val="none"/>
                <w:lang w:eastAsia="zh-CN"/>
              </w:rPr>
              <w:t>；</w:t>
            </w:r>
          </w:p>
        </w:tc>
        <w:tc>
          <w:tcPr>
            <w:tcW w:w="1215" w:type="dxa"/>
          </w:tcPr>
          <w:p w14:paraId="41C85144">
            <w:pPr>
              <w:pStyle w:val="137"/>
              <w:ind w:left="0" w:leftChars="0" w:firstLine="511" w:firstLineChars="213"/>
              <w:rPr>
                <w:rFonts w:hint="eastAsia" w:ascii="宋体" w:hAnsi="宋体" w:eastAsia="宋体" w:cs="宋体"/>
                <w:sz w:val="24"/>
                <w:szCs w:val="24"/>
                <w:highlight w:val="none"/>
              </w:rPr>
            </w:pPr>
          </w:p>
        </w:tc>
        <w:tc>
          <w:tcPr>
            <w:tcW w:w="1350" w:type="dxa"/>
          </w:tcPr>
          <w:p w14:paraId="1FF61A03">
            <w:pPr>
              <w:pStyle w:val="137"/>
              <w:ind w:left="0" w:leftChars="0" w:firstLine="511" w:firstLineChars="213"/>
              <w:rPr>
                <w:rFonts w:hint="eastAsia" w:ascii="宋体" w:hAnsi="宋体" w:eastAsia="宋体" w:cs="宋体"/>
                <w:sz w:val="24"/>
                <w:szCs w:val="24"/>
                <w:highlight w:val="none"/>
              </w:rPr>
            </w:pPr>
          </w:p>
        </w:tc>
        <w:tc>
          <w:tcPr>
            <w:tcW w:w="1219" w:type="dxa"/>
          </w:tcPr>
          <w:p w14:paraId="07BABF84">
            <w:pPr>
              <w:pStyle w:val="137"/>
              <w:ind w:left="0" w:leftChars="0" w:firstLine="511" w:firstLineChars="213"/>
              <w:rPr>
                <w:rFonts w:hint="eastAsia" w:ascii="宋体" w:hAnsi="宋体" w:eastAsia="宋体" w:cs="宋体"/>
                <w:sz w:val="24"/>
                <w:szCs w:val="24"/>
                <w:highlight w:val="none"/>
              </w:rPr>
            </w:pPr>
          </w:p>
        </w:tc>
      </w:tr>
      <w:tr w14:paraId="406629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5" w:hRule="atLeast"/>
          <w:jc w:val="center"/>
        </w:trPr>
        <w:tc>
          <w:tcPr>
            <w:tcW w:w="762" w:type="dxa"/>
          </w:tcPr>
          <w:p w14:paraId="631CAB17">
            <w:pPr>
              <w:pStyle w:val="137"/>
              <w:spacing w:before="158"/>
              <w:ind w:left="0" w:leftChars="0" w:firstLine="511" w:firstLineChars="213"/>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8</w:t>
            </w:r>
          </w:p>
        </w:tc>
        <w:tc>
          <w:tcPr>
            <w:tcW w:w="5265" w:type="dxa"/>
            <w:vAlign w:val="center"/>
          </w:tcPr>
          <w:p w14:paraId="0BF1CA1C">
            <w:pPr>
              <w:pStyle w:val="137"/>
              <w:spacing w:before="4" w:line="291" w:lineRule="exact"/>
              <w:jc w:val="both"/>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投标文件的关键内容字迹模糊、无法辨认的，或者投标文件中经修正的内容字迹模糊难以辩认或者修改处未按规定签署、盖章的</w:t>
            </w:r>
            <w:r>
              <w:rPr>
                <w:rFonts w:hint="eastAsia" w:ascii="宋体" w:hAnsi="宋体" w:eastAsia="宋体" w:cs="宋体"/>
                <w:sz w:val="24"/>
                <w:szCs w:val="24"/>
                <w:highlight w:val="none"/>
                <w:lang w:eastAsia="zh-CN"/>
              </w:rPr>
              <w:t>；</w:t>
            </w:r>
          </w:p>
        </w:tc>
        <w:tc>
          <w:tcPr>
            <w:tcW w:w="1215" w:type="dxa"/>
          </w:tcPr>
          <w:p w14:paraId="6A08963D">
            <w:pPr>
              <w:pStyle w:val="137"/>
              <w:ind w:left="0" w:leftChars="0" w:firstLine="511" w:firstLineChars="213"/>
              <w:rPr>
                <w:rFonts w:hint="eastAsia" w:ascii="宋体" w:hAnsi="宋体" w:eastAsia="宋体" w:cs="宋体"/>
                <w:sz w:val="24"/>
                <w:szCs w:val="24"/>
                <w:highlight w:val="none"/>
              </w:rPr>
            </w:pPr>
          </w:p>
        </w:tc>
        <w:tc>
          <w:tcPr>
            <w:tcW w:w="1350" w:type="dxa"/>
          </w:tcPr>
          <w:p w14:paraId="2E5C9229">
            <w:pPr>
              <w:pStyle w:val="137"/>
              <w:ind w:left="0" w:leftChars="0" w:firstLine="511" w:firstLineChars="213"/>
              <w:rPr>
                <w:rFonts w:hint="eastAsia" w:ascii="宋体" w:hAnsi="宋体" w:eastAsia="宋体" w:cs="宋体"/>
                <w:sz w:val="24"/>
                <w:szCs w:val="24"/>
                <w:highlight w:val="none"/>
              </w:rPr>
            </w:pPr>
          </w:p>
        </w:tc>
        <w:tc>
          <w:tcPr>
            <w:tcW w:w="1219" w:type="dxa"/>
          </w:tcPr>
          <w:p w14:paraId="6E369E69">
            <w:pPr>
              <w:pStyle w:val="137"/>
              <w:ind w:left="0" w:leftChars="0" w:firstLine="511" w:firstLineChars="213"/>
              <w:rPr>
                <w:rFonts w:hint="eastAsia" w:ascii="宋体" w:hAnsi="宋体" w:eastAsia="宋体" w:cs="宋体"/>
                <w:sz w:val="24"/>
                <w:szCs w:val="24"/>
                <w:highlight w:val="none"/>
              </w:rPr>
            </w:pPr>
          </w:p>
        </w:tc>
      </w:tr>
      <w:tr w14:paraId="2FA247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jc w:val="center"/>
        </w:trPr>
        <w:tc>
          <w:tcPr>
            <w:tcW w:w="762" w:type="dxa"/>
          </w:tcPr>
          <w:p w14:paraId="6F489B3E">
            <w:pPr>
              <w:pStyle w:val="137"/>
              <w:spacing w:before="77"/>
              <w:ind w:left="0" w:leftChars="0" w:firstLine="511" w:firstLineChars="213"/>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9</w:t>
            </w:r>
          </w:p>
        </w:tc>
        <w:tc>
          <w:tcPr>
            <w:tcW w:w="5265" w:type="dxa"/>
            <w:vAlign w:val="center"/>
          </w:tcPr>
          <w:p w14:paraId="6FF8EE67">
            <w:pPr>
              <w:pStyle w:val="137"/>
              <w:spacing w:before="77"/>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法律、法规和招标文件规定的其他无效情形</w:t>
            </w:r>
          </w:p>
        </w:tc>
        <w:tc>
          <w:tcPr>
            <w:tcW w:w="1215" w:type="dxa"/>
          </w:tcPr>
          <w:p w14:paraId="0A6ED03F">
            <w:pPr>
              <w:pStyle w:val="137"/>
              <w:ind w:left="0" w:leftChars="0" w:firstLine="511" w:firstLineChars="213"/>
              <w:rPr>
                <w:rFonts w:hint="eastAsia" w:ascii="宋体" w:hAnsi="宋体" w:eastAsia="宋体" w:cs="宋体"/>
                <w:sz w:val="24"/>
                <w:szCs w:val="24"/>
                <w:highlight w:val="none"/>
              </w:rPr>
            </w:pPr>
          </w:p>
        </w:tc>
        <w:tc>
          <w:tcPr>
            <w:tcW w:w="1350" w:type="dxa"/>
          </w:tcPr>
          <w:p w14:paraId="239997DE">
            <w:pPr>
              <w:pStyle w:val="137"/>
              <w:ind w:left="0" w:leftChars="0" w:firstLine="511" w:firstLineChars="213"/>
              <w:rPr>
                <w:rFonts w:hint="eastAsia" w:ascii="宋体" w:hAnsi="宋体" w:eastAsia="宋体" w:cs="宋体"/>
                <w:sz w:val="24"/>
                <w:szCs w:val="24"/>
                <w:highlight w:val="none"/>
              </w:rPr>
            </w:pPr>
          </w:p>
        </w:tc>
        <w:tc>
          <w:tcPr>
            <w:tcW w:w="1219" w:type="dxa"/>
          </w:tcPr>
          <w:p w14:paraId="1D31A0F8">
            <w:pPr>
              <w:pStyle w:val="137"/>
              <w:ind w:left="0" w:leftChars="0" w:firstLine="511" w:firstLineChars="213"/>
              <w:rPr>
                <w:rFonts w:hint="eastAsia" w:ascii="宋体" w:hAnsi="宋体" w:eastAsia="宋体" w:cs="宋体"/>
                <w:sz w:val="24"/>
                <w:szCs w:val="24"/>
                <w:highlight w:val="none"/>
              </w:rPr>
            </w:pPr>
          </w:p>
        </w:tc>
      </w:tr>
      <w:tr w14:paraId="482411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5" w:hRule="atLeast"/>
          <w:jc w:val="center"/>
        </w:trPr>
        <w:tc>
          <w:tcPr>
            <w:tcW w:w="6027" w:type="dxa"/>
            <w:gridSpan w:val="2"/>
          </w:tcPr>
          <w:p w14:paraId="121C46C4">
            <w:pPr>
              <w:pStyle w:val="137"/>
              <w:spacing w:before="51"/>
              <w:ind w:left="0" w:leftChars="0" w:right="2503" w:firstLine="511" w:firstLineChars="213"/>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评审结果</w:t>
            </w:r>
          </w:p>
        </w:tc>
        <w:tc>
          <w:tcPr>
            <w:tcW w:w="1215" w:type="dxa"/>
          </w:tcPr>
          <w:p w14:paraId="40223B62">
            <w:pPr>
              <w:pStyle w:val="137"/>
              <w:ind w:left="0" w:leftChars="0" w:firstLine="511" w:firstLineChars="213"/>
              <w:rPr>
                <w:rFonts w:hint="eastAsia" w:ascii="宋体" w:hAnsi="宋体" w:eastAsia="宋体" w:cs="宋体"/>
                <w:sz w:val="24"/>
                <w:szCs w:val="24"/>
                <w:highlight w:val="none"/>
              </w:rPr>
            </w:pPr>
          </w:p>
        </w:tc>
        <w:tc>
          <w:tcPr>
            <w:tcW w:w="1350" w:type="dxa"/>
          </w:tcPr>
          <w:p w14:paraId="539F9EF0">
            <w:pPr>
              <w:pStyle w:val="137"/>
              <w:ind w:left="0" w:leftChars="0" w:firstLine="511" w:firstLineChars="213"/>
              <w:rPr>
                <w:rFonts w:hint="eastAsia" w:ascii="宋体" w:hAnsi="宋体" w:eastAsia="宋体" w:cs="宋体"/>
                <w:sz w:val="24"/>
                <w:szCs w:val="24"/>
                <w:highlight w:val="none"/>
              </w:rPr>
            </w:pPr>
          </w:p>
        </w:tc>
        <w:tc>
          <w:tcPr>
            <w:tcW w:w="1219" w:type="dxa"/>
          </w:tcPr>
          <w:p w14:paraId="1DEE98C4">
            <w:pPr>
              <w:pStyle w:val="137"/>
              <w:ind w:left="0" w:leftChars="0" w:firstLine="511" w:firstLineChars="213"/>
              <w:rPr>
                <w:rFonts w:hint="eastAsia" w:ascii="宋体" w:hAnsi="宋体" w:eastAsia="宋体" w:cs="宋体"/>
                <w:sz w:val="24"/>
                <w:szCs w:val="24"/>
                <w:highlight w:val="none"/>
              </w:rPr>
            </w:pPr>
          </w:p>
        </w:tc>
      </w:tr>
      <w:tr w14:paraId="36DA42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3" w:hRule="atLeast"/>
          <w:jc w:val="center"/>
        </w:trPr>
        <w:tc>
          <w:tcPr>
            <w:tcW w:w="9811" w:type="dxa"/>
            <w:gridSpan w:val="5"/>
          </w:tcPr>
          <w:p w14:paraId="3040EE71">
            <w:pPr>
              <w:pStyle w:val="137"/>
              <w:spacing w:before="58"/>
              <w:ind w:left="0" w:leftChars="0" w:firstLine="511" w:firstLineChars="213"/>
              <w:rPr>
                <w:rFonts w:hint="eastAsia" w:ascii="宋体" w:hAnsi="宋体" w:eastAsia="宋体" w:cs="宋体"/>
                <w:sz w:val="24"/>
                <w:szCs w:val="24"/>
                <w:highlight w:val="none"/>
              </w:rPr>
            </w:pPr>
            <w:r>
              <w:rPr>
                <w:rFonts w:hint="eastAsia" w:ascii="宋体" w:hAnsi="宋体" w:eastAsia="宋体" w:cs="宋体"/>
                <w:sz w:val="24"/>
                <w:szCs w:val="24"/>
                <w:highlight w:val="none"/>
              </w:rPr>
              <w:t>评标委员会成员签字：</w:t>
            </w:r>
          </w:p>
        </w:tc>
      </w:tr>
      <w:tr w14:paraId="4C6FC3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2" w:hRule="atLeast"/>
          <w:jc w:val="center"/>
        </w:trPr>
        <w:tc>
          <w:tcPr>
            <w:tcW w:w="9811" w:type="dxa"/>
            <w:gridSpan w:val="5"/>
          </w:tcPr>
          <w:p w14:paraId="210531BA">
            <w:pPr>
              <w:pStyle w:val="137"/>
              <w:spacing w:before="6" w:line="242" w:lineRule="auto"/>
              <w:ind w:left="0" w:leftChars="0" w:right="91" w:firstLine="511" w:firstLineChars="213"/>
              <w:rPr>
                <w:rFonts w:hint="eastAsia" w:ascii="宋体" w:hAnsi="宋体" w:eastAsia="宋体" w:cs="宋体"/>
                <w:sz w:val="24"/>
                <w:szCs w:val="24"/>
                <w:highlight w:val="none"/>
              </w:rPr>
            </w:pPr>
            <w:r>
              <w:rPr>
                <w:rFonts w:hint="eastAsia" w:ascii="宋体" w:hAnsi="宋体" w:eastAsia="宋体" w:cs="宋体"/>
                <w:sz w:val="24"/>
                <w:szCs w:val="24"/>
                <w:highlight w:val="none"/>
              </w:rPr>
              <w:t>备注：上述每一项审查，供应商通过的，以“√”标记；否则，以“×”标记。如果供应商有一项未通过上述审查，其结论请注明“不符合”，全部通过的，其结论请注明“符合”。</w:t>
            </w:r>
          </w:p>
          <w:p w14:paraId="0AAB1ADF">
            <w:pPr>
              <w:pStyle w:val="137"/>
              <w:spacing w:line="295" w:lineRule="exact"/>
              <w:ind w:left="0" w:leftChars="0" w:firstLine="511" w:firstLineChars="213"/>
              <w:rPr>
                <w:rFonts w:hint="eastAsia" w:ascii="宋体" w:hAnsi="宋体" w:eastAsia="宋体" w:cs="宋体"/>
                <w:sz w:val="24"/>
                <w:szCs w:val="24"/>
                <w:highlight w:val="none"/>
              </w:rPr>
            </w:pPr>
            <w:r>
              <w:rPr>
                <w:rFonts w:hint="eastAsia" w:ascii="宋体" w:hAnsi="宋体" w:eastAsia="宋体" w:cs="宋体"/>
                <w:sz w:val="24"/>
                <w:szCs w:val="24"/>
                <w:highlight w:val="none"/>
              </w:rPr>
              <w:t>符合性审查不合格的供应商，投标无效。</w:t>
            </w:r>
          </w:p>
        </w:tc>
      </w:tr>
    </w:tbl>
    <w:p w14:paraId="22CB96DA">
      <w:pPr>
        <w:pStyle w:val="123"/>
        <w:numPr>
          <w:ilvl w:val="0"/>
          <w:numId w:val="0"/>
        </w:numPr>
        <w:tabs>
          <w:tab w:val="left" w:pos="1793"/>
        </w:tabs>
        <w:spacing w:before="151" w:after="0" w:line="362" w:lineRule="auto"/>
        <w:ind w:left="0" w:leftChars="0" w:right="288" w:rightChars="0" w:firstLine="498" w:firstLineChars="213"/>
        <w:jc w:val="both"/>
        <w:rPr>
          <w:rFonts w:hint="eastAsia" w:ascii="宋体" w:hAnsi="宋体" w:eastAsia="宋体" w:cs="宋体"/>
          <w:sz w:val="24"/>
          <w:szCs w:val="24"/>
          <w:highlight w:val="none"/>
        </w:rPr>
      </w:pPr>
      <w:r>
        <w:rPr>
          <w:rFonts w:hint="eastAsia" w:ascii="宋体" w:hAnsi="宋体" w:eastAsia="宋体" w:cs="宋体"/>
          <w:spacing w:val="-3"/>
          <w:sz w:val="24"/>
          <w:szCs w:val="24"/>
          <w:highlight w:val="none"/>
          <w:lang w:val="en-US" w:eastAsia="zh-CN"/>
        </w:rPr>
        <w:t>27、</w:t>
      </w:r>
      <w:r>
        <w:rPr>
          <w:rFonts w:hint="eastAsia" w:ascii="宋体" w:hAnsi="宋体" w:eastAsia="宋体" w:cs="宋体"/>
          <w:spacing w:val="-3"/>
          <w:sz w:val="24"/>
          <w:szCs w:val="24"/>
          <w:highlight w:val="none"/>
        </w:rPr>
        <w:t>对通过符合性审查的响应文件，磋商委员会将对其进行算术性修正。</w:t>
      </w:r>
      <w:r>
        <w:rPr>
          <w:rFonts w:hint="eastAsia" w:ascii="宋体" w:hAnsi="宋体" w:eastAsia="宋体" w:cs="宋体"/>
          <w:spacing w:val="-2"/>
          <w:sz w:val="24"/>
          <w:szCs w:val="24"/>
          <w:highlight w:val="none"/>
        </w:rPr>
        <w:t>算术性修正是指对响应文件报价出现前后不一致的进行校核，并只对其算术上</w:t>
      </w:r>
      <w:r>
        <w:rPr>
          <w:rFonts w:hint="eastAsia" w:ascii="宋体" w:hAnsi="宋体" w:eastAsia="宋体" w:cs="宋体"/>
          <w:spacing w:val="-3"/>
          <w:sz w:val="24"/>
          <w:szCs w:val="24"/>
          <w:highlight w:val="none"/>
        </w:rPr>
        <w:t>和运算上的差错给予修正。修正的原则如下：</w:t>
      </w:r>
    </w:p>
    <w:p w14:paraId="3D34506A">
      <w:pPr>
        <w:pStyle w:val="123"/>
        <w:numPr>
          <w:ilvl w:val="0"/>
          <w:numId w:val="0"/>
        </w:numPr>
        <w:tabs>
          <w:tab w:val="left" w:pos="2074"/>
        </w:tabs>
        <w:spacing w:before="0" w:after="0" w:line="362" w:lineRule="auto"/>
        <w:ind w:left="0" w:leftChars="0" w:right="310" w:rightChars="0" w:firstLine="494" w:firstLineChars="213"/>
        <w:jc w:val="both"/>
        <w:rPr>
          <w:rFonts w:hint="eastAsia" w:ascii="宋体" w:hAnsi="宋体" w:eastAsia="宋体" w:cs="宋体"/>
          <w:sz w:val="24"/>
          <w:szCs w:val="24"/>
          <w:highlight w:val="none"/>
        </w:rPr>
      </w:pPr>
      <w:r>
        <w:rPr>
          <w:rFonts w:hint="eastAsia" w:ascii="宋体" w:hAnsi="宋体" w:eastAsia="宋体" w:cs="宋体"/>
          <w:spacing w:val="-4"/>
          <w:sz w:val="24"/>
          <w:szCs w:val="24"/>
          <w:highlight w:val="none"/>
          <w:lang w:val="en-US" w:eastAsia="zh-CN"/>
        </w:rPr>
        <w:t>27.1</w:t>
      </w:r>
      <w:r>
        <w:rPr>
          <w:rFonts w:hint="eastAsia" w:ascii="宋体" w:hAnsi="宋体" w:eastAsia="宋体" w:cs="宋体"/>
          <w:spacing w:val="-4"/>
          <w:sz w:val="24"/>
          <w:szCs w:val="24"/>
          <w:highlight w:val="none"/>
        </w:rPr>
        <w:t>响应文件中响应一览表内容与响应文件中相应内容不一致的，以响</w:t>
      </w:r>
      <w:r>
        <w:rPr>
          <w:rFonts w:hint="eastAsia" w:ascii="宋体" w:hAnsi="宋体" w:eastAsia="宋体" w:cs="宋体"/>
          <w:spacing w:val="-3"/>
          <w:sz w:val="24"/>
          <w:szCs w:val="24"/>
          <w:highlight w:val="none"/>
        </w:rPr>
        <w:t>应一览表为准；</w:t>
      </w:r>
    </w:p>
    <w:p w14:paraId="7EADF084">
      <w:pPr>
        <w:pStyle w:val="123"/>
        <w:numPr>
          <w:ilvl w:val="0"/>
          <w:numId w:val="0"/>
        </w:numPr>
        <w:tabs>
          <w:tab w:val="left" w:pos="2074"/>
        </w:tabs>
        <w:spacing w:before="0" w:after="0" w:line="355" w:lineRule="exact"/>
        <w:ind w:left="0" w:leftChars="0" w:right="0" w:rightChars="0" w:firstLine="498" w:firstLineChars="213"/>
        <w:jc w:val="both"/>
        <w:rPr>
          <w:rFonts w:hint="eastAsia" w:ascii="宋体" w:hAnsi="宋体" w:eastAsia="宋体" w:cs="宋体"/>
          <w:sz w:val="24"/>
          <w:szCs w:val="24"/>
          <w:highlight w:val="none"/>
        </w:rPr>
      </w:pPr>
      <w:r>
        <w:rPr>
          <w:rFonts w:hint="eastAsia" w:ascii="宋体" w:hAnsi="宋体" w:eastAsia="宋体" w:cs="宋体"/>
          <w:spacing w:val="-3"/>
          <w:sz w:val="24"/>
          <w:szCs w:val="24"/>
          <w:highlight w:val="none"/>
          <w:lang w:val="en-US" w:eastAsia="zh-CN"/>
        </w:rPr>
        <w:t>27.1.1</w:t>
      </w:r>
      <w:r>
        <w:rPr>
          <w:rFonts w:hint="eastAsia" w:ascii="宋体" w:hAnsi="宋体" w:eastAsia="宋体" w:cs="宋体"/>
          <w:spacing w:val="-3"/>
          <w:sz w:val="24"/>
          <w:szCs w:val="24"/>
          <w:highlight w:val="none"/>
        </w:rPr>
        <w:t>响应文件的大写金额和小写金额不一致的，以大写金额为准；</w:t>
      </w:r>
    </w:p>
    <w:p w14:paraId="7179556C">
      <w:pPr>
        <w:pStyle w:val="123"/>
        <w:numPr>
          <w:ilvl w:val="0"/>
          <w:numId w:val="0"/>
        </w:numPr>
        <w:tabs>
          <w:tab w:val="left" w:pos="2074"/>
        </w:tabs>
        <w:spacing w:before="176" w:after="0" w:line="362" w:lineRule="auto"/>
        <w:ind w:left="0" w:leftChars="0" w:right="310" w:rightChars="0" w:firstLine="494" w:firstLineChars="213"/>
        <w:jc w:val="both"/>
        <w:rPr>
          <w:rFonts w:hint="eastAsia" w:ascii="宋体" w:hAnsi="宋体" w:eastAsia="宋体" w:cs="宋体"/>
          <w:sz w:val="24"/>
          <w:szCs w:val="24"/>
          <w:highlight w:val="none"/>
        </w:rPr>
      </w:pPr>
      <w:r>
        <w:rPr>
          <w:rFonts w:hint="eastAsia" w:ascii="宋体" w:hAnsi="宋体" w:eastAsia="宋体" w:cs="宋体"/>
          <w:spacing w:val="-4"/>
          <w:sz w:val="24"/>
          <w:szCs w:val="24"/>
          <w:highlight w:val="none"/>
          <w:lang w:val="en-US" w:eastAsia="zh-CN"/>
        </w:rPr>
        <w:t>27.1.2</w:t>
      </w:r>
      <w:r>
        <w:rPr>
          <w:rFonts w:hint="eastAsia" w:ascii="宋体" w:hAnsi="宋体" w:eastAsia="宋体" w:cs="宋体"/>
          <w:spacing w:val="-4"/>
          <w:sz w:val="24"/>
          <w:szCs w:val="24"/>
          <w:highlight w:val="none"/>
        </w:rPr>
        <w:t>单价金额小数点或者百分比有明显错位的，以响应一览表的总价为</w:t>
      </w:r>
      <w:r>
        <w:rPr>
          <w:rFonts w:hint="eastAsia" w:ascii="宋体" w:hAnsi="宋体" w:eastAsia="宋体" w:cs="宋体"/>
          <w:spacing w:val="-3"/>
          <w:sz w:val="24"/>
          <w:szCs w:val="24"/>
          <w:highlight w:val="none"/>
        </w:rPr>
        <w:t>准，并修改单价；</w:t>
      </w:r>
    </w:p>
    <w:p w14:paraId="4BC21E28">
      <w:pPr>
        <w:pStyle w:val="123"/>
        <w:numPr>
          <w:ilvl w:val="0"/>
          <w:numId w:val="0"/>
        </w:numPr>
        <w:tabs>
          <w:tab w:val="left" w:pos="2074"/>
        </w:tabs>
        <w:spacing w:before="45" w:after="0" w:line="362" w:lineRule="auto"/>
        <w:ind w:left="0" w:leftChars="0" w:right="312" w:rightChars="0" w:firstLine="498" w:firstLineChars="213"/>
        <w:jc w:val="both"/>
        <w:rPr>
          <w:rFonts w:hint="eastAsia" w:ascii="宋体" w:hAnsi="宋体" w:eastAsia="宋体" w:cs="宋体"/>
          <w:b/>
          <w:sz w:val="24"/>
          <w:szCs w:val="24"/>
          <w:highlight w:val="none"/>
        </w:rPr>
      </w:pPr>
      <w:r>
        <w:rPr>
          <w:rFonts w:hint="eastAsia" w:ascii="宋体" w:hAnsi="宋体" w:eastAsia="宋体" w:cs="宋体"/>
          <w:spacing w:val="-3"/>
          <w:sz w:val="24"/>
          <w:szCs w:val="24"/>
          <w:highlight w:val="none"/>
          <w:lang w:val="en-US" w:eastAsia="zh-CN"/>
        </w:rPr>
        <w:t>27.1.3</w:t>
      </w:r>
      <w:r>
        <w:rPr>
          <w:rFonts w:hint="eastAsia" w:ascii="宋体" w:hAnsi="宋体" w:eastAsia="宋体" w:cs="宋体"/>
          <w:spacing w:val="-3"/>
          <w:sz w:val="24"/>
          <w:szCs w:val="24"/>
          <w:highlight w:val="none"/>
        </w:rPr>
        <w:t>总价金额与按单价汇总金额不一致的，以单价金额计算结果为准。</w:t>
      </w:r>
      <w:r>
        <w:rPr>
          <w:rFonts w:hint="eastAsia" w:ascii="宋体" w:hAnsi="宋体" w:eastAsia="宋体" w:cs="宋体"/>
          <w:spacing w:val="-5"/>
          <w:sz w:val="24"/>
          <w:szCs w:val="24"/>
          <w:highlight w:val="none"/>
        </w:rPr>
        <w:t>同时出现两种以上不一致的，按照上述规定的顺序修正。</w:t>
      </w:r>
      <w:r>
        <w:rPr>
          <w:rFonts w:hint="eastAsia" w:ascii="宋体" w:hAnsi="宋体" w:eastAsia="宋体" w:cs="宋体"/>
          <w:b/>
          <w:sz w:val="24"/>
          <w:szCs w:val="24"/>
          <w:highlight w:val="none"/>
        </w:rPr>
        <w:t>修正后的报价须供应商确认，如果供应商拒绝确认，其磋商无效。</w:t>
      </w:r>
    </w:p>
    <w:p w14:paraId="182618E8">
      <w:pPr>
        <w:pStyle w:val="123"/>
        <w:numPr>
          <w:ilvl w:val="0"/>
          <w:numId w:val="0"/>
        </w:numPr>
        <w:tabs>
          <w:tab w:val="left" w:pos="2074"/>
        </w:tabs>
        <w:spacing w:before="0" w:after="0" w:line="355" w:lineRule="exact"/>
        <w:ind w:left="0" w:leftChars="0" w:right="0" w:rightChars="0" w:firstLine="498" w:firstLineChars="213"/>
        <w:jc w:val="both"/>
        <w:rPr>
          <w:rFonts w:hint="eastAsia" w:ascii="宋体" w:hAnsi="宋体" w:eastAsia="宋体" w:cs="宋体"/>
          <w:sz w:val="24"/>
          <w:szCs w:val="24"/>
          <w:highlight w:val="none"/>
        </w:rPr>
      </w:pPr>
      <w:r>
        <w:rPr>
          <w:rFonts w:hint="eastAsia" w:ascii="宋体" w:hAnsi="宋体" w:eastAsia="宋体" w:cs="宋体"/>
          <w:spacing w:val="-3"/>
          <w:sz w:val="24"/>
          <w:szCs w:val="24"/>
          <w:highlight w:val="none"/>
          <w:lang w:val="en-US" w:eastAsia="zh-CN"/>
        </w:rPr>
        <w:t>27.1.4</w:t>
      </w:r>
      <w:r>
        <w:rPr>
          <w:rFonts w:hint="eastAsia" w:ascii="宋体" w:hAnsi="宋体" w:eastAsia="宋体" w:cs="宋体"/>
          <w:spacing w:val="-3"/>
          <w:sz w:val="24"/>
          <w:szCs w:val="24"/>
          <w:highlight w:val="none"/>
        </w:rPr>
        <w:t>对不同文字文本响应文件的解释发生异议的，以中文文本为准。</w:t>
      </w:r>
    </w:p>
    <w:p w14:paraId="7AF777F9">
      <w:pPr>
        <w:pStyle w:val="123"/>
        <w:numPr>
          <w:ilvl w:val="0"/>
          <w:numId w:val="0"/>
        </w:numPr>
        <w:tabs>
          <w:tab w:val="left" w:pos="2074"/>
        </w:tabs>
        <w:spacing w:before="181" w:after="0" w:line="362" w:lineRule="auto"/>
        <w:ind w:left="0" w:leftChars="0" w:right="310" w:rightChars="0" w:firstLine="494" w:firstLineChars="213"/>
        <w:jc w:val="both"/>
        <w:rPr>
          <w:rFonts w:hint="eastAsia" w:ascii="宋体" w:hAnsi="宋体" w:eastAsia="宋体" w:cs="宋体"/>
          <w:sz w:val="24"/>
          <w:szCs w:val="24"/>
          <w:highlight w:val="none"/>
        </w:rPr>
      </w:pPr>
      <w:r>
        <w:rPr>
          <w:rFonts w:hint="eastAsia" w:ascii="宋体" w:hAnsi="宋体" w:eastAsia="宋体" w:cs="宋体"/>
          <w:spacing w:val="-4"/>
          <w:sz w:val="24"/>
          <w:szCs w:val="24"/>
          <w:highlight w:val="none"/>
          <w:lang w:val="en-US" w:eastAsia="zh-CN"/>
        </w:rPr>
        <w:t>27.1.5</w:t>
      </w:r>
      <w:r>
        <w:rPr>
          <w:rFonts w:hint="eastAsia" w:ascii="宋体" w:hAnsi="宋体" w:eastAsia="宋体" w:cs="宋体"/>
          <w:spacing w:val="-4"/>
          <w:sz w:val="24"/>
          <w:szCs w:val="24"/>
          <w:highlight w:val="none"/>
        </w:rPr>
        <w:t>磋商小组将拒绝被定为实质上非响应性的磋商，供应商不能通过修</w:t>
      </w:r>
      <w:r>
        <w:rPr>
          <w:rFonts w:hint="eastAsia" w:ascii="宋体" w:hAnsi="宋体" w:eastAsia="宋体" w:cs="宋体"/>
          <w:spacing w:val="-3"/>
          <w:sz w:val="24"/>
          <w:szCs w:val="24"/>
          <w:highlight w:val="none"/>
        </w:rPr>
        <w:t>正或撤销不符之处而使其磋商成为响应性磋商。</w:t>
      </w:r>
    </w:p>
    <w:p w14:paraId="323ED3A4">
      <w:pPr>
        <w:pStyle w:val="123"/>
        <w:numPr>
          <w:ilvl w:val="0"/>
          <w:numId w:val="0"/>
        </w:numPr>
        <w:tabs>
          <w:tab w:val="left" w:pos="2074"/>
        </w:tabs>
        <w:spacing w:before="0" w:after="0" w:line="362" w:lineRule="auto"/>
        <w:ind w:left="0" w:leftChars="0" w:right="312" w:rightChars="0" w:firstLine="489" w:firstLineChars="213"/>
        <w:jc w:val="both"/>
        <w:rPr>
          <w:rFonts w:hint="eastAsia" w:ascii="宋体" w:hAnsi="宋体" w:eastAsia="宋体" w:cs="宋体"/>
          <w:sz w:val="24"/>
          <w:szCs w:val="24"/>
          <w:highlight w:val="none"/>
        </w:rPr>
      </w:pPr>
      <w:r>
        <w:rPr>
          <w:rFonts w:hint="eastAsia" w:ascii="宋体" w:hAnsi="宋体" w:eastAsia="宋体" w:cs="宋体"/>
          <w:spacing w:val="-5"/>
          <w:sz w:val="24"/>
          <w:szCs w:val="24"/>
          <w:highlight w:val="none"/>
          <w:lang w:val="en-US" w:eastAsia="zh-CN"/>
        </w:rPr>
        <w:t>27.1.6</w:t>
      </w:r>
      <w:r>
        <w:rPr>
          <w:rFonts w:hint="eastAsia" w:ascii="宋体" w:hAnsi="宋体" w:eastAsia="宋体" w:cs="宋体"/>
          <w:spacing w:val="-5"/>
          <w:sz w:val="24"/>
          <w:szCs w:val="24"/>
          <w:highlight w:val="none"/>
        </w:rPr>
        <w:t>磋商小组将允许磋商中有微小的不正规、不一致或不规则，而该微</w:t>
      </w:r>
      <w:r>
        <w:rPr>
          <w:rFonts w:hint="eastAsia" w:ascii="宋体" w:hAnsi="宋体" w:eastAsia="宋体" w:cs="宋体"/>
          <w:spacing w:val="-3"/>
          <w:sz w:val="24"/>
          <w:szCs w:val="24"/>
          <w:highlight w:val="none"/>
        </w:rPr>
        <w:t>小之处不构成重大偏离。</w:t>
      </w:r>
    </w:p>
    <w:p w14:paraId="7D6E2A5C">
      <w:pPr>
        <w:pStyle w:val="123"/>
        <w:numPr>
          <w:ilvl w:val="0"/>
          <w:numId w:val="0"/>
        </w:numPr>
        <w:tabs>
          <w:tab w:val="left" w:pos="1793"/>
        </w:tabs>
        <w:spacing w:before="0" w:after="0" w:line="355" w:lineRule="exact"/>
        <w:ind w:left="0" w:leftChars="0" w:right="0" w:rightChars="0" w:firstLine="502" w:firstLineChars="213"/>
        <w:jc w:val="both"/>
        <w:rPr>
          <w:rFonts w:hint="eastAsia" w:ascii="宋体" w:hAnsi="宋体" w:eastAsia="宋体" w:cs="宋体"/>
          <w:sz w:val="24"/>
          <w:szCs w:val="24"/>
          <w:highlight w:val="none"/>
        </w:rPr>
      </w:pPr>
      <w:r>
        <w:rPr>
          <w:rFonts w:hint="eastAsia" w:ascii="宋体" w:hAnsi="宋体" w:eastAsia="宋体" w:cs="宋体"/>
          <w:spacing w:val="-2"/>
          <w:sz w:val="24"/>
          <w:szCs w:val="24"/>
          <w:highlight w:val="none"/>
          <w:lang w:val="en-US" w:eastAsia="zh-CN"/>
        </w:rPr>
        <w:t>28、</w:t>
      </w:r>
      <w:r>
        <w:rPr>
          <w:rFonts w:hint="eastAsia" w:ascii="宋体" w:hAnsi="宋体" w:eastAsia="宋体" w:cs="宋体"/>
          <w:spacing w:val="-2"/>
          <w:sz w:val="24"/>
          <w:szCs w:val="24"/>
          <w:highlight w:val="none"/>
        </w:rPr>
        <w:t>详细评审</w:t>
      </w:r>
    </w:p>
    <w:p w14:paraId="068AFF5A">
      <w:pPr>
        <w:pStyle w:val="123"/>
        <w:numPr>
          <w:ilvl w:val="0"/>
          <w:numId w:val="0"/>
        </w:numPr>
        <w:tabs>
          <w:tab w:val="left" w:pos="2074"/>
        </w:tabs>
        <w:spacing w:before="178" w:after="0" w:line="362" w:lineRule="auto"/>
        <w:ind w:left="0" w:leftChars="0" w:right="310" w:rightChars="0" w:firstLine="494" w:firstLineChars="213"/>
        <w:jc w:val="both"/>
        <w:rPr>
          <w:rFonts w:hint="eastAsia" w:ascii="宋体" w:hAnsi="宋体" w:eastAsia="宋体" w:cs="宋体"/>
          <w:sz w:val="24"/>
          <w:szCs w:val="24"/>
          <w:highlight w:val="none"/>
        </w:rPr>
      </w:pPr>
      <w:r>
        <w:rPr>
          <w:rFonts w:hint="eastAsia" w:ascii="宋体" w:hAnsi="宋体" w:eastAsia="宋体" w:cs="宋体"/>
          <w:spacing w:val="-4"/>
          <w:sz w:val="24"/>
          <w:szCs w:val="24"/>
          <w:highlight w:val="none"/>
          <w:lang w:val="en-US" w:eastAsia="zh-CN"/>
        </w:rPr>
        <w:t>28.1</w:t>
      </w:r>
      <w:r>
        <w:rPr>
          <w:rFonts w:hint="eastAsia" w:ascii="宋体" w:hAnsi="宋体" w:eastAsia="宋体" w:cs="宋体"/>
          <w:spacing w:val="-4"/>
          <w:sz w:val="24"/>
          <w:szCs w:val="24"/>
          <w:highlight w:val="none"/>
        </w:rPr>
        <w:t>磋商小组对符合性审查合格的响应文件进行商务和技术评审，综合</w:t>
      </w:r>
      <w:r>
        <w:rPr>
          <w:rFonts w:hint="eastAsia" w:ascii="宋体" w:hAnsi="宋体" w:eastAsia="宋体" w:cs="宋体"/>
          <w:spacing w:val="-3"/>
          <w:sz w:val="24"/>
          <w:szCs w:val="24"/>
          <w:highlight w:val="none"/>
        </w:rPr>
        <w:t>比较与评价。以响应文件能最大限度地满足磋商文件中规定的各项评价标准为依据，独立地对各响应文件进行评审和打分。</w:t>
      </w:r>
    </w:p>
    <w:p w14:paraId="133A0A76">
      <w:pPr>
        <w:pStyle w:val="4"/>
        <w:numPr>
          <w:ilvl w:val="0"/>
          <w:numId w:val="0"/>
        </w:numPr>
        <w:tabs>
          <w:tab w:val="left" w:pos="2081"/>
        </w:tabs>
        <w:spacing w:before="0" w:after="0" w:line="362" w:lineRule="auto"/>
        <w:ind w:left="0" w:leftChars="0" w:right="172" w:rightChars="0" w:firstLine="496" w:firstLineChars="213"/>
        <w:jc w:val="left"/>
        <w:rPr>
          <w:rFonts w:hint="eastAsia" w:ascii="宋体" w:hAnsi="宋体" w:eastAsia="宋体" w:cs="宋体"/>
          <w:sz w:val="24"/>
          <w:szCs w:val="24"/>
          <w:highlight w:val="none"/>
        </w:rPr>
      </w:pPr>
      <w:r>
        <w:rPr>
          <w:rFonts w:hint="eastAsia" w:ascii="宋体" w:hAnsi="宋体" w:eastAsia="宋体" w:cs="宋体"/>
          <w:spacing w:val="-4"/>
          <w:sz w:val="24"/>
          <w:szCs w:val="24"/>
          <w:highlight w:val="none"/>
          <w:lang w:val="en-US" w:eastAsia="zh-CN"/>
        </w:rPr>
        <w:t>28.2</w:t>
      </w:r>
      <w:r>
        <w:rPr>
          <w:rFonts w:hint="eastAsia" w:ascii="宋体" w:hAnsi="宋体" w:eastAsia="宋体" w:cs="宋体"/>
          <w:spacing w:val="-4"/>
          <w:sz w:val="24"/>
          <w:szCs w:val="24"/>
          <w:highlight w:val="none"/>
        </w:rPr>
        <w:t>磋商小组将对下述评审因素进行量化，并根据磋商小组每个成员对</w:t>
      </w:r>
      <w:r>
        <w:rPr>
          <w:rFonts w:hint="eastAsia" w:ascii="宋体" w:hAnsi="宋体" w:eastAsia="宋体" w:cs="宋体"/>
          <w:spacing w:val="-13"/>
          <w:sz w:val="24"/>
          <w:szCs w:val="24"/>
          <w:highlight w:val="none"/>
        </w:rPr>
        <w:t xml:space="preserve">响应文件的评审和理解进行打分，满分为 </w:t>
      </w:r>
      <w:r>
        <w:rPr>
          <w:rFonts w:hint="eastAsia" w:ascii="宋体" w:hAnsi="宋体" w:eastAsia="宋体" w:cs="宋体"/>
          <w:sz w:val="24"/>
          <w:szCs w:val="24"/>
          <w:highlight w:val="none"/>
        </w:rPr>
        <w:t>100</w:t>
      </w:r>
      <w:r>
        <w:rPr>
          <w:rFonts w:hint="eastAsia" w:ascii="宋体" w:hAnsi="宋体" w:eastAsia="宋体" w:cs="宋体"/>
          <w:spacing w:val="-23"/>
          <w:sz w:val="24"/>
          <w:szCs w:val="24"/>
          <w:highlight w:val="none"/>
        </w:rPr>
        <w:t xml:space="preserve"> 分。其中价格满分为 </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0</w:t>
      </w:r>
      <w:r>
        <w:rPr>
          <w:rFonts w:hint="eastAsia" w:ascii="宋体" w:hAnsi="宋体" w:eastAsia="宋体" w:cs="宋体"/>
          <w:spacing w:val="-25"/>
          <w:sz w:val="24"/>
          <w:szCs w:val="24"/>
          <w:highlight w:val="none"/>
        </w:rPr>
        <w:t xml:space="preserve"> 分，商务、</w:t>
      </w:r>
      <w:r>
        <w:rPr>
          <w:rFonts w:hint="eastAsia" w:ascii="宋体" w:hAnsi="宋体" w:eastAsia="宋体" w:cs="宋体"/>
          <w:spacing w:val="-32"/>
          <w:sz w:val="24"/>
          <w:szCs w:val="24"/>
          <w:highlight w:val="none"/>
        </w:rPr>
        <w:t xml:space="preserve">技术部分满分为 </w:t>
      </w:r>
      <w:r>
        <w:rPr>
          <w:rFonts w:hint="eastAsia" w:ascii="宋体" w:hAnsi="宋体" w:eastAsia="宋体" w:cs="宋体"/>
          <w:sz w:val="24"/>
          <w:szCs w:val="24"/>
          <w:highlight w:val="none"/>
          <w:lang w:val="en-US" w:eastAsia="zh-CN"/>
        </w:rPr>
        <w:t>7</w:t>
      </w:r>
      <w:r>
        <w:rPr>
          <w:rFonts w:hint="eastAsia" w:ascii="宋体" w:hAnsi="宋体" w:eastAsia="宋体" w:cs="宋体"/>
          <w:sz w:val="24"/>
          <w:szCs w:val="24"/>
          <w:highlight w:val="none"/>
        </w:rPr>
        <w:t>0</w:t>
      </w:r>
      <w:r>
        <w:rPr>
          <w:rFonts w:hint="eastAsia" w:ascii="宋体" w:hAnsi="宋体" w:eastAsia="宋体" w:cs="宋体"/>
          <w:spacing w:val="-18"/>
          <w:sz w:val="24"/>
          <w:szCs w:val="24"/>
          <w:highlight w:val="none"/>
        </w:rPr>
        <w:t xml:space="preserve"> 分。供应商两部分的分值相加，即为该供应商的综合评估分。</w:t>
      </w:r>
    </w:p>
    <w:p w14:paraId="0ECF0C6C">
      <w:pPr>
        <w:spacing w:before="0" w:after="23" w:line="354" w:lineRule="exact"/>
        <w:ind w:left="0" w:leftChars="0" w:right="0" w:firstLine="513" w:firstLineChars="213"/>
        <w:jc w:val="left"/>
        <w:rPr>
          <w:rFonts w:hint="eastAsia" w:ascii="宋体" w:hAnsi="宋体" w:eastAsia="宋体" w:cs="宋体"/>
          <w:b/>
          <w:sz w:val="24"/>
          <w:szCs w:val="24"/>
          <w:highlight w:val="none"/>
        </w:rPr>
      </w:pPr>
      <w:r>
        <w:rPr>
          <w:rFonts w:hint="eastAsia" w:ascii="宋体" w:hAnsi="宋体" w:eastAsia="宋体" w:cs="宋体"/>
          <w:b/>
          <w:sz w:val="24"/>
          <w:szCs w:val="24"/>
          <w:highlight w:val="none"/>
        </w:rPr>
        <w:t>具体分值见下表：</w:t>
      </w:r>
    </w:p>
    <w:tbl>
      <w:tblPr>
        <w:tblStyle w:val="37"/>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41"/>
        <w:gridCol w:w="1215"/>
        <w:gridCol w:w="960"/>
        <w:gridCol w:w="6015"/>
      </w:tblGrid>
      <w:tr w14:paraId="608C31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jc w:val="center"/>
        </w:trPr>
        <w:tc>
          <w:tcPr>
            <w:tcW w:w="1241" w:type="dxa"/>
          </w:tcPr>
          <w:p w14:paraId="1131700A">
            <w:pPr>
              <w:pStyle w:val="137"/>
              <w:spacing w:before="214"/>
              <w:ind w:left="0" w:leftChars="0" w:firstLine="511" w:firstLineChars="213"/>
              <w:rPr>
                <w:rFonts w:hint="eastAsia" w:ascii="宋体" w:hAnsi="宋体" w:eastAsia="宋体" w:cs="宋体"/>
                <w:sz w:val="24"/>
                <w:szCs w:val="24"/>
                <w:highlight w:val="none"/>
              </w:rPr>
            </w:pPr>
            <w:r>
              <w:rPr>
                <w:rFonts w:hint="eastAsia" w:ascii="宋体" w:hAnsi="宋体" w:eastAsia="宋体" w:cs="宋体"/>
                <w:sz w:val="24"/>
                <w:szCs w:val="24"/>
                <w:highlight w:val="none"/>
              </w:rPr>
              <w:t>分项</w:t>
            </w:r>
          </w:p>
        </w:tc>
        <w:tc>
          <w:tcPr>
            <w:tcW w:w="1215" w:type="dxa"/>
          </w:tcPr>
          <w:p w14:paraId="6542C3BD">
            <w:pPr>
              <w:pStyle w:val="137"/>
              <w:spacing w:before="214"/>
              <w:ind w:left="0" w:leftChars="0" w:right="82" w:firstLine="511" w:firstLineChars="213"/>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评标内容</w:t>
            </w:r>
          </w:p>
        </w:tc>
        <w:tc>
          <w:tcPr>
            <w:tcW w:w="960" w:type="dxa"/>
          </w:tcPr>
          <w:p w14:paraId="5EAB40E0">
            <w:pPr>
              <w:pStyle w:val="137"/>
              <w:spacing w:before="58" w:line="242" w:lineRule="auto"/>
              <w:ind w:left="0" w:leftChars="0" w:right="227" w:firstLine="511" w:firstLineChars="213"/>
              <w:rPr>
                <w:rFonts w:hint="eastAsia" w:ascii="宋体" w:hAnsi="宋体" w:eastAsia="宋体" w:cs="宋体"/>
                <w:sz w:val="24"/>
                <w:szCs w:val="24"/>
                <w:highlight w:val="none"/>
              </w:rPr>
            </w:pPr>
            <w:r>
              <w:rPr>
                <w:rFonts w:hint="eastAsia" w:ascii="宋体" w:hAnsi="宋体" w:eastAsia="宋体" w:cs="宋体"/>
                <w:sz w:val="24"/>
                <w:szCs w:val="24"/>
                <w:highlight w:val="none"/>
              </w:rPr>
              <w:t>满分分值</w:t>
            </w:r>
          </w:p>
        </w:tc>
        <w:tc>
          <w:tcPr>
            <w:tcW w:w="6015" w:type="dxa"/>
          </w:tcPr>
          <w:p w14:paraId="488D8F37">
            <w:pPr>
              <w:pStyle w:val="137"/>
              <w:tabs>
                <w:tab w:val="left" w:pos="730"/>
              </w:tabs>
              <w:spacing w:before="214"/>
              <w:ind w:left="0" w:leftChars="0" w:firstLine="511" w:firstLineChars="213"/>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内</w:t>
            </w:r>
            <w:r>
              <w:rPr>
                <w:rFonts w:hint="eastAsia" w:ascii="宋体" w:hAnsi="宋体" w:eastAsia="宋体" w:cs="宋体"/>
                <w:sz w:val="24"/>
                <w:szCs w:val="24"/>
                <w:highlight w:val="none"/>
              </w:rPr>
              <w:tab/>
            </w:r>
            <w:r>
              <w:rPr>
                <w:rFonts w:hint="eastAsia" w:ascii="宋体" w:hAnsi="宋体" w:eastAsia="宋体" w:cs="宋体"/>
                <w:sz w:val="24"/>
                <w:szCs w:val="24"/>
                <w:highlight w:val="none"/>
              </w:rPr>
              <w:t>容</w:t>
            </w:r>
          </w:p>
        </w:tc>
      </w:tr>
      <w:tr w14:paraId="19DDF9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0" w:hRule="atLeast"/>
          <w:jc w:val="center"/>
        </w:trPr>
        <w:tc>
          <w:tcPr>
            <w:tcW w:w="1241" w:type="dxa"/>
            <w:vMerge w:val="restart"/>
            <w:vAlign w:val="center"/>
          </w:tcPr>
          <w:p w14:paraId="7EE590EB">
            <w:pPr>
              <w:pStyle w:val="137"/>
              <w:spacing w:before="201"/>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价格部分（</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0</w:t>
            </w:r>
            <w:r>
              <w:rPr>
                <w:rFonts w:hint="eastAsia" w:ascii="宋体" w:hAnsi="宋体" w:eastAsia="宋体" w:cs="宋体"/>
                <w:spacing w:val="-30"/>
                <w:sz w:val="24"/>
                <w:szCs w:val="24"/>
                <w:highlight w:val="none"/>
              </w:rPr>
              <w:t xml:space="preserve"> 分</w:t>
            </w:r>
            <w:r>
              <w:rPr>
                <w:rFonts w:hint="eastAsia" w:ascii="宋体" w:hAnsi="宋体" w:eastAsia="宋体" w:cs="宋体"/>
                <w:sz w:val="24"/>
                <w:szCs w:val="24"/>
                <w:highlight w:val="none"/>
              </w:rPr>
              <w:t>）</w:t>
            </w:r>
          </w:p>
        </w:tc>
        <w:tc>
          <w:tcPr>
            <w:tcW w:w="2175" w:type="dxa"/>
            <w:gridSpan w:val="2"/>
            <w:vAlign w:val="center"/>
          </w:tcPr>
          <w:p w14:paraId="50ED5B1F">
            <w:pPr>
              <w:pStyle w:val="137"/>
              <w:spacing w:before="11"/>
              <w:ind w:left="0" w:leftChars="0" w:firstLine="513" w:firstLineChars="213"/>
              <w:jc w:val="center"/>
              <w:rPr>
                <w:rFonts w:hint="eastAsia" w:ascii="宋体" w:hAnsi="宋体" w:eastAsia="宋体" w:cs="宋体"/>
                <w:b/>
                <w:sz w:val="24"/>
                <w:szCs w:val="24"/>
                <w:highlight w:val="none"/>
              </w:rPr>
            </w:pPr>
          </w:p>
          <w:p w14:paraId="11EB83B4">
            <w:pPr>
              <w:pStyle w:val="137"/>
              <w:ind w:left="0" w:leftChars="0" w:right="758" w:firstLine="511" w:firstLineChars="213"/>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0 分</w:t>
            </w:r>
          </w:p>
        </w:tc>
        <w:tc>
          <w:tcPr>
            <w:tcW w:w="6015" w:type="dxa"/>
            <w:vAlign w:val="center"/>
          </w:tcPr>
          <w:p w14:paraId="234D1484">
            <w:pPr>
              <w:adjustRightInd w:val="0"/>
              <w:snapToGrid w:val="0"/>
              <w:jc w:val="left"/>
              <w:rPr>
                <w:rFonts w:hint="eastAsia" w:ascii="宋体" w:hAnsi="宋体"/>
                <w:sz w:val="24"/>
                <w:highlight w:val="none"/>
                <w:lang w:val="en-US" w:eastAsia="zh-CN"/>
              </w:rPr>
            </w:pPr>
            <w:r>
              <w:rPr>
                <w:rFonts w:hint="eastAsia" w:ascii="宋体" w:hAnsi="宋体"/>
                <w:sz w:val="24"/>
                <w:highlight w:val="none"/>
                <w:lang w:val="en-US" w:eastAsia="zh-CN"/>
              </w:rPr>
              <w:t>综合评分法中的价格分统一采用低价优先法计算，即满足招标文件要求且投标价格最低的投标报价为评标基准价，其价格分为满分30分，其他投标报价得分=评标基准价/投标报价*30。</w:t>
            </w:r>
          </w:p>
          <w:p w14:paraId="38FCF605">
            <w:pPr>
              <w:pStyle w:val="137"/>
              <w:spacing w:before="16"/>
              <w:jc w:val="left"/>
              <w:rPr>
                <w:rFonts w:hint="eastAsia" w:ascii="宋体" w:hAnsi="宋体" w:eastAsia="宋体" w:cs="宋体"/>
                <w:sz w:val="24"/>
                <w:szCs w:val="24"/>
                <w:highlight w:val="none"/>
              </w:rPr>
            </w:pPr>
            <w:r>
              <w:rPr>
                <w:rFonts w:hint="eastAsia" w:ascii="宋体" w:hAnsi="宋体"/>
                <w:sz w:val="24"/>
                <w:highlight w:val="none"/>
                <w:lang w:val="en-US" w:eastAsia="zh-CN"/>
              </w:rPr>
              <w:t>具体到本项目评标基准价为标包预算金额*（1-最高平均下浮比例），投标报价为标包预算金额*（1-平均下浮比例）。</w:t>
            </w:r>
          </w:p>
        </w:tc>
      </w:tr>
      <w:tr w14:paraId="11CEA7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9" w:hRule="atLeast"/>
          <w:jc w:val="center"/>
        </w:trPr>
        <w:tc>
          <w:tcPr>
            <w:tcW w:w="1241" w:type="dxa"/>
            <w:vMerge w:val="restart"/>
          </w:tcPr>
          <w:p w14:paraId="07B2423C">
            <w:pPr>
              <w:pStyle w:val="137"/>
              <w:ind w:left="0" w:leftChars="0" w:firstLine="513" w:firstLineChars="213"/>
              <w:rPr>
                <w:rFonts w:hint="eastAsia" w:ascii="宋体" w:hAnsi="宋体" w:eastAsia="宋体" w:cs="宋体"/>
                <w:b/>
                <w:sz w:val="24"/>
                <w:szCs w:val="24"/>
                <w:highlight w:val="none"/>
              </w:rPr>
            </w:pPr>
          </w:p>
          <w:p w14:paraId="3D3BB643">
            <w:pPr>
              <w:pStyle w:val="137"/>
              <w:ind w:left="0" w:leftChars="0" w:firstLine="513" w:firstLineChars="213"/>
              <w:rPr>
                <w:rFonts w:hint="eastAsia" w:ascii="宋体" w:hAnsi="宋体" w:eastAsia="宋体" w:cs="宋体"/>
                <w:b/>
                <w:sz w:val="24"/>
                <w:szCs w:val="24"/>
                <w:highlight w:val="none"/>
              </w:rPr>
            </w:pPr>
          </w:p>
          <w:p w14:paraId="7C2D3BBA">
            <w:pPr>
              <w:pStyle w:val="137"/>
              <w:ind w:left="0" w:leftChars="0" w:firstLine="513" w:firstLineChars="213"/>
              <w:rPr>
                <w:rFonts w:hint="eastAsia" w:ascii="宋体" w:hAnsi="宋体" w:eastAsia="宋体" w:cs="宋体"/>
                <w:b/>
                <w:sz w:val="24"/>
                <w:szCs w:val="24"/>
                <w:highlight w:val="none"/>
              </w:rPr>
            </w:pPr>
          </w:p>
          <w:p w14:paraId="3B6B9F6C">
            <w:pPr>
              <w:pStyle w:val="137"/>
              <w:spacing w:before="12"/>
              <w:ind w:left="0" w:leftChars="0" w:firstLine="513" w:firstLineChars="213"/>
              <w:rPr>
                <w:rFonts w:hint="eastAsia" w:ascii="宋体" w:hAnsi="宋体" w:eastAsia="宋体" w:cs="宋体"/>
                <w:b/>
                <w:sz w:val="24"/>
                <w:szCs w:val="24"/>
                <w:highlight w:val="none"/>
              </w:rPr>
            </w:pPr>
          </w:p>
          <w:p w14:paraId="4048CD0E">
            <w:pPr>
              <w:pStyle w:val="137"/>
              <w:rPr>
                <w:rFonts w:hint="eastAsia" w:ascii="宋体" w:hAnsi="宋体" w:eastAsia="宋体" w:cs="宋体"/>
                <w:sz w:val="24"/>
                <w:szCs w:val="24"/>
                <w:highlight w:val="none"/>
              </w:rPr>
            </w:pPr>
            <w:r>
              <w:rPr>
                <w:rFonts w:hint="eastAsia" w:ascii="宋体" w:hAnsi="宋体" w:eastAsia="宋体" w:cs="宋体"/>
                <w:sz w:val="24"/>
                <w:szCs w:val="24"/>
                <w:highlight w:val="none"/>
              </w:rPr>
              <w:t>商务因素（</w:t>
            </w:r>
            <w:r>
              <w:rPr>
                <w:rFonts w:hint="eastAsia" w:ascii="宋体" w:hAnsi="宋体" w:eastAsia="宋体" w:cs="宋体"/>
                <w:sz w:val="24"/>
                <w:szCs w:val="24"/>
                <w:highlight w:val="none"/>
                <w:lang w:val="en-US" w:eastAsia="zh-CN"/>
              </w:rPr>
              <w:t>15</w:t>
            </w:r>
            <w:r>
              <w:rPr>
                <w:rFonts w:hint="eastAsia" w:ascii="宋体" w:hAnsi="宋体" w:eastAsia="宋体" w:cs="宋体"/>
                <w:spacing w:val="-30"/>
                <w:sz w:val="24"/>
                <w:szCs w:val="24"/>
                <w:highlight w:val="none"/>
              </w:rPr>
              <w:t xml:space="preserve"> 分</w:t>
            </w:r>
            <w:r>
              <w:rPr>
                <w:rFonts w:hint="eastAsia" w:ascii="宋体" w:hAnsi="宋体" w:eastAsia="宋体" w:cs="宋体"/>
                <w:sz w:val="24"/>
                <w:szCs w:val="24"/>
                <w:highlight w:val="none"/>
              </w:rPr>
              <w:t>）</w:t>
            </w:r>
          </w:p>
        </w:tc>
        <w:tc>
          <w:tcPr>
            <w:tcW w:w="1215" w:type="dxa"/>
          </w:tcPr>
          <w:p w14:paraId="584E255A">
            <w:pPr>
              <w:pStyle w:val="137"/>
              <w:ind w:left="0" w:leftChars="0" w:firstLine="513" w:firstLineChars="213"/>
              <w:rPr>
                <w:rFonts w:hint="eastAsia" w:ascii="宋体" w:hAnsi="宋体" w:eastAsia="宋体" w:cs="宋体"/>
                <w:b/>
                <w:sz w:val="24"/>
                <w:szCs w:val="24"/>
                <w:highlight w:val="none"/>
              </w:rPr>
            </w:pPr>
          </w:p>
          <w:p w14:paraId="42A576B0">
            <w:pPr>
              <w:pStyle w:val="137"/>
              <w:spacing w:before="157"/>
              <w:ind w:right="82"/>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业绩</w:t>
            </w:r>
          </w:p>
        </w:tc>
        <w:tc>
          <w:tcPr>
            <w:tcW w:w="960" w:type="dxa"/>
          </w:tcPr>
          <w:p w14:paraId="35970AB1">
            <w:pPr>
              <w:pStyle w:val="137"/>
              <w:ind w:left="0" w:leftChars="0" w:firstLine="513" w:firstLineChars="213"/>
              <w:rPr>
                <w:rFonts w:hint="eastAsia" w:ascii="宋体" w:hAnsi="宋体" w:eastAsia="宋体" w:cs="宋体"/>
                <w:b/>
                <w:sz w:val="24"/>
                <w:szCs w:val="24"/>
                <w:highlight w:val="none"/>
              </w:rPr>
            </w:pPr>
          </w:p>
          <w:p w14:paraId="248A3598">
            <w:pPr>
              <w:pStyle w:val="137"/>
              <w:spacing w:before="157"/>
              <w:ind w:right="151"/>
              <w:jc w:val="both"/>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分</w:t>
            </w:r>
          </w:p>
        </w:tc>
        <w:tc>
          <w:tcPr>
            <w:tcW w:w="6015" w:type="dxa"/>
          </w:tcPr>
          <w:p w14:paraId="68F893A5">
            <w:pPr>
              <w:pStyle w:val="137"/>
              <w:ind w:left="0" w:leftChars="0" w:firstLine="460" w:firstLineChars="213"/>
              <w:rPr>
                <w:rFonts w:hint="eastAsia" w:ascii="宋体" w:hAnsi="宋体" w:eastAsia="宋体" w:cs="宋体"/>
                <w:sz w:val="24"/>
                <w:szCs w:val="24"/>
                <w:highlight w:val="none"/>
              </w:rPr>
            </w:pPr>
            <w:r>
              <w:rPr>
                <w:rFonts w:hint="eastAsia" w:ascii="宋体" w:hAnsi="宋体" w:eastAsia="宋体" w:cs="宋体"/>
                <w:spacing w:val="-12"/>
                <w:sz w:val="24"/>
                <w:szCs w:val="24"/>
                <w:highlight w:val="none"/>
              </w:rPr>
              <w:t xml:space="preserve">投标人自 </w:t>
            </w:r>
            <w:r>
              <w:rPr>
                <w:rFonts w:hint="eastAsia" w:ascii="宋体" w:hAnsi="宋体" w:eastAsia="宋体" w:cs="宋体"/>
                <w:sz w:val="24"/>
                <w:szCs w:val="24"/>
                <w:highlight w:val="none"/>
              </w:rPr>
              <w:t>202</w:t>
            </w:r>
            <w:r>
              <w:rPr>
                <w:rFonts w:hint="eastAsia" w:ascii="宋体" w:hAnsi="宋体" w:eastAsia="宋体" w:cs="宋体"/>
                <w:sz w:val="24"/>
                <w:szCs w:val="24"/>
                <w:highlight w:val="none"/>
                <w:lang w:val="en-US" w:eastAsia="zh-CN"/>
              </w:rPr>
              <w:t>2</w:t>
            </w:r>
            <w:r>
              <w:rPr>
                <w:rFonts w:hint="eastAsia" w:ascii="宋体" w:hAnsi="宋体" w:eastAsia="宋体" w:cs="宋体"/>
                <w:spacing w:val="-40"/>
                <w:sz w:val="24"/>
                <w:szCs w:val="24"/>
                <w:highlight w:val="none"/>
              </w:rPr>
              <w:t xml:space="preserve">年 </w:t>
            </w:r>
            <w:r>
              <w:rPr>
                <w:rFonts w:hint="eastAsia" w:ascii="宋体" w:hAnsi="宋体" w:eastAsia="宋体" w:cs="宋体"/>
                <w:sz w:val="24"/>
                <w:szCs w:val="24"/>
                <w:highlight w:val="none"/>
              </w:rPr>
              <w:t>1</w:t>
            </w:r>
            <w:r>
              <w:rPr>
                <w:rFonts w:hint="eastAsia" w:ascii="宋体" w:hAnsi="宋体" w:eastAsia="宋体" w:cs="宋体"/>
                <w:spacing w:val="-40"/>
                <w:sz w:val="24"/>
                <w:szCs w:val="24"/>
                <w:highlight w:val="none"/>
              </w:rPr>
              <w:t xml:space="preserve"> 月 </w:t>
            </w:r>
            <w:r>
              <w:rPr>
                <w:rFonts w:hint="eastAsia" w:ascii="宋体" w:hAnsi="宋体" w:eastAsia="宋体" w:cs="宋体"/>
                <w:sz w:val="24"/>
                <w:szCs w:val="24"/>
                <w:highlight w:val="none"/>
              </w:rPr>
              <w:t>1</w:t>
            </w:r>
            <w:r>
              <w:rPr>
                <w:rFonts w:hint="eastAsia" w:ascii="宋体" w:hAnsi="宋体" w:eastAsia="宋体" w:cs="宋体"/>
                <w:spacing w:val="-13"/>
                <w:sz w:val="24"/>
                <w:szCs w:val="24"/>
                <w:highlight w:val="none"/>
              </w:rPr>
              <w:t xml:space="preserve"> 日至今，每承担一个类似项目业</w:t>
            </w:r>
          </w:p>
          <w:p w14:paraId="5C8EC008">
            <w:pPr>
              <w:pStyle w:val="137"/>
              <w:spacing w:before="12"/>
              <w:ind w:left="0" w:leftChars="0" w:firstLine="426" w:firstLineChars="213"/>
              <w:rPr>
                <w:rFonts w:hint="eastAsia" w:ascii="宋体" w:hAnsi="宋体" w:eastAsia="宋体" w:cs="宋体"/>
                <w:sz w:val="24"/>
                <w:szCs w:val="24"/>
                <w:highlight w:val="none"/>
              </w:rPr>
            </w:pPr>
            <w:r>
              <w:rPr>
                <w:rFonts w:hint="eastAsia" w:ascii="宋体" w:hAnsi="宋体" w:eastAsia="宋体" w:cs="宋体"/>
                <w:spacing w:val="-20"/>
                <w:sz w:val="24"/>
                <w:szCs w:val="24"/>
                <w:highlight w:val="none"/>
              </w:rPr>
              <w:t>绩得</w:t>
            </w:r>
            <w:r>
              <w:rPr>
                <w:rFonts w:hint="eastAsia" w:ascii="宋体" w:hAnsi="宋体" w:eastAsia="宋体" w:cs="宋体"/>
                <w:spacing w:val="-20"/>
                <w:sz w:val="24"/>
                <w:szCs w:val="24"/>
                <w:highlight w:val="none"/>
                <w:lang w:val="en-US" w:eastAsia="zh-CN"/>
              </w:rPr>
              <w:t>1</w:t>
            </w:r>
            <w:r>
              <w:rPr>
                <w:rFonts w:hint="eastAsia" w:ascii="宋体" w:hAnsi="宋体" w:eastAsia="宋体" w:cs="宋体"/>
                <w:spacing w:val="-20"/>
                <w:sz w:val="24"/>
                <w:szCs w:val="24"/>
                <w:highlight w:val="none"/>
              </w:rPr>
              <w:t>分，本项最高得</w:t>
            </w:r>
            <w:r>
              <w:rPr>
                <w:rFonts w:hint="eastAsia" w:ascii="宋体" w:hAnsi="宋体" w:eastAsia="宋体" w:cs="宋体"/>
                <w:sz w:val="24"/>
                <w:szCs w:val="24"/>
                <w:highlight w:val="none"/>
                <w:lang w:val="en-US" w:eastAsia="zh-CN"/>
              </w:rPr>
              <w:t>5</w:t>
            </w:r>
            <w:r>
              <w:rPr>
                <w:rFonts w:hint="eastAsia" w:ascii="宋体" w:hAnsi="宋体" w:eastAsia="宋体" w:cs="宋体"/>
                <w:spacing w:val="-11"/>
                <w:sz w:val="24"/>
                <w:szCs w:val="24"/>
                <w:highlight w:val="none"/>
              </w:rPr>
              <w:t>分。 (业绩以合同签订或中标</w:t>
            </w:r>
            <w:r>
              <w:rPr>
                <w:rFonts w:hint="eastAsia" w:ascii="宋体" w:hAnsi="宋体" w:eastAsia="宋体" w:cs="宋体"/>
                <w:sz w:val="24"/>
                <w:szCs w:val="24"/>
                <w:highlight w:val="none"/>
              </w:rPr>
              <w:t>/成交通知书时间为准)。</w:t>
            </w:r>
          </w:p>
        </w:tc>
      </w:tr>
      <w:tr w14:paraId="2AEF6D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2" w:hRule="atLeast"/>
          <w:jc w:val="center"/>
        </w:trPr>
        <w:tc>
          <w:tcPr>
            <w:tcW w:w="1241" w:type="dxa"/>
            <w:vMerge w:val="continue"/>
          </w:tcPr>
          <w:p w14:paraId="0DA84DD7">
            <w:pPr>
              <w:ind w:left="0" w:leftChars="0" w:firstLine="511" w:firstLineChars="213"/>
              <w:rPr>
                <w:rFonts w:hint="eastAsia" w:ascii="宋体" w:hAnsi="宋体" w:eastAsia="宋体" w:cs="宋体"/>
                <w:sz w:val="24"/>
                <w:szCs w:val="24"/>
                <w:highlight w:val="none"/>
              </w:rPr>
            </w:pPr>
          </w:p>
        </w:tc>
        <w:tc>
          <w:tcPr>
            <w:tcW w:w="1215" w:type="dxa"/>
            <w:vAlign w:val="center"/>
          </w:tcPr>
          <w:p w14:paraId="61BF55F2">
            <w:pPr>
              <w:pStyle w:val="137"/>
              <w:spacing w:before="128" w:line="242" w:lineRule="auto"/>
              <w:ind w:right="117"/>
              <w:jc w:val="both"/>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配送能力</w:t>
            </w:r>
          </w:p>
        </w:tc>
        <w:tc>
          <w:tcPr>
            <w:tcW w:w="960" w:type="dxa"/>
          </w:tcPr>
          <w:p w14:paraId="02A657CE">
            <w:pPr>
              <w:pStyle w:val="137"/>
              <w:spacing w:before="12"/>
              <w:ind w:left="0" w:leftChars="0" w:firstLine="513" w:firstLineChars="213"/>
              <w:rPr>
                <w:rFonts w:hint="eastAsia" w:ascii="宋体" w:hAnsi="宋体" w:eastAsia="宋体" w:cs="宋体"/>
                <w:b/>
                <w:sz w:val="24"/>
                <w:szCs w:val="24"/>
                <w:highlight w:val="none"/>
              </w:rPr>
            </w:pPr>
          </w:p>
          <w:p w14:paraId="7857B5A7">
            <w:pPr>
              <w:pStyle w:val="137"/>
              <w:ind w:right="151"/>
              <w:jc w:val="both"/>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分</w:t>
            </w:r>
          </w:p>
        </w:tc>
        <w:tc>
          <w:tcPr>
            <w:tcW w:w="6015" w:type="dxa"/>
          </w:tcPr>
          <w:p w14:paraId="42A6AD42">
            <w:pPr>
              <w:pStyle w:val="137"/>
              <w:spacing w:before="128" w:line="242" w:lineRule="auto"/>
              <w:ind w:left="0" w:leftChars="0" w:right="-29" w:firstLine="511" w:firstLineChars="213"/>
              <w:rPr>
                <w:rFonts w:hint="eastAsia" w:ascii="宋体" w:hAnsi="宋体" w:eastAsia="宋体" w:cs="宋体"/>
                <w:sz w:val="24"/>
                <w:szCs w:val="24"/>
                <w:highlight w:val="none"/>
              </w:rPr>
            </w:pPr>
            <w:r>
              <w:rPr>
                <w:rFonts w:hint="eastAsia" w:ascii="宋体" w:hAnsi="宋体" w:eastAsia="宋体" w:cs="宋体"/>
                <w:sz w:val="24"/>
                <w:szCs w:val="24"/>
                <w:highlight w:val="none"/>
              </w:rPr>
              <w:t>拥有专用配送车辆（配送车辆型号应为面包车或厢式货车），提供1辆得1分，最高得2分。（车辆需提供车辆行驶证或有效期内的车辆租赁协议，未提供不得分。）</w:t>
            </w:r>
          </w:p>
        </w:tc>
      </w:tr>
      <w:tr w14:paraId="5D98E9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5" w:hRule="atLeast"/>
          <w:jc w:val="center"/>
        </w:trPr>
        <w:tc>
          <w:tcPr>
            <w:tcW w:w="1241" w:type="dxa"/>
            <w:vMerge w:val="continue"/>
          </w:tcPr>
          <w:p w14:paraId="57875FBD">
            <w:pPr>
              <w:ind w:left="0" w:leftChars="0" w:firstLine="511" w:firstLineChars="213"/>
              <w:rPr>
                <w:rFonts w:hint="eastAsia" w:ascii="宋体" w:hAnsi="宋体" w:eastAsia="宋体" w:cs="宋体"/>
                <w:sz w:val="24"/>
                <w:szCs w:val="24"/>
                <w:highlight w:val="none"/>
              </w:rPr>
            </w:pPr>
          </w:p>
        </w:tc>
        <w:tc>
          <w:tcPr>
            <w:tcW w:w="1215" w:type="dxa"/>
          </w:tcPr>
          <w:p w14:paraId="5759C6D4">
            <w:pPr>
              <w:pStyle w:val="137"/>
              <w:spacing w:before="9"/>
              <w:ind w:left="0" w:leftChars="0" w:firstLine="513" w:firstLineChars="213"/>
              <w:rPr>
                <w:rFonts w:hint="eastAsia" w:ascii="宋体" w:hAnsi="宋体" w:eastAsia="宋体" w:cs="宋体"/>
                <w:b/>
                <w:sz w:val="24"/>
                <w:szCs w:val="24"/>
                <w:highlight w:val="none"/>
              </w:rPr>
            </w:pPr>
          </w:p>
          <w:p w14:paraId="7C2274B3">
            <w:pPr>
              <w:pStyle w:val="137"/>
              <w:ind w:right="99"/>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服务团队</w:t>
            </w:r>
          </w:p>
        </w:tc>
        <w:tc>
          <w:tcPr>
            <w:tcW w:w="960" w:type="dxa"/>
          </w:tcPr>
          <w:p w14:paraId="753B7FB5">
            <w:pPr>
              <w:pStyle w:val="137"/>
              <w:spacing w:before="9"/>
              <w:rPr>
                <w:rFonts w:hint="eastAsia" w:ascii="宋体" w:hAnsi="宋体" w:eastAsia="宋体" w:cs="宋体"/>
                <w:b/>
                <w:sz w:val="24"/>
                <w:szCs w:val="24"/>
                <w:highlight w:val="none"/>
              </w:rPr>
            </w:pPr>
          </w:p>
          <w:p w14:paraId="0FB5EA05">
            <w:pPr>
              <w:pStyle w:val="137"/>
              <w:ind w:right="151"/>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5分</w:t>
            </w:r>
          </w:p>
        </w:tc>
        <w:tc>
          <w:tcPr>
            <w:tcW w:w="6015" w:type="dxa"/>
          </w:tcPr>
          <w:p w14:paraId="5DA6DCD1">
            <w:pPr>
              <w:pStyle w:val="137"/>
              <w:spacing w:before="5" w:line="242" w:lineRule="auto"/>
              <w:ind w:left="0" w:leftChars="0" w:right="134" w:firstLine="511" w:firstLineChars="213"/>
              <w:rPr>
                <w:rFonts w:hint="eastAsia" w:ascii="宋体" w:hAnsi="宋体" w:eastAsia="宋体" w:cs="宋体"/>
                <w:sz w:val="24"/>
                <w:szCs w:val="24"/>
                <w:highlight w:val="none"/>
              </w:rPr>
            </w:pPr>
            <w:r>
              <w:rPr>
                <w:rFonts w:hint="eastAsia" w:ascii="宋体" w:hAnsi="宋体" w:eastAsia="宋体" w:cs="宋体"/>
                <w:sz w:val="24"/>
                <w:szCs w:val="24"/>
                <w:highlight w:val="none"/>
              </w:rPr>
              <w:t>配送服务主要人员配置情况：配送服务人员配置2 人，得基础分2分，每增加一人加1分，最高得5 分（配送人员需提供健康证，未提供的不得分。</w:t>
            </w:r>
          </w:p>
        </w:tc>
      </w:tr>
      <w:tr w14:paraId="0195F0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5" w:hRule="atLeast"/>
          <w:jc w:val="center"/>
        </w:trPr>
        <w:tc>
          <w:tcPr>
            <w:tcW w:w="1241" w:type="dxa"/>
            <w:vMerge w:val="continue"/>
          </w:tcPr>
          <w:p w14:paraId="3B46AD64">
            <w:pPr>
              <w:ind w:left="0" w:leftChars="0" w:firstLine="511" w:firstLineChars="213"/>
              <w:rPr>
                <w:rFonts w:hint="eastAsia" w:ascii="宋体" w:hAnsi="宋体" w:eastAsia="宋体" w:cs="宋体"/>
                <w:sz w:val="24"/>
                <w:szCs w:val="24"/>
                <w:highlight w:val="none"/>
              </w:rPr>
            </w:pPr>
          </w:p>
        </w:tc>
        <w:tc>
          <w:tcPr>
            <w:tcW w:w="1215" w:type="dxa"/>
          </w:tcPr>
          <w:p w14:paraId="748E91DC">
            <w:pPr>
              <w:pStyle w:val="137"/>
              <w:ind w:right="99"/>
              <w:jc w:val="both"/>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三包承诺</w:t>
            </w:r>
          </w:p>
        </w:tc>
        <w:tc>
          <w:tcPr>
            <w:tcW w:w="960" w:type="dxa"/>
          </w:tcPr>
          <w:p w14:paraId="413EC5D1">
            <w:pPr>
              <w:pStyle w:val="137"/>
              <w:ind w:right="151"/>
              <w:jc w:val="both"/>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3分</w:t>
            </w:r>
          </w:p>
        </w:tc>
        <w:tc>
          <w:tcPr>
            <w:tcW w:w="6015" w:type="dxa"/>
          </w:tcPr>
          <w:p w14:paraId="2DF63BEF">
            <w:pPr>
              <w:pStyle w:val="137"/>
              <w:spacing w:before="5" w:line="242" w:lineRule="auto"/>
              <w:ind w:left="0" w:leftChars="0" w:right="134" w:firstLine="511" w:firstLineChars="213"/>
              <w:rPr>
                <w:rFonts w:hint="eastAsia" w:ascii="宋体" w:hAnsi="宋体" w:eastAsia="宋体" w:cs="宋体"/>
                <w:sz w:val="24"/>
                <w:szCs w:val="24"/>
                <w:highlight w:val="none"/>
              </w:rPr>
            </w:pPr>
            <w:r>
              <w:rPr>
                <w:rFonts w:hint="eastAsia" w:ascii="宋体" w:hAnsi="宋体" w:eastAsia="宋体" w:cs="宋体"/>
                <w:sz w:val="24"/>
                <w:szCs w:val="24"/>
                <w:highlight w:val="none"/>
              </w:rPr>
              <w:t>投标人针对本项目提供“三包”服务(即包质量、包数量、包调换)书面承诺得3分，否则不得分</w:t>
            </w:r>
          </w:p>
        </w:tc>
      </w:tr>
      <w:tr w14:paraId="3E3DB9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92" w:hRule="atLeast"/>
          <w:jc w:val="center"/>
        </w:trPr>
        <w:tc>
          <w:tcPr>
            <w:tcW w:w="1241" w:type="dxa"/>
            <w:vMerge w:val="restart"/>
            <w:tcBorders>
              <w:left w:val="single" w:color="auto" w:sz="4" w:space="0"/>
            </w:tcBorders>
          </w:tcPr>
          <w:p w14:paraId="264E4C81">
            <w:pPr>
              <w:pStyle w:val="137"/>
              <w:ind w:left="0" w:leftChars="0" w:firstLine="513" w:firstLineChars="213"/>
              <w:rPr>
                <w:rFonts w:hint="eastAsia" w:ascii="宋体" w:hAnsi="宋体" w:eastAsia="宋体" w:cs="宋体"/>
                <w:b/>
                <w:sz w:val="24"/>
                <w:szCs w:val="24"/>
                <w:highlight w:val="none"/>
              </w:rPr>
            </w:pPr>
          </w:p>
          <w:p w14:paraId="5B9B647A">
            <w:pPr>
              <w:pStyle w:val="137"/>
              <w:ind w:left="0" w:leftChars="0" w:firstLine="513" w:firstLineChars="213"/>
              <w:rPr>
                <w:rFonts w:hint="eastAsia" w:ascii="宋体" w:hAnsi="宋体" w:eastAsia="宋体" w:cs="宋体"/>
                <w:b/>
                <w:sz w:val="24"/>
                <w:szCs w:val="24"/>
                <w:highlight w:val="none"/>
              </w:rPr>
            </w:pPr>
          </w:p>
          <w:p w14:paraId="207AB31B">
            <w:pPr>
              <w:pStyle w:val="137"/>
              <w:ind w:left="0" w:leftChars="0" w:firstLine="513" w:firstLineChars="213"/>
              <w:rPr>
                <w:rFonts w:hint="eastAsia" w:ascii="宋体" w:hAnsi="宋体" w:eastAsia="宋体" w:cs="宋体"/>
                <w:b/>
                <w:sz w:val="24"/>
                <w:szCs w:val="24"/>
                <w:highlight w:val="none"/>
              </w:rPr>
            </w:pPr>
          </w:p>
          <w:p w14:paraId="4EF7F603">
            <w:pPr>
              <w:pStyle w:val="137"/>
              <w:ind w:left="0" w:leftChars="0" w:firstLine="513" w:firstLineChars="213"/>
              <w:rPr>
                <w:rFonts w:hint="eastAsia" w:ascii="宋体" w:hAnsi="宋体" w:eastAsia="宋体" w:cs="宋体"/>
                <w:b/>
                <w:sz w:val="24"/>
                <w:szCs w:val="24"/>
                <w:highlight w:val="none"/>
              </w:rPr>
            </w:pPr>
          </w:p>
          <w:p w14:paraId="3456FB55">
            <w:pPr>
              <w:pStyle w:val="137"/>
              <w:ind w:left="0" w:leftChars="0" w:firstLine="513" w:firstLineChars="213"/>
              <w:rPr>
                <w:rFonts w:hint="eastAsia" w:ascii="宋体" w:hAnsi="宋体" w:eastAsia="宋体" w:cs="宋体"/>
                <w:b/>
                <w:sz w:val="24"/>
                <w:szCs w:val="24"/>
                <w:highlight w:val="none"/>
              </w:rPr>
            </w:pPr>
          </w:p>
          <w:p w14:paraId="053DC5FA">
            <w:pPr>
              <w:pStyle w:val="137"/>
              <w:ind w:left="0" w:leftChars="0" w:firstLine="513" w:firstLineChars="213"/>
              <w:rPr>
                <w:rFonts w:hint="eastAsia" w:ascii="宋体" w:hAnsi="宋体" w:eastAsia="宋体" w:cs="宋体"/>
                <w:b/>
                <w:sz w:val="24"/>
                <w:szCs w:val="24"/>
                <w:highlight w:val="none"/>
              </w:rPr>
            </w:pPr>
          </w:p>
          <w:p w14:paraId="7BAF88E0">
            <w:pPr>
              <w:pStyle w:val="137"/>
              <w:ind w:left="0" w:leftChars="0" w:firstLine="513" w:firstLineChars="213"/>
              <w:rPr>
                <w:rFonts w:hint="eastAsia" w:ascii="宋体" w:hAnsi="宋体" w:eastAsia="宋体" w:cs="宋体"/>
                <w:b/>
                <w:sz w:val="24"/>
                <w:szCs w:val="24"/>
                <w:highlight w:val="none"/>
              </w:rPr>
            </w:pPr>
          </w:p>
          <w:p w14:paraId="0779A62A">
            <w:pPr>
              <w:pStyle w:val="137"/>
              <w:ind w:left="0" w:leftChars="0" w:firstLine="513" w:firstLineChars="213"/>
              <w:rPr>
                <w:rFonts w:hint="eastAsia" w:ascii="宋体" w:hAnsi="宋体" w:eastAsia="宋体" w:cs="宋体"/>
                <w:b/>
                <w:sz w:val="24"/>
                <w:szCs w:val="24"/>
                <w:highlight w:val="none"/>
              </w:rPr>
            </w:pPr>
          </w:p>
          <w:p w14:paraId="31C3562E">
            <w:pPr>
              <w:pStyle w:val="137"/>
              <w:ind w:left="0" w:leftChars="0" w:firstLine="513" w:firstLineChars="213"/>
              <w:rPr>
                <w:rFonts w:hint="eastAsia" w:ascii="宋体" w:hAnsi="宋体" w:eastAsia="宋体" w:cs="宋体"/>
                <w:b/>
                <w:sz w:val="24"/>
                <w:szCs w:val="24"/>
                <w:highlight w:val="none"/>
              </w:rPr>
            </w:pPr>
          </w:p>
          <w:p w14:paraId="16A3DA3E">
            <w:pPr>
              <w:pStyle w:val="137"/>
              <w:ind w:left="0" w:leftChars="0" w:firstLine="513" w:firstLineChars="213"/>
              <w:rPr>
                <w:rFonts w:hint="eastAsia" w:ascii="宋体" w:hAnsi="宋体" w:eastAsia="宋体" w:cs="宋体"/>
                <w:b/>
                <w:sz w:val="24"/>
                <w:szCs w:val="24"/>
                <w:highlight w:val="none"/>
              </w:rPr>
            </w:pPr>
          </w:p>
          <w:p w14:paraId="23184866">
            <w:pPr>
              <w:pStyle w:val="137"/>
              <w:ind w:left="0" w:leftChars="0" w:firstLine="513" w:firstLineChars="213"/>
              <w:rPr>
                <w:rFonts w:hint="eastAsia" w:ascii="宋体" w:hAnsi="宋体" w:eastAsia="宋体" w:cs="宋体"/>
                <w:b/>
                <w:sz w:val="24"/>
                <w:szCs w:val="24"/>
                <w:highlight w:val="none"/>
              </w:rPr>
            </w:pPr>
          </w:p>
          <w:p w14:paraId="62ACFA32">
            <w:pPr>
              <w:pStyle w:val="137"/>
              <w:ind w:left="0" w:leftChars="0" w:firstLine="513" w:firstLineChars="213"/>
              <w:rPr>
                <w:rFonts w:hint="eastAsia" w:ascii="宋体" w:hAnsi="宋体" w:eastAsia="宋体" w:cs="宋体"/>
                <w:b/>
                <w:sz w:val="24"/>
                <w:szCs w:val="24"/>
                <w:highlight w:val="none"/>
              </w:rPr>
            </w:pPr>
          </w:p>
          <w:p w14:paraId="5C12EB92">
            <w:pPr>
              <w:pStyle w:val="137"/>
              <w:ind w:left="0" w:leftChars="0" w:firstLine="513" w:firstLineChars="213"/>
              <w:rPr>
                <w:rFonts w:hint="eastAsia" w:ascii="宋体" w:hAnsi="宋体" w:eastAsia="宋体" w:cs="宋体"/>
                <w:b/>
                <w:sz w:val="24"/>
                <w:szCs w:val="24"/>
                <w:highlight w:val="none"/>
              </w:rPr>
            </w:pPr>
          </w:p>
          <w:p w14:paraId="25008FFD">
            <w:pPr>
              <w:pStyle w:val="137"/>
              <w:ind w:left="0" w:leftChars="0" w:firstLine="513" w:firstLineChars="213"/>
              <w:rPr>
                <w:rFonts w:hint="eastAsia" w:ascii="宋体" w:hAnsi="宋体" w:eastAsia="宋体" w:cs="宋体"/>
                <w:b/>
                <w:sz w:val="24"/>
                <w:szCs w:val="24"/>
                <w:highlight w:val="none"/>
              </w:rPr>
            </w:pPr>
          </w:p>
          <w:p w14:paraId="11898499">
            <w:pPr>
              <w:pStyle w:val="137"/>
              <w:ind w:left="0" w:leftChars="0" w:firstLine="513" w:firstLineChars="213"/>
              <w:rPr>
                <w:rFonts w:hint="eastAsia" w:ascii="宋体" w:hAnsi="宋体" w:eastAsia="宋体" w:cs="宋体"/>
                <w:b/>
                <w:sz w:val="24"/>
                <w:szCs w:val="24"/>
                <w:highlight w:val="none"/>
              </w:rPr>
            </w:pPr>
          </w:p>
          <w:p w14:paraId="4F30767D">
            <w:pPr>
              <w:pStyle w:val="137"/>
              <w:ind w:left="0" w:leftChars="0" w:firstLine="513" w:firstLineChars="213"/>
              <w:rPr>
                <w:rFonts w:hint="eastAsia" w:ascii="宋体" w:hAnsi="宋体" w:eastAsia="宋体" w:cs="宋体"/>
                <w:b/>
                <w:sz w:val="24"/>
                <w:szCs w:val="24"/>
                <w:highlight w:val="none"/>
              </w:rPr>
            </w:pPr>
          </w:p>
          <w:p w14:paraId="32A70582">
            <w:pPr>
              <w:pStyle w:val="137"/>
              <w:ind w:left="0" w:leftChars="0" w:firstLine="513" w:firstLineChars="213"/>
              <w:rPr>
                <w:rFonts w:hint="eastAsia" w:ascii="宋体" w:hAnsi="宋体" w:eastAsia="宋体" w:cs="宋体"/>
                <w:b/>
                <w:sz w:val="24"/>
                <w:szCs w:val="24"/>
                <w:highlight w:val="none"/>
              </w:rPr>
            </w:pPr>
          </w:p>
          <w:p w14:paraId="05C2E5FF">
            <w:pPr>
              <w:pStyle w:val="137"/>
              <w:ind w:left="0" w:leftChars="0" w:firstLine="513" w:firstLineChars="213"/>
              <w:rPr>
                <w:rFonts w:hint="eastAsia" w:ascii="宋体" w:hAnsi="宋体" w:eastAsia="宋体" w:cs="宋体"/>
                <w:b/>
                <w:sz w:val="24"/>
                <w:szCs w:val="24"/>
                <w:highlight w:val="none"/>
              </w:rPr>
            </w:pPr>
          </w:p>
          <w:p w14:paraId="07C20BC5">
            <w:pPr>
              <w:pStyle w:val="137"/>
              <w:ind w:left="0" w:leftChars="0" w:firstLine="513" w:firstLineChars="213"/>
              <w:rPr>
                <w:rFonts w:hint="eastAsia" w:ascii="宋体" w:hAnsi="宋体" w:eastAsia="宋体" w:cs="宋体"/>
                <w:b/>
                <w:sz w:val="24"/>
                <w:szCs w:val="24"/>
                <w:highlight w:val="none"/>
              </w:rPr>
            </w:pPr>
          </w:p>
          <w:p w14:paraId="2F0A3E02">
            <w:pPr>
              <w:pStyle w:val="137"/>
              <w:ind w:left="0" w:leftChars="0" w:firstLine="513" w:firstLineChars="213"/>
              <w:rPr>
                <w:rFonts w:hint="eastAsia" w:ascii="宋体" w:hAnsi="宋体" w:eastAsia="宋体" w:cs="宋体"/>
                <w:b/>
                <w:sz w:val="24"/>
                <w:szCs w:val="24"/>
                <w:highlight w:val="none"/>
              </w:rPr>
            </w:pPr>
          </w:p>
          <w:p w14:paraId="1692175A">
            <w:pPr>
              <w:pStyle w:val="137"/>
              <w:spacing w:before="11"/>
              <w:ind w:left="0" w:leftChars="0" w:firstLine="513" w:firstLineChars="213"/>
              <w:rPr>
                <w:rFonts w:hint="eastAsia" w:ascii="宋体" w:hAnsi="宋体" w:eastAsia="宋体" w:cs="宋体"/>
                <w:b/>
                <w:sz w:val="24"/>
                <w:szCs w:val="24"/>
                <w:highlight w:val="none"/>
              </w:rPr>
            </w:pPr>
          </w:p>
          <w:p w14:paraId="130AEED7">
            <w:pPr>
              <w:pStyle w:val="137"/>
              <w:rPr>
                <w:rFonts w:hint="eastAsia" w:ascii="宋体" w:hAnsi="宋体" w:eastAsia="宋体" w:cs="宋体"/>
                <w:sz w:val="24"/>
                <w:szCs w:val="24"/>
                <w:highlight w:val="none"/>
              </w:rPr>
            </w:pPr>
            <w:r>
              <w:rPr>
                <w:rFonts w:hint="eastAsia" w:ascii="宋体" w:hAnsi="宋体" w:eastAsia="宋体" w:cs="宋体"/>
                <w:sz w:val="24"/>
                <w:szCs w:val="24"/>
                <w:highlight w:val="none"/>
              </w:rPr>
              <w:t>技术因素（</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5</w:t>
            </w:r>
            <w:r>
              <w:rPr>
                <w:rFonts w:hint="eastAsia" w:ascii="宋体" w:hAnsi="宋体" w:eastAsia="宋体" w:cs="宋体"/>
                <w:spacing w:val="-30"/>
                <w:sz w:val="24"/>
                <w:szCs w:val="24"/>
                <w:highlight w:val="none"/>
              </w:rPr>
              <w:t xml:space="preserve"> 分</w:t>
            </w:r>
            <w:r>
              <w:rPr>
                <w:rFonts w:hint="eastAsia" w:ascii="宋体" w:hAnsi="宋体" w:eastAsia="宋体" w:cs="宋体"/>
                <w:sz w:val="24"/>
                <w:szCs w:val="24"/>
                <w:highlight w:val="none"/>
              </w:rPr>
              <w:t>）</w:t>
            </w:r>
          </w:p>
        </w:tc>
        <w:tc>
          <w:tcPr>
            <w:tcW w:w="1215" w:type="dxa"/>
          </w:tcPr>
          <w:p w14:paraId="6984B6D7">
            <w:pPr>
              <w:pStyle w:val="137"/>
              <w:ind w:left="0" w:leftChars="0" w:firstLine="513" w:firstLineChars="213"/>
              <w:rPr>
                <w:rFonts w:hint="eastAsia" w:ascii="宋体" w:hAnsi="宋体" w:eastAsia="宋体" w:cs="宋体"/>
                <w:b/>
                <w:sz w:val="24"/>
                <w:szCs w:val="24"/>
                <w:highlight w:val="none"/>
              </w:rPr>
            </w:pPr>
          </w:p>
          <w:p w14:paraId="2EAD8F56">
            <w:pPr>
              <w:pStyle w:val="137"/>
              <w:ind w:left="0" w:leftChars="0" w:firstLine="513" w:firstLineChars="213"/>
              <w:rPr>
                <w:rFonts w:hint="eastAsia" w:ascii="宋体" w:hAnsi="宋体" w:eastAsia="宋体" w:cs="宋体"/>
                <w:b/>
                <w:sz w:val="24"/>
                <w:szCs w:val="24"/>
                <w:highlight w:val="none"/>
              </w:rPr>
            </w:pPr>
          </w:p>
          <w:p w14:paraId="547F2456">
            <w:pPr>
              <w:pStyle w:val="137"/>
              <w:spacing w:before="214" w:line="242" w:lineRule="auto"/>
              <w:ind w:right="136"/>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服务方案</w:t>
            </w:r>
          </w:p>
        </w:tc>
        <w:tc>
          <w:tcPr>
            <w:tcW w:w="960" w:type="dxa"/>
          </w:tcPr>
          <w:p w14:paraId="300B5028">
            <w:pPr>
              <w:pStyle w:val="137"/>
              <w:ind w:left="0" w:leftChars="0" w:firstLine="513" w:firstLineChars="213"/>
              <w:rPr>
                <w:rFonts w:hint="eastAsia" w:ascii="宋体" w:hAnsi="宋体" w:eastAsia="宋体" w:cs="宋体"/>
                <w:b/>
                <w:sz w:val="24"/>
                <w:szCs w:val="24"/>
                <w:highlight w:val="none"/>
              </w:rPr>
            </w:pPr>
          </w:p>
          <w:p w14:paraId="5D2F2B44">
            <w:pPr>
              <w:pStyle w:val="137"/>
              <w:ind w:left="0" w:leftChars="0" w:firstLine="513" w:firstLineChars="213"/>
              <w:rPr>
                <w:rFonts w:hint="eastAsia" w:ascii="宋体" w:hAnsi="宋体" w:eastAsia="宋体" w:cs="宋体"/>
                <w:b/>
                <w:sz w:val="24"/>
                <w:szCs w:val="24"/>
                <w:highlight w:val="none"/>
              </w:rPr>
            </w:pPr>
          </w:p>
          <w:p w14:paraId="186F86F9">
            <w:pPr>
              <w:pStyle w:val="137"/>
              <w:spacing w:before="11"/>
              <w:ind w:left="0" w:leftChars="0" w:firstLine="513" w:firstLineChars="213"/>
              <w:rPr>
                <w:rFonts w:hint="eastAsia" w:ascii="宋体" w:hAnsi="宋体" w:eastAsia="宋体" w:cs="宋体"/>
                <w:b/>
                <w:sz w:val="24"/>
                <w:szCs w:val="24"/>
                <w:highlight w:val="none"/>
              </w:rPr>
            </w:pPr>
          </w:p>
          <w:p w14:paraId="77B2C915">
            <w:pPr>
              <w:pStyle w:val="137"/>
              <w:ind w:left="0" w:leftChars="0" w:firstLine="511" w:firstLineChars="213"/>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分</w:t>
            </w:r>
          </w:p>
        </w:tc>
        <w:tc>
          <w:tcPr>
            <w:tcW w:w="6015" w:type="dxa"/>
          </w:tcPr>
          <w:p w14:paraId="74EFA199">
            <w:pPr>
              <w:pStyle w:val="137"/>
              <w:spacing w:before="1"/>
              <w:ind w:left="0" w:leftChars="0" w:firstLine="511" w:firstLineChars="213"/>
              <w:rPr>
                <w:rFonts w:hint="eastAsia" w:ascii="宋体" w:hAnsi="宋体" w:eastAsia="宋体" w:cs="宋体"/>
                <w:sz w:val="24"/>
                <w:szCs w:val="24"/>
                <w:highlight w:val="none"/>
              </w:rPr>
            </w:pPr>
            <w:r>
              <w:rPr>
                <w:rFonts w:hint="eastAsia" w:ascii="宋体" w:hAnsi="宋体" w:eastAsia="宋体" w:cs="宋体"/>
                <w:sz w:val="24"/>
                <w:szCs w:val="24"/>
                <w:highlight w:val="none"/>
              </w:rPr>
              <w:t>方案详细全面完善，包含①项目整体管理措施；②具体实施及流程；③进度安排；④食品原料及预包食品验收方案⑤货源保障措施及方案；⑥仓储能力及方案，投标文件中提供以上内容的。每提供一项得1分，整体方案针对性较强，可行性较高，完全满足项目要求、能够顺利实施，不详细，针对性不强，每有一项扣1分，未提供的不得分。</w:t>
            </w:r>
          </w:p>
        </w:tc>
      </w:tr>
      <w:tr w14:paraId="4F8A2F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15" w:hRule="atLeast"/>
          <w:jc w:val="center"/>
        </w:trPr>
        <w:tc>
          <w:tcPr>
            <w:tcW w:w="1241" w:type="dxa"/>
            <w:vMerge w:val="continue"/>
            <w:tcBorders>
              <w:top w:val="nil"/>
              <w:left w:val="single" w:color="auto" w:sz="4" w:space="0"/>
            </w:tcBorders>
          </w:tcPr>
          <w:p w14:paraId="0D1B8E3D">
            <w:pPr>
              <w:ind w:left="0" w:leftChars="0" w:firstLine="511" w:firstLineChars="213"/>
              <w:rPr>
                <w:rFonts w:hint="eastAsia" w:ascii="宋体" w:hAnsi="宋体" w:eastAsia="宋体" w:cs="宋体"/>
                <w:sz w:val="24"/>
                <w:szCs w:val="24"/>
                <w:highlight w:val="none"/>
              </w:rPr>
            </w:pPr>
          </w:p>
        </w:tc>
        <w:tc>
          <w:tcPr>
            <w:tcW w:w="1215" w:type="dxa"/>
          </w:tcPr>
          <w:p w14:paraId="7E67F312">
            <w:pPr>
              <w:pStyle w:val="137"/>
              <w:ind w:left="0" w:leftChars="0" w:firstLine="513" w:firstLineChars="213"/>
              <w:rPr>
                <w:rFonts w:hint="eastAsia" w:ascii="宋体" w:hAnsi="宋体" w:eastAsia="宋体" w:cs="宋体"/>
                <w:b/>
                <w:sz w:val="24"/>
                <w:szCs w:val="24"/>
                <w:highlight w:val="none"/>
              </w:rPr>
            </w:pPr>
          </w:p>
          <w:p w14:paraId="0C4B46DC">
            <w:pPr>
              <w:pStyle w:val="137"/>
              <w:ind w:left="0" w:leftChars="0" w:firstLine="513" w:firstLineChars="213"/>
              <w:rPr>
                <w:rFonts w:hint="eastAsia" w:ascii="宋体" w:hAnsi="宋体" w:eastAsia="宋体" w:cs="宋体"/>
                <w:b/>
                <w:sz w:val="24"/>
                <w:szCs w:val="24"/>
                <w:highlight w:val="none"/>
              </w:rPr>
            </w:pPr>
          </w:p>
          <w:p w14:paraId="30A35B2E">
            <w:pPr>
              <w:pStyle w:val="137"/>
              <w:spacing w:before="5"/>
              <w:ind w:left="0" w:leftChars="0" w:firstLine="513" w:firstLineChars="213"/>
              <w:rPr>
                <w:rFonts w:hint="eastAsia" w:ascii="宋体" w:hAnsi="宋体" w:eastAsia="宋体" w:cs="宋体"/>
                <w:b/>
                <w:sz w:val="24"/>
                <w:szCs w:val="24"/>
                <w:highlight w:val="none"/>
              </w:rPr>
            </w:pPr>
          </w:p>
          <w:p w14:paraId="4A9A86FB">
            <w:pPr>
              <w:pStyle w:val="137"/>
              <w:spacing w:line="242" w:lineRule="auto"/>
              <w:ind w:right="117"/>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配送方案</w:t>
            </w:r>
          </w:p>
        </w:tc>
        <w:tc>
          <w:tcPr>
            <w:tcW w:w="960" w:type="dxa"/>
          </w:tcPr>
          <w:p w14:paraId="17982D6F">
            <w:pPr>
              <w:pStyle w:val="137"/>
              <w:ind w:left="0" w:leftChars="0" w:firstLine="513" w:firstLineChars="213"/>
              <w:rPr>
                <w:rFonts w:hint="eastAsia" w:ascii="宋体" w:hAnsi="宋体" w:eastAsia="宋体" w:cs="宋体"/>
                <w:b/>
                <w:sz w:val="24"/>
                <w:szCs w:val="24"/>
                <w:highlight w:val="none"/>
              </w:rPr>
            </w:pPr>
          </w:p>
          <w:p w14:paraId="5B7E728A">
            <w:pPr>
              <w:pStyle w:val="137"/>
              <w:ind w:left="0" w:leftChars="0" w:firstLine="513" w:firstLineChars="213"/>
              <w:rPr>
                <w:rFonts w:hint="eastAsia" w:ascii="宋体" w:hAnsi="宋体" w:eastAsia="宋体" w:cs="宋体"/>
                <w:b/>
                <w:sz w:val="24"/>
                <w:szCs w:val="24"/>
                <w:highlight w:val="none"/>
              </w:rPr>
            </w:pPr>
          </w:p>
          <w:p w14:paraId="06C722D3">
            <w:pPr>
              <w:pStyle w:val="137"/>
              <w:ind w:left="0" w:leftChars="0" w:firstLine="513" w:firstLineChars="213"/>
              <w:rPr>
                <w:rFonts w:hint="eastAsia" w:ascii="宋体" w:hAnsi="宋体" w:eastAsia="宋体" w:cs="宋体"/>
                <w:b/>
                <w:sz w:val="24"/>
                <w:szCs w:val="24"/>
                <w:highlight w:val="none"/>
              </w:rPr>
            </w:pPr>
          </w:p>
          <w:p w14:paraId="4048F911">
            <w:pPr>
              <w:pStyle w:val="137"/>
              <w:spacing w:before="1"/>
              <w:ind w:left="0" w:leftChars="0" w:firstLine="513" w:firstLineChars="213"/>
              <w:rPr>
                <w:rFonts w:hint="eastAsia" w:ascii="宋体" w:hAnsi="宋体" w:eastAsia="宋体" w:cs="宋体"/>
                <w:b/>
                <w:sz w:val="24"/>
                <w:szCs w:val="24"/>
                <w:highlight w:val="none"/>
              </w:rPr>
            </w:pPr>
          </w:p>
          <w:p w14:paraId="1B0AA1C9">
            <w:pPr>
              <w:pStyle w:val="137"/>
              <w:ind w:right="198"/>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分</w:t>
            </w:r>
          </w:p>
        </w:tc>
        <w:tc>
          <w:tcPr>
            <w:tcW w:w="6015" w:type="dxa"/>
          </w:tcPr>
          <w:p w14:paraId="37CEF756">
            <w:pPr>
              <w:pStyle w:val="137"/>
              <w:spacing w:before="3"/>
              <w:ind w:left="0" w:leftChars="0" w:firstLine="511" w:firstLineChars="213"/>
              <w:rPr>
                <w:rFonts w:hint="eastAsia" w:ascii="宋体" w:hAnsi="宋体" w:eastAsia="宋体" w:cs="宋体"/>
                <w:sz w:val="24"/>
                <w:szCs w:val="24"/>
                <w:highlight w:val="none"/>
              </w:rPr>
            </w:pPr>
            <w:r>
              <w:rPr>
                <w:rFonts w:hint="eastAsia" w:ascii="宋体" w:hAnsi="宋体" w:eastAsia="宋体" w:cs="宋体"/>
                <w:sz w:val="24"/>
                <w:szCs w:val="24"/>
                <w:highlight w:val="none"/>
              </w:rPr>
              <w:t>根据投标人提供的项目编制配送方案，包括：①配送到食堂的详细时间计划方案；②配送车辆人员配置；③配送安全措施方案和安全教育等内容进行评审④食材运输途中保质保鲜措施上述内容均符合实际情况、内容完善详细、措施健全、完全响应采购要求的得12分。每有一处存在内容错误(内容错误指：配送时间计划与项目情况不匹配；配送安全措施有漏项；安全类岗位设置不明；安全培训教育与项目特点不匹配的)或不详尽或存有瑕疵或不满足项目的实际需求或不完整扣1</w:t>
            </w:r>
            <w:r>
              <w:rPr>
                <w:rFonts w:hint="eastAsia" w:ascii="宋体" w:hAnsi="宋体" w:cs="宋体"/>
                <w:sz w:val="24"/>
                <w:szCs w:val="24"/>
                <w:highlight w:val="none"/>
                <w:lang w:val="en-US" w:eastAsia="zh-CN"/>
              </w:rPr>
              <w:t>.5</w:t>
            </w:r>
            <w:r>
              <w:rPr>
                <w:rFonts w:hint="eastAsia" w:ascii="宋体" w:hAnsi="宋体" w:eastAsia="宋体" w:cs="宋体"/>
                <w:sz w:val="24"/>
                <w:szCs w:val="24"/>
                <w:highlight w:val="none"/>
              </w:rPr>
              <w:t>分，每缺少一项内容的扣</w:t>
            </w: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rPr>
              <w:t>分，扣完为止。</w:t>
            </w:r>
          </w:p>
        </w:tc>
      </w:tr>
      <w:tr w14:paraId="379985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6" w:hRule="atLeast"/>
          <w:jc w:val="center"/>
        </w:trPr>
        <w:tc>
          <w:tcPr>
            <w:tcW w:w="1241" w:type="dxa"/>
            <w:vMerge w:val="continue"/>
            <w:tcBorders>
              <w:top w:val="nil"/>
              <w:left w:val="single" w:color="auto" w:sz="4" w:space="0"/>
            </w:tcBorders>
          </w:tcPr>
          <w:p w14:paraId="5A540C71">
            <w:pPr>
              <w:ind w:left="0" w:leftChars="0" w:firstLine="511" w:firstLineChars="213"/>
              <w:rPr>
                <w:rFonts w:hint="eastAsia" w:ascii="宋体" w:hAnsi="宋体" w:eastAsia="宋体" w:cs="宋体"/>
                <w:sz w:val="24"/>
                <w:szCs w:val="24"/>
                <w:highlight w:val="none"/>
              </w:rPr>
            </w:pPr>
          </w:p>
        </w:tc>
        <w:tc>
          <w:tcPr>
            <w:tcW w:w="1215" w:type="dxa"/>
          </w:tcPr>
          <w:p w14:paraId="47346922">
            <w:pPr>
              <w:pStyle w:val="137"/>
              <w:ind w:left="0" w:leftChars="0" w:firstLine="513" w:firstLineChars="213"/>
              <w:rPr>
                <w:rFonts w:hint="eastAsia" w:ascii="宋体" w:hAnsi="宋体" w:eastAsia="宋体" w:cs="宋体"/>
                <w:b/>
                <w:sz w:val="24"/>
                <w:szCs w:val="24"/>
                <w:highlight w:val="none"/>
              </w:rPr>
            </w:pPr>
          </w:p>
          <w:p w14:paraId="20A47635">
            <w:pPr>
              <w:pStyle w:val="137"/>
              <w:ind w:left="0" w:leftChars="0" w:firstLine="513" w:firstLineChars="213"/>
              <w:rPr>
                <w:rFonts w:hint="eastAsia" w:ascii="宋体" w:hAnsi="宋体" w:eastAsia="宋体" w:cs="宋体"/>
                <w:b/>
                <w:sz w:val="24"/>
                <w:szCs w:val="24"/>
                <w:highlight w:val="none"/>
              </w:rPr>
            </w:pPr>
          </w:p>
          <w:p w14:paraId="62367FC1">
            <w:pPr>
              <w:pStyle w:val="137"/>
              <w:ind w:left="0" w:leftChars="0" w:firstLine="513" w:firstLineChars="213"/>
              <w:rPr>
                <w:rFonts w:hint="eastAsia" w:ascii="宋体" w:hAnsi="宋体" w:eastAsia="宋体" w:cs="宋体"/>
                <w:b/>
                <w:sz w:val="24"/>
                <w:szCs w:val="24"/>
                <w:highlight w:val="none"/>
              </w:rPr>
            </w:pPr>
          </w:p>
          <w:p w14:paraId="28EE1A8E">
            <w:pPr>
              <w:pStyle w:val="137"/>
              <w:ind w:left="0" w:leftChars="0" w:firstLine="513" w:firstLineChars="213"/>
              <w:rPr>
                <w:rFonts w:hint="eastAsia" w:ascii="宋体" w:hAnsi="宋体" w:eastAsia="宋体" w:cs="宋体"/>
                <w:b/>
                <w:sz w:val="24"/>
                <w:szCs w:val="24"/>
                <w:highlight w:val="none"/>
              </w:rPr>
            </w:pPr>
          </w:p>
          <w:p w14:paraId="77708517">
            <w:pPr>
              <w:pStyle w:val="137"/>
              <w:spacing w:before="4"/>
              <w:ind w:left="0" w:leftChars="0" w:firstLine="513" w:firstLineChars="213"/>
              <w:rPr>
                <w:rFonts w:hint="eastAsia" w:ascii="宋体" w:hAnsi="宋体" w:eastAsia="宋体" w:cs="宋体"/>
                <w:b/>
                <w:sz w:val="24"/>
                <w:szCs w:val="24"/>
                <w:highlight w:val="none"/>
              </w:rPr>
            </w:pPr>
          </w:p>
          <w:p w14:paraId="63F4E5F1">
            <w:pPr>
              <w:pStyle w:val="137"/>
              <w:spacing w:before="2"/>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售后及应急服务方案</w:t>
            </w:r>
          </w:p>
          <w:p w14:paraId="48A794D9">
            <w:pPr>
              <w:pStyle w:val="137"/>
              <w:ind w:left="0" w:leftChars="0" w:right="82" w:firstLine="511" w:firstLineChars="213"/>
              <w:jc w:val="center"/>
              <w:rPr>
                <w:rFonts w:hint="eastAsia" w:ascii="宋体" w:hAnsi="宋体" w:eastAsia="宋体" w:cs="宋体"/>
                <w:sz w:val="24"/>
                <w:szCs w:val="24"/>
                <w:highlight w:val="none"/>
              </w:rPr>
            </w:pPr>
          </w:p>
        </w:tc>
        <w:tc>
          <w:tcPr>
            <w:tcW w:w="960" w:type="dxa"/>
          </w:tcPr>
          <w:p w14:paraId="6EC7E893">
            <w:pPr>
              <w:pStyle w:val="137"/>
              <w:ind w:left="0" w:leftChars="0" w:firstLine="513" w:firstLineChars="213"/>
              <w:rPr>
                <w:rFonts w:hint="eastAsia" w:ascii="宋体" w:hAnsi="宋体" w:eastAsia="宋体" w:cs="宋体"/>
                <w:b/>
                <w:sz w:val="24"/>
                <w:szCs w:val="24"/>
                <w:highlight w:val="none"/>
              </w:rPr>
            </w:pPr>
          </w:p>
          <w:p w14:paraId="43C5206E">
            <w:pPr>
              <w:pStyle w:val="137"/>
              <w:ind w:left="0" w:leftChars="0" w:firstLine="513" w:firstLineChars="213"/>
              <w:rPr>
                <w:rFonts w:hint="eastAsia" w:ascii="宋体" w:hAnsi="宋体" w:eastAsia="宋体" w:cs="宋体"/>
                <w:b/>
                <w:sz w:val="24"/>
                <w:szCs w:val="24"/>
                <w:highlight w:val="none"/>
              </w:rPr>
            </w:pPr>
          </w:p>
          <w:p w14:paraId="7ADD20A8">
            <w:pPr>
              <w:pStyle w:val="137"/>
              <w:ind w:left="0" w:leftChars="0" w:firstLine="513" w:firstLineChars="213"/>
              <w:rPr>
                <w:rFonts w:hint="eastAsia" w:ascii="宋体" w:hAnsi="宋体" w:eastAsia="宋体" w:cs="宋体"/>
                <w:b/>
                <w:sz w:val="24"/>
                <w:szCs w:val="24"/>
                <w:highlight w:val="none"/>
              </w:rPr>
            </w:pPr>
          </w:p>
          <w:p w14:paraId="36960FCD">
            <w:pPr>
              <w:pStyle w:val="137"/>
              <w:ind w:left="0" w:leftChars="0" w:firstLine="513" w:firstLineChars="213"/>
              <w:rPr>
                <w:rFonts w:hint="eastAsia" w:ascii="宋体" w:hAnsi="宋体" w:eastAsia="宋体" w:cs="宋体"/>
                <w:b/>
                <w:sz w:val="24"/>
                <w:szCs w:val="24"/>
                <w:highlight w:val="none"/>
              </w:rPr>
            </w:pPr>
          </w:p>
          <w:p w14:paraId="2B40C657">
            <w:pPr>
              <w:pStyle w:val="137"/>
              <w:ind w:right="198"/>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8</w:t>
            </w:r>
            <w:r>
              <w:rPr>
                <w:rFonts w:hint="eastAsia" w:ascii="宋体" w:hAnsi="宋体" w:eastAsia="宋体" w:cs="宋体"/>
                <w:sz w:val="24"/>
                <w:szCs w:val="24"/>
                <w:highlight w:val="none"/>
              </w:rPr>
              <w:t>分</w:t>
            </w:r>
          </w:p>
        </w:tc>
        <w:tc>
          <w:tcPr>
            <w:tcW w:w="6015" w:type="dxa"/>
          </w:tcPr>
          <w:p w14:paraId="71A871B8">
            <w:pPr>
              <w:pStyle w:val="137"/>
              <w:spacing w:before="2"/>
              <w:ind w:left="0" w:leftChars="0" w:firstLine="511" w:firstLineChars="213"/>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根据供应商提供针对本项目的售后及应急服务方案，包括：①提供产品质保期限方案；②售后及应急服务电话及售后巡检方案；③响应时间；④现场服务支持能力；⑤食品安全事故应急处理方案；⑥食材短缺、农残超标、配送故障应急处理方案；⑦临时调换货品方案及退换货机制；⑧临时配送需要方案；⑨人为因素造成损害的售后服务及应急处理方式方案等内容进行评审.上述内容均符合实际情况、内容完善详细、措施健全、完全响应采购要求得满分18分。每有一处存在内容错误(内容错误指：产品质保期限不清晰或交叉混乱；售后及应急服务及售后巡检与项目不匹配；应急处理与项目不匹配；操作流程不规范的)或不详尽或存有瑕疵或不满足项目的实际需求或不完整扣2分，每缺少一项内容的扣3分，扣完为止。</w:t>
            </w:r>
          </w:p>
        </w:tc>
      </w:tr>
      <w:tr w14:paraId="7A1CD9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70" w:hRule="atLeast"/>
          <w:jc w:val="center"/>
        </w:trPr>
        <w:tc>
          <w:tcPr>
            <w:tcW w:w="1241" w:type="dxa"/>
            <w:vMerge w:val="continue"/>
            <w:tcBorders>
              <w:top w:val="nil"/>
              <w:left w:val="single" w:color="auto" w:sz="4" w:space="0"/>
              <w:bottom w:val="single" w:color="auto" w:sz="4" w:space="0"/>
            </w:tcBorders>
          </w:tcPr>
          <w:p w14:paraId="0D8FD9FF">
            <w:pPr>
              <w:ind w:left="0" w:leftChars="0" w:firstLine="511" w:firstLineChars="213"/>
              <w:rPr>
                <w:rFonts w:hint="eastAsia" w:ascii="宋体" w:hAnsi="宋体" w:eastAsia="宋体" w:cs="宋体"/>
                <w:sz w:val="24"/>
                <w:szCs w:val="24"/>
                <w:highlight w:val="none"/>
              </w:rPr>
            </w:pPr>
          </w:p>
        </w:tc>
        <w:tc>
          <w:tcPr>
            <w:tcW w:w="1215" w:type="dxa"/>
            <w:tcBorders>
              <w:bottom w:val="single" w:color="auto" w:sz="4" w:space="0"/>
            </w:tcBorders>
          </w:tcPr>
          <w:p w14:paraId="5FD6AD1E">
            <w:pPr>
              <w:pStyle w:val="137"/>
              <w:ind w:left="0" w:leftChars="0" w:firstLine="513" w:firstLineChars="213"/>
              <w:rPr>
                <w:rFonts w:hint="eastAsia" w:ascii="宋体" w:hAnsi="宋体" w:eastAsia="宋体" w:cs="宋体"/>
                <w:b/>
                <w:sz w:val="24"/>
                <w:szCs w:val="24"/>
                <w:highlight w:val="none"/>
              </w:rPr>
            </w:pPr>
          </w:p>
          <w:p w14:paraId="0C3962AE">
            <w:pPr>
              <w:pStyle w:val="137"/>
              <w:ind w:right="82"/>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食品质量安全控制制度建设</w:t>
            </w:r>
          </w:p>
        </w:tc>
        <w:tc>
          <w:tcPr>
            <w:tcW w:w="960" w:type="dxa"/>
            <w:tcBorders>
              <w:bottom w:val="single" w:color="auto" w:sz="4" w:space="0"/>
            </w:tcBorders>
          </w:tcPr>
          <w:p w14:paraId="3F2E96A1">
            <w:pPr>
              <w:pStyle w:val="137"/>
              <w:ind w:left="0" w:leftChars="0" w:firstLine="513" w:firstLineChars="213"/>
              <w:rPr>
                <w:rFonts w:hint="eastAsia" w:ascii="宋体" w:hAnsi="宋体" w:eastAsia="宋体" w:cs="宋体"/>
                <w:b/>
                <w:sz w:val="24"/>
                <w:szCs w:val="24"/>
                <w:highlight w:val="none"/>
              </w:rPr>
            </w:pPr>
          </w:p>
          <w:p w14:paraId="14202EB1">
            <w:pPr>
              <w:pStyle w:val="137"/>
              <w:ind w:right="198"/>
              <w:jc w:val="both"/>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12</w:t>
            </w:r>
            <w:r>
              <w:rPr>
                <w:rFonts w:hint="eastAsia" w:ascii="宋体" w:hAnsi="宋体" w:eastAsia="宋体" w:cs="宋体"/>
                <w:sz w:val="24"/>
                <w:szCs w:val="24"/>
                <w:highlight w:val="none"/>
              </w:rPr>
              <w:t>分</w:t>
            </w:r>
          </w:p>
        </w:tc>
        <w:tc>
          <w:tcPr>
            <w:tcW w:w="6015" w:type="dxa"/>
            <w:tcBorders>
              <w:bottom w:val="single" w:color="auto" w:sz="4" w:space="0"/>
            </w:tcBorders>
          </w:tcPr>
          <w:p w14:paraId="46A7D7CF">
            <w:pPr>
              <w:pStyle w:val="137"/>
              <w:spacing w:before="5"/>
              <w:ind w:left="0" w:leftChars="0" w:firstLine="511" w:firstLineChars="213"/>
              <w:rPr>
                <w:rFonts w:hint="eastAsia" w:ascii="宋体" w:hAnsi="宋体" w:eastAsia="宋体" w:cs="宋体"/>
                <w:sz w:val="24"/>
                <w:szCs w:val="24"/>
                <w:highlight w:val="none"/>
              </w:rPr>
            </w:pPr>
            <w:r>
              <w:rPr>
                <w:rFonts w:hint="eastAsia" w:ascii="宋体" w:hAnsi="宋体" w:eastAsia="宋体" w:cs="宋体"/>
                <w:sz w:val="24"/>
                <w:szCs w:val="24"/>
                <w:highlight w:val="none"/>
              </w:rPr>
              <w:t>1、制度建设: 供应商建立了完整内部管理制度，包括但不限于财务制度、食品安全检验检测制度、食品安全承诺制度、问题产品召回制度、食品安全培训制度、食品安全管理制度、从业人员健康管理制度完整得满分</w:t>
            </w:r>
            <w:r>
              <w:rPr>
                <w:rFonts w:hint="eastAsia" w:ascii="宋体" w:hAnsi="宋体" w:eastAsia="宋体" w:cs="宋体"/>
                <w:sz w:val="24"/>
                <w:szCs w:val="24"/>
                <w:highlight w:val="none"/>
                <w:lang w:val="en-US" w:eastAsia="zh-CN"/>
              </w:rPr>
              <w:t>10</w:t>
            </w:r>
            <w:r>
              <w:rPr>
                <w:rFonts w:hint="eastAsia" w:ascii="宋体" w:hAnsi="宋体" w:eastAsia="宋体" w:cs="宋体"/>
                <w:sz w:val="24"/>
                <w:szCs w:val="24"/>
                <w:highlight w:val="none"/>
              </w:rPr>
              <w:t>分；制度内容不完整每项扣0.5分，每少一项制度扣1分，扣完为止。</w:t>
            </w:r>
          </w:p>
          <w:p w14:paraId="7651C3E8">
            <w:pPr>
              <w:pStyle w:val="137"/>
              <w:spacing w:before="5"/>
              <w:ind w:left="0" w:leftChars="0" w:firstLine="511" w:firstLineChars="213"/>
              <w:rPr>
                <w:rFonts w:hint="eastAsia" w:ascii="宋体" w:hAnsi="宋体" w:eastAsia="宋体" w:cs="宋体"/>
                <w:sz w:val="24"/>
                <w:szCs w:val="24"/>
                <w:highlight w:val="none"/>
              </w:rPr>
            </w:pPr>
            <w:r>
              <w:rPr>
                <w:rFonts w:hint="eastAsia" w:ascii="宋体" w:hAnsi="宋体" w:eastAsia="宋体" w:cs="宋体"/>
                <w:sz w:val="24"/>
                <w:szCs w:val="24"/>
                <w:highlight w:val="none"/>
              </w:rPr>
              <w:t>2、食品质量追溯机制：供应商单位具有完善的食品留样管理制度的得</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分；建立完善可靠的食品质量追溯体系的得</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分。没有不得分</w:t>
            </w:r>
          </w:p>
        </w:tc>
      </w:tr>
      <w:tr w14:paraId="5E1373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1" w:hRule="atLeast"/>
          <w:jc w:val="center"/>
        </w:trPr>
        <w:tc>
          <w:tcPr>
            <w:tcW w:w="1241" w:type="dxa"/>
            <w:vMerge w:val="continue"/>
            <w:tcBorders>
              <w:top w:val="single" w:color="auto" w:sz="4" w:space="0"/>
              <w:left w:val="single" w:color="auto" w:sz="4" w:space="0"/>
              <w:bottom w:val="single" w:color="auto" w:sz="4" w:space="0"/>
            </w:tcBorders>
          </w:tcPr>
          <w:p w14:paraId="1A2FC0D8">
            <w:pPr>
              <w:ind w:left="0" w:leftChars="0" w:firstLine="511" w:firstLineChars="213"/>
              <w:rPr>
                <w:rFonts w:hint="eastAsia" w:ascii="宋体" w:hAnsi="宋体" w:eastAsia="宋体" w:cs="宋体"/>
                <w:sz w:val="24"/>
                <w:szCs w:val="24"/>
                <w:highlight w:val="none"/>
              </w:rPr>
            </w:pPr>
          </w:p>
        </w:tc>
        <w:tc>
          <w:tcPr>
            <w:tcW w:w="1215" w:type="dxa"/>
            <w:tcBorders>
              <w:top w:val="single" w:color="auto" w:sz="4" w:space="0"/>
              <w:bottom w:val="single" w:color="auto" w:sz="4" w:space="0"/>
            </w:tcBorders>
          </w:tcPr>
          <w:p w14:paraId="041F039D">
            <w:pPr>
              <w:pStyle w:val="137"/>
              <w:ind w:left="0" w:leftChars="0" w:firstLine="513" w:firstLineChars="213"/>
              <w:rPr>
                <w:rFonts w:hint="eastAsia" w:ascii="宋体" w:hAnsi="宋体" w:eastAsia="宋体" w:cs="宋体"/>
                <w:b/>
                <w:sz w:val="24"/>
                <w:szCs w:val="24"/>
                <w:highlight w:val="none"/>
              </w:rPr>
            </w:pPr>
          </w:p>
          <w:p w14:paraId="74961A41">
            <w:pPr>
              <w:pStyle w:val="137"/>
              <w:spacing w:before="6"/>
              <w:ind w:left="0" w:leftChars="0" w:firstLine="513" w:firstLineChars="213"/>
              <w:rPr>
                <w:rFonts w:hint="eastAsia" w:ascii="宋体" w:hAnsi="宋体" w:eastAsia="宋体" w:cs="宋体"/>
                <w:b/>
                <w:sz w:val="24"/>
                <w:szCs w:val="24"/>
                <w:highlight w:val="none"/>
              </w:rPr>
            </w:pPr>
          </w:p>
          <w:p w14:paraId="149C5920">
            <w:pPr>
              <w:pStyle w:val="137"/>
              <w:spacing w:line="242" w:lineRule="auto"/>
              <w:ind w:right="117"/>
              <w:rPr>
                <w:rFonts w:hint="eastAsia" w:ascii="宋体" w:hAnsi="宋体" w:eastAsia="宋体" w:cs="宋体"/>
                <w:sz w:val="24"/>
                <w:szCs w:val="24"/>
                <w:highlight w:val="none"/>
              </w:rPr>
            </w:pPr>
            <w:r>
              <w:rPr>
                <w:rFonts w:hint="eastAsia" w:ascii="宋体" w:hAnsi="宋体" w:eastAsia="宋体" w:cs="宋体"/>
                <w:sz w:val="24"/>
                <w:szCs w:val="24"/>
                <w:highlight w:val="none"/>
              </w:rPr>
              <w:t>企业的承诺及优惠条件</w:t>
            </w:r>
          </w:p>
        </w:tc>
        <w:tc>
          <w:tcPr>
            <w:tcW w:w="960" w:type="dxa"/>
            <w:tcBorders>
              <w:top w:val="single" w:color="auto" w:sz="4" w:space="0"/>
              <w:bottom w:val="single" w:color="auto" w:sz="4" w:space="0"/>
            </w:tcBorders>
          </w:tcPr>
          <w:p w14:paraId="5AC6F319">
            <w:pPr>
              <w:pStyle w:val="137"/>
              <w:ind w:left="0" w:leftChars="0" w:firstLine="513" w:firstLineChars="213"/>
              <w:rPr>
                <w:rFonts w:hint="eastAsia" w:ascii="宋体" w:hAnsi="宋体" w:eastAsia="宋体" w:cs="宋体"/>
                <w:b/>
                <w:sz w:val="24"/>
                <w:szCs w:val="24"/>
                <w:highlight w:val="none"/>
              </w:rPr>
            </w:pPr>
          </w:p>
          <w:p w14:paraId="472D6334">
            <w:pPr>
              <w:pStyle w:val="137"/>
              <w:ind w:left="0" w:leftChars="0" w:firstLine="513" w:firstLineChars="213"/>
              <w:rPr>
                <w:rFonts w:hint="eastAsia" w:ascii="宋体" w:hAnsi="宋体" w:eastAsia="宋体" w:cs="宋体"/>
                <w:b/>
                <w:sz w:val="24"/>
                <w:szCs w:val="24"/>
                <w:highlight w:val="none"/>
              </w:rPr>
            </w:pPr>
          </w:p>
          <w:p w14:paraId="2314C01A">
            <w:pPr>
              <w:pStyle w:val="137"/>
              <w:spacing w:before="211"/>
              <w:ind w:right="198"/>
              <w:jc w:val="both"/>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分</w:t>
            </w:r>
          </w:p>
        </w:tc>
        <w:tc>
          <w:tcPr>
            <w:tcW w:w="6015" w:type="dxa"/>
            <w:tcBorders>
              <w:top w:val="single" w:color="auto" w:sz="4" w:space="0"/>
              <w:bottom w:val="single" w:color="auto" w:sz="4" w:space="0"/>
              <w:right w:val="single" w:color="auto" w:sz="4" w:space="0"/>
            </w:tcBorders>
          </w:tcPr>
          <w:p w14:paraId="6A6BACBF">
            <w:pPr>
              <w:pStyle w:val="137"/>
              <w:spacing w:before="5" w:line="242" w:lineRule="auto"/>
              <w:ind w:right="134"/>
              <w:rPr>
                <w:rFonts w:hint="eastAsia" w:ascii="宋体" w:hAnsi="宋体" w:eastAsia="宋体" w:cs="宋体"/>
                <w:sz w:val="24"/>
                <w:szCs w:val="24"/>
                <w:highlight w:val="none"/>
              </w:rPr>
            </w:pPr>
            <w:r>
              <w:rPr>
                <w:rFonts w:hint="eastAsia" w:ascii="宋体" w:hAnsi="宋体" w:eastAsia="宋体" w:cs="宋体"/>
                <w:sz w:val="24"/>
                <w:szCs w:val="24"/>
                <w:highlight w:val="none"/>
              </w:rPr>
              <w:t>有非常满意的承诺和优惠条件得</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分；</w:t>
            </w:r>
          </w:p>
          <w:p w14:paraId="7AB1D41A">
            <w:pPr>
              <w:pStyle w:val="137"/>
              <w:spacing w:before="5" w:line="242" w:lineRule="auto"/>
              <w:ind w:right="134"/>
              <w:rPr>
                <w:rFonts w:hint="eastAsia" w:ascii="宋体" w:hAnsi="宋体" w:eastAsia="宋体" w:cs="宋体"/>
                <w:sz w:val="24"/>
                <w:szCs w:val="24"/>
                <w:highlight w:val="none"/>
              </w:rPr>
            </w:pPr>
            <w:r>
              <w:rPr>
                <w:rFonts w:hint="eastAsia" w:ascii="宋体" w:hAnsi="宋体" w:eastAsia="宋体" w:cs="宋体"/>
                <w:sz w:val="24"/>
                <w:szCs w:val="24"/>
                <w:highlight w:val="none"/>
              </w:rPr>
              <w:t>有较好的承诺和优惠条件得</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分；</w:t>
            </w:r>
          </w:p>
          <w:p w14:paraId="4017A87D">
            <w:pPr>
              <w:pStyle w:val="137"/>
              <w:spacing w:before="5" w:line="242" w:lineRule="auto"/>
              <w:ind w:right="134"/>
              <w:rPr>
                <w:rFonts w:hint="eastAsia" w:ascii="宋体" w:hAnsi="宋体" w:eastAsia="宋体" w:cs="宋体"/>
                <w:sz w:val="24"/>
                <w:szCs w:val="24"/>
                <w:highlight w:val="none"/>
              </w:rPr>
            </w:pPr>
            <w:r>
              <w:rPr>
                <w:rFonts w:hint="eastAsia" w:ascii="宋体" w:hAnsi="宋体" w:eastAsia="宋体" w:cs="宋体"/>
                <w:sz w:val="24"/>
                <w:szCs w:val="24"/>
                <w:highlight w:val="none"/>
              </w:rPr>
              <w:t>承诺较差、优惠条件一般得</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分。</w:t>
            </w:r>
          </w:p>
          <w:p w14:paraId="754A962D">
            <w:pPr>
              <w:pStyle w:val="137"/>
              <w:spacing w:before="5" w:line="242" w:lineRule="auto"/>
              <w:ind w:right="134"/>
              <w:rPr>
                <w:rFonts w:hint="eastAsia" w:ascii="宋体" w:hAnsi="宋体" w:eastAsia="宋体" w:cs="宋体"/>
                <w:sz w:val="24"/>
                <w:szCs w:val="24"/>
                <w:highlight w:val="none"/>
              </w:rPr>
            </w:pPr>
            <w:r>
              <w:rPr>
                <w:rFonts w:hint="eastAsia" w:ascii="宋体" w:hAnsi="宋体" w:eastAsia="宋体" w:cs="宋体"/>
                <w:sz w:val="24"/>
                <w:szCs w:val="24"/>
                <w:highlight w:val="none"/>
              </w:rPr>
              <w:t>没有不得分。</w:t>
            </w:r>
          </w:p>
        </w:tc>
      </w:tr>
      <w:tr w14:paraId="22E011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57" w:hRule="atLeast"/>
          <w:jc w:val="center"/>
        </w:trPr>
        <w:tc>
          <w:tcPr>
            <w:tcW w:w="1241" w:type="dxa"/>
            <w:vMerge w:val="continue"/>
            <w:tcBorders>
              <w:top w:val="single" w:color="auto" w:sz="4" w:space="0"/>
              <w:left w:val="single" w:color="auto" w:sz="4" w:space="0"/>
            </w:tcBorders>
          </w:tcPr>
          <w:p w14:paraId="607DEE88">
            <w:pPr>
              <w:ind w:left="0" w:leftChars="0" w:firstLine="511" w:firstLineChars="213"/>
              <w:rPr>
                <w:rFonts w:hint="eastAsia" w:ascii="宋体" w:hAnsi="宋体" w:eastAsia="宋体" w:cs="宋体"/>
                <w:sz w:val="24"/>
                <w:szCs w:val="24"/>
                <w:highlight w:val="none"/>
              </w:rPr>
            </w:pPr>
          </w:p>
        </w:tc>
        <w:tc>
          <w:tcPr>
            <w:tcW w:w="1215" w:type="dxa"/>
            <w:tcBorders>
              <w:top w:val="single" w:color="auto" w:sz="4" w:space="0"/>
            </w:tcBorders>
          </w:tcPr>
          <w:p w14:paraId="465E0894">
            <w:pPr>
              <w:pStyle w:val="137"/>
              <w:spacing w:line="242" w:lineRule="auto"/>
              <w:ind w:right="117"/>
              <w:rPr>
                <w:rFonts w:hint="eastAsia" w:ascii="宋体" w:hAnsi="宋体" w:eastAsia="宋体" w:cs="宋体"/>
                <w:sz w:val="24"/>
                <w:szCs w:val="24"/>
                <w:highlight w:val="none"/>
              </w:rPr>
            </w:pPr>
            <w:r>
              <w:rPr>
                <w:rFonts w:hint="eastAsia" w:ascii="宋体" w:hAnsi="宋体" w:eastAsia="宋体" w:cs="宋体"/>
                <w:spacing w:val="-5"/>
                <w:sz w:val="24"/>
                <w:szCs w:val="24"/>
                <w:highlight w:val="none"/>
              </w:rPr>
              <w:t>投标文件制作规范</w:t>
            </w:r>
          </w:p>
        </w:tc>
        <w:tc>
          <w:tcPr>
            <w:tcW w:w="960" w:type="dxa"/>
            <w:tcBorders>
              <w:top w:val="single" w:color="auto" w:sz="4" w:space="0"/>
            </w:tcBorders>
          </w:tcPr>
          <w:p w14:paraId="69A68F75">
            <w:pPr>
              <w:pStyle w:val="137"/>
              <w:ind w:left="0" w:leftChars="0" w:firstLine="513" w:firstLineChars="213"/>
              <w:rPr>
                <w:rFonts w:hint="eastAsia" w:ascii="宋体" w:hAnsi="宋体" w:eastAsia="宋体" w:cs="宋体"/>
                <w:b/>
                <w:sz w:val="24"/>
                <w:szCs w:val="24"/>
                <w:highlight w:val="none"/>
              </w:rPr>
            </w:pPr>
          </w:p>
          <w:p w14:paraId="0D466621">
            <w:pPr>
              <w:pStyle w:val="137"/>
              <w:spacing w:before="210"/>
              <w:ind w:right="198"/>
              <w:jc w:val="both"/>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分</w:t>
            </w:r>
          </w:p>
        </w:tc>
        <w:tc>
          <w:tcPr>
            <w:tcW w:w="6015" w:type="dxa"/>
            <w:tcBorders>
              <w:top w:val="single" w:color="auto" w:sz="4" w:space="0"/>
            </w:tcBorders>
          </w:tcPr>
          <w:p w14:paraId="399208D8">
            <w:pPr>
              <w:pStyle w:val="137"/>
              <w:spacing w:line="242" w:lineRule="auto"/>
              <w:ind w:right="134"/>
              <w:rPr>
                <w:rFonts w:hint="eastAsia" w:ascii="宋体" w:hAnsi="宋体" w:eastAsia="宋体" w:cs="宋体"/>
                <w:sz w:val="24"/>
                <w:szCs w:val="24"/>
                <w:highlight w:val="none"/>
              </w:rPr>
            </w:pPr>
            <w:r>
              <w:rPr>
                <w:rFonts w:hint="eastAsia" w:ascii="宋体" w:hAnsi="宋体" w:eastAsia="宋体" w:cs="宋体"/>
                <w:sz w:val="24"/>
                <w:szCs w:val="24"/>
                <w:highlight w:val="none"/>
              </w:rPr>
              <w:t>响应文件格式和内容严格按照招标文件要求编制，同时文字清晰、影印件、扫描件、图片中字迹清晰、可辨认，得</w:t>
            </w:r>
            <w:r>
              <w:rPr>
                <w:rFonts w:hint="eastAsia" w:ascii="宋体" w:hAnsi="宋体" w:eastAsia="宋体" w:cs="宋体"/>
                <w:sz w:val="24"/>
                <w:szCs w:val="24"/>
                <w:highlight w:val="none"/>
                <w:lang w:val="en-US" w:eastAsia="zh-CN"/>
              </w:rPr>
              <w:t>0.5</w:t>
            </w:r>
            <w:r>
              <w:rPr>
                <w:rFonts w:hint="eastAsia" w:ascii="宋体" w:hAnsi="宋体" w:eastAsia="宋体" w:cs="宋体"/>
                <w:sz w:val="24"/>
                <w:szCs w:val="24"/>
                <w:highlight w:val="none"/>
              </w:rPr>
              <w:t>分。</w:t>
            </w:r>
          </w:p>
          <w:p w14:paraId="5ACCBD4A">
            <w:pPr>
              <w:pStyle w:val="137"/>
              <w:spacing w:line="242" w:lineRule="auto"/>
              <w:ind w:right="134"/>
              <w:rPr>
                <w:rFonts w:hint="eastAsia" w:ascii="宋体" w:hAnsi="宋体" w:eastAsia="宋体" w:cs="宋体"/>
                <w:sz w:val="24"/>
                <w:szCs w:val="24"/>
                <w:highlight w:val="none"/>
              </w:rPr>
            </w:pPr>
            <w:r>
              <w:rPr>
                <w:rFonts w:hint="eastAsia" w:ascii="宋体" w:hAnsi="宋体" w:eastAsia="宋体" w:cs="宋体"/>
                <w:sz w:val="24"/>
                <w:szCs w:val="24"/>
                <w:highlight w:val="none"/>
              </w:rPr>
              <w:t>投标书顺序编制，有目录、编页码，关联紧密，没有缺漏项；得</w:t>
            </w:r>
            <w:r>
              <w:rPr>
                <w:rFonts w:hint="eastAsia" w:ascii="宋体" w:hAnsi="宋体" w:eastAsia="宋体" w:cs="宋体"/>
                <w:sz w:val="24"/>
                <w:szCs w:val="24"/>
                <w:highlight w:val="none"/>
                <w:lang w:val="en-US" w:eastAsia="zh-CN"/>
              </w:rPr>
              <w:t>1.5</w:t>
            </w:r>
            <w:r>
              <w:rPr>
                <w:rFonts w:hint="eastAsia" w:ascii="宋体" w:hAnsi="宋体" w:eastAsia="宋体" w:cs="宋体"/>
                <w:sz w:val="24"/>
                <w:szCs w:val="24"/>
                <w:highlight w:val="none"/>
              </w:rPr>
              <w:t>分，不符合要求的，每处扣</w:t>
            </w:r>
            <w:r>
              <w:rPr>
                <w:rFonts w:hint="eastAsia" w:ascii="宋体" w:hAnsi="宋体" w:eastAsia="宋体" w:cs="宋体"/>
                <w:sz w:val="24"/>
                <w:szCs w:val="24"/>
                <w:highlight w:val="none"/>
                <w:lang w:val="en-US" w:eastAsia="zh-CN"/>
              </w:rPr>
              <w:t>0.5</w:t>
            </w:r>
            <w:r>
              <w:rPr>
                <w:rFonts w:hint="eastAsia" w:ascii="宋体" w:hAnsi="宋体" w:eastAsia="宋体" w:cs="宋体"/>
                <w:sz w:val="24"/>
                <w:szCs w:val="24"/>
                <w:highlight w:val="none"/>
              </w:rPr>
              <w:t>分，扣完为止。</w:t>
            </w:r>
          </w:p>
        </w:tc>
      </w:tr>
    </w:tbl>
    <w:p w14:paraId="43377678">
      <w:pPr>
        <w:pStyle w:val="16"/>
        <w:spacing w:before="5"/>
        <w:ind w:left="0" w:leftChars="0" w:firstLine="513" w:firstLineChars="213"/>
        <w:rPr>
          <w:rFonts w:hint="eastAsia" w:ascii="宋体" w:hAnsi="宋体" w:eastAsia="宋体" w:cs="宋体"/>
          <w:b/>
          <w:sz w:val="24"/>
          <w:szCs w:val="24"/>
          <w:highlight w:val="none"/>
        </w:rPr>
      </w:pPr>
    </w:p>
    <w:p w14:paraId="41447BBA">
      <w:pPr>
        <w:pStyle w:val="123"/>
        <w:numPr>
          <w:ilvl w:val="3"/>
          <w:numId w:val="0"/>
        </w:numPr>
        <w:tabs>
          <w:tab w:val="left" w:pos="2355"/>
        </w:tabs>
        <w:spacing w:before="62" w:after="0" w:line="362" w:lineRule="auto"/>
        <w:ind w:left="0" w:leftChars="0" w:right="310" w:rightChars="0" w:firstLine="502" w:firstLineChars="213"/>
        <w:jc w:val="both"/>
        <w:rPr>
          <w:rFonts w:hint="eastAsia" w:ascii="宋体" w:hAnsi="宋体" w:eastAsia="宋体" w:cs="宋体"/>
          <w:sz w:val="24"/>
          <w:szCs w:val="24"/>
          <w:highlight w:val="none"/>
        </w:rPr>
      </w:pPr>
      <w:r>
        <w:rPr>
          <w:rFonts w:hint="eastAsia" w:ascii="宋体" w:hAnsi="宋体" w:eastAsia="宋体" w:cs="宋体"/>
          <w:spacing w:val="-2"/>
          <w:w w:val="100"/>
          <w:kern w:val="0"/>
          <w:sz w:val="24"/>
          <w:szCs w:val="24"/>
          <w:highlight w:val="none"/>
          <w:lang w:val="en-US" w:eastAsia="zh-CN" w:bidi="zh-CN"/>
        </w:rPr>
        <w:t>28.3</w:t>
      </w:r>
      <w:r>
        <w:rPr>
          <w:rFonts w:hint="eastAsia" w:ascii="宋体" w:hAnsi="宋体" w:eastAsia="宋体" w:cs="宋体"/>
          <w:spacing w:val="-4"/>
          <w:sz w:val="24"/>
          <w:szCs w:val="24"/>
          <w:highlight w:val="none"/>
        </w:rPr>
        <w:t>对于商务部分</w:t>
      </w:r>
      <w:r>
        <w:rPr>
          <w:rFonts w:hint="eastAsia" w:ascii="宋体" w:hAnsi="宋体" w:eastAsia="宋体" w:cs="宋体"/>
          <w:spacing w:val="-3"/>
          <w:sz w:val="24"/>
          <w:szCs w:val="24"/>
          <w:highlight w:val="none"/>
        </w:rPr>
        <w:t>（</w:t>
      </w:r>
      <w:r>
        <w:rPr>
          <w:rFonts w:hint="eastAsia" w:ascii="宋体" w:hAnsi="宋体" w:eastAsia="宋体" w:cs="宋体"/>
          <w:spacing w:val="-2"/>
          <w:sz w:val="24"/>
          <w:szCs w:val="24"/>
          <w:highlight w:val="none"/>
        </w:rPr>
        <w:t>投标报价</w:t>
      </w:r>
      <w:r>
        <w:rPr>
          <w:rFonts w:hint="eastAsia" w:ascii="宋体" w:hAnsi="宋体" w:eastAsia="宋体" w:cs="宋体"/>
          <w:spacing w:val="-8"/>
          <w:sz w:val="24"/>
          <w:szCs w:val="24"/>
          <w:highlight w:val="none"/>
        </w:rPr>
        <w:t>）</w:t>
      </w:r>
      <w:r>
        <w:rPr>
          <w:rFonts w:hint="eastAsia" w:ascii="宋体" w:hAnsi="宋体" w:eastAsia="宋体" w:cs="宋体"/>
          <w:spacing w:val="-5"/>
          <w:sz w:val="24"/>
          <w:szCs w:val="24"/>
          <w:highlight w:val="none"/>
        </w:rPr>
        <w:t>的评分，按以下方法进行：采用低价</w:t>
      </w:r>
      <w:r>
        <w:rPr>
          <w:rFonts w:hint="eastAsia" w:ascii="宋体" w:hAnsi="宋体" w:eastAsia="宋体" w:cs="宋体"/>
          <w:spacing w:val="-3"/>
          <w:sz w:val="24"/>
          <w:szCs w:val="24"/>
          <w:highlight w:val="none"/>
        </w:rPr>
        <w:t>优先法计算，即即满足</w:t>
      </w:r>
      <w:r>
        <w:rPr>
          <w:rFonts w:hint="eastAsia" w:ascii="宋体" w:hAnsi="宋体" w:eastAsia="宋体" w:cs="宋体"/>
          <w:spacing w:val="-3"/>
          <w:sz w:val="24"/>
          <w:szCs w:val="24"/>
          <w:highlight w:val="none"/>
          <w:lang w:val="en-US" w:eastAsia="zh-CN"/>
        </w:rPr>
        <w:t>磋商</w:t>
      </w:r>
      <w:r>
        <w:rPr>
          <w:rFonts w:hint="eastAsia" w:ascii="宋体" w:hAnsi="宋体" w:eastAsia="宋体" w:cs="宋体"/>
          <w:spacing w:val="-3"/>
          <w:sz w:val="24"/>
          <w:szCs w:val="24"/>
          <w:highlight w:val="none"/>
        </w:rPr>
        <w:t>文件要求（通过资格、符合性审查）且报价最低的供应商的价格（指价格核准后的价格，下同）为投标基准价。其他供应商的价格分统一按照下列公式计算:</w:t>
      </w:r>
    </w:p>
    <w:p w14:paraId="15F0BFFB">
      <w:pPr>
        <w:pStyle w:val="16"/>
        <w:spacing w:line="354" w:lineRule="exact"/>
        <w:ind w:left="0" w:leftChars="0" w:firstLine="511" w:firstLineChars="213"/>
        <w:rPr>
          <w:rFonts w:hint="eastAsia" w:ascii="宋体" w:hAnsi="宋体" w:eastAsia="宋体" w:cs="宋体"/>
          <w:sz w:val="24"/>
          <w:szCs w:val="24"/>
          <w:highlight w:val="none"/>
        </w:rPr>
      </w:pPr>
      <w:r>
        <w:rPr>
          <w:rFonts w:hint="eastAsia" w:ascii="宋体" w:hAnsi="宋体" w:eastAsia="宋体" w:cs="宋体"/>
          <w:sz w:val="24"/>
          <w:szCs w:val="24"/>
          <w:highlight w:val="none"/>
        </w:rPr>
        <w:t>磋商报价得分=评标基准价/投标报价*30</w:t>
      </w:r>
      <w:r>
        <w:rPr>
          <w:rFonts w:hint="eastAsia" w:ascii="宋体" w:hAnsi="宋体" w:eastAsia="宋体" w:cs="宋体"/>
          <w:sz w:val="24"/>
          <w:szCs w:val="24"/>
          <w:highlight w:val="none"/>
          <w:lang w:eastAsia="zh-CN"/>
        </w:rPr>
        <w:t>，本项目评标基准价为标包预算金额*（1-最高平均下浮比例），投标报价为标包预算金额*（1-平均下浮比例）</w:t>
      </w:r>
    </w:p>
    <w:p w14:paraId="1EB491BE">
      <w:pPr>
        <w:pStyle w:val="4"/>
        <w:numPr>
          <w:ilvl w:val="3"/>
          <w:numId w:val="0"/>
        </w:numPr>
        <w:tabs>
          <w:tab w:val="left" w:pos="2508"/>
        </w:tabs>
        <w:spacing w:before="181" w:after="0" w:line="362" w:lineRule="auto"/>
        <w:ind w:left="0" w:leftChars="0" w:right="312" w:rightChars="0" w:firstLine="505" w:firstLineChars="213"/>
        <w:jc w:val="both"/>
        <w:rPr>
          <w:rFonts w:hint="eastAsia" w:ascii="宋体" w:hAnsi="宋体" w:eastAsia="宋体" w:cs="宋体"/>
          <w:sz w:val="24"/>
          <w:szCs w:val="24"/>
          <w:highlight w:val="none"/>
        </w:rPr>
      </w:pPr>
      <w:r>
        <w:rPr>
          <w:rFonts w:hint="eastAsia" w:ascii="宋体" w:hAnsi="宋体" w:eastAsia="宋体" w:cs="宋体"/>
          <w:b/>
          <w:bCs/>
          <w:spacing w:val="-2"/>
          <w:w w:val="100"/>
          <w:kern w:val="2"/>
          <w:sz w:val="24"/>
          <w:szCs w:val="24"/>
          <w:highlight w:val="none"/>
          <w:lang w:val="en-US" w:eastAsia="zh-CN" w:bidi="zh-CN"/>
        </w:rPr>
        <w:t>28.3.1</w:t>
      </w:r>
      <w:r>
        <w:rPr>
          <w:rFonts w:hint="eastAsia" w:ascii="宋体" w:hAnsi="宋体" w:eastAsia="宋体" w:cs="宋体"/>
          <w:sz w:val="24"/>
          <w:szCs w:val="24"/>
          <w:highlight w:val="none"/>
        </w:rPr>
        <w:t>在价格评审中，磋商小组认为供应商的报价明显低于其他通过符合性审查供应商的报价，有可能影响质量或者不能诚信履约的，应当要求其在磋商现场合理的时间内提供书面说明，必要时提交相关证明材料，供应商不能证明其报价合理性的，磋商小组应当将其作为无效磋商处理。</w:t>
      </w:r>
    </w:p>
    <w:p w14:paraId="5FF5F9BD">
      <w:pPr>
        <w:pStyle w:val="123"/>
        <w:numPr>
          <w:ilvl w:val="3"/>
          <w:numId w:val="0"/>
        </w:numPr>
        <w:tabs>
          <w:tab w:val="left" w:pos="2364"/>
        </w:tabs>
        <w:spacing w:before="0" w:after="0" w:line="362" w:lineRule="auto"/>
        <w:ind w:left="0" w:leftChars="0" w:right="310" w:rightChars="0" w:firstLine="502" w:firstLineChars="213"/>
        <w:jc w:val="both"/>
        <w:rPr>
          <w:rFonts w:hint="eastAsia" w:ascii="宋体" w:hAnsi="宋体" w:eastAsia="宋体" w:cs="宋体"/>
          <w:sz w:val="24"/>
          <w:szCs w:val="24"/>
          <w:highlight w:val="none"/>
        </w:rPr>
      </w:pPr>
      <w:r>
        <w:rPr>
          <w:rFonts w:hint="eastAsia" w:ascii="宋体" w:hAnsi="宋体" w:eastAsia="宋体" w:cs="宋体"/>
          <w:spacing w:val="-2"/>
          <w:w w:val="100"/>
          <w:kern w:val="0"/>
          <w:sz w:val="24"/>
          <w:szCs w:val="24"/>
          <w:highlight w:val="none"/>
          <w:lang w:val="en-US" w:eastAsia="zh-CN" w:bidi="zh-CN"/>
        </w:rPr>
        <w:t>28.3.2</w:t>
      </w:r>
      <w:r>
        <w:rPr>
          <w:rFonts w:hint="eastAsia" w:ascii="宋体" w:hAnsi="宋体" w:eastAsia="宋体" w:cs="宋体"/>
          <w:spacing w:val="-7"/>
          <w:sz w:val="24"/>
          <w:szCs w:val="24"/>
          <w:highlight w:val="none"/>
        </w:rPr>
        <w:t>在技术评审中，应当考虑技术方案、人员配备等因素；业绩应当</w:t>
      </w:r>
      <w:r>
        <w:rPr>
          <w:rFonts w:hint="eastAsia" w:ascii="宋体" w:hAnsi="宋体" w:eastAsia="宋体" w:cs="宋体"/>
          <w:spacing w:val="-3"/>
          <w:sz w:val="24"/>
          <w:szCs w:val="24"/>
          <w:highlight w:val="none"/>
        </w:rPr>
        <w:t>考虑供应商类似业绩，以确定供应商类似项目的实施经验及组织管理能力等。</w:t>
      </w:r>
    </w:p>
    <w:p w14:paraId="687EDBD1">
      <w:pPr>
        <w:pStyle w:val="4"/>
        <w:numPr>
          <w:ilvl w:val="3"/>
          <w:numId w:val="0"/>
        </w:numPr>
        <w:tabs>
          <w:tab w:val="left" w:pos="2364"/>
        </w:tabs>
        <w:spacing w:before="0" w:after="0" w:line="355" w:lineRule="exact"/>
        <w:ind w:left="0" w:leftChars="0" w:right="0" w:rightChars="0" w:firstLine="505" w:firstLineChars="213"/>
        <w:jc w:val="both"/>
        <w:rPr>
          <w:rFonts w:hint="eastAsia" w:ascii="宋体" w:hAnsi="宋体" w:eastAsia="宋体" w:cs="宋体"/>
          <w:sz w:val="24"/>
          <w:szCs w:val="24"/>
          <w:highlight w:val="none"/>
        </w:rPr>
      </w:pPr>
      <w:r>
        <w:rPr>
          <w:rFonts w:hint="eastAsia" w:ascii="宋体" w:hAnsi="宋体" w:eastAsia="宋体" w:cs="宋体"/>
          <w:b/>
          <w:bCs/>
          <w:spacing w:val="-2"/>
          <w:w w:val="100"/>
          <w:kern w:val="2"/>
          <w:sz w:val="24"/>
          <w:szCs w:val="24"/>
          <w:highlight w:val="none"/>
          <w:lang w:val="en-US" w:eastAsia="zh-CN" w:bidi="zh-CN"/>
        </w:rPr>
        <w:t>28.3.3</w:t>
      </w:r>
      <w:r>
        <w:rPr>
          <w:rFonts w:hint="eastAsia" w:ascii="宋体" w:hAnsi="宋体" w:eastAsia="宋体" w:cs="宋体"/>
          <w:sz w:val="24"/>
          <w:szCs w:val="24"/>
          <w:highlight w:val="none"/>
        </w:rPr>
        <w:t>属于中小企业评审优惠内容及价格扣除幅度：</w:t>
      </w:r>
    </w:p>
    <w:p w14:paraId="0EBE159E">
      <w:pPr>
        <w:pStyle w:val="16"/>
        <w:spacing w:before="175" w:line="362" w:lineRule="auto"/>
        <w:ind w:left="0" w:leftChars="0" w:right="305" w:firstLine="477" w:firstLineChars="213"/>
        <w:jc w:val="both"/>
        <w:rPr>
          <w:rFonts w:hint="eastAsia" w:ascii="宋体" w:hAnsi="宋体" w:eastAsia="宋体" w:cs="宋体"/>
          <w:sz w:val="24"/>
          <w:szCs w:val="24"/>
          <w:highlight w:val="none"/>
        </w:rPr>
      </w:pPr>
      <w:r>
        <w:rPr>
          <w:rFonts w:hint="eastAsia" w:ascii="宋体" w:hAnsi="宋体" w:eastAsia="宋体" w:cs="宋体"/>
          <w:spacing w:val="-8"/>
          <w:sz w:val="24"/>
          <w:szCs w:val="24"/>
          <w:highlight w:val="none"/>
        </w:rPr>
        <w:t>根据工信部等部委发布的《关于印发中小企业划型标准规定的通知》</w:t>
      </w:r>
      <w:r>
        <w:rPr>
          <w:rFonts w:hint="eastAsia" w:ascii="宋体" w:hAnsi="宋体" w:eastAsia="宋体" w:cs="宋体"/>
          <w:spacing w:val="-5"/>
          <w:sz w:val="24"/>
          <w:szCs w:val="24"/>
          <w:highlight w:val="none"/>
        </w:rPr>
        <w:t>（</w:t>
      </w:r>
      <w:r>
        <w:rPr>
          <w:rFonts w:hint="eastAsia" w:ascii="宋体" w:hAnsi="宋体" w:eastAsia="宋体" w:cs="宋体"/>
          <w:spacing w:val="-10"/>
          <w:sz w:val="24"/>
          <w:szCs w:val="24"/>
          <w:highlight w:val="none"/>
        </w:rPr>
        <w:t>工信</w:t>
      </w:r>
      <w:r>
        <w:rPr>
          <w:rFonts w:hint="eastAsia" w:ascii="宋体" w:hAnsi="宋体" w:eastAsia="宋体" w:cs="宋体"/>
          <w:spacing w:val="-4"/>
          <w:sz w:val="24"/>
          <w:szCs w:val="24"/>
          <w:highlight w:val="none"/>
        </w:rPr>
        <w:t>部联企业〔2011</w:t>
      </w:r>
      <w:r>
        <w:rPr>
          <w:rFonts w:hint="eastAsia" w:ascii="宋体" w:hAnsi="宋体" w:eastAsia="宋体" w:cs="宋体"/>
          <w:spacing w:val="-3"/>
          <w:sz w:val="24"/>
          <w:szCs w:val="24"/>
          <w:highlight w:val="none"/>
        </w:rPr>
        <w:t>〕</w:t>
      </w:r>
      <w:r>
        <w:rPr>
          <w:rFonts w:hint="eastAsia" w:ascii="宋体" w:hAnsi="宋体" w:eastAsia="宋体" w:cs="宋体"/>
          <w:sz w:val="24"/>
          <w:szCs w:val="24"/>
          <w:highlight w:val="none"/>
        </w:rPr>
        <w:t>300</w:t>
      </w:r>
      <w:r>
        <w:rPr>
          <w:rFonts w:hint="eastAsia" w:ascii="宋体" w:hAnsi="宋体" w:eastAsia="宋体" w:cs="宋体"/>
          <w:spacing w:val="-29"/>
          <w:sz w:val="24"/>
          <w:szCs w:val="24"/>
          <w:highlight w:val="none"/>
        </w:rPr>
        <w:t xml:space="preserve"> 号</w:t>
      </w:r>
      <w:r>
        <w:rPr>
          <w:rFonts w:hint="eastAsia" w:ascii="宋体" w:hAnsi="宋体" w:eastAsia="宋体" w:cs="宋体"/>
          <w:spacing w:val="-4"/>
          <w:sz w:val="24"/>
          <w:szCs w:val="24"/>
          <w:highlight w:val="none"/>
        </w:rPr>
        <w:t>）</w:t>
      </w:r>
      <w:r>
        <w:rPr>
          <w:rFonts w:hint="eastAsia" w:ascii="宋体" w:hAnsi="宋体" w:eastAsia="宋体" w:cs="宋体"/>
          <w:spacing w:val="-5"/>
          <w:sz w:val="24"/>
          <w:szCs w:val="24"/>
          <w:highlight w:val="none"/>
        </w:rPr>
        <w:t>；财政部、工业和信息化部《政府采购促进中小企业</w:t>
      </w:r>
      <w:r>
        <w:rPr>
          <w:rFonts w:hint="eastAsia" w:ascii="宋体" w:hAnsi="宋体" w:eastAsia="宋体" w:cs="宋体"/>
          <w:spacing w:val="-9"/>
          <w:sz w:val="24"/>
          <w:szCs w:val="24"/>
          <w:highlight w:val="none"/>
        </w:rPr>
        <w:t>发展管理办法》</w:t>
      </w:r>
      <w:r>
        <w:rPr>
          <w:rFonts w:hint="eastAsia" w:ascii="宋体" w:hAnsi="宋体" w:eastAsia="宋体" w:cs="宋体"/>
          <w:spacing w:val="-8"/>
          <w:sz w:val="24"/>
          <w:szCs w:val="24"/>
          <w:highlight w:val="none"/>
        </w:rPr>
        <w:t>（财库</w:t>
      </w:r>
      <w:r>
        <w:rPr>
          <w:rFonts w:hint="eastAsia" w:ascii="宋体" w:hAnsi="宋体" w:eastAsia="宋体" w:cs="宋体"/>
          <w:spacing w:val="-3"/>
          <w:sz w:val="24"/>
          <w:szCs w:val="24"/>
          <w:highlight w:val="none"/>
        </w:rPr>
        <w:t>[2020]46</w:t>
      </w:r>
      <w:r>
        <w:rPr>
          <w:rFonts w:hint="eastAsia" w:ascii="宋体" w:hAnsi="宋体" w:eastAsia="宋体" w:cs="宋体"/>
          <w:spacing w:val="-23"/>
          <w:sz w:val="24"/>
          <w:szCs w:val="24"/>
          <w:highlight w:val="none"/>
        </w:rPr>
        <w:t xml:space="preserve"> 号文</w:t>
      </w:r>
      <w:r>
        <w:rPr>
          <w:rFonts w:hint="eastAsia" w:ascii="宋体" w:hAnsi="宋体" w:eastAsia="宋体" w:cs="宋体"/>
          <w:spacing w:val="-12"/>
          <w:sz w:val="24"/>
          <w:szCs w:val="24"/>
          <w:highlight w:val="none"/>
        </w:rPr>
        <w:t>）</w:t>
      </w:r>
      <w:r>
        <w:rPr>
          <w:rFonts w:hint="eastAsia" w:ascii="宋体" w:hAnsi="宋体" w:eastAsia="宋体" w:cs="宋体"/>
          <w:spacing w:val="-10"/>
          <w:sz w:val="24"/>
          <w:szCs w:val="24"/>
          <w:highlight w:val="none"/>
        </w:rPr>
        <w:t>；财政部《关于进一步加大政府采购支持</w:t>
      </w:r>
      <w:r>
        <w:rPr>
          <w:rFonts w:hint="eastAsia" w:ascii="宋体" w:hAnsi="宋体" w:eastAsia="宋体" w:cs="宋体"/>
          <w:spacing w:val="-9"/>
          <w:sz w:val="24"/>
          <w:szCs w:val="24"/>
          <w:highlight w:val="none"/>
        </w:rPr>
        <w:t>中小企业力度的通知》</w:t>
      </w:r>
      <w:r>
        <w:rPr>
          <w:rFonts w:hint="eastAsia" w:ascii="宋体" w:hAnsi="宋体" w:eastAsia="宋体" w:cs="宋体"/>
          <w:spacing w:val="-8"/>
          <w:sz w:val="24"/>
          <w:szCs w:val="24"/>
          <w:highlight w:val="none"/>
        </w:rPr>
        <w:t>（</w:t>
      </w:r>
      <w:r>
        <w:rPr>
          <w:rFonts w:hint="eastAsia" w:ascii="宋体" w:hAnsi="宋体" w:eastAsia="宋体" w:cs="宋体"/>
          <w:spacing w:val="-9"/>
          <w:sz w:val="24"/>
          <w:szCs w:val="24"/>
          <w:highlight w:val="none"/>
        </w:rPr>
        <w:t>财库〔</w:t>
      </w:r>
      <w:r>
        <w:rPr>
          <w:rFonts w:hint="eastAsia" w:ascii="宋体" w:hAnsi="宋体" w:eastAsia="宋体" w:cs="宋体"/>
          <w:spacing w:val="-4"/>
          <w:sz w:val="24"/>
          <w:szCs w:val="24"/>
          <w:highlight w:val="none"/>
        </w:rPr>
        <w:t>2022</w:t>
      </w:r>
      <w:r>
        <w:rPr>
          <w:rFonts w:hint="eastAsia" w:ascii="宋体" w:hAnsi="宋体" w:eastAsia="宋体" w:cs="宋体"/>
          <w:spacing w:val="-13"/>
          <w:sz w:val="24"/>
          <w:szCs w:val="24"/>
          <w:highlight w:val="none"/>
        </w:rPr>
        <w:t>〕</w:t>
      </w:r>
      <w:r>
        <w:rPr>
          <w:rFonts w:hint="eastAsia" w:ascii="宋体" w:hAnsi="宋体" w:eastAsia="宋体" w:cs="宋体"/>
          <w:sz w:val="24"/>
          <w:szCs w:val="24"/>
          <w:highlight w:val="none"/>
        </w:rPr>
        <w:t>19</w:t>
      </w:r>
      <w:r>
        <w:rPr>
          <w:rFonts w:hint="eastAsia" w:ascii="宋体" w:hAnsi="宋体" w:eastAsia="宋体" w:cs="宋体"/>
          <w:spacing w:val="-31"/>
          <w:sz w:val="24"/>
          <w:szCs w:val="24"/>
          <w:highlight w:val="none"/>
        </w:rPr>
        <w:t xml:space="preserve"> 号</w:t>
      </w:r>
      <w:r>
        <w:rPr>
          <w:rFonts w:hint="eastAsia" w:ascii="宋体" w:hAnsi="宋体" w:eastAsia="宋体" w:cs="宋体"/>
          <w:spacing w:val="-10"/>
          <w:sz w:val="24"/>
          <w:szCs w:val="24"/>
          <w:highlight w:val="none"/>
        </w:rPr>
        <w:t>）</w:t>
      </w:r>
      <w:r>
        <w:rPr>
          <w:rFonts w:hint="eastAsia" w:ascii="宋体" w:hAnsi="宋体" w:eastAsia="宋体" w:cs="宋体"/>
          <w:spacing w:val="-9"/>
          <w:sz w:val="24"/>
          <w:szCs w:val="24"/>
          <w:highlight w:val="none"/>
        </w:rPr>
        <w:t>规定，符合以下条件的中小微型企</w:t>
      </w:r>
      <w:r>
        <w:rPr>
          <w:rFonts w:hint="eastAsia" w:ascii="宋体" w:hAnsi="宋体" w:eastAsia="宋体" w:cs="宋体"/>
          <w:spacing w:val="-8"/>
          <w:sz w:val="24"/>
          <w:szCs w:val="24"/>
          <w:highlight w:val="none"/>
        </w:rPr>
        <w:t>业应按照采购文件格式要求提供《中小企业声明函》。</w:t>
      </w:r>
    </w:p>
    <w:p w14:paraId="1E8A522F">
      <w:pPr>
        <w:pStyle w:val="123"/>
        <w:numPr>
          <w:ilvl w:val="0"/>
          <w:numId w:val="0"/>
        </w:numPr>
        <w:tabs>
          <w:tab w:val="left" w:pos="1775"/>
        </w:tabs>
        <w:spacing w:before="0" w:after="0" w:line="362" w:lineRule="auto"/>
        <w:ind w:left="0" w:leftChars="0" w:right="305" w:rightChars="0" w:firstLine="455" w:firstLineChars="213"/>
        <w:jc w:val="both"/>
        <w:rPr>
          <w:rFonts w:hint="eastAsia" w:ascii="宋体" w:hAnsi="宋体" w:eastAsia="宋体" w:cs="宋体"/>
          <w:sz w:val="24"/>
          <w:szCs w:val="24"/>
          <w:highlight w:val="none"/>
        </w:rPr>
      </w:pPr>
      <w:r>
        <w:rPr>
          <w:rFonts w:hint="eastAsia" w:ascii="宋体" w:hAnsi="宋体" w:eastAsia="宋体" w:cs="宋体"/>
          <w:spacing w:val="-13"/>
          <w:sz w:val="24"/>
          <w:szCs w:val="24"/>
          <w:highlight w:val="none"/>
          <w:lang w:eastAsia="zh-CN"/>
        </w:rPr>
        <w:t>（</w:t>
      </w:r>
      <w:r>
        <w:rPr>
          <w:rFonts w:hint="eastAsia" w:ascii="宋体" w:hAnsi="宋体" w:eastAsia="宋体" w:cs="宋体"/>
          <w:spacing w:val="-13"/>
          <w:sz w:val="24"/>
          <w:szCs w:val="24"/>
          <w:highlight w:val="none"/>
          <w:lang w:val="en-US" w:eastAsia="zh-CN"/>
        </w:rPr>
        <w:t>1</w:t>
      </w:r>
      <w:r>
        <w:rPr>
          <w:rFonts w:hint="eastAsia" w:ascii="宋体" w:hAnsi="宋体" w:eastAsia="宋体" w:cs="宋体"/>
          <w:spacing w:val="-13"/>
          <w:sz w:val="24"/>
          <w:szCs w:val="24"/>
          <w:highlight w:val="none"/>
          <w:lang w:eastAsia="zh-CN"/>
        </w:rPr>
        <w:t>）</w:t>
      </w:r>
      <w:r>
        <w:rPr>
          <w:rFonts w:hint="eastAsia" w:ascii="宋体" w:hAnsi="宋体" w:eastAsia="宋体" w:cs="宋体"/>
          <w:spacing w:val="-13"/>
          <w:sz w:val="24"/>
          <w:szCs w:val="24"/>
          <w:highlight w:val="none"/>
        </w:rPr>
        <w:t xml:space="preserve">本文件所称中小企业是指：在中华人民共和国境内依法设立，依据国 </w:t>
      </w:r>
      <w:r>
        <w:rPr>
          <w:rFonts w:hint="eastAsia" w:ascii="宋体" w:hAnsi="宋体" w:eastAsia="宋体" w:cs="宋体"/>
          <w:spacing w:val="-8"/>
          <w:sz w:val="24"/>
          <w:szCs w:val="24"/>
          <w:highlight w:val="none"/>
        </w:rPr>
        <w:t>务院批准的中小企业划分标准确定的中型企业、小型企业和微型企业，但与大企业的负责人为同一人，或者与大企业存在直接控股、管理关系的除外。符合中小</w:t>
      </w:r>
      <w:r>
        <w:rPr>
          <w:rFonts w:hint="eastAsia" w:ascii="宋体" w:hAnsi="宋体" w:eastAsia="宋体" w:cs="宋体"/>
          <w:spacing w:val="-9"/>
          <w:sz w:val="24"/>
          <w:szCs w:val="24"/>
          <w:highlight w:val="none"/>
        </w:rPr>
        <w:t>企业划分标准的个体工商户，在政府采购活动中视同中小企业。</w:t>
      </w:r>
    </w:p>
    <w:p w14:paraId="053FAB9C">
      <w:pPr>
        <w:pStyle w:val="123"/>
        <w:numPr>
          <w:ilvl w:val="0"/>
          <w:numId w:val="0"/>
        </w:numPr>
        <w:spacing w:before="0" w:after="0" w:line="352" w:lineRule="exact"/>
        <w:ind w:left="0" w:leftChars="0" w:right="0" w:rightChars="0" w:firstLine="464" w:firstLineChars="213"/>
        <w:jc w:val="left"/>
        <w:rPr>
          <w:rFonts w:hint="eastAsia" w:ascii="宋体" w:hAnsi="宋体" w:eastAsia="宋体" w:cs="宋体"/>
          <w:spacing w:val="-11"/>
          <w:sz w:val="24"/>
          <w:szCs w:val="24"/>
          <w:highlight w:val="none"/>
        </w:rPr>
      </w:pPr>
      <w:r>
        <w:rPr>
          <w:rFonts w:hint="eastAsia" w:ascii="宋体" w:hAnsi="宋体" w:eastAsia="宋体" w:cs="宋体"/>
          <w:spacing w:val="-11"/>
          <w:sz w:val="24"/>
          <w:szCs w:val="24"/>
          <w:highlight w:val="none"/>
          <w:lang w:eastAsia="zh-CN"/>
        </w:rPr>
        <w:t>（</w:t>
      </w:r>
      <w:r>
        <w:rPr>
          <w:rFonts w:hint="eastAsia" w:ascii="宋体" w:hAnsi="宋体" w:eastAsia="宋体" w:cs="宋体"/>
          <w:spacing w:val="-11"/>
          <w:sz w:val="24"/>
          <w:szCs w:val="24"/>
          <w:highlight w:val="none"/>
          <w:lang w:val="en-US" w:eastAsia="zh-CN"/>
        </w:rPr>
        <w:t>2</w:t>
      </w:r>
      <w:r>
        <w:rPr>
          <w:rFonts w:hint="eastAsia" w:ascii="宋体" w:hAnsi="宋体" w:eastAsia="宋体" w:cs="宋体"/>
          <w:spacing w:val="-11"/>
          <w:sz w:val="24"/>
          <w:szCs w:val="24"/>
          <w:highlight w:val="none"/>
          <w:lang w:eastAsia="zh-CN"/>
        </w:rPr>
        <w:t>）</w:t>
      </w:r>
      <w:r>
        <w:rPr>
          <w:rFonts w:hint="eastAsia" w:ascii="宋体" w:hAnsi="宋体" w:eastAsia="宋体" w:cs="宋体"/>
          <w:spacing w:val="-11"/>
          <w:sz w:val="24"/>
          <w:szCs w:val="24"/>
          <w:highlight w:val="none"/>
        </w:rPr>
        <w:t>本次投标供应商提供的服务由中小企业承接，即服务全部由符合政策要求的中小企业承接。</w:t>
      </w:r>
    </w:p>
    <w:p w14:paraId="4BF7B401">
      <w:pPr>
        <w:pStyle w:val="123"/>
        <w:numPr>
          <w:ilvl w:val="0"/>
          <w:numId w:val="0"/>
        </w:numPr>
        <w:tabs>
          <w:tab w:val="left" w:pos="1775"/>
        </w:tabs>
        <w:spacing w:before="181" w:after="0" w:line="362" w:lineRule="auto"/>
        <w:ind w:left="0" w:leftChars="0" w:right="305" w:rightChars="0" w:firstLine="464" w:firstLineChars="213"/>
        <w:jc w:val="left"/>
        <w:rPr>
          <w:rFonts w:hint="eastAsia" w:ascii="宋体" w:hAnsi="宋体" w:eastAsia="宋体" w:cs="宋体"/>
          <w:sz w:val="24"/>
          <w:szCs w:val="24"/>
          <w:highlight w:val="none"/>
        </w:rPr>
      </w:pPr>
      <w:r>
        <w:rPr>
          <w:rFonts w:hint="eastAsia" w:ascii="宋体" w:hAnsi="宋体" w:eastAsia="宋体" w:cs="宋体"/>
          <w:spacing w:val="-11"/>
          <w:sz w:val="24"/>
          <w:szCs w:val="24"/>
          <w:highlight w:val="none"/>
          <w:lang w:eastAsia="zh-CN"/>
        </w:rPr>
        <w:t>（</w:t>
      </w:r>
      <w:r>
        <w:rPr>
          <w:rFonts w:hint="eastAsia" w:ascii="宋体" w:hAnsi="宋体" w:eastAsia="宋体" w:cs="宋体"/>
          <w:spacing w:val="-11"/>
          <w:sz w:val="24"/>
          <w:szCs w:val="24"/>
          <w:highlight w:val="none"/>
          <w:lang w:val="en-US" w:eastAsia="zh-CN"/>
        </w:rPr>
        <w:t>3</w:t>
      </w:r>
      <w:r>
        <w:rPr>
          <w:rFonts w:hint="eastAsia" w:ascii="宋体" w:hAnsi="宋体" w:eastAsia="宋体" w:cs="宋体"/>
          <w:spacing w:val="-11"/>
          <w:sz w:val="24"/>
          <w:szCs w:val="24"/>
          <w:highlight w:val="none"/>
          <w:lang w:eastAsia="zh-CN"/>
        </w:rPr>
        <w:t>）</w:t>
      </w:r>
      <w:r>
        <w:rPr>
          <w:rFonts w:hint="eastAsia" w:ascii="宋体" w:hAnsi="宋体" w:eastAsia="宋体" w:cs="宋体"/>
          <w:spacing w:val="-11"/>
          <w:sz w:val="24"/>
          <w:szCs w:val="24"/>
          <w:highlight w:val="none"/>
        </w:rPr>
        <w:t>根据上述文件规定，对满足上述</w:t>
      </w:r>
      <w:r>
        <w:rPr>
          <w:rFonts w:hint="eastAsia" w:ascii="宋体" w:hAnsi="宋体" w:eastAsia="宋体" w:cs="宋体"/>
          <w:spacing w:val="-14"/>
          <w:sz w:val="24"/>
          <w:szCs w:val="24"/>
          <w:highlight w:val="none"/>
        </w:rPr>
        <w:t>（1）（2）</w:t>
      </w:r>
      <w:r>
        <w:rPr>
          <w:rFonts w:hint="eastAsia" w:ascii="宋体" w:hAnsi="宋体" w:eastAsia="宋体" w:cs="宋体"/>
          <w:spacing w:val="-8"/>
          <w:sz w:val="24"/>
          <w:szCs w:val="24"/>
          <w:highlight w:val="none"/>
        </w:rPr>
        <w:t xml:space="preserve">两项条件的小微企业的投 </w:t>
      </w:r>
      <w:r>
        <w:rPr>
          <w:rFonts w:hint="eastAsia" w:ascii="宋体" w:hAnsi="宋体" w:eastAsia="宋体" w:cs="宋体"/>
          <w:spacing w:val="-17"/>
          <w:sz w:val="24"/>
          <w:szCs w:val="24"/>
          <w:highlight w:val="none"/>
        </w:rPr>
        <w:t xml:space="preserve">标总报价给予 </w:t>
      </w:r>
      <w:r>
        <w:rPr>
          <w:rFonts w:hint="eastAsia" w:ascii="宋体" w:hAnsi="宋体" w:eastAsia="宋体" w:cs="宋体"/>
          <w:spacing w:val="-5"/>
          <w:sz w:val="24"/>
          <w:szCs w:val="24"/>
          <w:highlight w:val="none"/>
        </w:rPr>
        <w:t>10</w:t>
      </w:r>
      <w:r>
        <w:rPr>
          <w:rFonts w:hint="eastAsia" w:ascii="宋体" w:hAnsi="宋体" w:eastAsia="宋体" w:cs="宋体"/>
          <w:spacing w:val="-8"/>
          <w:sz w:val="24"/>
          <w:szCs w:val="24"/>
          <w:highlight w:val="none"/>
        </w:rPr>
        <w:t>%的扣除，用扣除后的价格参与评审。</w:t>
      </w:r>
    </w:p>
    <w:p w14:paraId="34B2D75A">
      <w:pPr>
        <w:pStyle w:val="123"/>
        <w:numPr>
          <w:ilvl w:val="0"/>
          <w:numId w:val="0"/>
        </w:numPr>
        <w:tabs>
          <w:tab w:val="left" w:pos="1775"/>
        </w:tabs>
        <w:spacing w:before="0" w:after="0" w:line="362" w:lineRule="auto"/>
        <w:ind w:left="0" w:leftChars="0" w:right="305" w:rightChars="0" w:firstLine="468" w:firstLineChars="213"/>
        <w:jc w:val="left"/>
        <w:rPr>
          <w:rFonts w:hint="eastAsia" w:ascii="宋体" w:hAnsi="宋体" w:eastAsia="宋体" w:cs="宋体"/>
          <w:sz w:val="24"/>
          <w:szCs w:val="24"/>
          <w:highlight w:val="none"/>
        </w:rPr>
      </w:pPr>
      <w:r>
        <w:rPr>
          <w:rFonts w:hint="eastAsia" w:ascii="宋体" w:hAnsi="宋体" w:eastAsia="宋体" w:cs="宋体"/>
          <w:spacing w:val="-10"/>
          <w:sz w:val="24"/>
          <w:szCs w:val="24"/>
          <w:highlight w:val="none"/>
          <w:lang w:eastAsia="zh-CN"/>
        </w:rPr>
        <w:t>（</w:t>
      </w:r>
      <w:r>
        <w:rPr>
          <w:rFonts w:hint="eastAsia" w:ascii="宋体" w:hAnsi="宋体" w:eastAsia="宋体" w:cs="宋体"/>
          <w:spacing w:val="-10"/>
          <w:sz w:val="24"/>
          <w:szCs w:val="24"/>
          <w:highlight w:val="none"/>
          <w:lang w:val="en-US" w:eastAsia="zh-CN"/>
        </w:rPr>
        <w:t>4</w:t>
      </w:r>
      <w:r>
        <w:rPr>
          <w:rFonts w:hint="eastAsia" w:ascii="宋体" w:hAnsi="宋体" w:eastAsia="宋体" w:cs="宋体"/>
          <w:spacing w:val="-10"/>
          <w:sz w:val="24"/>
          <w:szCs w:val="24"/>
          <w:highlight w:val="none"/>
          <w:lang w:eastAsia="zh-CN"/>
        </w:rPr>
        <w:t>）</w:t>
      </w:r>
      <w:r>
        <w:rPr>
          <w:rFonts w:hint="eastAsia" w:ascii="宋体" w:hAnsi="宋体" w:eastAsia="宋体" w:cs="宋体"/>
          <w:spacing w:val="-10"/>
          <w:sz w:val="24"/>
          <w:szCs w:val="24"/>
          <w:highlight w:val="none"/>
        </w:rPr>
        <w:t>依据本办法规定享受扶持政策获得政府采购合同的，小微企业不得将</w:t>
      </w:r>
      <w:r>
        <w:rPr>
          <w:rFonts w:hint="eastAsia" w:ascii="宋体" w:hAnsi="宋体" w:eastAsia="宋体" w:cs="宋体"/>
          <w:spacing w:val="-8"/>
          <w:sz w:val="24"/>
          <w:szCs w:val="24"/>
          <w:highlight w:val="none"/>
        </w:rPr>
        <w:t>合同分包给大中型企业，中型企业不得将合同分包给大型企业。</w:t>
      </w:r>
    </w:p>
    <w:p w14:paraId="288A422C">
      <w:pPr>
        <w:pStyle w:val="4"/>
        <w:numPr>
          <w:ilvl w:val="2"/>
          <w:numId w:val="0"/>
        </w:numPr>
        <w:tabs>
          <w:tab w:val="left" w:pos="2081"/>
        </w:tabs>
        <w:spacing w:before="0" w:after="0" w:line="362" w:lineRule="auto"/>
        <w:ind w:left="0" w:leftChars="0" w:right="312" w:rightChars="0" w:firstLine="505" w:firstLineChars="213"/>
        <w:jc w:val="both"/>
        <w:rPr>
          <w:rFonts w:hint="eastAsia" w:ascii="宋体" w:hAnsi="宋体" w:eastAsia="宋体" w:cs="宋体"/>
          <w:sz w:val="24"/>
          <w:szCs w:val="24"/>
          <w:highlight w:val="none"/>
        </w:rPr>
      </w:pPr>
      <w:r>
        <w:rPr>
          <w:rFonts w:hint="eastAsia" w:ascii="宋体" w:hAnsi="宋体" w:eastAsia="宋体" w:cs="宋体"/>
          <w:b/>
          <w:bCs/>
          <w:spacing w:val="-2"/>
          <w:w w:val="100"/>
          <w:kern w:val="2"/>
          <w:sz w:val="24"/>
          <w:szCs w:val="24"/>
          <w:highlight w:val="none"/>
          <w:lang w:val="en-US" w:eastAsia="zh-CN" w:bidi="zh-CN"/>
        </w:rPr>
        <w:t>28.4</w:t>
      </w:r>
      <w:r>
        <w:rPr>
          <w:rFonts w:hint="eastAsia" w:ascii="宋体" w:hAnsi="宋体" w:eastAsia="宋体" w:cs="宋体"/>
          <w:spacing w:val="-2"/>
          <w:w w:val="95"/>
          <w:sz w:val="24"/>
          <w:szCs w:val="24"/>
          <w:highlight w:val="none"/>
        </w:rPr>
        <w:t>各磋商小组成员对每个供应商的上述指标的打分</w:t>
      </w:r>
      <w:r>
        <w:rPr>
          <w:rFonts w:hint="eastAsia" w:ascii="宋体" w:hAnsi="宋体" w:eastAsia="宋体" w:cs="宋体"/>
          <w:w w:val="95"/>
          <w:sz w:val="24"/>
          <w:szCs w:val="24"/>
          <w:highlight w:val="none"/>
        </w:rPr>
        <w:t>（除报价外</w:t>
      </w:r>
      <w:r>
        <w:rPr>
          <w:rFonts w:hint="eastAsia" w:ascii="宋体" w:hAnsi="宋体" w:eastAsia="宋体" w:cs="宋体"/>
          <w:spacing w:val="-32"/>
          <w:w w:val="95"/>
          <w:sz w:val="24"/>
          <w:szCs w:val="24"/>
          <w:highlight w:val="none"/>
        </w:rPr>
        <w:t>）</w:t>
      </w:r>
      <w:r>
        <w:rPr>
          <w:rFonts w:hint="eastAsia" w:ascii="宋体" w:hAnsi="宋体" w:eastAsia="宋体" w:cs="宋体"/>
          <w:w w:val="95"/>
          <w:sz w:val="24"/>
          <w:szCs w:val="24"/>
          <w:highlight w:val="none"/>
        </w:rPr>
        <w:t xml:space="preserve">的算 </w:t>
      </w:r>
      <w:r>
        <w:rPr>
          <w:rFonts w:hint="eastAsia" w:ascii="宋体" w:hAnsi="宋体" w:eastAsia="宋体" w:cs="宋体"/>
          <w:sz w:val="24"/>
          <w:szCs w:val="24"/>
          <w:highlight w:val="none"/>
        </w:rPr>
        <w:t>术平均分，加上经计算的报价得分，即为该供应商的最终综合评审分。磋商小组将按供应商得分顺序由高到低依次排名，得分相同的，按响应报价由低到高顺序排列。得分及报价相同的，按技术指标优劣顺序排列。得分最高的前一至三名供应商将成为中标候选人。</w:t>
      </w:r>
    </w:p>
    <w:p w14:paraId="1AF6A443">
      <w:pPr>
        <w:pStyle w:val="123"/>
        <w:numPr>
          <w:ilvl w:val="2"/>
          <w:numId w:val="0"/>
        </w:numPr>
        <w:tabs>
          <w:tab w:val="left" w:pos="2081"/>
        </w:tabs>
        <w:spacing w:before="0" w:after="0" w:line="362" w:lineRule="auto"/>
        <w:ind w:left="0" w:leftChars="0" w:right="312" w:rightChars="0" w:firstLine="505" w:firstLineChars="213"/>
        <w:jc w:val="both"/>
        <w:rPr>
          <w:rFonts w:hint="eastAsia" w:ascii="宋体" w:hAnsi="宋体" w:eastAsia="宋体" w:cs="宋体"/>
          <w:b/>
          <w:sz w:val="24"/>
          <w:szCs w:val="24"/>
          <w:highlight w:val="none"/>
        </w:rPr>
      </w:pPr>
      <w:r>
        <w:rPr>
          <w:rFonts w:hint="eastAsia" w:ascii="宋体" w:hAnsi="宋体" w:eastAsia="宋体" w:cs="宋体"/>
          <w:b/>
          <w:spacing w:val="-2"/>
          <w:w w:val="100"/>
          <w:kern w:val="0"/>
          <w:sz w:val="24"/>
          <w:szCs w:val="24"/>
          <w:highlight w:val="none"/>
          <w:lang w:val="en-US" w:eastAsia="zh-CN" w:bidi="zh-CN"/>
        </w:rPr>
        <w:t>28.4.1</w:t>
      </w:r>
      <w:r>
        <w:rPr>
          <w:rFonts w:hint="eastAsia" w:ascii="宋体" w:hAnsi="宋体" w:eastAsia="宋体" w:cs="宋体"/>
          <w:b/>
          <w:spacing w:val="-5"/>
          <w:sz w:val="24"/>
          <w:szCs w:val="24"/>
          <w:highlight w:val="none"/>
        </w:rPr>
        <w:t>最低报价不作为磋商的唯一依据。采购人不承诺将合同授予报价最低的供应商。</w:t>
      </w:r>
    </w:p>
    <w:p w14:paraId="7C449647">
      <w:pPr>
        <w:pStyle w:val="123"/>
        <w:numPr>
          <w:ilvl w:val="2"/>
          <w:numId w:val="0"/>
        </w:numPr>
        <w:tabs>
          <w:tab w:val="left" w:pos="2081"/>
        </w:tabs>
        <w:spacing w:before="0" w:after="0" w:line="362" w:lineRule="auto"/>
        <w:ind w:left="0" w:leftChars="0" w:right="315" w:rightChars="0" w:firstLine="505" w:firstLineChars="213"/>
        <w:jc w:val="both"/>
        <w:rPr>
          <w:rFonts w:hint="eastAsia" w:ascii="宋体" w:hAnsi="宋体" w:eastAsia="宋体" w:cs="宋体"/>
          <w:b/>
          <w:sz w:val="24"/>
          <w:szCs w:val="24"/>
          <w:highlight w:val="none"/>
        </w:rPr>
      </w:pPr>
      <w:r>
        <w:rPr>
          <w:rFonts w:hint="eastAsia" w:ascii="宋体" w:hAnsi="宋体" w:eastAsia="宋体" w:cs="宋体"/>
          <w:b/>
          <w:spacing w:val="-2"/>
          <w:w w:val="100"/>
          <w:kern w:val="0"/>
          <w:sz w:val="24"/>
          <w:szCs w:val="24"/>
          <w:highlight w:val="none"/>
          <w:lang w:val="en-US" w:eastAsia="zh-CN" w:bidi="zh-CN"/>
        </w:rPr>
        <w:t>28.4.2</w:t>
      </w:r>
      <w:r>
        <w:rPr>
          <w:rFonts w:hint="eastAsia" w:ascii="宋体" w:hAnsi="宋体" w:eastAsia="宋体" w:cs="宋体"/>
          <w:b/>
          <w:spacing w:val="-6"/>
          <w:w w:val="95"/>
          <w:sz w:val="24"/>
          <w:szCs w:val="24"/>
          <w:highlight w:val="none"/>
        </w:rPr>
        <w:t>经磋商小组评议，认为响应报价过高、均超出采购人预算或最高限</w:t>
      </w:r>
      <w:r>
        <w:rPr>
          <w:rFonts w:hint="eastAsia" w:ascii="宋体" w:hAnsi="宋体" w:eastAsia="宋体" w:cs="宋体"/>
          <w:b/>
          <w:spacing w:val="-6"/>
          <w:sz w:val="24"/>
          <w:szCs w:val="24"/>
          <w:highlight w:val="none"/>
        </w:rPr>
        <w:t>价的项目，可以不确立中标人，重新组织磋商。</w:t>
      </w:r>
    </w:p>
    <w:p w14:paraId="6F8E83B0">
      <w:pPr>
        <w:pStyle w:val="123"/>
        <w:numPr>
          <w:ilvl w:val="0"/>
          <w:numId w:val="0"/>
        </w:numPr>
        <w:tabs>
          <w:tab w:val="left" w:pos="1654"/>
        </w:tabs>
        <w:spacing w:before="0" w:after="0" w:line="355" w:lineRule="exact"/>
        <w:ind w:left="0" w:leftChars="0" w:right="0" w:rightChars="0" w:firstLine="502" w:firstLineChars="213"/>
        <w:jc w:val="both"/>
        <w:rPr>
          <w:rFonts w:hint="eastAsia" w:ascii="宋体" w:hAnsi="宋体" w:eastAsia="宋体" w:cs="宋体"/>
          <w:sz w:val="24"/>
          <w:szCs w:val="24"/>
          <w:highlight w:val="none"/>
        </w:rPr>
      </w:pPr>
      <w:r>
        <w:rPr>
          <w:rFonts w:hint="eastAsia" w:ascii="宋体" w:hAnsi="宋体" w:eastAsia="宋体" w:cs="宋体"/>
          <w:spacing w:val="-2"/>
          <w:w w:val="100"/>
          <w:kern w:val="0"/>
          <w:sz w:val="24"/>
          <w:szCs w:val="24"/>
          <w:highlight w:val="none"/>
          <w:lang w:val="en-US" w:eastAsia="zh-CN" w:bidi="zh-CN"/>
        </w:rPr>
        <w:t>29</w:t>
      </w:r>
      <w:r>
        <w:rPr>
          <w:rFonts w:hint="eastAsia" w:ascii="宋体" w:hAnsi="宋体" w:eastAsia="宋体" w:cs="宋体"/>
          <w:spacing w:val="-3"/>
          <w:sz w:val="24"/>
          <w:szCs w:val="24"/>
          <w:highlight w:val="none"/>
        </w:rPr>
        <w:t>响应文件的澄清</w:t>
      </w:r>
    </w:p>
    <w:p w14:paraId="00991291">
      <w:pPr>
        <w:pStyle w:val="123"/>
        <w:numPr>
          <w:ilvl w:val="1"/>
          <w:numId w:val="0"/>
        </w:numPr>
        <w:tabs>
          <w:tab w:val="left" w:pos="1803"/>
        </w:tabs>
        <w:spacing w:before="163" w:after="0" w:line="362" w:lineRule="auto"/>
        <w:ind w:left="0" w:leftChars="0" w:right="312" w:rightChars="0" w:firstLine="502" w:firstLineChars="213"/>
        <w:jc w:val="left"/>
        <w:rPr>
          <w:rFonts w:hint="eastAsia" w:ascii="宋体" w:hAnsi="宋体" w:eastAsia="宋体" w:cs="宋体"/>
          <w:sz w:val="24"/>
          <w:szCs w:val="24"/>
          <w:highlight w:val="none"/>
        </w:rPr>
      </w:pPr>
      <w:r>
        <w:rPr>
          <w:rFonts w:hint="eastAsia" w:ascii="宋体" w:hAnsi="宋体" w:eastAsia="宋体" w:cs="宋体"/>
          <w:spacing w:val="-2"/>
          <w:w w:val="100"/>
          <w:kern w:val="0"/>
          <w:sz w:val="24"/>
          <w:szCs w:val="24"/>
          <w:highlight w:val="none"/>
          <w:lang w:val="en-US" w:eastAsia="zh-CN" w:bidi="zh-CN"/>
        </w:rPr>
        <w:t>29</w:t>
      </w:r>
      <w:r>
        <w:rPr>
          <w:rFonts w:hint="default" w:ascii="宋体" w:hAnsi="宋体" w:eastAsia="宋体" w:cs="宋体"/>
          <w:spacing w:val="-2"/>
          <w:w w:val="100"/>
          <w:kern w:val="0"/>
          <w:sz w:val="24"/>
          <w:szCs w:val="24"/>
          <w:highlight w:val="none"/>
          <w:lang w:val="zh-CN" w:eastAsia="zh-CN" w:bidi="zh-CN"/>
        </w:rPr>
        <w:t>.1</w:t>
      </w:r>
      <w:r>
        <w:rPr>
          <w:rFonts w:hint="eastAsia" w:ascii="宋体" w:hAnsi="宋体" w:eastAsia="宋体" w:cs="宋体"/>
          <w:spacing w:val="6"/>
          <w:sz w:val="24"/>
          <w:szCs w:val="24"/>
          <w:highlight w:val="none"/>
        </w:rPr>
        <w:t>磋商小组在磋商过程中有权随时请供应商就响应文件中含混之处加</w:t>
      </w:r>
      <w:r>
        <w:rPr>
          <w:rFonts w:hint="eastAsia" w:ascii="宋体" w:hAnsi="宋体" w:eastAsia="宋体" w:cs="宋体"/>
          <w:spacing w:val="-1"/>
          <w:sz w:val="24"/>
          <w:szCs w:val="24"/>
          <w:highlight w:val="none"/>
        </w:rPr>
        <w:t>以澄清或答疑。</w:t>
      </w:r>
    </w:p>
    <w:p w14:paraId="2C261B7E">
      <w:pPr>
        <w:pStyle w:val="123"/>
        <w:numPr>
          <w:ilvl w:val="1"/>
          <w:numId w:val="0"/>
        </w:numPr>
        <w:tabs>
          <w:tab w:val="left" w:pos="1793"/>
        </w:tabs>
        <w:spacing w:before="0" w:after="0" w:line="362" w:lineRule="auto"/>
        <w:ind w:left="0" w:leftChars="0" w:right="310" w:rightChars="0" w:firstLine="502" w:firstLineChars="213"/>
        <w:jc w:val="left"/>
        <w:rPr>
          <w:rFonts w:hint="eastAsia" w:ascii="宋体" w:hAnsi="宋体" w:eastAsia="宋体" w:cs="宋体"/>
          <w:sz w:val="24"/>
          <w:szCs w:val="24"/>
          <w:highlight w:val="none"/>
        </w:rPr>
      </w:pPr>
      <w:r>
        <w:rPr>
          <w:rFonts w:hint="eastAsia" w:ascii="宋体" w:hAnsi="宋体" w:eastAsia="宋体" w:cs="宋体"/>
          <w:spacing w:val="-2"/>
          <w:w w:val="100"/>
          <w:kern w:val="0"/>
          <w:sz w:val="24"/>
          <w:szCs w:val="24"/>
          <w:highlight w:val="none"/>
          <w:lang w:val="en-US" w:eastAsia="zh-CN" w:bidi="zh-CN"/>
        </w:rPr>
        <w:t>29</w:t>
      </w:r>
      <w:r>
        <w:rPr>
          <w:rFonts w:hint="default" w:ascii="宋体" w:hAnsi="宋体" w:eastAsia="宋体" w:cs="宋体"/>
          <w:spacing w:val="-2"/>
          <w:w w:val="100"/>
          <w:kern w:val="0"/>
          <w:sz w:val="24"/>
          <w:szCs w:val="24"/>
          <w:highlight w:val="none"/>
          <w:lang w:val="zh-CN" w:eastAsia="zh-CN" w:bidi="zh-CN"/>
        </w:rPr>
        <w:t>.2</w:t>
      </w:r>
      <w:r>
        <w:rPr>
          <w:rFonts w:hint="eastAsia" w:ascii="宋体" w:hAnsi="宋体" w:eastAsia="宋体" w:cs="宋体"/>
          <w:spacing w:val="-4"/>
          <w:sz w:val="24"/>
          <w:szCs w:val="24"/>
          <w:highlight w:val="none"/>
        </w:rPr>
        <w:t>供应商对要求澄清的问题应以书面形式明确答复，并应有法人授权代</w:t>
      </w:r>
      <w:r>
        <w:rPr>
          <w:rFonts w:hint="eastAsia" w:ascii="宋体" w:hAnsi="宋体" w:eastAsia="宋体" w:cs="宋体"/>
          <w:spacing w:val="-3"/>
          <w:sz w:val="24"/>
          <w:szCs w:val="24"/>
          <w:highlight w:val="none"/>
        </w:rPr>
        <w:t>表的签署。</w:t>
      </w:r>
    </w:p>
    <w:p w14:paraId="62360431">
      <w:pPr>
        <w:pStyle w:val="123"/>
        <w:numPr>
          <w:ilvl w:val="1"/>
          <w:numId w:val="0"/>
        </w:numPr>
        <w:tabs>
          <w:tab w:val="left" w:pos="1793"/>
        </w:tabs>
        <w:spacing w:before="0" w:after="0" w:line="362" w:lineRule="auto"/>
        <w:ind w:left="0" w:leftChars="0" w:right="310" w:rightChars="0" w:firstLine="502" w:firstLineChars="213"/>
        <w:jc w:val="left"/>
        <w:rPr>
          <w:rFonts w:hint="eastAsia" w:ascii="宋体" w:hAnsi="宋体" w:eastAsia="宋体" w:cs="宋体"/>
          <w:sz w:val="24"/>
          <w:szCs w:val="24"/>
          <w:highlight w:val="none"/>
        </w:rPr>
      </w:pPr>
      <w:r>
        <w:rPr>
          <w:rFonts w:hint="eastAsia" w:ascii="宋体" w:hAnsi="宋体" w:eastAsia="宋体" w:cs="宋体"/>
          <w:spacing w:val="-2"/>
          <w:w w:val="100"/>
          <w:kern w:val="0"/>
          <w:sz w:val="24"/>
          <w:szCs w:val="24"/>
          <w:highlight w:val="none"/>
          <w:lang w:val="en-US" w:eastAsia="zh-CN" w:bidi="zh-CN"/>
        </w:rPr>
        <w:t>29</w:t>
      </w:r>
      <w:r>
        <w:rPr>
          <w:rFonts w:hint="default" w:ascii="宋体" w:hAnsi="宋体" w:eastAsia="宋体" w:cs="宋体"/>
          <w:spacing w:val="-2"/>
          <w:w w:val="100"/>
          <w:kern w:val="0"/>
          <w:sz w:val="24"/>
          <w:szCs w:val="24"/>
          <w:highlight w:val="none"/>
          <w:lang w:val="zh-CN" w:eastAsia="zh-CN" w:bidi="zh-CN"/>
        </w:rPr>
        <w:t>.3</w:t>
      </w:r>
      <w:r>
        <w:rPr>
          <w:rFonts w:hint="eastAsia" w:ascii="宋体" w:hAnsi="宋体" w:eastAsia="宋体" w:cs="宋体"/>
          <w:spacing w:val="-4"/>
          <w:sz w:val="24"/>
          <w:szCs w:val="24"/>
          <w:highlight w:val="none"/>
        </w:rPr>
        <w:t>供应商的澄清文件是响应文件的组成部分，并取代响应文件中被澄清</w:t>
      </w:r>
      <w:r>
        <w:rPr>
          <w:rFonts w:hint="eastAsia" w:ascii="宋体" w:hAnsi="宋体" w:eastAsia="宋体" w:cs="宋体"/>
          <w:spacing w:val="-3"/>
          <w:sz w:val="24"/>
          <w:szCs w:val="24"/>
          <w:highlight w:val="none"/>
        </w:rPr>
        <w:t>的部分。</w:t>
      </w:r>
    </w:p>
    <w:p w14:paraId="1A74289D">
      <w:pPr>
        <w:pStyle w:val="123"/>
        <w:numPr>
          <w:ilvl w:val="1"/>
          <w:numId w:val="0"/>
        </w:numPr>
        <w:tabs>
          <w:tab w:val="left" w:pos="1793"/>
        </w:tabs>
        <w:spacing w:before="0" w:after="0" w:line="362" w:lineRule="auto"/>
        <w:ind w:left="0" w:leftChars="0" w:right="726" w:rightChars="0" w:firstLine="502" w:firstLineChars="213"/>
        <w:jc w:val="left"/>
        <w:rPr>
          <w:rFonts w:hint="eastAsia" w:ascii="宋体" w:hAnsi="宋体" w:eastAsia="宋体" w:cs="宋体"/>
          <w:spacing w:val="-3"/>
          <w:sz w:val="24"/>
          <w:szCs w:val="24"/>
          <w:highlight w:val="none"/>
        </w:rPr>
      </w:pPr>
      <w:r>
        <w:rPr>
          <w:rFonts w:hint="eastAsia" w:ascii="宋体" w:hAnsi="宋体" w:eastAsia="宋体" w:cs="宋体"/>
          <w:spacing w:val="-2"/>
          <w:w w:val="100"/>
          <w:kern w:val="0"/>
          <w:sz w:val="24"/>
          <w:szCs w:val="24"/>
          <w:highlight w:val="none"/>
          <w:lang w:val="en-US" w:eastAsia="zh-CN" w:bidi="zh-CN"/>
        </w:rPr>
        <w:t>29</w:t>
      </w:r>
      <w:r>
        <w:rPr>
          <w:rFonts w:hint="default" w:ascii="宋体" w:hAnsi="宋体" w:eastAsia="宋体" w:cs="宋体"/>
          <w:spacing w:val="-2"/>
          <w:w w:val="100"/>
          <w:kern w:val="0"/>
          <w:sz w:val="24"/>
          <w:szCs w:val="24"/>
          <w:highlight w:val="none"/>
          <w:lang w:val="zh-CN" w:eastAsia="zh-CN" w:bidi="zh-CN"/>
        </w:rPr>
        <w:t>.4</w:t>
      </w:r>
      <w:r>
        <w:rPr>
          <w:rFonts w:hint="eastAsia" w:ascii="宋体" w:hAnsi="宋体" w:eastAsia="宋体" w:cs="宋体"/>
          <w:spacing w:val="-3"/>
          <w:sz w:val="24"/>
          <w:szCs w:val="24"/>
          <w:highlight w:val="none"/>
        </w:rPr>
        <w:t>响应文件的澄清不得改变磋商的实质内容。</w:t>
      </w:r>
    </w:p>
    <w:p w14:paraId="050BA8D0">
      <w:pPr>
        <w:pStyle w:val="123"/>
        <w:numPr>
          <w:ilvl w:val="1"/>
          <w:numId w:val="0"/>
        </w:numPr>
        <w:tabs>
          <w:tab w:val="left" w:pos="1793"/>
        </w:tabs>
        <w:spacing w:before="0" w:after="0" w:line="362" w:lineRule="auto"/>
        <w:ind w:left="0" w:leftChars="0" w:right="726" w:rightChars="0" w:firstLine="498" w:firstLineChars="213"/>
        <w:jc w:val="left"/>
        <w:rPr>
          <w:rFonts w:hint="eastAsia" w:ascii="宋体" w:hAnsi="宋体" w:eastAsia="宋体" w:cs="宋体"/>
          <w:sz w:val="24"/>
          <w:szCs w:val="24"/>
          <w:highlight w:val="none"/>
        </w:rPr>
      </w:pPr>
      <w:r>
        <w:rPr>
          <w:rFonts w:hint="eastAsia" w:ascii="宋体" w:hAnsi="宋体" w:eastAsia="宋体" w:cs="宋体"/>
          <w:spacing w:val="-3"/>
          <w:sz w:val="24"/>
          <w:szCs w:val="24"/>
          <w:highlight w:val="none"/>
          <w:lang w:val="en-US" w:eastAsia="zh-CN"/>
        </w:rPr>
        <w:t>30</w:t>
      </w:r>
      <w:r>
        <w:rPr>
          <w:rFonts w:hint="eastAsia" w:ascii="宋体" w:hAnsi="宋体" w:eastAsia="宋体" w:cs="宋体"/>
          <w:spacing w:val="-3"/>
          <w:sz w:val="24"/>
          <w:szCs w:val="24"/>
          <w:highlight w:val="none"/>
        </w:rPr>
        <w:t>．中标人的确定</w:t>
      </w:r>
    </w:p>
    <w:p w14:paraId="4A30D756">
      <w:pPr>
        <w:pStyle w:val="123"/>
        <w:numPr>
          <w:ilvl w:val="0"/>
          <w:numId w:val="0"/>
        </w:numPr>
        <w:tabs>
          <w:tab w:val="left" w:pos="1803"/>
        </w:tabs>
        <w:spacing w:before="0" w:after="0" w:line="362" w:lineRule="auto"/>
        <w:ind w:left="0" w:leftChars="0" w:right="312" w:rightChars="0" w:firstLine="536" w:firstLineChars="213"/>
        <w:jc w:val="left"/>
        <w:rPr>
          <w:rFonts w:hint="eastAsia" w:ascii="宋体" w:hAnsi="宋体" w:eastAsia="宋体" w:cs="宋体"/>
          <w:sz w:val="24"/>
          <w:szCs w:val="24"/>
          <w:highlight w:val="none"/>
        </w:rPr>
      </w:pPr>
      <w:r>
        <w:rPr>
          <w:rFonts w:hint="eastAsia" w:ascii="宋体" w:hAnsi="宋体" w:eastAsia="宋体" w:cs="宋体"/>
          <w:spacing w:val="6"/>
          <w:sz w:val="24"/>
          <w:szCs w:val="24"/>
          <w:highlight w:val="none"/>
          <w:lang w:val="en-US" w:eastAsia="zh-CN"/>
        </w:rPr>
        <w:t>30.1</w:t>
      </w:r>
      <w:r>
        <w:rPr>
          <w:rFonts w:hint="eastAsia" w:ascii="宋体" w:hAnsi="宋体" w:eastAsia="宋体" w:cs="宋体"/>
          <w:spacing w:val="6"/>
          <w:sz w:val="24"/>
          <w:szCs w:val="24"/>
          <w:highlight w:val="none"/>
        </w:rPr>
        <w:t>磋商小组按照磋商文件的磋商办法负责向采购人推荐一家或一至三</w:t>
      </w:r>
      <w:r>
        <w:rPr>
          <w:rFonts w:hint="eastAsia" w:ascii="宋体" w:hAnsi="宋体" w:eastAsia="宋体" w:cs="宋体"/>
          <w:spacing w:val="-2"/>
          <w:sz w:val="24"/>
          <w:szCs w:val="24"/>
          <w:highlight w:val="none"/>
        </w:rPr>
        <w:t>家供应商为中标候选人。</w:t>
      </w:r>
    </w:p>
    <w:p w14:paraId="23D9615E">
      <w:pPr>
        <w:spacing w:before="45"/>
        <w:ind w:left="0" w:leftChars="0" w:right="0" w:firstLine="513" w:firstLineChars="213"/>
        <w:jc w:val="left"/>
        <w:rPr>
          <w:rFonts w:hint="eastAsia" w:ascii="宋体" w:hAnsi="宋体" w:eastAsia="宋体" w:cs="宋体"/>
          <w:b/>
          <w:sz w:val="24"/>
          <w:szCs w:val="24"/>
          <w:highlight w:val="none"/>
        </w:rPr>
      </w:pPr>
      <w:r>
        <w:rPr>
          <w:rFonts w:hint="eastAsia" w:ascii="宋体" w:hAnsi="宋体" w:eastAsia="宋体" w:cs="宋体"/>
          <w:b/>
          <w:sz w:val="24"/>
          <w:szCs w:val="24"/>
          <w:highlight w:val="none"/>
          <w:lang w:val="zh-CN" w:eastAsia="zh-CN"/>
        </w:rPr>
        <w:t>中标供应商拒绝与采购人签订合同的，采购人可以按照评审报告推荐</w:t>
      </w:r>
      <w:r>
        <w:rPr>
          <w:rFonts w:hint="eastAsia" w:ascii="宋体" w:hAnsi="宋体" w:eastAsia="宋体" w:cs="宋体"/>
          <w:b/>
          <w:sz w:val="24"/>
          <w:szCs w:val="24"/>
          <w:highlight w:val="none"/>
        </w:rPr>
        <w:t>的中标人名单排序，确定下一候选人为中标人，也可以重新开展政府采购活动。</w:t>
      </w:r>
    </w:p>
    <w:p w14:paraId="3FDB0CBE">
      <w:pPr>
        <w:pStyle w:val="123"/>
        <w:numPr>
          <w:ilvl w:val="0"/>
          <w:numId w:val="0"/>
        </w:numPr>
        <w:tabs>
          <w:tab w:val="left" w:pos="1654"/>
        </w:tabs>
        <w:spacing w:before="181" w:after="0" w:line="240" w:lineRule="auto"/>
        <w:ind w:left="0" w:leftChars="0" w:right="0" w:rightChars="0" w:firstLine="502" w:firstLineChars="213"/>
        <w:jc w:val="both"/>
        <w:rPr>
          <w:rFonts w:hint="eastAsia" w:ascii="宋体" w:hAnsi="宋体" w:eastAsia="宋体" w:cs="宋体"/>
          <w:sz w:val="24"/>
          <w:szCs w:val="24"/>
          <w:highlight w:val="none"/>
        </w:rPr>
      </w:pPr>
      <w:r>
        <w:rPr>
          <w:rFonts w:hint="eastAsia" w:ascii="宋体" w:hAnsi="宋体" w:eastAsia="宋体" w:cs="宋体"/>
          <w:spacing w:val="-2"/>
          <w:sz w:val="24"/>
          <w:szCs w:val="24"/>
          <w:highlight w:val="none"/>
          <w:lang w:val="en-US" w:eastAsia="zh-CN"/>
        </w:rPr>
        <w:t>31、</w:t>
      </w:r>
      <w:r>
        <w:rPr>
          <w:rFonts w:hint="eastAsia" w:ascii="宋体" w:hAnsi="宋体" w:eastAsia="宋体" w:cs="宋体"/>
          <w:spacing w:val="-2"/>
          <w:sz w:val="24"/>
          <w:szCs w:val="24"/>
          <w:highlight w:val="none"/>
        </w:rPr>
        <w:t>中标通知</w:t>
      </w:r>
    </w:p>
    <w:p w14:paraId="1E34AFAB">
      <w:pPr>
        <w:pStyle w:val="123"/>
        <w:numPr>
          <w:ilvl w:val="0"/>
          <w:numId w:val="0"/>
        </w:numPr>
        <w:tabs>
          <w:tab w:val="left" w:pos="1793"/>
        </w:tabs>
        <w:spacing w:before="182" w:after="0" w:line="362" w:lineRule="auto"/>
        <w:ind w:left="0" w:leftChars="0" w:right="310" w:rightChars="0" w:firstLine="494" w:firstLineChars="213"/>
        <w:jc w:val="both"/>
        <w:rPr>
          <w:rFonts w:hint="eastAsia" w:ascii="宋体" w:hAnsi="宋体" w:eastAsia="宋体" w:cs="宋体"/>
          <w:sz w:val="24"/>
          <w:szCs w:val="24"/>
          <w:highlight w:val="none"/>
        </w:rPr>
      </w:pPr>
      <w:r>
        <w:rPr>
          <w:rFonts w:hint="eastAsia" w:ascii="宋体" w:hAnsi="宋体" w:eastAsia="宋体" w:cs="宋体"/>
          <w:spacing w:val="-4"/>
          <w:sz w:val="24"/>
          <w:szCs w:val="24"/>
          <w:highlight w:val="none"/>
          <w:lang w:val="en-US" w:eastAsia="zh-CN"/>
        </w:rPr>
        <w:t>31.1</w:t>
      </w:r>
      <w:r>
        <w:rPr>
          <w:rFonts w:hint="eastAsia" w:ascii="宋体" w:hAnsi="宋体" w:eastAsia="宋体" w:cs="宋体"/>
          <w:spacing w:val="-4"/>
          <w:sz w:val="24"/>
          <w:szCs w:val="24"/>
          <w:highlight w:val="none"/>
        </w:rPr>
        <w:t>采购代理机构将在中标结果公示发布的同时，以书面形式向中标单位</w:t>
      </w:r>
      <w:r>
        <w:rPr>
          <w:rFonts w:hint="eastAsia" w:ascii="宋体" w:hAnsi="宋体" w:eastAsia="宋体" w:cs="宋体"/>
          <w:spacing w:val="-3"/>
          <w:sz w:val="24"/>
          <w:szCs w:val="24"/>
          <w:highlight w:val="none"/>
        </w:rPr>
        <w:t>发出《成交通知书》。</w:t>
      </w:r>
    </w:p>
    <w:p w14:paraId="77020EFC">
      <w:pPr>
        <w:pStyle w:val="123"/>
        <w:numPr>
          <w:ilvl w:val="1"/>
          <w:numId w:val="0"/>
        </w:numPr>
        <w:tabs>
          <w:tab w:val="left" w:pos="1793"/>
        </w:tabs>
        <w:spacing w:before="0" w:after="0" w:line="362" w:lineRule="auto"/>
        <w:ind w:left="0" w:leftChars="0" w:right="310" w:rightChars="0" w:firstLine="494" w:firstLineChars="213"/>
        <w:jc w:val="both"/>
        <w:rPr>
          <w:rFonts w:hint="eastAsia" w:ascii="宋体" w:hAnsi="宋体" w:eastAsia="宋体" w:cs="宋体"/>
          <w:sz w:val="24"/>
          <w:szCs w:val="24"/>
          <w:highlight w:val="none"/>
        </w:rPr>
      </w:pPr>
      <w:r>
        <w:rPr>
          <w:rFonts w:hint="eastAsia" w:ascii="宋体" w:hAnsi="宋体" w:eastAsia="宋体" w:cs="宋体"/>
          <w:spacing w:val="-4"/>
          <w:sz w:val="24"/>
          <w:szCs w:val="24"/>
          <w:highlight w:val="none"/>
          <w:lang w:val="en-US" w:eastAsia="zh-CN"/>
        </w:rPr>
        <w:t>31.2</w:t>
      </w:r>
      <w:r>
        <w:rPr>
          <w:rFonts w:hint="eastAsia" w:ascii="宋体" w:hAnsi="宋体" w:eastAsia="宋体" w:cs="宋体"/>
          <w:spacing w:val="-5"/>
          <w:sz w:val="24"/>
          <w:szCs w:val="24"/>
          <w:highlight w:val="none"/>
        </w:rPr>
        <w:t>采购代理机构在《成交通知书》发出后五个工作日内退还未中标人的</w:t>
      </w:r>
      <w:r>
        <w:rPr>
          <w:rFonts w:hint="eastAsia" w:ascii="宋体" w:hAnsi="宋体" w:eastAsia="宋体" w:cs="宋体"/>
          <w:spacing w:val="-3"/>
          <w:sz w:val="24"/>
          <w:szCs w:val="24"/>
          <w:highlight w:val="none"/>
        </w:rPr>
        <w:t>磋商保证金，在采购合同签订后五个工作日内退还中标人的磋商保证金。对于所有供应商的响应文件均不予以退还，但对其承担保密责任。</w:t>
      </w:r>
    </w:p>
    <w:p w14:paraId="42A184E0">
      <w:pPr>
        <w:pStyle w:val="123"/>
        <w:numPr>
          <w:ilvl w:val="0"/>
          <w:numId w:val="0"/>
        </w:numPr>
        <w:tabs>
          <w:tab w:val="left" w:pos="1654"/>
        </w:tabs>
        <w:spacing w:before="0" w:after="0" w:line="354" w:lineRule="exact"/>
        <w:ind w:left="0" w:leftChars="0" w:right="0" w:rightChars="0" w:firstLine="502" w:firstLineChars="213"/>
        <w:jc w:val="both"/>
        <w:rPr>
          <w:rFonts w:hint="eastAsia" w:ascii="宋体" w:hAnsi="宋体" w:eastAsia="宋体" w:cs="宋体"/>
          <w:sz w:val="24"/>
          <w:szCs w:val="24"/>
          <w:highlight w:val="none"/>
        </w:rPr>
      </w:pPr>
      <w:r>
        <w:rPr>
          <w:rFonts w:hint="eastAsia" w:ascii="宋体" w:hAnsi="宋体" w:eastAsia="宋体" w:cs="宋体"/>
          <w:spacing w:val="-2"/>
          <w:w w:val="100"/>
          <w:kern w:val="0"/>
          <w:sz w:val="24"/>
          <w:szCs w:val="24"/>
          <w:highlight w:val="none"/>
          <w:lang w:val="en-US" w:eastAsia="zh-CN" w:bidi="zh-CN"/>
        </w:rPr>
        <w:t>32</w:t>
      </w:r>
      <w:r>
        <w:rPr>
          <w:rFonts w:hint="default" w:ascii="宋体" w:hAnsi="宋体" w:eastAsia="宋体" w:cs="宋体"/>
          <w:spacing w:val="-2"/>
          <w:w w:val="100"/>
          <w:kern w:val="0"/>
          <w:sz w:val="24"/>
          <w:szCs w:val="24"/>
          <w:highlight w:val="none"/>
          <w:lang w:val="zh-CN" w:eastAsia="zh-CN" w:bidi="zh-CN"/>
        </w:rPr>
        <w:t>.</w:t>
      </w:r>
      <w:r>
        <w:rPr>
          <w:rFonts w:hint="eastAsia" w:ascii="宋体" w:hAnsi="宋体" w:eastAsia="宋体" w:cs="宋体"/>
          <w:spacing w:val="-3"/>
          <w:sz w:val="24"/>
          <w:szCs w:val="24"/>
          <w:highlight w:val="none"/>
        </w:rPr>
        <w:t>拒绝某些或所有磋商的权力。</w:t>
      </w:r>
    </w:p>
    <w:p w14:paraId="3532D09D">
      <w:pPr>
        <w:pStyle w:val="123"/>
        <w:numPr>
          <w:ilvl w:val="1"/>
          <w:numId w:val="0"/>
        </w:numPr>
        <w:tabs>
          <w:tab w:val="left" w:pos="1793"/>
        </w:tabs>
        <w:spacing w:before="177" w:after="0" w:line="362" w:lineRule="auto"/>
        <w:ind w:left="0" w:leftChars="0" w:right="310" w:rightChars="0" w:firstLine="587" w:firstLineChars="213"/>
        <w:jc w:val="both"/>
        <w:rPr>
          <w:rFonts w:hint="eastAsia" w:ascii="宋体" w:hAnsi="宋体" w:eastAsia="宋体" w:cs="宋体"/>
          <w:sz w:val="24"/>
          <w:szCs w:val="24"/>
          <w:highlight w:val="none"/>
        </w:rPr>
      </w:pPr>
      <w:r>
        <w:rPr>
          <w:rFonts w:hint="eastAsia" w:ascii="仿宋" w:hAnsi="仿宋" w:eastAsia="仿宋" w:cs="仿宋"/>
          <w:spacing w:val="-2"/>
          <w:w w:val="100"/>
          <w:kern w:val="0"/>
          <w:sz w:val="28"/>
          <w:szCs w:val="28"/>
          <w:highlight w:val="none"/>
          <w:lang w:val="en-US" w:eastAsia="zh-CN" w:bidi="zh-CN"/>
        </w:rPr>
        <w:t>32.1</w:t>
      </w:r>
      <w:r>
        <w:rPr>
          <w:rFonts w:hint="eastAsia" w:ascii="宋体" w:hAnsi="宋体" w:eastAsia="宋体" w:cs="宋体"/>
          <w:spacing w:val="-5"/>
          <w:sz w:val="24"/>
          <w:szCs w:val="24"/>
          <w:highlight w:val="none"/>
        </w:rPr>
        <w:t>采购人或采购代理机构有权在《成交通知书》发放之前的任何时候拒</w:t>
      </w:r>
      <w:r>
        <w:rPr>
          <w:rFonts w:hint="eastAsia" w:ascii="宋体" w:hAnsi="宋体" w:eastAsia="宋体" w:cs="宋体"/>
          <w:spacing w:val="-3"/>
          <w:sz w:val="24"/>
          <w:szCs w:val="24"/>
          <w:highlight w:val="none"/>
        </w:rPr>
        <w:t>绝任何有不正当行为或扰乱正常磋商工作的供应商，由此对相关供应商造成的损失不负责任。</w:t>
      </w:r>
    </w:p>
    <w:p w14:paraId="51F7EBB2">
      <w:pPr>
        <w:pStyle w:val="4"/>
        <w:spacing w:before="0" w:after="0" w:line="360" w:lineRule="auto"/>
        <w:ind w:left="0" w:leftChars="0" w:firstLine="641" w:firstLineChars="213"/>
        <w:rPr>
          <w:highlight w:val="none"/>
        </w:rPr>
      </w:pPr>
      <w:bookmarkStart w:id="64" w:name="_Toc17951"/>
      <w:bookmarkStart w:id="65" w:name="_Toc5562"/>
      <w:r>
        <w:rPr>
          <w:rFonts w:hint="eastAsia"/>
          <w:highlight w:val="none"/>
          <w:lang w:val="en-US" w:eastAsia="zh-CN"/>
        </w:rPr>
        <w:t>二</w:t>
      </w:r>
      <w:r>
        <w:rPr>
          <w:rFonts w:hint="eastAsia"/>
          <w:highlight w:val="none"/>
        </w:rPr>
        <w:t>、定标及</w:t>
      </w:r>
      <w:bookmarkStart w:id="66" w:name="_Toc9510640"/>
      <w:r>
        <w:rPr>
          <w:rFonts w:hint="eastAsia"/>
          <w:highlight w:val="none"/>
        </w:rPr>
        <w:t>合同授予</w:t>
      </w:r>
      <w:bookmarkEnd w:id="64"/>
      <w:bookmarkEnd w:id="65"/>
    </w:p>
    <w:bookmarkEnd w:id="66"/>
    <w:p w14:paraId="41E6BF40">
      <w:pPr>
        <w:adjustRightInd w:val="0"/>
        <w:snapToGrid w:val="0"/>
        <w:spacing w:line="360" w:lineRule="auto"/>
        <w:ind w:left="0" w:leftChars="0" w:firstLine="447" w:firstLineChars="213"/>
        <w:rPr>
          <w:rFonts w:hint="eastAsia"/>
          <w:highlight w:val="none"/>
        </w:rPr>
      </w:pPr>
      <w:r>
        <w:rPr>
          <w:rFonts w:hint="eastAsia"/>
          <w:highlight w:val="none"/>
          <w:lang w:val="en-US" w:eastAsia="zh-CN"/>
        </w:rPr>
        <w:t>33</w:t>
      </w:r>
      <w:r>
        <w:rPr>
          <w:rFonts w:hint="eastAsia"/>
          <w:highlight w:val="none"/>
        </w:rPr>
        <w:t>.签订合同</w:t>
      </w:r>
    </w:p>
    <w:p w14:paraId="11BDFC0E">
      <w:pPr>
        <w:adjustRightInd w:val="0"/>
        <w:snapToGrid w:val="0"/>
        <w:spacing w:line="360" w:lineRule="auto"/>
        <w:ind w:left="0" w:leftChars="0" w:firstLine="447" w:firstLineChars="213"/>
        <w:rPr>
          <w:rFonts w:hint="eastAsia"/>
          <w:highlight w:val="none"/>
        </w:rPr>
      </w:pPr>
      <w:r>
        <w:rPr>
          <w:rFonts w:hint="eastAsia"/>
          <w:highlight w:val="none"/>
          <w:lang w:val="en-US" w:eastAsia="zh-CN"/>
        </w:rPr>
        <w:t>33</w:t>
      </w:r>
      <w:r>
        <w:rPr>
          <w:rFonts w:hint="eastAsia"/>
          <w:highlight w:val="none"/>
        </w:rPr>
        <w:t>.1中标人收到《成交通知书》后，须按有关规定与磋商方签定经济合同。合同的签订一般在《成交通知书》发出后30天内进行，但采购人事先约定的情况除外。</w:t>
      </w:r>
    </w:p>
    <w:p w14:paraId="2DFD721B">
      <w:pPr>
        <w:adjustRightInd w:val="0"/>
        <w:snapToGrid w:val="0"/>
        <w:spacing w:line="360" w:lineRule="auto"/>
        <w:ind w:left="0" w:leftChars="0" w:firstLine="447" w:firstLineChars="213"/>
        <w:rPr>
          <w:rFonts w:hint="eastAsia"/>
          <w:highlight w:val="none"/>
        </w:rPr>
      </w:pPr>
      <w:r>
        <w:rPr>
          <w:rFonts w:hint="eastAsia"/>
          <w:highlight w:val="none"/>
          <w:lang w:val="en-US" w:eastAsia="zh-CN"/>
        </w:rPr>
        <w:t>33</w:t>
      </w:r>
      <w:r>
        <w:rPr>
          <w:rFonts w:hint="eastAsia"/>
          <w:highlight w:val="none"/>
        </w:rPr>
        <w:t>.2合同签订后，卖方应按合同的规定履行合同，未按规定履约的，采购人有权取消合同，并且不退还中标人的磋商保证金。</w:t>
      </w:r>
    </w:p>
    <w:p w14:paraId="2F8B0872">
      <w:pPr>
        <w:adjustRightInd w:val="0"/>
        <w:snapToGrid w:val="0"/>
        <w:spacing w:line="360" w:lineRule="auto"/>
        <w:ind w:left="0" w:leftChars="0" w:firstLine="447" w:firstLineChars="213"/>
        <w:rPr>
          <w:rFonts w:hint="eastAsia"/>
          <w:highlight w:val="none"/>
        </w:rPr>
      </w:pPr>
      <w:r>
        <w:rPr>
          <w:rFonts w:hint="eastAsia"/>
          <w:highlight w:val="none"/>
          <w:lang w:val="en-US" w:eastAsia="zh-CN"/>
        </w:rPr>
        <w:t>33</w:t>
      </w:r>
      <w:r>
        <w:rPr>
          <w:rFonts w:hint="eastAsia"/>
          <w:highlight w:val="none"/>
        </w:rPr>
        <w:t>.3中标合同不得转让或分包。如需对合同的非主体部分进行转让或分包，供应商必须在磋商文件中予以说明，并需经采购人同意。否则，采购人有权取消中标人的中标资格。</w:t>
      </w:r>
    </w:p>
    <w:p w14:paraId="3F12B4B8">
      <w:pPr>
        <w:adjustRightInd w:val="0"/>
        <w:snapToGrid w:val="0"/>
        <w:spacing w:line="360" w:lineRule="auto"/>
        <w:ind w:left="0" w:leftChars="0" w:firstLine="447" w:firstLineChars="213"/>
        <w:rPr>
          <w:rFonts w:hint="eastAsia"/>
          <w:highlight w:val="none"/>
        </w:rPr>
      </w:pPr>
      <w:r>
        <w:rPr>
          <w:rFonts w:hint="eastAsia"/>
          <w:highlight w:val="none"/>
          <w:lang w:val="en-US" w:eastAsia="zh-CN"/>
        </w:rPr>
        <w:t>33</w:t>
      </w:r>
      <w:r>
        <w:rPr>
          <w:rFonts w:hint="eastAsia"/>
          <w:highlight w:val="none"/>
        </w:rPr>
        <w:t>.4如中标人未按有关规定与采购人签订合同或提交合同履约保证金的， 采购人可以选择其他中标候选人为中标人，并组织中标人和采购人签订经济合同。</w:t>
      </w:r>
    </w:p>
    <w:p w14:paraId="213FDA38">
      <w:pPr>
        <w:adjustRightInd w:val="0"/>
        <w:snapToGrid w:val="0"/>
        <w:spacing w:line="360" w:lineRule="auto"/>
        <w:ind w:left="0" w:leftChars="0" w:firstLine="447" w:firstLineChars="213"/>
        <w:rPr>
          <w:rFonts w:hint="eastAsia"/>
          <w:highlight w:val="none"/>
        </w:rPr>
      </w:pPr>
      <w:r>
        <w:rPr>
          <w:rFonts w:hint="eastAsia"/>
          <w:highlight w:val="none"/>
          <w:lang w:val="en-US" w:eastAsia="zh-CN"/>
        </w:rPr>
        <w:t>33</w:t>
      </w:r>
      <w:r>
        <w:rPr>
          <w:rFonts w:hint="eastAsia"/>
          <w:highlight w:val="none"/>
        </w:rPr>
        <w:t>.5合同履约保证金的形式为银行保函，另有约定的，按照约定条件执行。</w:t>
      </w:r>
    </w:p>
    <w:p w14:paraId="763CF399">
      <w:pPr>
        <w:adjustRightInd w:val="0"/>
        <w:snapToGrid w:val="0"/>
        <w:spacing w:line="360" w:lineRule="auto"/>
        <w:ind w:left="0" w:leftChars="0" w:firstLine="447" w:firstLineChars="213"/>
        <w:rPr>
          <w:rFonts w:hint="eastAsia"/>
          <w:highlight w:val="none"/>
        </w:rPr>
      </w:pPr>
      <w:r>
        <w:rPr>
          <w:rFonts w:hint="eastAsia"/>
          <w:highlight w:val="none"/>
        </w:rPr>
        <w:t>3</w:t>
      </w:r>
      <w:r>
        <w:rPr>
          <w:rFonts w:hint="eastAsia"/>
          <w:highlight w:val="none"/>
          <w:lang w:val="en-US" w:eastAsia="zh-CN"/>
        </w:rPr>
        <w:t>4</w:t>
      </w:r>
      <w:r>
        <w:rPr>
          <w:rFonts w:hint="eastAsia"/>
          <w:highlight w:val="none"/>
        </w:rPr>
        <w:t>.合同的组成</w:t>
      </w:r>
    </w:p>
    <w:p w14:paraId="7ED496B5">
      <w:pPr>
        <w:adjustRightInd w:val="0"/>
        <w:snapToGrid w:val="0"/>
        <w:spacing w:line="360" w:lineRule="auto"/>
        <w:ind w:left="0" w:leftChars="0" w:firstLine="447" w:firstLineChars="213"/>
        <w:rPr>
          <w:rFonts w:hint="eastAsia"/>
          <w:highlight w:val="none"/>
        </w:rPr>
      </w:pPr>
      <w:r>
        <w:rPr>
          <w:rFonts w:hint="eastAsia"/>
          <w:highlight w:val="none"/>
          <w:lang w:val="en-US" w:eastAsia="zh-CN"/>
        </w:rPr>
        <w:t>34</w:t>
      </w:r>
      <w:r>
        <w:rPr>
          <w:rFonts w:hint="eastAsia"/>
          <w:highlight w:val="none"/>
        </w:rPr>
        <w:t>.1下列文件均为经济合同不可分割的组成部分：</w:t>
      </w:r>
    </w:p>
    <w:p w14:paraId="5FF56ACD">
      <w:pPr>
        <w:adjustRightInd w:val="0"/>
        <w:snapToGrid w:val="0"/>
        <w:spacing w:line="360" w:lineRule="auto"/>
        <w:ind w:left="0" w:leftChars="0" w:firstLine="447" w:firstLineChars="213"/>
        <w:rPr>
          <w:rFonts w:hint="eastAsia"/>
          <w:highlight w:val="none"/>
        </w:rPr>
      </w:pPr>
      <w:r>
        <w:rPr>
          <w:rFonts w:hint="eastAsia"/>
          <w:highlight w:val="none"/>
        </w:rPr>
        <w:t>3</w:t>
      </w:r>
      <w:r>
        <w:rPr>
          <w:rFonts w:hint="eastAsia"/>
          <w:highlight w:val="none"/>
          <w:lang w:val="en-US" w:eastAsia="zh-CN"/>
        </w:rPr>
        <w:t>4</w:t>
      </w:r>
      <w:r>
        <w:rPr>
          <w:rFonts w:hint="eastAsia"/>
          <w:highlight w:val="none"/>
        </w:rPr>
        <w:t>.1.1磋商文件及其附件、补遗文件；</w:t>
      </w:r>
    </w:p>
    <w:p w14:paraId="142ADA00">
      <w:pPr>
        <w:adjustRightInd w:val="0"/>
        <w:snapToGrid w:val="0"/>
        <w:spacing w:line="360" w:lineRule="auto"/>
        <w:ind w:left="0" w:leftChars="0" w:firstLine="447" w:firstLineChars="213"/>
        <w:rPr>
          <w:rFonts w:hint="eastAsia"/>
          <w:highlight w:val="none"/>
        </w:rPr>
      </w:pPr>
      <w:r>
        <w:rPr>
          <w:rFonts w:hint="eastAsia"/>
          <w:highlight w:val="none"/>
        </w:rPr>
        <w:t>3</w:t>
      </w:r>
      <w:r>
        <w:rPr>
          <w:rFonts w:hint="eastAsia"/>
          <w:highlight w:val="none"/>
          <w:lang w:val="en-US" w:eastAsia="zh-CN"/>
        </w:rPr>
        <w:t>4</w:t>
      </w:r>
      <w:r>
        <w:rPr>
          <w:rFonts w:hint="eastAsia"/>
          <w:highlight w:val="none"/>
        </w:rPr>
        <w:t>.1.2成交人的响应文件及其他附件；</w:t>
      </w:r>
    </w:p>
    <w:p w14:paraId="0A092514">
      <w:pPr>
        <w:adjustRightInd w:val="0"/>
        <w:snapToGrid w:val="0"/>
        <w:spacing w:line="360" w:lineRule="auto"/>
        <w:ind w:left="0" w:leftChars="0" w:firstLine="447" w:firstLineChars="213"/>
        <w:rPr>
          <w:rFonts w:hint="eastAsia"/>
          <w:highlight w:val="none"/>
        </w:rPr>
      </w:pPr>
      <w:r>
        <w:rPr>
          <w:rFonts w:hint="eastAsia"/>
          <w:highlight w:val="none"/>
        </w:rPr>
        <w:t>3</w:t>
      </w:r>
      <w:r>
        <w:rPr>
          <w:rFonts w:hint="eastAsia"/>
          <w:highlight w:val="none"/>
          <w:lang w:val="en-US" w:eastAsia="zh-CN"/>
        </w:rPr>
        <w:t>4</w:t>
      </w:r>
      <w:r>
        <w:rPr>
          <w:rFonts w:hint="eastAsia"/>
          <w:highlight w:val="none"/>
        </w:rPr>
        <w:t>.1.3经确认的答疑记录；</w:t>
      </w:r>
    </w:p>
    <w:p w14:paraId="70D13E26">
      <w:pPr>
        <w:adjustRightInd w:val="0"/>
        <w:snapToGrid w:val="0"/>
        <w:spacing w:line="360" w:lineRule="auto"/>
        <w:ind w:left="0" w:leftChars="0" w:firstLine="447" w:firstLineChars="213"/>
        <w:rPr>
          <w:rFonts w:asciiTheme="majorEastAsia" w:hAnsiTheme="majorEastAsia" w:eastAsiaTheme="majorEastAsia" w:cstheme="majorEastAsia"/>
          <w:sz w:val="24"/>
          <w:szCs w:val="24"/>
          <w:highlight w:val="none"/>
        </w:rPr>
      </w:pPr>
      <w:r>
        <w:rPr>
          <w:rFonts w:hint="eastAsia"/>
          <w:highlight w:val="none"/>
          <w:lang w:val="en-US" w:eastAsia="zh-CN"/>
        </w:rPr>
        <w:t>34.1.4</w:t>
      </w:r>
      <w:r>
        <w:rPr>
          <w:rFonts w:hint="eastAsia"/>
          <w:highlight w:val="none"/>
        </w:rPr>
        <w:t>成交通知书。</w:t>
      </w:r>
    </w:p>
    <w:p w14:paraId="073C0D2A">
      <w:pPr>
        <w:pStyle w:val="5"/>
        <w:spacing w:before="0" w:after="0" w:line="360" w:lineRule="auto"/>
        <w:ind w:left="0" w:leftChars="0" w:firstLine="599" w:firstLineChars="213"/>
        <w:rPr>
          <w:highlight w:val="none"/>
        </w:rPr>
      </w:pPr>
      <w:bookmarkStart w:id="67" w:name="_Toc15336"/>
      <w:r>
        <w:rPr>
          <w:rFonts w:hint="eastAsia"/>
          <w:highlight w:val="none"/>
        </w:rPr>
        <w:t>32、其他说明</w:t>
      </w:r>
      <w:bookmarkEnd w:id="67"/>
    </w:p>
    <w:p w14:paraId="21AE714A">
      <w:pPr>
        <w:adjustRightInd w:val="0"/>
        <w:snapToGrid w:val="0"/>
        <w:spacing w:line="360" w:lineRule="auto"/>
        <w:ind w:left="0" w:leftChars="0" w:firstLine="511" w:firstLineChars="213"/>
        <w:rPr>
          <w:rFonts w:asciiTheme="majorEastAsia" w:hAnsiTheme="majorEastAsia" w:eastAsiaTheme="majorEastAsia" w:cstheme="majorEastAsia"/>
          <w:bCs/>
          <w:sz w:val="24"/>
          <w:szCs w:val="24"/>
          <w:highlight w:val="none"/>
        </w:rPr>
      </w:pPr>
      <w:r>
        <w:rPr>
          <w:rFonts w:hint="eastAsia" w:asciiTheme="majorEastAsia" w:hAnsiTheme="majorEastAsia" w:eastAsiaTheme="majorEastAsia" w:cstheme="majorEastAsia"/>
          <w:bCs/>
          <w:sz w:val="24"/>
          <w:szCs w:val="24"/>
          <w:highlight w:val="none"/>
        </w:rPr>
        <w:t>保密要求：在合同期内或合同终止后，未征得有关方同意，不得泄露与本项目、本合同业务有关的保密资料。</w:t>
      </w:r>
    </w:p>
    <w:p w14:paraId="25BB574A">
      <w:pPr>
        <w:adjustRightInd w:val="0"/>
        <w:snapToGrid w:val="0"/>
        <w:spacing w:line="360" w:lineRule="auto"/>
        <w:ind w:left="0" w:leftChars="0" w:firstLine="511" w:firstLineChars="213"/>
        <w:rPr>
          <w:rFonts w:asciiTheme="majorEastAsia" w:hAnsiTheme="majorEastAsia" w:eastAsiaTheme="majorEastAsia" w:cstheme="majorEastAsia"/>
          <w:bCs/>
          <w:sz w:val="24"/>
          <w:szCs w:val="24"/>
          <w:highlight w:val="none"/>
        </w:rPr>
      </w:pPr>
      <w:r>
        <w:rPr>
          <w:rFonts w:hint="eastAsia" w:asciiTheme="majorEastAsia" w:hAnsiTheme="majorEastAsia" w:eastAsiaTheme="majorEastAsia" w:cstheme="majorEastAsia"/>
          <w:bCs/>
          <w:sz w:val="24"/>
          <w:szCs w:val="24"/>
          <w:highlight w:val="none"/>
        </w:rPr>
        <w:t>本</w:t>
      </w:r>
      <w:r>
        <w:rPr>
          <w:rFonts w:hint="eastAsia" w:asciiTheme="majorEastAsia" w:hAnsiTheme="majorEastAsia" w:eastAsiaTheme="majorEastAsia" w:cstheme="majorEastAsia"/>
          <w:bCs/>
          <w:sz w:val="24"/>
          <w:szCs w:val="24"/>
          <w:highlight w:val="none"/>
          <w:lang w:eastAsia="zh-CN"/>
        </w:rPr>
        <w:t>磋商文件</w:t>
      </w:r>
      <w:r>
        <w:rPr>
          <w:rFonts w:hint="eastAsia" w:asciiTheme="majorEastAsia" w:hAnsiTheme="majorEastAsia" w:eastAsiaTheme="majorEastAsia" w:cstheme="majorEastAsia"/>
          <w:bCs/>
          <w:sz w:val="24"/>
          <w:szCs w:val="24"/>
          <w:highlight w:val="none"/>
        </w:rPr>
        <w:t>未尽事宜按现行招标投标的有关法律法规和规定执行。</w:t>
      </w:r>
    </w:p>
    <w:p w14:paraId="34C4B625">
      <w:pPr>
        <w:spacing w:line="360" w:lineRule="auto"/>
        <w:ind w:left="0" w:leftChars="0" w:firstLine="511" w:firstLineChars="213"/>
        <w:rPr>
          <w:rFonts w:asciiTheme="majorEastAsia" w:hAnsiTheme="majorEastAsia" w:eastAsiaTheme="majorEastAsia" w:cstheme="majorEastAsia"/>
          <w:bCs/>
          <w:sz w:val="24"/>
          <w:szCs w:val="24"/>
          <w:highlight w:val="none"/>
        </w:rPr>
      </w:pPr>
      <w:r>
        <w:rPr>
          <w:rFonts w:hint="eastAsia" w:asciiTheme="majorEastAsia" w:hAnsiTheme="majorEastAsia" w:eastAsiaTheme="majorEastAsia" w:cstheme="majorEastAsia"/>
          <w:bCs/>
          <w:sz w:val="24"/>
          <w:szCs w:val="24"/>
          <w:highlight w:val="none"/>
        </w:rPr>
        <w:br w:type="page"/>
      </w:r>
    </w:p>
    <w:p w14:paraId="0A7C42F3">
      <w:pPr>
        <w:spacing w:line="360" w:lineRule="auto"/>
        <w:ind w:left="0" w:leftChars="0" w:firstLine="447" w:firstLineChars="213"/>
        <w:rPr>
          <w:highlight w:val="none"/>
        </w:rPr>
      </w:pPr>
    </w:p>
    <w:bookmarkEnd w:id="16"/>
    <w:bookmarkEnd w:id="17"/>
    <w:bookmarkEnd w:id="18"/>
    <w:bookmarkEnd w:id="19"/>
    <w:bookmarkEnd w:id="20"/>
    <w:bookmarkEnd w:id="21"/>
    <w:bookmarkEnd w:id="31"/>
    <w:p w14:paraId="370003D1">
      <w:pPr>
        <w:pStyle w:val="2"/>
        <w:spacing w:line="360" w:lineRule="auto"/>
        <w:ind w:left="0" w:leftChars="0" w:firstLine="684" w:firstLineChars="213"/>
        <w:rPr>
          <w:highlight w:val="none"/>
        </w:rPr>
      </w:pPr>
      <w:bookmarkStart w:id="68" w:name="_Toc15450"/>
      <w:bookmarkStart w:id="69" w:name="_Toc12223"/>
      <w:bookmarkStart w:id="70" w:name="_Toc26728"/>
      <w:r>
        <w:rPr>
          <w:rFonts w:hint="eastAsia"/>
          <w:highlight w:val="none"/>
        </w:rPr>
        <w:t>第四章 拟订立的合同样本</w:t>
      </w:r>
      <w:bookmarkEnd w:id="68"/>
      <w:bookmarkEnd w:id="69"/>
      <w:bookmarkEnd w:id="70"/>
    </w:p>
    <w:p w14:paraId="274092FB">
      <w:pPr>
        <w:pStyle w:val="3"/>
        <w:spacing w:line="360" w:lineRule="auto"/>
        <w:ind w:left="0" w:leftChars="0" w:firstLine="447" w:firstLineChars="213"/>
        <w:rPr>
          <w:highlight w:val="none"/>
        </w:rPr>
      </w:pPr>
    </w:p>
    <w:p w14:paraId="4EA6ECC6">
      <w:pPr>
        <w:pStyle w:val="3"/>
        <w:spacing w:line="360" w:lineRule="auto"/>
        <w:ind w:left="0" w:leftChars="0" w:firstLine="447" w:firstLineChars="213"/>
        <w:jc w:val="center"/>
        <w:rPr>
          <w:highlight w:val="none"/>
        </w:rPr>
      </w:pPr>
      <w:r>
        <w:rPr>
          <w:rFonts w:hint="eastAsia"/>
          <w:highlight w:val="none"/>
        </w:rPr>
        <w:t>本合同仅供参考，最终以与采购人实际签订合同为准。</w:t>
      </w:r>
    </w:p>
    <w:p w14:paraId="32DC2785">
      <w:pPr>
        <w:adjustRightInd w:val="0"/>
        <w:snapToGrid w:val="0"/>
        <w:spacing w:line="360" w:lineRule="auto"/>
        <w:ind w:left="0" w:leftChars="0" w:firstLine="513" w:firstLineChars="213"/>
        <w:jc w:val="right"/>
        <w:rPr>
          <w:rFonts w:hAnsi="宋体"/>
          <w:sz w:val="24"/>
          <w:highlight w:val="none"/>
        </w:rPr>
      </w:pPr>
      <w:r>
        <w:rPr>
          <w:rFonts w:hint="eastAsia" w:hAnsi="宋体"/>
          <w:b/>
          <w:bCs/>
          <w:sz w:val="24"/>
          <w:highlight w:val="none"/>
        </w:rPr>
        <w:t xml:space="preserve">                 </w:t>
      </w:r>
    </w:p>
    <w:p w14:paraId="6890E816">
      <w:pPr>
        <w:adjustRightInd w:val="0"/>
        <w:snapToGrid w:val="0"/>
        <w:spacing w:line="360" w:lineRule="auto"/>
        <w:ind w:left="0" w:leftChars="0" w:firstLine="513" w:firstLineChars="213"/>
        <w:jc w:val="right"/>
        <w:rPr>
          <w:rFonts w:hAnsi="宋体"/>
          <w:sz w:val="24"/>
          <w:highlight w:val="none"/>
        </w:rPr>
      </w:pPr>
      <w:r>
        <w:rPr>
          <w:rFonts w:hint="eastAsia" w:hAnsi="宋体"/>
          <w:b/>
          <w:bCs/>
          <w:sz w:val="24"/>
          <w:highlight w:val="none"/>
        </w:rPr>
        <w:t xml:space="preserve">                 </w:t>
      </w:r>
    </w:p>
    <w:p w14:paraId="17A2FA4A">
      <w:pPr>
        <w:adjustRightInd w:val="0"/>
        <w:snapToGrid w:val="0"/>
        <w:spacing w:line="360" w:lineRule="auto"/>
        <w:ind w:left="0" w:leftChars="0" w:firstLine="511" w:firstLineChars="213"/>
        <w:jc w:val="left"/>
        <w:rPr>
          <w:rFonts w:hAnsi="宋体"/>
          <w:sz w:val="24"/>
          <w:highlight w:val="none"/>
        </w:rPr>
      </w:pPr>
    </w:p>
    <w:p w14:paraId="2EE6E245">
      <w:pPr>
        <w:adjustRightInd w:val="0"/>
        <w:snapToGrid w:val="0"/>
        <w:spacing w:line="360" w:lineRule="auto"/>
        <w:ind w:left="0" w:leftChars="0" w:firstLine="511" w:firstLineChars="213"/>
        <w:jc w:val="left"/>
        <w:rPr>
          <w:rFonts w:hAnsi="宋体"/>
          <w:sz w:val="24"/>
          <w:highlight w:val="none"/>
        </w:rPr>
      </w:pPr>
    </w:p>
    <w:p w14:paraId="47ACFB17">
      <w:pPr>
        <w:adjustRightInd w:val="0"/>
        <w:snapToGrid w:val="0"/>
        <w:spacing w:line="360" w:lineRule="auto"/>
        <w:ind w:left="0" w:leftChars="0" w:firstLine="511" w:firstLineChars="213"/>
        <w:jc w:val="left"/>
        <w:rPr>
          <w:rFonts w:hAnsi="宋体"/>
          <w:sz w:val="24"/>
          <w:highlight w:val="none"/>
        </w:rPr>
      </w:pPr>
    </w:p>
    <w:p w14:paraId="383DEF2E">
      <w:pPr>
        <w:adjustRightInd w:val="0"/>
        <w:snapToGrid w:val="0"/>
        <w:spacing w:line="360" w:lineRule="auto"/>
        <w:ind w:left="0" w:leftChars="0" w:firstLine="511" w:firstLineChars="213"/>
        <w:jc w:val="left"/>
        <w:rPr>
          <w:rFonts w:hAnsi="宋体"/>
          <w:sz w:val="24"/>
          <w:highlight w:val="none"/>
        </w:rPr>
      </w:pPr>
    </w:p>
    <w:p w14:paraId="5236855B">
      <w:pPr>
        <w:adjustRightInd w:val="0"/>
        <w:snapToGrid w:val="0"/>
        <w:spacing w:line="360" w:lineRule="auto"/>
        <w:ind w:left="0" w:leftChars="0" w:firstLine="1540" w:firstLineChars="213"/>
        <w:jc w:val="center"/>
        <w:rPr>
          <w:rFonts w:hAnsi="宋体"/>
          <w:b/>
          <w:bCs/>
          <w:sz w:val="72"/>
          <w:szCs w:val="72"/>
          <w:highlight w:val="none"/>
        </w:rPr>
      </w:pPr>
      <w:r>
        <w:rPr>
          <w:rFonts w:hint="eastAsia" w:hAnsi="宋体"/>
          <w:b/>
          <w:bCs/>
          <w:sz w:val="72"/>
          <w:szCs w:val="72"/>
          <w:highlight w:val="none"/>
        </w:rPr>
        <w:t>主副食品采购合同</w:t>
      </w:r>
    </w:p>
    <w:p w14:paraId="07678408">
      <w:pPr>
        <w:adjustRightInd w:val="0"/>
        <w:snapToGrid w:val="0"/>
        <w:spacing w:line="360" w:lineRule="auto"/>
        <w:ind w:left="0" w:leftChars="0" w:firstLine="511" w:firstLineChars="213"/>
        <w:jc w:val="left"/>
        <w:rPr>
          <w:rFonts w:hAnsi="宋体"/>
          <w:sz w:val="24"/>
          <w:highlight w:val="none"/>
        </w:rPr>
      </w:pPr>
    </w:p>
    <w:p w14:paraId="5AA329D9">
      <w:pPr>
        <w:adjustRightInd w:val="0"/>
        <w:snapToGrid w:val="0"/>
        <w:spacing w:line="360" w:lineRule="auto"/>
        <w:ind w:left="0" w:leftChars="0" w:firstLine="511" w:firstLineChars="213"/>
        <w:jc w:val="left"/>
        <w:rPr>
          <w:rFonts w:hAnsi="宋体"/>
          <w:sz w:val="24"/>
          <w:highlight w:val="none"/>
        </w:rPr>
      </w:pPr>
    </w:p>
    <w:p w14:paraId="1F2EE1A7">
      <w:pPr>
        <w:adjustRightInd w:val="0"/>
        <w:snapToGrid w:val="0"/>
        <w:spacing w:line="360" w:lineRule="auto"/>
        <w:ind w:left="0" w:leftChars="0" w:firstLine="511" w:firstLineChars="213"/>
        <w:jc w:val="left"/>
        <w:rPr>
          <w:rFonts w:hAnsi="宋体"/>
          <w:sz w:val="24"/>
          <w:highlight w:val="none"/>
        </w:rPr>
      </w:pPr>
    </w:p>
    <w:p w14:paraId="0496A119">
      <w:pPr>
        <w:adjustRightInd w:val="0"/>
        <w:snapToGrid w:val="0"/>
        <w:spacing w:line="360" w:lineRule="auto"/>
        <w:ind w:left="0" w:leftChars="0" w:firstLine="511" w:firstLineChars="213"/>
        <w:jc w:val="left"/>
        <w:rPr>
          <w:rFonts w:hAnsi="宋体"/>
          <w:sz w:val="24"/>
          <w:highlight w:val="none"/>
        </w:rPr>
      </w:pPr>
    </w:p>
    <w:p w14:paraId="36D9B01A">
      <w:pPr>
        <w:adjustRightInd w:val="0"/>
        <w:snapToGrid w:val="0"/>
        <w:spacing w:line="360" w:lineRule="auto"/>
        <w:ind w:left="0" w:leftChars="0" w:firstLine="511" w:firstLineChars="213"/>
        <w:jc w:val="left"/>
        <w:rPr>
          <w:rFonts w:hAnsi="宋体"/>
          <w:sz w:val="24"/>
          <w:highlight w:val="none"/>
        </w:rPr>
      </w:pPr>
    </w:p>
    <w:p w14:paraId="7D29FF4A">
      <w:pPr>
        <w:adjustRightInd w:val="0"/>
        <w:snapToGrid w:val="0"/>
        <w:spacing w:line="360" w:lineRule="auto"/>
        <w:ind w:left="0" w:leftChars="0" w:firstLine="511" w:firstLineChars="213"/>
        <w:jc w:val="left"/>
        <w:rPr>
          <w:rFonts w:hAnsi="宋体"/>
          <w:sz w:val="24"/>
          <w:highlight w:val="none"/>
        </w:rPr>
      </w:pPr>
    </w:p>
    <w:p w14:paraId="68C2321C">
      <w:pPr>
        <w:adjustRightInd w:val="0"/>
        <w:snapToGrid w:val="0"/>
        <w:spacing w:line="360" w:lineRule="auto"/>
        <w:ind w:left="0" w:leftChars="0" w:firstLine="511" w:firstLineChars="213"/>
        <w:jc w:val="left"/>
        <w:rPr>
          <w:rFonts w:hAnsi="宋体"/>
          <w:sz w:val="24"/>
          <w:highlight w:val="none"/>
        </w:rPr>
      </w:pPr>
    </w:p>
    <w:p w14:paraId="4E18683B">
      <w:pPr>
        <w:adjustRightInd w:val="0"/>
        <w:snapToGrid w:val="0"/>
        <w:spacing w:line="360" w:lineRule="auto"/>
        <w:ind w:left="0" w:leftChars="0" w:firstLine="511" w:firstLineChars="213"/>
        <w:jc w:val="left"/>
        <w:rPr>
          <w:rFonts w:hAnsi="宋体"/>
          <w:sz w:val="24"/>
          <w:highlight w:val="none"/>
        </w:rPr>
      </w:pPr>
    </w:p>
    <w:p w14:paraId="5003891A">
      <w:pPr>
        <w:adjustRightInd w:val="0"/>
        <w:snapToGrid w:val="0"/>
        <w:spacing w:line="360" w:lineRule="auto"/>
        <w:ind w:left="0" w:leftChars="0" w:firstLine="599" w:firstLineChars="213"/>
        <w:jc w:val="left"/>
        <w:rPr>
          <w:rFonts w:hAnsi="宋体"/>
          <w:b/>
          <w:bCs/>
          <w:sz w:val="28"/>
          <w:szCs w:val="28"/>
          <w:highlight w:val="none"/>
        </w:rPr>
      </w:pPr>
    </w:p>
    <w:p w14:paraId="3BD03B40">
      <w:pPr>
        <w:adjustRightInd w:val="0"/>
        <w:snapToGrid w:val="0"/>
        <w:spacing w:line="360" w:lineRule="auto"/>
        <w:ind w:left="0" w:leftChars="0" w:firstLine="599" w:firstLineChars="213"/>
        <w:jc w:val="left"/>
        <w:rPr>
          <w:rFonts w:hAnsi="宋体"/>
          <w:b/>
          <w:bCs/>
          <w:sz w:val="28"/>
          <w:szCs w:val="28"/>
          <w:highlight w:val="none"/>
        </w:rPr>
      </w:pPr>
    </w:p>
    <w:p w14:paraId="6F0D0E6B">
      <w:pPr>
        <w:adjustRightInd w:val="0"/>
        <w:snapToGrid w:val="0"/>
        <w:spacing w:line="360" w:lineRule="auto"/>
        <w:ind w:left="0" w:leftChars="0" w:firstLine="639" w:firstLineChars="213"/>
        <w:jc w:val="left"/>
        <w:rPr>
          <w:rFonts w:ascii="新宋体" w:hAnsi="新宋体" w:eastAsia="新宋体" w:cs="新宋体"/>
          <w:sz w:val="30"/>
          <w:szCs w:val="30"/>
          <w:highlight w:val="none"/>
        </w:rPr>
      </w:pPr>
    </w:p>
    <w:p w14:paraId="1EA7C342">
      <w:pPr>
        <w:adjustRightInd w:val="0"/>
        <w:snapToGrid w:val="0"/>
        <w:spacing w:line="360" w:lineRule="auto"/>
        <w:ind w:left="0" w:leftChars="0" w:firstLine="641" w:firstLineChars="213"/>
        <w:jc w:val="left"/>
        <w:rPr>
          <w:rFonts w:ascii="新宋体" w:hAnsi="新宋体" w:eastAsia="新宋体" w:cs="新宋体"/>
          <w:sz w:val="30"/>
          <w:szCs w:val="30"/>
          <w:highlight w:val="none"/>
          <w:u w:val="single"/>
        </w:rPr>
      </w:pPr>
      <w:r>
        <w:rPr>
          <w:rFonts w:hint="eastAsia" w:ascii="新宋体" w:hAnsi="新宋体" w:eastAsia="新宋体" w:cs="新宋体"/>
          <w:b/>
          <w:bCs/>
          <w:sz w:val="30"/>
          <w:szCs w:val="30"/>
          <w:highlight w:val="none"/>
        </w:rPr>
        <w:t>甲    方</w:t>
      </w:r>
      <w:r>
        <w:rPr>
          <w:rFonts w:hint="eastAsia" w:ascii="新宋体" w:hAnsi="新宋体" w:eastAsia="新宋体" w:cs="新宋体"/>
          <w:sz w:val="30"/>
          <w:szCs w:val="30"/>
          <w:highlight w:val="none"/>
        </w:rPr>
        <w:t>：</w:t>
      </w:r>
      <w:r>
        <w:rPr>
          <w:rFonts w:hint="eastAsia" w:ascii="新宋体" w:hAnsi="新宋体" w:eastAsia="新宋体" w:cs="新宋体"/>
          <w:sz w:val="30"/>
          <w:szCs w:val="30"/>
          <w:highlight w:val="none"/>
          <w:u w:val="single"/>
        </w:rPr>
        <w:t xml:space="preserve">                                      </w:t>
      </w:r>
    </w:p>
    <w:p w14:paraId="0998C4ED">
      <w:pPr>
        <w:adjustRightInd w:val="0"/>
        <w:snapToGrid w:val="0"/>
        <w:spacing w:line="360" w:lineRule="auto"/>
        <w:ind w:left="0" w:leftChars="0" w:firstLine="641" w:firstLineChars="213"/>
        <w:jc w:val="left"/>
        <w:rPr>
          <w:rFonts w:ascii="新宋体" w:hAnsi="新宋体" w:eastAsia="新宋体" w:cs="新宋体"/>
          <w:sz w:val="30"/>
          <w:szCs w:val="30"/>
          <w:highlight w:val="none"/>
          <w:u w:val="single"/>
        </w:rPr>
      </w:pPr>
      <w:r>
        <w:rPr>
          <w:rFonts w:hint="eastAsia" w:ascii="新宋体" w:hAnsi="新宋体" w:eastAsia="新宋体" w:cs="新宋体"/>
          <w:b/>
          <w:bCs/>
          <w:sz w:val="30"/>
          <w:szCs w:val="30"/>
          <w:highlight w:val="none"/>
        </w:rPr>
        <w:t>乙    方</w:t>
      </w:r>
      <w:r>
        <w:rPr>
          <w:rFonts w:hint="eastAsia" w:ascii="新宋体" w:hAnsi="新宋体" w:eastAsia="新宋体" w:cs="新宋体"/>
          <w:sz w:val="30"/>
          <w:szCs w:val="30"/>
          <w:highlight w:val="none"/>
        </w:rPr>
        <w:t>：</w:t>
      </w:r>
      <w:r>
        <w:rPr>
          <w:rFonts w:hint="eastAsia" w:ascii="新宋体" w:hAnsi="新宋体" w:eastAsia="新宋体" w:cs="新宋体"/>
          <w:sz w:val="30"/>
          <w:szCs w:val="30"/>
          <w:highlight w:val="none"/>
          <w:u w:val="single"/>
        </w:rPr>
        <w:t xml:space="preserve">                                      </w:t>
      </w:r>
    </w:p>
    <w:p w14:paraId="17E20653">
      <w:pPr>
        <w:adjustRightInd w:val="0"/>
        <w:snapToGrid w:val="0"/>
        <w:spacing w:line="360" w:lineRule="auto"/>
        <w:ind w:left="0" w:leftChars="0" w:firstLine="641" w:firstLineChars="213"/>
        <w:jc w:val="left"/>
        <w:rPr>
          <w:rFonts w:ascii="新宋体" w:hAnsi="新宋体" w:eastAsia="新宋体" w:cs="新宋体"/>
          <w:sz w:val="30"/>
          <w:szCs w:val="30"/>
          <w:highlight w:val="none"/>
        </w:rPr>
      </w:pPr>
      <w:r>
        <w:rPr>
          <w:rFonts w:hint="eastAsia" w:ascii="新宋体" w:hAnsi="新宋体" w:eastAsia="新宋体" w:cs="新宋体"/>
          <w:b/>
          <w:bCs/>
          <w:sz w:val="30"/>
          <w:szCs w:val="30"/>
          <w:highlight w:val="none"/>
        </w:rPr>
        <w:t>签订地点</w:t>
      </w:r>
      <w:r>
        <w:rPr>
          <w:rFonts w:hint="eastAsia" w:ascii="新宋体" w:hAnsi="新宋体" w:eastAsia="新宋体" w:cs="新宋体"/>
          <w:sz w:val="30"/>
          <w:szCs w:val="30"/>
          <w:highlight w:val="none"/>
        </w:rPr>
        <w:t>：</w:t>
      </w:r>
    </w:p>
    <w:p w14:paraId="1245770A">
      <w:pPr>
        <w:adjustRightInd w:val="0"/>
        <w:snapToGrid w:val="0"/>
        <w:spacing w:line="360" w:lineRule="auto"/>
        <w:ind w:left="0" w:leftChars="0" w:firstLine="641" w:firstLineChars="213"/>
        <w:jc w:val="left"/>
        <w:rPr>
          <w:rFonts w:ascii="新宋体" w:hAnsi="新宋体" w:eastAsia="新宋体" w:cs="新宋体"/>
          <w:sz w:val="30"/>
          <w:szCs w:val="30"/>
          <w:highlight w:val="none"/>
        </w:rPr>
      </w:pPr>
      <w:r>
        <w:rPr>
          <w:rFonts w:hint="eastAsia" w:ascii="新宋体" w:hAnsi="新宋体" w:eastAsia="新宋体" w:cs="新宋体"/>
          <w:b/>
          <w:bCs/>
          <w:sz w:val="30"/>
          <w:szCs w:val="30"/>
          <w:highlight w:val="none"/>
        </w:rPr>
        <w:t>签订时间</w:t>
      </w:r>
      <w:r>
        <w:rPr>
          <w:rFonts w:hint="eastAsia" w:ascii="新宋体" w:hAnsi="新宋体" w:eastAsia="新宋体" w:cs="新宋体"/>
          <w:sz w:val="30"/>
          <w:szCs w:val="30"/>
          <w:highlight w:val="none"/>
        </w:rPr>
        <w:t>：     年    月    日</w:t>
      </w:r>
    </w:p>
    <w:p w14:paraId="7C6D8FDB">
      <w:pPr>
        <w:adjustRightInd w:val="0"/>
        <w:snapToGrid w:val="0"/>
        <w:spacing w:line="360" w:lineRule="auto"/>
        <w:ind w:left="0" w:leftChars="0" w:firstLine="639" w:firstLineChars="213"/>
        <w:jc w:val="left"/>
        <w:rPr>
          <w:rFonts w:ascii="新宋体" w:hAnsi="新宋体" w:eastAsia="新宋体" w:cs="新宋体"/>
          <w:sz w:val="30"/>
          <w:szCs w:val="30"/>
          <w:highlight w:val="none"/>
        </w:rPr>
      </w:pPr>
    </w:p>
    <w:p w14:paraId="042C5715">
      <w:pPr>
        <w:adjustRightInd w:val="0"/>
        <w:snapToGrid w:val="0"/>
        <w:spacing w:line="360" w:lineRule="auto"/>
        <w:ind w:left="0" w:leftChars="0" w:firstLine="639" w:firstLineChars="213"/>
        <w:jc w:val="left"/>
        <w:rPr>
          <w:rFonts w:ascii="新宋体" w:hAnsi="新宋体" w:eastAsia="新宋体" w:cs="新宋体"/>
          <w:sz w:val="30"/>
          <w:szCs w:val="30"/>
          <w:highlight w:val="none"/>
        </w:rPr>
      </w:pPr>
    </w:p>
    <w:p w14:paraId="5E94AFFC">
      <w:pPr>
        <w:adjustRightInd w:val="0"/>
        <w:snapToGrid w:val="0"/>
        <w:spacing w:line="360" w:lineRule="auto"/>
        <w:ind w:left="0" w:leftChars="0" w:firstLine="770" w:firstLineChars="213"/>
        <w:jc w:val="center"/>
        <w:rPr>
          <w:rFonts w:ascii="黑体" w:hAnsi="黑体" w:eastAsia="黑体" w:cs="黑体"/>
          <w:b/>
          <w:bCs/>
          <w:sz w:val="36"/>
          <w:szCs w:val="36"/>
          <w:highlight w:val="none"/>
        </w:rPr>
      </w:pPr>
      <w:r>
        <w:rPr>
          <w:rFonts w:hint="eastAsia" w:ascii="黑体" w:hAnsi="黑体" w:eastAsia="黑体" w:cs="黑体"/>
          <w:b/>
          <w:bCs/>
          <w:sz w:val="36"/>
          <w:szCs w:val="36"/>
          <w:highlight w:val="none"/>
        </w:rPr>
        <w:t>主副食品采购合同</w:t>
      </w:r>
    </w:p>
    <w:p w14:paraId="2C30A2C4">
      <w:pPr>
        <w:adjustRightInd w:val="0"/>
        <w:snapToGrid w:val="0"/>
        <w:spacing w:line="360" w:lineRule="auto"/>
        <w:ind w:left="0" w:leftChars="0" w:firstLine="449" w:firstLineChars="213"/>
        <w:rPr>
          <w:rFonts w:hAnsi="宋体"/>
          <w:b/>
          <w:bCs/>
          <w:highlight w:val="none"/>
        </w:rPr>
      </w:pPr>
    </w:p>
    <w:p w14:paraId="5671ED1D">
      <w:pPr>
        <w:adjustRightInd w:val="0"/>
        <w:snapToGrid w:val="0"/>
        <w:spacing w:line="400" w:lineRule="exact"/>
        <w:ind w:left="0" w:leftChars="0" w:firstLine="449" w:firstLineChars="213"/>
        <w:rPr>
          <w:rFonts w:hAnsi="宋体"/>
          <w:highlight w:val="none"/>
        </w:rPr>
      </w:pPr>
      <w:r>
        <w:rPr>
          <w:rFonts w:hint="eastAsia" w:hAnsi="宋体"/>
          <w:b/>
          <w:bCs/>
          <w:highlight w:val="none"/>
        </w:rPr>
        <w:t>甲方：</w:t>
      </w:r>
      <w:r>
        <w:rPr>
          <w:rFonts w:hint="eastAsia" w:hAnsi="宋体"/>
          <w:highlight w:val="none"/>
          <w:u w:val="single"/>
        </w:rPr>
        <w:t xml:space="preserve">                                      </w:t>
      </w:r>
      <w:r>
        <w:rPr>
          <w:rFonts w:hint="eastAsia" w:hAnsi="宋体"/>
          <w:highlight w:val="none"/>
        </w:rPr>
        <w:t>（以下简称甲方）</w:t>
      </w:r>
    </w:p>
    <w:p w14:paraId="5E9F1DA1">
      <w:pPr>
        <w:adjustRightInd w:val="0"/>
        <w:snapToGrid w:val="0"/>
        <w:spacing w:line="400" w:lineRule="exact"/>
        <w:ind w:left="0" w:leftChars="0" w:firstLine="449" w:firstLineChars="213"/>
        <w:rPr>
          <w:rFonts w:hAnsi="宋体"/>
          <w:highlight w:val="none"/>
        </w:rPr>
      </w:pPr>
      <w:r>
        <w:rPr>
          <w:rFonts w:hint="eastAsia" w:hAnsi="宋体"/>
          <w:b/>
          <w:bCs/>
          <w:highlight w:val="none"/>
        </w:rPr>
        <w:t>乙方：</w:t>
      </w:r>
      <w:r>
        <w:rPr>
          <w:rFonts w:hint="eastAsia" w:hAnsi="宋体"/>
          <w:highlight w:val="none"/>
          <w:u w:val="single"/>
        </w:rPr>
        <w:t xml:space="preserve">                                      </w:t>
      </w:r>
      <w:r>
        <w:rPr>
          <w:rFonts w:hint="eastAsia" w:hAnsi="宋体"/>
          <w:highlight w:val="none"/>
        </w:rPr>
        <w:t>（以下简称乙方）</w:t>
      </w:r>
    </w:p>
    <w:p w14:paraId="40E75549">
      <w:pPr>
        <w:adjustRightInd w:val="0"/>
        <w:snapToGrid w:val="0"/>
        <w:spacing w:line="400" w:lineRule="exact"/>
        <w:ind w:left="0" w:leftChars="0" w:firstLine="447" w:firstLineChars="213"/>
        <w:rPr>
          <w:rFonts w:hAnsi="宋体"/>
          <w:highlight w:val="none"/>
        </w:rPr>
      </w:pPr>
      <w:r>
        <w:rPr>
          <w:rFonts w:hint="eastAsia" w:hAnsi="宋体"/>
          <w:highlight w:val="none"/>
        </w:rPr>
        <w:t>依据《中华人民共和国民法典》、《中华人民共和国食品安全法》等法律法规，甲、乙双方本着平等互利、协商一致的原则，就甲方向乙方采购</w:t>
      </w:r>
      <w:r>
        <w:rPr>
          <w:rFonts w:hint="eastAsia" w:hAnsi="宋体"/>
          <w:highlight w:val="none"/>
          <w:u w:val="single"/>
        </w:rPr>
        <w:t xml:space="preserve">  </w:t>
      </w:r>
      <w:r>
        <w:rPr>
          <w:rFonts w:hAnsi="宋体"/>
          <w:highlight w:val="none"/>
          <w:u w:val="single"/>
        </w:rPr>
        <w:t xml:space="preserve">      </w:t>
      </w:r>
      <w:r>
        <w:rPr>
          <w:rFonts w:hint="eastAsia" w:hAnsi="宋体"/>
          <w:highlight w:val="none"/>
        </w:rPr>
        <w:t>事宜签订本合同，以便双方信守。</w:t>
      </w:r>
    </w:p>
    <w:p w14:paraId="0984389A">
      <w:pPr>
        <w:adjustRightInd w:val="0"/>
        <w:snapToGrid w:val="0"/>
        <w:spacing w:line="400" w:lineRule="exact"/>
        <w:ind w:left="0" w:leftChars="0" w:firstLine="449" w:firstLineChars="213"/>
        <w:rPr>
          <w:rFonts w:hAnsi="宋体"/>
          <w:highlight w:val="none"/>
        </w:rPr>
      </w:pPr>
      <w:r>
        <w:rPr>
          <w:rFonts w:hint="eastAsia" w:hAnsi="宋体"/>
          <w:b/>
          <w:bCs/>
          <w:highlight w:val="none"/>
        </w:rPr>
        <w:t>一、产品名称、规格、单位、数量</w:t>
      </w:r>
    </w:p>
    <w:p w14:paraId="07FC363C">
      <w:pPr>
        <w:adjustRightInd w:val="0"/>
        <w:snapToGrid w:val="0"/>
        <w:spacing w:line="400" w:lineRule="exact"/>
        <w:ind w:left="0" w:leftChars="0" w:firstLine="447" w:firstLineChars="213"/>
        <w:rPr>
          <w:rFonts w:hAnsi="宋体"/>
          <w:highlight w:val="none"/>
        </w:rPr>
      </w:pPr>
      <w:r>
        <w:rPr>
          <w:rFonts w:hint="eastAsia" w:hAnsi="宋体"/>
          <w:highlight w:val="none"/>
        </w:rPr>
        <w:t>本合同采购的产品名称、规格、数量等详见甲方采购明</w:t>
      </w:r>
      <w:r>
        <w:rPr>
          <w:rFonts w:hint="eastAsia" w:hAnsi="宋体"/>
          <w:highlight w:val="none"/>
          <w:lang w:bidi="ar"/>
        </w:rPr>
        <w:t>细表</w:t>
      </w:r>
      <w:r>
        <w:rPr>
          <w:rFonts w:hint="eastAsia" w:hAnsi="宋体"/>
          <w:highlight w:val="none"/>
        </w:rPr>
        <w:t>。</w:t>
      </w:r>
    </w:p>
    <w:p w14:paraId="41178ADA">
      <w:pPr>
        <w:numPr>
          <w:ilvl w:val="0"/>
          <w:numId w:val="7"/>
        </w:numPr>
        <w:adjustRightInd w:val="0"/>
        <w:snapToGrid w:val="0"/>
        <w:spacing w:line="400" w:lineRule="exact"/>
        <w:ind w:left="0" w:leftChars="0" w:firstLine="449" w:firstLineChars="213"/>
        <w:rPr>
          <w:rFonts w:hAnsi="宋体"/>
          <w:b/>
          <w:bCs/>
          <w:highlight w:val="none"/>
        </w:rPr>
      </w:pPr>
      <w:r>
        <w:rPr>
          <w:rFonts w:hint="eastAsia" w:hAnsi="宋体"/>
          <w:b/>
          <w:bCs/>
          <w:highlight w:val="none"/>
        </w:rPr>
        <w:t>货物标准和要求（详见</w:t>
      </w:r>
      <w:r>
        <w:rPr>
          <w:rFonts w:hint="eastAsia" w:hAnsi="宋体"/>
          <w:b/>
          <w:bCs/>
          <w:highlight w:val="none"/>
          <w:lang w:eastAsia="zh-CN"/>
        </w:rPr>
        <w:t>磋商文件</w:t>
      </w:r>
      <w:r>
        <w:rPr>
          <w:rFonts w:hint="eastAsia" w:hAnsi="宋体"/>
          <w:b/>
          <w:bCs/>
          <w:highlight w:val="none"/>
        </w:rPr>
        <w:t>第六章，签订正式合同时作为合同附件）</w:t>
      </w:r>
    </w:p>
    <w:p w14:paraId="6CC2E99B">
      <w:pPr>
        <w:adjustRightInd w:val="0"/>
        <w:snapToGrid w:val="0"/>
        <w:spacing w:line="400" w:lineRule="exact"/>
        <w:ind w:left="0" w:leftChars="0" w:firstLine="447" w:firstLineChars="213"/>
        <w:rPr>
          <w:rFonts w:hAnsi="宋体"/>
          <w:bCs/>
          <w:highlight w:val="none"/>
        </w:rPr>
      </w:pPr>
      <w:r>
        <w:rPr>
          <w:rFonts w:hint="eastAsia" w:hAnsi="宋体"/>
          <w:bCs/>
          <w:highlight w:val="none"/>
        </w:rPr>
        <w:t>三、双方的义务与权利</w:t>
      </w:r>
    </w:p>
    <w:p w14:paraId="51C6CB2B">
      <w:pPr>
        <w:adjustRightInd w:val="0"/>
        <w:snapToGrid w:val="0"/>
        <w:spacing w:line="400" w:lineRule="exact"/>
        <w:ind w:left="0" w:leftChars="0" w:firstLine="447" w:firstLineChars="213"/>
        <w:rPr>
          <w:rFonts w:hAnsi="宋体"/>
          <w:highlight w:val="none"/>
        </w:rPr>
      </w:pPr>
      <w:r>
        <w:rPr>
          <w:rFonts w:hint="eastAsia" w:hAnsi="宋体"/>
          <w:highlight w:val="none"/>
        </w:rPr>
        <w:t>3.1 甲方的权利与义</w:t>
      </w:r>
    </w:p>
    <w:p w14:paraId="0A3142A2">
      <w:pPr>
        <w:adjustRightInd w:val="0"/>
        <w:snapToGrid w:val="0"/>
        <w:spacing w:line="400" w:lineRule="exact"/>
        <w:ind w:left="0" w:leftChars="0" w:firstLine="447" w:firstLineChars="213"/>
        <w:rPr>
          <w:rFonts w:hAnsi="宋体"/>
          <w:highlight w:val="none"/>
        </w:rPr>
      </w:pPr>
      <w:r>
        <w:rPr>
          <w:rFonts w:hint="eastAsia" w:hAnsi="宋体"/>
          <w:highlight w:val="none"/>
        </w:rPr>
        <w:t>3.1.1 每次配送前甲方向乙方提供配送需求清单或应急采购需求单，乙方按甲方要求组织配送，送达后向甲方提供配送货物清单，清单内容应包括产品名称、规格、计量单位、数量、质量标准、供货批次等内容。</w:t>
      </w:r>
    </w:p>
    <w:p w14:paraId="53537DFD">
      <w:pPr>
        <w:adjustRightInd w:val="0"/>
        <w:snapToGrid w:val="0"/>
        <w:spacing w:line="400" w:lineRule="exact"/>
        <w:ind w:left="0" w:leftChars="0" w:firstLine="447" w:firstLineChars="213"/>
        <w:rPr>
          <w:rFonts w:hAnsi="宋体"/>
          <w:highlight w:val="none"/>
        </w:rPr>
      </w:pPr>
      <w:r>
        <w:rPr>
          <w:rFonts w:hint="eastAsia" w:hAnsi="宋体"/>
          <w:highlight w:val="none"/>
        </w:rPr>
        <w:t>3.1.2 甲方对乙方配送产品的质量进行验收，若发现产品质量不合规定，应书面或电话形式告知乙方，乙方应及时进行调换或退货。</w:t>
      </w:r>
    </w:p>
    <w:p w14:paraId="554210DC">
      <w:pPr>
        <w:adjustRightInd w:val="0"/>
        <w:snapToGrid w:val="0"/>
        <w:spacing w:line="400" w:lineRule="exact"/>
        <w:ind w:left="0" w:leftChars="0" w:firstLine="447" w:firstLineChars="213"/>
        <w:rPr>
          <w:rFonts w:hAnsi="宋体"/>
          <w:highlight w:val="none"/>
        </w:rPr>
      </w:pPr>
      <w:r>
        <w:rPr>
          <w:rFonts w:hint="eastAsia" w:hAnsi="宋体"/>
          <w:highlight w:val="none"/>
        </w:rPr>
        <w:t>3.1.3 乙方出现以下情形，甲方有权扣除相应款项且不承担逾期付款责任：</w:t>
      </w:r>
    </w:p>
    <w:p w14:paraId="1058490A">
      <w:pPr>
        <w:adjustRightInd w:val="0"/>
        <w:snapToGrid w:val="0"/>
        <w:spacing w:line="400" w:lineRule="exact"/>
        <w:ind w:left="0" w:leftChars="0" w:firstLine="447" w:firstLineChars="213"/>
        <w:rPr>
          <w:rFonts w:hAnsi="宋体"/>
          <w:highlight w:val="none"/>
        </w:rPr>
      </w:pPr>
      <w:r>
        <w:rPr>
          <w:rFonts w:hint="eastAsia" w:hAnsi="宋体"/>
          <w:highlight w:val="none"/>
        </w:rPr>
        <w:t>（1）随意中断合同的履行。</w:t>
      </w:r>
    </w:p>
    <w:p w14:paraId="0B9155EA">
      <w:pPr>
        <w:adjustRightInd w:val="0"/>
        <w:snapToGrid w:val="0"/>
        <w:spacing w:line="400" w:lineRule="exact"/>
        <w:ind w:left="0" w:leftChars="0" w:firstLine="447" w:firstLineChars="213"/>
        <w:rPr>
          <w:rFonts w:hAnsi="宋体"/>
          <w:highlight w:val="none"/>
        </w:rPr>
      </w:pPr>
      <w:r>
        <w:rPr>
          <w:rFonts w:hint="eastAsia" w:hAnsi="宋体"/>
          <w:highlight w:val="none"/>
        </w:rPr>
        <w:t>（2）不能及时供货（迟于甲方所定供货时间2小时）。</w:t>
      </w:r>
    </w:p>
    <w:p w14:paraId="0291025C">
      <w:pPr>
        <w:adjustRightInd w:val="0"/>
        <w:snapToGrid w:val="0"/>
        <w:spacing w:line="400" w:lineRule="exact"/>
        <w:ind w:left="0" w:leftChars="0" w:firstLine="447" w:firstLineChars="213"/>
        <w:rPr>
          <w:rFonts w:hAnsi="宋体"/>
          <w:highlight w:val="none"/>
        </w:rPr>
      </w:pPr>
      <w:r>
        <w:rPr>
          <w:rFonts w:hint="eastAsia" w:hAnsi="宋体"/>
          <w:highlight w:val="none"/>
        </w:rPr>
        <w:t>（3）对</w:t>
      </w:r>
      <w:r>
        <w:rPr>
          <w:rFonts w:hAnsi="宋体"/>
          <w:highlight w:val="none"/>
        </w:rPr>
        <w:t>产品质量不合格且乙方</w:t>
      </w:r>
      <w:r>
        <w:rPr>
          <w:rFonts w:hint="eastAsia" w:hAnsi="宋体"/>
          <w:highlight w:val="none"/>
        </w:rPr>
        <w:t>拒绝</w:t>
      </w:r>
      <w:r>
        <w:rPr>
          <w:rFonts w:hAnsi="宋体"/>
          <w:highlight w:val="none"/>
        </w:rPr>
        <w:t>调换或退货的。</w:t>
      </w:r>
    </w:p>
    <w:p w14:paraId="084190C1">
      <w:pPr>
        <w:adjustRightInd w:val="0"/>
        <w:snapToGrid w:val="0"/>
        <w:spacing w:line="400" w:lineRule="exact"/>
        <w:ind w:left="0" w:leftChars="0" w:firstLine="447" w:firstLineChars="213"/>
        <w:rPr>
          <w:rFonts w:hAnsi="宋体"/>
          <w:highlight w:val="none"/>
        </w:rPr>
      </w:pPr>
      <w:r>
        <w:rPr>
          <w:rFonts w:hint="eastAsia" w:hAnsi="宋体"/>
          <w:highlight w:val="none"/>
        </w:rPr>
        <w:t>3.2 乙方的权利与义务</w:t>
      </w:r>
    </w:p>
    <w:p w14:paraId="1E888A3F">
      <w:pPr>
        <w:adjustRightInd w:val="0"/>
        <w:snapToGrid w:val="0"/>
        <w:spacing w:line="400" w:lineRule="exact"/>
        <w:ind w:left="0" w:leftChars="0" w:firstLine="447" w:firstLineChars="213"/>
        <w:rPr>
          <w:rFonts w:hAnsi="宋体"/>
          <w:highlight w:val="none"/>
        </w:rPr>
      </w:pPr>
      <w:r>
        <w:rPr>
          <w:rFonts w:hint="eastAsia" w:hAnsi="宋体"/>
          <w:highlight w:val="none"/>
        </w:rPr>
        <w:t>3.2.1 乙方只能提供合同规定项目的产品，不得跨项目供货，否则取消供货资格。</w:t>
      </w:r>
    </w:p>
    <w:p w14:paraId="69848178">
      <w:pPr>
        <w:adjustRightInd w:val="0"/>
        <w:snapToGrid w:val="0"/>
        <w:spacing w:line="400" w:lineRule="exact"/>
        <w:ind w:left="0" w:leftChars="0" w:firstLine="447" w:firstLineChars="213"/>
        <w:rPr>
          <w:rFonts w:hAnsi="宋体"/>
          <w:highlight w:val="none"/>
        </w:rPr>
      </w:pPr>
      <w:r>
        <w:rPr>
          <w:rFonts w:hint="eastAsia" w:hAnsi="宋体"/>
          <w:highlight w:val="none"/>
        </w:rPr>
        <w:t>3.2.2 乙方提供的产品必须是经过质量监督管理部门检验并取得合格证明的产品，每批次产品提供时应交存货物质量合格证明、产品质量检测合格报告或检疫报告复印件。</w:t>
      </w:r>
    </w:p>
    <w:p w14:paraId="048E5CF8">
      <w:pPr>
        <w:adjustRightInd w:val="0"/>
        <w:snapToGrid w:val="0"/>
        <w:spacing w:line="400" w:lineRule="exact"/>
        <w:ind w:left="0" w:leftChars="0" w:firstLine="447" w:firstLineChars="213"/>
        <w:rPr>
          <w:rFonts w:hAnsi="宋体"/>
          <w:highlight w:val="none"/>
        </w:rPr>
      </w:pPr>
      <w:r>
        <w:rPr>
          <w:rFonts w:hint="eastAsia" w:hAnsi="宋体"/>
          <w:highlight w:val="none"/>
        </w:rPr>
        <w:t>3.2.3 乙方应保证所提供的产品是合格安全的产品，一旦发现伪劣假冒产品、以次充好产品或替代产品，乙方承担全部法律责任。</w:t>
      </w:r>
    </w:p>
    <w:p w14:paraId="0A56C25D">
      <w:pPr>
        <w:adjustRightInd w:val="0"/>
        <w:snapToGrid w:val="0"/>
        <w:spacing w:line="400" w:lineRule="exact"/>
        <w:ind w:left="0" w:leftChars="0" w:firstLine="447" w:firstLineChars="213"/>
        <w:rPr>
          <w:rFonts w:hAnsi="宋体"/>
          <w:highlight w:val="none"/>
        </w:rPr>
      </w:pPr>
      <w:r>
        <w:rPr>
          <w:rFonts w:hint="eastAsia" w:hAnsi="宋体"/>
          <w:highlight w:val="none"/>
        </w:rPr>
        <w:t>3.2.4 乙方提供的产品须经过食堂验收人员的感官检验、外观检验和试用检验，若产品外观、包装、形式不符合要求、感官检验不能达到食品卫生要求，当即拒收；乙方不能满足食品的质量及售后服务要求时，甲方有权进行处罚或终止合同。</w:t>
      </w:r>
    </w:p>
    <w:p w14:paraId="560B3106">
      <w:pPr>
        <w:adjustRightInd w:val="0"/>
        <w:snapToGrid w:val="0"/>
        <w:spacing w:line="400" w:lineRule="exact"/>
        <w:ind w:left="0" w:leftChars="0" w:firstLine="447" w:firstLineChars="213"/>
        <w:rPr>
          <w:rFonts w:hAnsi="宋体"/>
          <w:highlight w:val="none"/>
        </w:rPr>
      </w:pPr>
      <w:r>
        <w:rPr>
          <w:rFonts w:hint="eastAsia" w:hAnsi="宋体"/>
          <w:highlight w:val="none"/>
        </w:rPr>
        <w:t>3.2.5 乙方必须按照甲方通知的时间、数量、</w:t>
      </w:r>
      <w:bookmarkStart w:id="71" w:name="_Hlk531007373"/>
      <w:r>
        <w:rPr>
          <w:rFonts w:hint="eastAsia" w:hAnsi="宋体"/>
          <w:highlight w:val="none"/>
        </w:rPr>
        <w:t>品种、品质</w:t>
      </w:r>
      <w:bookmarkEnd w:id="71"/>
      <w:r>
        <w:rPr>
          <w:rFonts w:hint="eastAsia" w:hAnsi="宋体"/>
          <w:highlight w:val="none"/>
        </w:rPr>
        <w:t>要求及协定的价格准时送货，经验收合格后签字确认，不能以任何理由推托。</w:t>
      </w:r>
    </w:p>
    <w:p w14:paraId="3C410CEE">
      <w:pPr>
        <w:adjustRightInd w:val="0"/>
        <w:snapToGrid w:val="0"/>
        <w:spacing w:line="400" w:lineRule="exact"/>
        <w:ind w:left="0" w:leftChars="0" w:firstLine="447" w:firstLineChars="213"/>
        <w:rPr>
          <w:rFonts w:hAnsi="宋体"/>
          <w:highlight w:val="none"/>
        </w:rPr>
      </w:pPr>
      <w:r>
        <w:rPr>
          <w:rFonts w:hint="eastAsia" w:hAnsi="宋体"/>
          <w:highlight w:val="none"/>
        </w:rPr>
        <w:t>3.2.6 乙方不能满足供货要求时，应提前10日书面通知甲方，甲方书面同意后方可终止合同。</w:t>
      </w:r>
    </w:p>
    <w:p w14:paraId="728D8A7F">
      <w:pPr>
        <w:adjustRightInd w:val="0"/>
        <w:snapToGrid w:val="0"/>
        <w:spacing w:line="400" w:lineRule="exact"/>
        <w:ind w:left="0" w:leftChars="0" w:firstLine="447" w:firstLineChars="213"/>
        <w:rPr>
          <w:rFonts w:hAnsi="宋体"/>
          <w:highlight w:val="none"/>
        </w:rPr>
      </w:pPr>
      <w:r>
        <w:rPr>
          <w:rFonts w:hint="eastAsia" w:hAnsi="宋体"/>
          <w:highlight w:val="none"/>
        </w:rPr>
        <w:t>3.2.7因产品质量问题发生的食物中毒等事故，由乙方承担经济赔偿责任以及其他法律责任。</w:t>
      </w:r>
    </w:p>
    <w:p w14:paraId="41F7FFF0">
      <w:pPr>
        <w:adjustRightInd w:val="0"/>
        <w:snapToGrid w:val="0"/>
        <w:spacing w:line="400" w:lineRule="exact"/>
        <w:ind w:left="0" w:leftChars="0" w:firstLine="447" w:firstLineChars="213"/>
        <w:rPr>
          <w:rFonts w:hAnsi="宋体"/>
          <w:highlight w:val="none"/>
        </w:rPr>
      </w:pPr>
      <w:r>
        <w:rPr>
          <w:rFonts w:hint="eastAsia" w:hAnsi="宋体"/>
          <w:highlight w:val="none"/>
        </w:rPr>
        <w:t>3.2.8 乙方应严格遵守《食品安全法》和《动物检疫法》等相关规定，一经发现供应产品质量不合格，除全部退货外，将取消供货单位的供货资格，乙方并承担由此造成的经济责任和法律责任。</w:t>
      </w:r>
    </w:p>
    <w:p w14:paraId="1A3A027B">
      <w:pPr>
        <w:adjustRightInd w:val="0"/>
        <w:snapToGrid w:val="0"/>
        <w:spacing w:line="400" w:lineRule="exact"/>
        <w:ind w:left="0" w:leftChars="0" w:firstLine="449" w:firstLineChars="213"/>
        <w:rPr>
          <w:rFonts w:hAnsi="宋体"/>
          <w:b/>
          <w:bCs/>
          <w:highlight w:val="none"/>
        </w:rPr>
      </w:pPr>
      <w:r>
        <w:rPr>
          <w:rFonts w:hint="eastAsia" w:hAnsi="宋体"/>
          <w:b/>
          <w:bCs/>
          <w:highlight w:val="none"/>
        </w:rPr>
        <w:t>四、运输方式及费用负担</w:t>
      </w:r>
    </w:p>
    <w:p w14:paraId="2AF71C2B">
      <w:pPr>
        <w:adjustRightInd w:val="0"/>
        <w:snapToGrid w:val="0"/>
        <w:spacing w:line="400" w:lineRule="exact"/>
        <w:ind w:left="0" w:leftChars="0" w:firstLine="447" w:firstLineChars="213"/>
        <w:rPr>
          <w:rFonts w:hAnsi="宋体"/>
          <w:highlight w:val="none"/>
        </w:rPr>
      </w:pPr>
      <w:r>
        <w:rPr>
          <w:rFonts w:hint="eastAsia" w:hAnsi="宋体"/>
          <w:highlight w:val="none"/>
        </w:rPr>
        <w:t>4.1 运输方式由乙方自主确定，运输时应采取防潮、防雨、防冻、防锈、防腐蚀等相应措施对运输货物进行包装，确保将货物及时、安全、完好无损地运送到甲方交货指定地点；</w:t>
      </w:r>
    </w:p>
    <w:p w14:paraId="4BECBAFF">
      <w:pPr>
        <w:adjustRightInd w:val="0"/>
        <w:snapToGrid w:val="0"/>
        <w:spacing w:line="400" w:lineRule="exact"/>
        <w:ind w:left="0" w:leftChars="0" w:firstLine="447" w:firstLineChars="213"/>
        <w:rPr>
          <w:rFonts w:hAnsi="宋体"/>
          <w:highlight w:val="none"/>
        </w:rPr>
      </w:pPr>
      <w:r>
        <w:rPr>
          <w:rFonts w:hint="eastAsia" w:hAnsi="宋体"/>
          <w:highlight w:val="none"/>
        </w:rPr>
        <w:t>4.2 乙方负责产品的运输并承担全部运输费用（包括装货、卸货等全部杂费）；</w:t>
      </w:r>
    </w:p>
    <w:p w14:paraId="3243D6D5">
      <w:pPr>
        <w:adjustRightInd w:val="0"/>
        <w:snapToGrid w:val="0"/>
        <w:spacing w:line="400" w:lineRule="exact"/>
        <w:ind w:left="0" w:leftChars="0" w:firstLine="447" w:firstLineChars="213"/>
        <w:rPr>
          <w:rFonts w:hAnsi="宋体"/>
          <w:highlight w:val="none"/>
        </w:rPr>
      </w:pPr>
      <w:r>
        <w:rPr>
          <w:rFonts w:hint="eastAsia" w:hAnsi="宋体"/>
          <w:highlight w:val="none"/>
        </w:rPr>
        <w:t>4.3 乙方应承担全部运输风险以及运输所导致的事故责任。</w:t>
      </w:r>
    </w:p>
    <w:p w14:paraId="44A01247">
      <w:pPr>
        <w:adjustRightInd w:val="0"/>
        <w:snapToGrid w:val="0"/>
        <w:spacing w:line="400" w:lineRule="exact"/>
        <w:ind w:left="0" w:leftChars="0" w:firstLine="447" w:firstLineChars="213"/>
        <w:rPr>
          <w:rFonts w:hAnsi="宋体"/>
          <w:highlight w:val="none"/>
        </w:rPr>
      </w:pPr>
      <w:r>
        <w:rPr>
          <w:rFonts w:hint="eastAsia" w:hAnsi="宋体"/>
          <w:highlight w:val="none"/>
        </w:rPr>
        <w:t>4.4 应按货物的品种、品质、属性等分类进行包装，不得混装。</w:t>
      </w:r>
    </w:p>
    <w:p w14:paraId="222C6BEA">
      <w:pPr>
        <w:adjustRightInd w:val="0"/>
        <w:snapToGrid w:val="0"/>
        <w:spacing w:line="400" w:lineRule="exact"/>
        <w:ind w:left="0" w:leftChars="0" w:firstLine="449" w:firstLineChars="213"/>
        <w:rPr>
          <w:rFonts w:hAnsi="宋体"/>
          <w:b/>
          <w:bCs/>
          <w:highlight w:val="none"/>
        </w:rPr>
      </w:pPr>
      <w:r>
        <w:rPr>
          <w:rFonts w:hint="eastAsia" w:hAnsi="宋体"/>
          <w:b/>
          <w:bCs/>
          <w:highlight w:val="none"/>
        </w:rPr>
        <w:t>五、交货地点、方式、时间</w:t>
      </w:r>
    </w:p>
    <w:p w14:paraId="2C8EE5F6">
      <w:pPr>
        <w:adjustRightInd w:val="0"/>
        <w:snapToGrid w:val="0"/>
        <w:spacing w:line="400" w:lineRule="exact"/>
        <w:ind w:left="0" w:leftChars="0" w:firstLine="447" w:firstLineChars="213"/>
        <w:rPr>
          <w:rFonts w:ascii="宋体" w:hAnsi="宋体"/>
          <w:highlight w:val="none"/>
        </w:rPr>
      </w:pPr>
      <w:r>
        <w:rPr>
          <w:rFonts w:hint="eastAsia" w:hAnsi="宋体"/>
          <w:highlight w:val="none"/>
        </w:rPr>
        <w:t>5.1 乙方交货时间：</w:t>
      </w:r>
      <w:r>
        <w:rPr>
          <w:rFonts w:hint="eastAsia" w:ascii="宋体" w:hAnsi="宋体"/>
          <w:highlight w:val="none"/>
        </w:rPr>
        <w:t>根据甲方要求的时间交货；</w:t>
      </w:r>
    </w:p>
    <w:p w14:paraId="0F969D12">
      <w:pPr>
        <w:adjustRightInd w:val="0"/>
        <w:snapToGrid w:val="0"/>
        <w:spacing w:line="400" w:lineRule="exact"/>
        <w:ind w:left="0" w:leftChars="0" w:firstLine="447" w:firstLineChars="213"/>
        <w:rPr>
          <w:rFonts w:ascii="宋体" w:hAnsi="宋体"/>
          <w:highlight w:val="none"/>
        </w:rPr>
      </w:pPr>
      <w:r>
        <w:rPr>
          <w:rFonts w:hint="eastAsia" w:ascii="宋体" w:hAnsi="宋体"/>
          <w:highlight w:val="none"/>
        </w:rPr>
        <w:t>乙方交货地点：具体地点按甲方要求</w:t>
      </w:r>
      <w:bookmarkStart w:id="72" w:name="_Hlk531273073"/>
      <w:r>
        <w:rPr>
          <w:rFonts w:hint="eastAsia" w:ascii="宋体" w:hAnsi="宋体"/>
          <w:highlight w:val="none"/>
        </w:rPr>
        <w:t>。</w:t>
      </w:r>
      <w:bookmarkEnd w:id="72"/>
    </w:p>
    <w:p w14:paraId="4DD71CE1">
      <w:pPr>
        <w:adjustRightInd w:val="0"/>
        <w:snapToGrid w:val="0"/>
        <w:spacing w:line="400" w:lineRule="exact"/>
        <w:ind w:left="0" w:leftChars="0" w:firstLine="447" w:firstLineChars="213"/>
        <w:rPr>
          <w:rFonts w:hAnsi="宋体"/>
          <w:highlight w:val="none"/>
        </w:rPr>
      </w:pPr>
      <w:r>
        <w:rPr>
          <w:rFonts w:hint="eastAsia" w:ascii="宋体" w:hAnsi="宋体" w:cs="宋体"/>
          <w:highlight w:val="none"/>
        </w:rPr>
        <w:t>5.2 甲</w:t>
      </w:r>
      <w:r>
        <w:rPr>
          <w:rFonts w:ascii="宋体" w:hAnsi="宋体" w:cs="宋体"/>
          <w:highlight w:val="none"/>
        </w:rPr>
        <w:t>方每天下午</w:t>
      </w:r>
      <w:r>
        <w:rPr>
          <w:rFonts w:hint="eastAsia" w:ascii="宋体" w:hAnsi="宋体" w:cs="宋体"/>
          <w:highlight w:val="none"/>
        </w:rPr>
        <w:t>6</w:t>
      </w:r>
      <w:r>
        <w:rPr>
          <w:rFonts w:ascii="宋体" w:hAnsi="宋体" w:cs="宋体"/>
          <w:highlight w:val="none"/>
        </w:rPr>
        <w:t>点前将次日的订购清单以</w:t>
      </w:r>
      <w:r>
        <w:rPr>
          <w:rFonts w:hint="eastAsia" w:ascii="宋体" w:hAnsi="宋体" w:cs="宋体"/>
          <w:highlight w:val="none"/>
        </w:rPr>
        <w:t>甲方指定方式</w:t>
      </w:r>
      <w:r>
        <w:rPr>
          <w:rFonts w:ascii="宋体" w:hAnsi="宋体" w:cs="宋体"/>
          <w:highlight w:val="none"/>
        </w:rPr>
        <w:t>发到</w:t>
      </w:r>
      <w:r>
        <w:rPr>
          <w:rFonts w:hint="eastAsia" w:ascii="宋体" w:hAnsi="宋体" w:cs="宋体"/>
          <w:highlight w:val="none"/>
        </w:rPr>
        <w:t>乙</w:t>
      </w:r>
      <w:r>
        <w:rPr>
          <w:rFonts w:ascii="宋体" w:hAnsi="宋体" w:cs="宋体"/>
          <w:highlight w:val="none"/>
        </w:rPr>
        <w:t>方</w:t>
      </w:r>
      <w:r>
        <w:rPr>
          <w:rFonts w:hint="eastAsia" w:ascii="宋体" w:hAnsi="宋体" w:cs="宋体"/>
          <w:highlight w:val="none"/>
        </w:rPr>
        <w:t>相关负责人</w:t>
      </w:r>
      <w:r>
        <w:rPr>
          <w:rFonts w:hint="eastAsia" w:ascii="宋体" w:hAnsi="宋体"/>
          <w:highlight w:val="none"/>
        </w:rPr>
        <w:t>。</w:t>
      </w:r>
      <w:r>
        <w:rPr>
          <w:rFonts w:hint="eastAsia" w:ascii="宋体" w:hAnsi="宋体" w:cs="宋体"/>
          <w:highlight w:val="none"/>
        </w:rPr>
        <w:t>乙</w:t>
      </w:r>
      <w:r>
        <w:rPr>
          <w:rFonts w:hint="eastAsia" w:hAnsi="宋体"/>
          <w:highlight w:val="none"/>
        </w:rPr>
        <w:t>方按甲方确定的订单要求发货，乙方于到货2小时前，应将产品名称、规格、明细、件数、重量等以盖章扫描件方式通知甲方，以便做好接货、验货工作。乙方未提前通知甲方擅自送货的，甲方有权拒绝收货且对货物不负保管责任；</w:t>
      </w:r>
    </w:p>
    <w:p w14:paraId="6E35AB62">
      <w:pPr>
        <w:adjustRightInd w:val="0"/>
        <w:snapToGrid w:val="0"/>
        <w:spacing w:line="400" w:lineRule="exact"/>
        <w:ind w:left="0" w:leftChars="0" w:firstLine="447" w:firstLineChars="213"/>
        <w:rPr>
          <w:rFonts w:hAnsi="宋体"/>
          <w:highlight w:val="none"/>
        </w:rPr>
      </w:pPr>
      <w:r>
        <w:rPr>
          <w:rFonts w:hint="eastAsia" w:hAnsi="宋体"/>
          <w:highlight w:val="none"/>
        </w:rPr>
        <w:t xml:space="preserve">       乙方联系人：          联系电话：</w:t>
      </w:r>
    </w:p>
    <w:p w14:paraId="140BE6E4">
      <w:pPr>
        <w:adjustRightInd w:val="0"/>
        <w:snapToGrid w:val="0"/>
        <w:spacing w:line="400" w:lineRule="exact"/>
        <w:ind w:left="0" w:leftChars="0" w:firstLine="447" w:firstLineChars="213"/>
        <w:rPr>
          <w:rFonts w:hAnsi="宋体"/>
          <w:highlight w:val="none"/>
        </w:rPr>
      </w:pPr>
      <w:r>
        <w:rPr>
          <w:rFonts w:hint="eastAsia" w:hAnsi="宋体"/>
          <w:highlight w:val="none"/>
        </w:rPr>
        <w:t>5.3 乙方负责送货至甲方指定地点，并卸货至甲方指定地点，不得交付第三方送货。</w:t>
      </w:r>
    </w:p>
    <w:p w14:paraId="23BBED51">
      <w:pPr>
        <w:adjustRightInd w:val="0"/>
        <w:snapToGrid w:val="0"/>
        <w:spacing w:line="400" w:lineRule="exact"/>
        <w:ind w:left="0" w:leftChars="0" w:firstLine="447" w:firstLineChars="213"/>
        <w:rPr>
          <w:rFonts w:hAnsi="宋体"/>
          <w:highlight w:val="none"/>
        </w:rPr>
      </w:pPr>
      <w:r>
        <w:rPr>
          <w:rFonts w:hint="eastAsia" w:hAnsi="宋体"/>
          <w:highlight w:val="none"/>
        </w:rPr>
        <w:t>5.4 甲方验收货物合格后，应在乙方的供货单上签字。供货单一式两份，甲乙双方各留一份。</w:t>
      </w:r>
    </w:p>
    <w:p w14:paraId="26692C64">
      <w:pPr>
        <w:adjustRightInd w:val="0"/>
        <w:snapToGrid w:val="0"/>
        <w:spacing w:line="400" w:lineRule="exact"/>
        <w:ind w:left="0" w:leftChars="0" w:firstLine="447" w:firstLineChars="213"/>
        <w:rPr>
          <w:rFonts w:hAnsi="宋体"/>
          <w:highlight w:val="none"/>
        </w:rPr>
      </w:pPr>
      <w:r>
        <w:rPr>
          <w:rFonts w:hint="eastAsia" w:hAnsi="宋体"/>
          <w:highlight w:val="none"/>
        </w:rPr>
        <w:t>5.5 甲方验收不合格，乙方应当按照甲方要求，及时予以更换、补足或退换，由此产生的一切费用由乙方承担。如乙方不能按期按规定办理，则甲方有权拒付货款并要求乙方承担货款30%的违约金，赔偿一切损失。</w:t>
      </w:r>
    </w:p>
    <w:p w14:paraId="5CB78C5E">
      <w:pPr>
        <w:adjustRightInd w:val="0"/>
        <w:snapToGrid w:val="0"/>
        <w:spacing w:line="400" w:lineRule="exact"/>
        <w:ind w:left="0" w:leftChars="0" w:firstLine="447" w:firstLineChars="213"/>
        <w:rPr>
          <w:rFonts w:hAnsi="宋体"/>
          <w:highlight w:val="none"/>
        </w:rPr>
      </w:pPr>
      <w:r>
        <w:rPr>
          <w:rFonts w:hint="eastAsia" w:hAnsi="宋体"/>
          <w:highlight w:val="none"/>
        </w:rPr>
        <w:t>5.6 甲方购买的货物所有权，在交付地点自甲方签字确认供货单后从乙方转移至甲方；</w:t>
      </w:r>
    </w:p>
    <w:p w14:paraId="25958678">
      <w:pPr>
        <w:adjustRightInd w:val="0"/>
        <w:snapToGrid w:val="0"/>
        <w:spacing w:line="400" w:lineRule="exact"/>
        <w:ind w:left="0" w:leftChars="0" w:firstLine="447" w:firstLineChars="213"/>
        <w:rPr>
          <w:rFonts w:hAnsi="宋体"/>
          <w:highlight w:val="none"/>
        </w:rPr>
      </w:pPr>
      <w:r>
        <w:rPr>
          <w:rFonts w:hint="eastAsia" w:hAnsi="宋体"/>
          <w:highlight w:val="none"/>
        </w:rPr>
        <w:t>5.7 在甲方未签字确认供货单前以及因乙方原因导致甲方拒绝接受货物的，货物损坏、灭失的风险由乙方负责。</w:t>
      </w:r>
    </w:p>
    <w:p w14:paraId="1739C75C">
      <w:pPr>
        <w:adjustRightInd w:val="0"/>
        <w:snapToGrid w:val="0"/>
        <w:spacing w:line="400" w:lineRule="exact"/>
        <w:ind w:left="0" w:leftChars="0" w:firstLine="447" w:firstLineChars="213"/>
        <w:rPr>
          <w:rFonts w:hAnsi="宋体"/>
          <w:highlight w:val="none"/>
        </w:rPr>
      </w:pPr>
      <w:bookmarkStart w:id="73" w:name="_Hlk18418197"/>
      <w:r>
        <w:rPr>
          <w:rFonts w:hint="eastAsia" w:hAnsi="宋体"/>
          <w:highlight w:val="none"/>
        </w:rPr>
        <w:t>5.8 送货异常情况处理：如乙方供货上出现特殊情况（如生病、车祸等），无法正常按要求送货，应立即通知甲方食堂管理人员，双方协商采取紧急调用其他供货商支援、应急调整菜谱、一方临时采购等措施，千方百计确保正常供餐。由此产生的费用由乙方承担，若造成迟延供餐等，甲方有权扣除本次供应货款的30% 。</w:t>
      </w:r>
    </w:p>
    <w:bookmarkEnd w:id="73"/>
    <w:p w14:paraId="2B1E780D">
      <w:pPr>
        <w:adjustRightInd w:val="0"/>
        <w:snapToGrid w:val="0"/>
        <w:spacing w:line="400" w:lineRule="exact"/>
        <w:ind w:left="0" w:leftChars="0" w:firstLine="447" w:firstLineChars="213"/>
        <w:rPr>
          <w:rFonts w:hAnsi="宋体"/>
          <w:b/>
          <w:bCs/>
          <w:highlight w:val="none"/>
        </w:rPr>
      </w:pPr>
      <w:r>
        <w:rPr>
          <w:rFonts w:hint="eastAsia" w:hAnsi="宋体"/>
          <w:highlight w:val="none"/>
        </w:rPr>
        <w:t>5.9 配送期限：</w:t>
      </w:r>
      <w:r>
        <w:rPr>
          <w:rFonts w:hint="eastAsia" w:hAnsi="宋体"/>
          <w:highlight w:val="none"/>
          <w:u w:val="single"/>
        </w:rPr>
        <w:t>合同签订之日起一年</w:t>
      </w:r>
      <w:r>
        <w:rPr>
          <w:rFonts w:hint="eastAsia" w:hAnsi="宋体"/>
          <w:b/>
          <w:bCs/>
          <w:highlight w:val="none"/>
        </w:rPr>
        <w:t>。</w:t>
      </w:r>
    </w:p>
    <w:p w14:paraId="05C54EC8">
      <w:pPr>
        <w:adjustRightInd w:val="0"/>
        <w:snapToGrid w:val="0"/>
        <w:spacing w:line="400" w:lineRule="exact"/>
        <w:ind w:left="0" w:leftChars="0" w:firstLine="449" w:firstLineChars="213"/>
        <w:rPr>
          <w:rFonts w:hAnsi="宋体"/>
          <w:b/>
          <w:bCs/>
          <w:highlight w:val="none"/>
        </w:rPr>
      </w:pPr>
      <w:r>
        <w:rPr>
          <w:rFonts w:hint="eastAsia" w:hAnsi="宋体"/>
          <w:b/>
          <w:bCs/>
          <w:highlight w:val="none"/>
        </w:rPr>
        <w:t>六、货款结算及支付</w:t>
      </w:r>
    </w:p>
    <w:p w14:paraId="6DA8E943">
      <w:pPr>
        <w:adjustRightInd w:val="0"/>
        <w:snapToGrid w:val="0"/>
        <w:spacing w:line="400" w:lineRule="exact"/>
        <w:ind w:left="0" w:leftChars="0" w:firstLine="447" w:firstLineChars="213"/>
        <w:rPr>
          <w:rFonts w:hAnsi="宋体"/>
          <w:highlight w:val="none"/>
        </w:rPr>
      </w:pPr>
      <w:r>
        <w:rPr>
          <w:rFonts w:hint="eastAsia" w:hAnsi="宋体"/>
          <w:highlight w:val="none"/>
        </w:rPr>
        <w:t>6.1 货款实行按月结算，当月支付上月货款，货款系包含商品本身、商品包装费、交货所需的运输费用、保险费用及其他因商品采购事宜而产生的所有含税费用。采购人与中标人共同核实本月实际供货清单，并结合月度考评结果确定后，由中标人出具完整合法有效的发票。采购人在收到中标人开具的发票后15个工作日内以转账的方式支付到中标人银行账户。</w:t>
      </w:r>
    </w:p>
    <w:p w14:paraId="2837E046">
      <w:pPr>
        <w:adjustRightInd w:val="0"/>
        <w:snapToGrid w:val="0"/>
        <w:spacing w:line="400" w:lineRule="exact"/>
        <w:ind w:left="0" w:leftChars="0" w:firstLine="447" w:firstLineChars="213"/>
        <w:rPr>
          <w:rFonts w:hint="eastAsia" w:ascii="Times New Roman" w:hAnsi="宋体" w:eastAsia="宋体" w:cs="Times New Roman"/>
          <w:highlight w:val="none"/>
        </w:rPr>
      </w:pPr>
      <w:r>
        <w:rPr>
          <w:rFonts w:hint="eastAsia" w:ascii="Times New Roman" w:hAnsi="宋体" w:eastAsia="宋体" w:cs="Times New Roman"/>
          <w:highlight w:val="none"/>
        </w:rPr>
        <w:t>6.2</w:t>
      </w:r>
      <w:r>
        <w:rPr>
          <w:sz w:val="24"/>
          <w:szCs w:val="24"/>
          <w:highlight w:val="none"/>
        </w:rPr>
        <w:t>合同签订前，中标</w:t>
      </w:r>
      <w:r>
        <w:rPr>
          <w:rFonts w:hint="eastAsia"/>
          <w:sz w:val="24"/>
          <w:szCs w:val="24"/>
          <w:highlight w:val="none"/>
        </w:rPr>
        <w:t>单位</w:t>
      </w:r>
      <w:r>
        <w:rPr>
          <w:rFonts w:hint="eastAsia"/>
          <w:sz w:val="24"/>
          <w:szCs w:val="24"/>
          <w:highlight w:val="none"/>
          <w:lang w:eastAsia="zh-CN"/>
        </w:rPr>
        <w:t>分别向采购人</w:t>
      </w:r>
      <w:r>
        <w:rPr>
          <w:sz w:val="24"/>
          <w:szCs w:val="24"/>
          <w:highlight w:val="none"/>
        </w:rPr>
        <w:t>缴纳</w:t>
      </w:r>
      <w:r>
        <w:rPr>
          <w:rFonts w:hint="eastAsia"/>
          <w:sz w:val="24"/>
          <w:szCs w:val="24"/>
          <w:highlight w:val="none"/>
          <w:lang w:val="en-US" w:eastAsia="zh-CN"/>
        </w:rPr>
        <w:t>48000</w:t>
      </w:r>
      <w:r>
        <w:rPr>
          <w:rFonts w:hint="eastAsia"/>
          <w:sz w:val="24"/>
          <w:szCs w:val="24"/>
          <w:highlight w:val="none"/>
        </w:rPr>
        <w:t>元</w:t>
      </w:r>
      <w:r>
        <w:rPr>
          <w:rFonts w:hint="eastAsia"/>
          <w:sz w:val="24"/>
          <w:szCs w:val="24"/>
          <w:highlight w:val="none"/>
          <w:lang w:eastAsia="zh-CN"/>
        </w:rPr>
        <w:t>（第</w:t>
      </w:r>
      <w:r>
        <w:rPr>
          <w:rFonts w:hint="eastAsia"/>
          <w:sz w:val="24"/>
          <w:szCs w:val="24"/>
          <w:highlight w:val="none"/>
          <w:lang w:val="en-US" w:eastAsia="zh-CN"/>
        </w:rPr>
        <w:t>1包</w:t>
      </w:r>
      <w:r>
        <w:rPr>
          <w:rFonts w:hint="eastAsia"/>
          <w:sz w:val="24"/>
          <w:szCs w:val="24"/>
          <w:highlight w:val="none"/>
          <w:lang w:eastAsia="zh-CN"/>
        </w:rPr>
        <w:t>）、</w:t>
      </w:r>
      <w:r>
        <w:rPr>
          <w:rFonts w:hint="eastAsia"/>
          <w:sz w:val="24"/>
          <w:szCs w:val="24"/>
          <w:highlight w:val="none"/>
          <w:lang w:val="en-US" w:eastAsia="zh-CN"/>
        </w:rPr>
        <w:t>50000元（第2包）</w:t>
      </w:r>
      <w:r>
        <w:rPr>
          <w:rFonts w:hint="eastAsia"/>
          <w:sz w:val="24"/>
          <w:szCs w:val="24"/>
          <w:highlight w:val="none"/>
        </w:rPr>
        <w:t>的</w:t>
      </w:r>
      <w:r>
        <w:rPr>
          <w:sz w:val="24"/>
          <w:szCs w:val="24"/>
          <w:highlight w:val="none"/>
        </w:rPr>
        <w:t>履约保证金</w:t>
      </w:r>
      <w:r>
        <w:rPr>
          <w:rFonts w:hint="eastAsia"/>
          <w:sz w:val="24"/>
          <w:szCs w:val="24"/>
          <w:highlight w:val="none"/>
          <w:lang w:eastAsia="zh-CN"/>
        </w:rPr>
        <w:t>，</w:t>
      </w:r>
      <w:r>
        <w:rPr>
          <w:rFonts w:hint="eastAsia" w:ascii="Times New Roman" w:hAnsi="宋体" w:eastAsia="宋体" w:cs="Times New Roman"/>
          <w:highlight w:val="none"/>
        </w:rPr>
        <w:t>履约保证金作为违约金的一部分及用于补偿采购人因中标投标人不能履行合同义务</w:t>
      </w:r>
      <w:r>
        <w:rPr>
          <w:rFonts w:hint="eastAsia" w:hAnsi="宋体" w:cs="Times New Roman"/>
          <w:highlight w:val="none"/>
          <w:lang w:eastAsia="zh-CN"/>
        </w:rPr>
        <w:t>（</w:t>
      </w:r>
      <w:r>
        <w:rPr>
          <w:rFonts w:hint="eastAsia" w:hAnsi="宋体"/>
          <w:highlight w:val="none"/>
          <w:lang w:val="en-US" w:eastAsia="zh-CN"/>
        </w:rPr>
        <w:t>所供主副食品未能按合同约定的下浮比例进行结算</w:t>
      </w:r>
      <w:r>
        <w:rPr>
          <w:rFonts w:hint="eastAsia" w:hAnsi="宋体" w:cs="Times New Roman"/>
          <w:highlight w:val="none"/>
          <w:lang w:eastAsia="zh-CN"/>
        </w:rPr>
        <w:t>）</w:t>
      </w:r>
      <w:r>
        <w:rPr>
          <w:rFonts w:hint="eastAsia" w:ascii="Times New Roman" w:hAnsi="宋体" w:eastAsia="宋体" w:cs="Times New Roman"/>
          <w:highlight w:val="none"/>
        </w:rPr>
        <w:t>而蒙受的损失，</w:t>
      </w:r>
      <w:r>
        <w:rPr>
          <w:rFonts w:hint="eastAsia" w:hAnsi="宋体" w:cs="Times New Roman"/>
          <w:highlight w:val="none"/>
          <w:lang w:eastAsia="zh-CN"/>
        </w:rPr>
        <w:t>，</w:t>
      </w:r>
      <w:r>
        <w:rPr>
          <w:rFonts w:hint="eastAsia" w:ascii="Times New Roman" w:hAnsi="宋体" w:eastAsia="宋体" w:cs="Times New Roman"/>
          <w:highlight w:val="none"/>
        </w:rPr>
        <w:t>履约保证金在合同有效期满，如中标投标人按合同约定履约且无食材配送服务质量和重大的安全责任事故，则采购人在合同期满之日起15个工作日将合同履约保证金无息退还中标供应。</w:t>
      </w:r>
    </w:p>
    <w:p w14:paraId="7B9670AA">
      <w:pPr>
        <w:adjustRightInd w:val="0"/>
        <w:snapToGrid w:val="0"/>
        <w:spacing w:line="400" w:lineRule="exact"/>
        <w:ind w:left="0" w:leftChars="0" w:firstLine="447" w:firstLineChars="213"/>
        <w:rPr>
          <w:rFonts w:hAnsi="宋体"/>
          <w:highlight w:val="none"/>
        </w:rPr>
      </w:pPr>
      <w:r>
        <w:rPr>
          <w:rFonts w:hint="eastAsia" w:hAnsi="宋体"/>
          <w:highlight w:val="none"/>
        </w:rPr>
        <w:t>6.3 主副食品结算方式：</w:t>
      </w:r>
    </w:p>
    <w:p w14:paraId="1CADF041">
      <w:pPr>
        <w:adjustRightInd w:val="0"/>
        <w:snapToGrid w:val="0"/>
        <w:spacing w:line="400" w:lineRule="exact"/>
        <w:ind w:left="0" w:leftChars="0" w:firstLine="447" w:firstLineChars="213"/>
        <w:rPr>
          <w:rFonts w:hint="eastAsia" w:hAnsi="宋体" w:eastAsia="宋体"/>
          <w:highlight w:val="none"/>
          <w:lang w:eastAsia="zh-CN"/>
        </w:rPr>
      </w:pPr>
      <w:r>
        <w:rPr>
          <w:rFonts w:hint="eastAsia" w:hAnsi="宋体"/>
          <w:highlight w:val="none"/>
        </w:rPr>
        <w:t>基准价：</w:t>
      </w:r>
      <w:r>
        <w:rPr>
          <w:rFonts w:hint="eastAsia" w:hAnsi="宋体"/>
          <w:highlight w:val="none"/>
          <w:lang w:eastAsia="zh-CN"/>
        </w:rPr>
        <w:t>吐鲁番市发改委提供的市场零售价</w:t>
      </w:r>
    </w:p>
    <w:p w14:paraId="3518C98E">
      <w:pPr>
        <w:adjustRightInd w:val="0"/>
        <w:snapToGrid w:val="0"/>
        <w:spacing w:line="400" w:lineRule="exact"/>
        <w:ind w:left="0" w:leftChars="0" w:firstLine="447" w:firstLineChars="213"/>
        <w:rPr>
          <w:rFonts w:hint="eastAsia" w:hAnsi="宋体"/>
          <w:highlight w:val="none"/>
        </w:rPr>
      </w:pPr>
      <w:r>
        <w:rPr>
          <w:rFonts w:hint="eastAsia" w:hAnsi="宋体"/>
          <w:highlight w:val="none"/>
        </w:rPr>
        <w:t>结算公式：实际供货量*基准价*(1-下浮比例)</w:t>
      </w:r>
    </w:p>
    <w:p w14:paraId="03BCEF15">
      <w:pPr>
        <w:pStyle w:val="6"/>
        <w:rPr>
          <w:rFonts w:hint="eastAsia" w:eastAsia="宋体"/>
          <w:highlight w:val="none"/>
          <w:lang w:val="en-US" w:eastAsia="zh-CN"/>
        </w:rPr>
      </w:pPr>
      <w:r>
        <w:rPr>
          <w:rFonts w:hint="eastAsia" w:ascii="Times New Roman" w:hAnsi="宋体" w:eastAsia="宋体" w:cs="Times New Roman"/>
          <w:b w:val="0"/>
          <w:kern w:val="2"/>
          <w:sz w:val="21"/>
          <w:szCs w:val="21"/>
          <w:highlight w:val="none"/>
          <w:lang w:val="en-US" w:eastAsia="zh-CN" w:bidi="ar-SA"/>
        </w:rPr>
        <w:t>注：甲乙双方每月共同调研次数不少于两次。</w:t>
      </w:r>
    </w:p>
    <w:p w14:paraId="0F714D20">
      <w:pPr>
        <w:adjustRightInd w:val="0"/>
        <w:snapToGrid w:val="0"/>
        <w:spacing w:line="400" w:lineRule="exact"/>
        <w:ind w:left="0" w:leftChars="0" w:firstLine="447" w:firstLineChars="213"/>
        <w:rPr>
          <w:rFonts w:hAnsi="宋体"/>
          <w:highlight w:val="none"/>
        </w:rPr>
      </w:pPr>
      <w:r>
        <w:rPr>
          <w:rFonts w:hint="eastAsia" w:hAnsi="宋体"/>
          <w:highlight w:val="none"/>
        </w:rPr>
        <w:t>6.</w:t>
      </w:r>
      <w:r>
        <w:rPr>
          <w:rFonts w:hint="eastAsia" w:hAnsi="宋体"/>
          <w:highlight w:val="none"/>
          <w:lang w:val="en-US" w:eastAsia="zh-CN"/>
        </w:rPr>
        <w:t>4</w:t>
      </w:r>
      <w:r>
        <w:rPr>
          <w:rFonts w:hint="eastAsia" w:hAnsi="宋体"/>
          <w:highlight w:val="none"/>
        </w:rPr>
        <w:t xml:space="preserve"> 除额定包装的食材，其余需称重计量的，双方共同校对计量称，所供食材的数量以采购人过磅为准，并由采购人验收人员签字确认。由采购人验收人员签字确认的数量即视为双方均认可的数量。</w:t>
      </w:r>
    </w:p>
    <w:p w14:paraId="53D46C88">
      <w:pPr>
        <w:adjustRightInd w:val="0"/>
        <w:snapToGrid w:val="0"/>
        <w:spacing w:line="400" w:lineRule="exact"/>
        <w:ind w:left="0" w:leftChars="0" w:firstLine="447" w:firstLineChars="213"/>
        <w:rPr>
          <w:rFonts w:hAnsi="宋体"/>
          <w:highlight w:val="none"/>
        </w:rPr>
      </w:pPr>
      <w:r>
        <w:rPr>
          <w:rFonts w:hint="eastAsia" w:hAnsi="宋体"/>
          <w:highlight w:val="none"/>
        </w:rPr>
        <w:t>6.</w:t>
      </w:r>
      <w:r>
        <w:rPr>
          <w:rFonts w:hint="eastAsia" w:hAnsi="宋体"/>
          <w:highlight w:val="none"/>
          <w:lang w:val="en-US" w:eastAsia="zh-CN"/>
        </w:rPr>
        <w:t>5</w:t>
      </w:r>
      <w:r>
        <w:rPr>
          <w:rFonts w:hint="eastAsia" w:hAnsi="宋体"/>
          <w:highlight w:val="none"/>
        </w:rPr>
        <w:t xml:space="preserve"> 乙方银行账户信息：</w:t>
      </w:r>
    </w:p>
    <w:p w14:paraId="61ACA907">
      <w:pPr>
        <w:adjustRightInd w:val="0"/>
        <w:snapToGrid w:val="0"/>
        <w:spacing w:line="400" w:lineRule="exact"/>
        <w:ind w:left="0" w:leftChars="0" w:firstLine="447" w:firstLineChars="213"/>
        <w:rPr>
          <w:rFonts w:hAnsi="宋体"/>
          <w:highlight w:val="none"/>
        </w:rPr>
      </w:pPr>
      <w:r>
        <w:rPr>
          <w:rFonts w:hint="eastAsia" w:hAnsi="宋体"/>
          <w:highlight w:val="none"/>
        </w:rPr>
        <w:t xml:space="preserve">公司名称： </w:t>
      </w:r>
      <w:r>
        <w:rPr>
          <w:rFonts w:hint="eastAsia" w:hAnsi="宋体"/>
          <w:highlight w:val="none"/>
          <w:u w:val="single"/>
        </w:rPr>
        <w:t xml:space="preserve">                                            </w:t>
      </w:r>
      <w:r>
        <w:rPr>
          <w:rFonts w:hint="eastAsia" w:hAnsi="宋体"/>
          <w:highlight w:val="none"/>
        </w:rPr>
        <w:t xml:space="preserve">            </w:t>
      </w:r>
    </w:p>
    <w:p w14:paraId="5E7B6BC8">
      <w:pPr>
        <w:adjustRightInd w:val="0"/>
        <w:snapToGrid w:val="0"/>
        <w:spacing w:line="400" w:lineRule="exact"/>
        <w:ind w:left="0" w:leftChars="0" w:firstLine="447" w:firstLineChars="213"/>
        <w:rPr>
          <w:rFonts w:hAnsi="宋体"/>
          <w:highlight w:val="none"/>
          <w:u w:val="single"/>
        </w:rPr>
      </w:pPr>
      <w:r>
        <w:rPr>
          <w:rFonts w:hint="eastAsia" w:hAnsi="宋体"/>
          <w:highlight w:val="none"/>
        </w:rPr>
        <w:t xml:space="preserve">开 户 行： </w:t>
      </w:r>
      <w:r>
        <w:rPr>
          <w:rFonts w:hint="eastAsia" w:hAnsi="宋体"/>
          <w:highlight w:val="none"/>
          <w:u w:val="single"/>
        </w:rPr>
        <w:t xml:space="preserve">                                            </w:t>
      </w:r>
    </w:p>
    <w:p w14:paraId="63BD01DC">
      <w:pPr>
        <w:adjustRightInd w:val="0"/>
        <w:snapToGrid w:val="0"/>
        <w:spacing w:line="400" w:lineRule="exact"/>
        <w:ind w:left="0" w:leftChars="0" w:firstLine="447" w:firstLineChars="213"/>
        <w:rPr>
          <w:rFonts w:hAnsi="宋体"/>
          <w:highlight w:val="none"/>
        </w:rPr>
      </w:pPr>
      <w:r>
        <w:rPr>
          <w:rFonts w:hint="eastAsia" w:hAnsi="宋体"/>
          <w:highlight w:val="none"/>
        </w:rPr>
        <w:t xml:space="preserve">账    号： </w:t>
      </w:r>
      <w:r>
        <w:rPr>
          <w:rFonts w:hint="eastAsia" w:hAnsi="宋体"/>
          <w:highlight w:val="none"/>
          <w:u w:val="single"/>
        </w:rPr>
        <w:t xml:space="preserve">                                            </w:t>
      </w:r>
      <w:r>
        <w:rPr>
          <w:rFonts w:hint="eastAsia" w:hAnsi="宋体"/>
          <w:highlight w:val="none"/>
        </w:rPr>
        <w:t xml:space="preserve">    </w:t>
      </w:r>
    </w:p>
    <w:p w14:paraId="4C099632">
      <w:pPr>
        <w:adjustRightInd w:val="0"/>
        <w:snapToGrid w:val="0"/>
        <w:spacing w:line="400" w:lineRule="exact"/>
        <w:ind w:left="0" w:leftChars="0" w:firstLine="447" w:firstLineChars="213"/>
        <w:rPr>
          <w:rFonts w:hAnsi="宋体"/>
          <w:highlight w:val="none"/>
        </w:rPr>
      </w:pPr>
      <w:r>
        <w:rPr>
          <w:rFonts w:hint="eastAsia" w:hAnsi="宋体"/>
          <w:highlight w:val="none"/>
        </w:rPr>
        <w:t>6.</w:t>
      </w:r>
      <w:r>
        <w:rPr>
          <w:rFonts w:hint="eastAsia" w:hAnsi="宋体"/>
          <w:highlight w:val="none"/>
          <w:lang w:val="en-US" w:eastAsia="zh-CN"/>
        </w:rPr>
        <w:t>6</w:t>
      </w:r>
      <w:r>
        <w:rPr>
          <w:rFonts w:hint="eastAsia" w:hAnsi="宋体"/>
          <w:highlight w:val="none"/>
        </w:rPr>
        <w:t xml:space="preserve"> 甲方开票信息：</w:t>
      </w:r>
    </w:p>
    <w:p w14:paraId="616A0558">
      <w:pPr>
        <w:adjustRightInd w:val="0"/>
        <w:snapToGrid w:val="0"/>
        <w:spacing w:line="400" w:lineRule="exact"/>
        <w:ind w:left="0" w:leftChars="0" w:firstLine="447" w:firstLineChars="213"/>
        <w:rPr>
          <w:rFonts w:hAnsi="宋体"/>
          <w:highlight w:val="none"/>
          <w:u w:val="single"/>
        </w:rPr>
      </w:pPr>
      <w:r>
        <w:rPr>
          <w:rFonts w:hint="eastAsia" w:hAnsi="宋体"/>
          <w:highlight w:val="none"/>
        </w:rPr>
        <w:t>公司名称：</w:t>
      </w:r>
      <w:r>
        <w:rPr>
          <w:rFonts w:hint="eastAsia" w:hAnsi="宋体"/>
          <w:highlight w:val="none"/>
          <w:u w:val="single"/>
        </w:rPr>
        <w:t xml:space="preserve">                                            </w:t>
      </w:r>
    </w:p>
    <w:p w14:paraId="68FCEE1F">
      <w:pPr>
        <w:adjustRightInd w:val="0"/>
        <w:snapToGrid w:val="0"/>
        <w:spacing w:line="400" w:lineRule="exact"/>
        <w:ind w:left="0" w:leftChars="0" w:firstLine="447" w:firstLineChars="213"/>
        <w:rPr>
          <w:rFonts w:hAnsi="宋体"/>
          <w:highlight w:val="none"/>
          <w:u w:val="single"/>
        </w:rPr>
      </w:pPr>
      <w:r>
        <w:rPr>
          <w:rFonts w:hint="eastAsia" w:hAnsi="宋体"/>
          <w:highlight w:val="none"/>
        </w:rPr>
        <w:t>税    号：</w:t>
      </w:r>
      <w:r>
        <w:rPr>
          <w:rFonts w:hint="eastAsia" w:hAnsi="宋体"/>
          <w:highlight w:val="none"/>
          <w:u w:val="single"/>
        </w:rPr>
        <w:t xml:space="preserve">                                            </w:t>
      </w:r>
    </w:p>
    <w:p w14:paraId="2B31E43B">
      <w:pPr>
        <w:adjustRightInd w:val="0"/>
        <w:snapToGrid w:val="0"/>
        <w:spacing w:line="400" w:lineRule="exact"/>
        <w:ind w:left="0" w:leftChars="0" w:firstLine="447" w:firstLineChars="213"/>
        <w:rPr>
          <w:rFonts w:hAnsi="宋体"/>
          <w:highlight w:val="none"/>
          <w:u w:val="single"/>
        </w:rPr>
      </w:pPr>
      <w:r>
        <w:rPr>
          <w:rFonts w:hint="eastAsia" w:hAnsi="宋体"/>
          <w:highlight w:val="none"/>
        </w:rPr>
        <w:t>开 户 行：</w:t>
      </w:r>
      <w:r>
        <w:rPr>
          <w:rFonts w:hint="eastAsia" w:hAnsi="宋体"/>
          <w:highlight w:val="none"/>
          <w:u w:val="single"/>
        </w:rPr>
        <w:t xml:space="preserve">                                            </w:t>
      </w:r>
    </w:p>
    <w:p w14:paraId="60CC9846">
      <w:pPr>
        <w:adjustRightInd w:val="0"/>
        <w:snapToGrid w:val="0"/>
        <w:spacing w:line="400" w:lineRule="exact"/>
        <w:ind w:left="0" w:leftChars="0" w:firstLine="447" w:firstLineChars="213"/>
        <w:rPr>
          <w:rFonts w:hAnsi="宋体"/>
          <w:highlight w:val="none"/>
          <w:u w:val="single"/>
        </w:rPr>
      </w:pPr>
      <w:r>
        <w:rPr>
          <w:rFonts w:hint="eastAsia" w:hAnsi="宋体"/>
          <w:highlight w:val="none"/>
        </w:rPr>
        <w:t>账    号：</w:t>
      </w:r>
      <w:r>
        <w:rPr>
          <w:rFonts w:hint="eastAsia" w:hAnsi="宋体"/>
          <w:highlight w:val="none"/>
          <w:u w:val="single"/>
        </w:rPr>
        <w:t xml:space="preserve">                                            </w:t>
      </w:r>
    </w:p>
    <w:p w14:paraId="5096B91A">
      <w:pPr>
        <w:adjustRightInd w:val="0"/>
        <w:snapToGrid w:val="0"/>
        <w:spacing w:line="400" w:lineRule="exact"/>
        <w:ind w:left="0" w:leftChars="0" w:firstLine="449" w:firstLineChars="213"/>
        <w:rPr>
          <w:rFonts w:hAnsi="宋体"/>
          <w:b/>
          <w:bCs/>
          <w:highlight w:val="none"/>
        </w:rPr>
      </w:pPr>
      <w:r>
        <w:rPr>
          <w:rFonts w:hint="eastAsia" w:hAnsi="宋体"/>
          <w:b/>
          <w:bCs/>
          <w:highlight w:val="none"/>
        </w:rPr>
        <w:t>七、本合同的变更与终止</w:t>
      </w:r>
    </w:p>
    <w:p w14:paraId="167C6AE9">
      <w:pPr>
        <w:adjustRightInd w:val="0"/>
        <w:snapToGrid w:val="0"/>
        <w:spacing w:line="400" w:lineRule="exact"/>
        <w:ind w:left="0" w:leftChars="0" w:firstLine="447" w:firstLineChars="213"/>
        <w:rPr>
          <w:rFonts w:hAnsi="宋体"/>
          <w:highlight w:val="none"/>
        </w:rPr>
      </w:pPr>
      <w:r>
        <w:rPr>
          <w:rFonts w:hint="eastAsia" w:hAnsi="宋体"/>
          <w:highlight w:val="none"/>
        </w:rPr>
        <w:t>7.1 任何一方需要变更或终止本合同时，应提前十天以书面形式通知对方；</w:t>
      </w:r>
    </w:p>
    <w:p w14:paraId="68D87B71">
      <w:pPr>
        <w:adjustRightInd w:val="0"/>
        <w:snapToGrid w:val="0"/>
        <w:spacing w:line="400" w:lineRule="exact"/>
        <w:ind w:left="0" w:leftChars="0" w:firstLine="447" w:firstLineChars="213"/>
        <w:rPr>
          <w:rFonts w:hAnsi="宋体"/>
          <w:highlight w:val="none"/>
        </w:rPr>
      </w:pPr>
      <w:r>
        <w:rPr>
          <w:rFonts w:hint="eastAsia" w:hAnsi="宋体"/>
          <w:highlight w:val="none"/>
        </w:rPr>
        <w:t>7.2 任何一方在收到对方需要变更或终止本合同的书面通知后，必须于三个工作日内做出书面答复，否则视为接受对方要求；</w:t>
      </w:r>
    </w:p>
    <w:p w14:paraId="26BF8E4E">
      <w:pPr>
        <w:adjustRightInd w:val="0"/>
        <w:snapToGrid w:val="0"/>
        <w:spacing w:line="400" w:lineRule="exact"/>
        <w:ind w:left="0" w:leftChars="0" w:firstLine="447" w:firstLineChars="213"/>
        <w:rPr>
          <w:rFonts w:hAnsi="宋体"/>
          <w:highlight w:val="none"/>
        </w:rPr>
      </w:pPr>
      <w:r>
        <w:rPr>
          <w:rFonts w:hint="eastAsia" w:hAnsi="宋体"/>
          <w:highlight w:val="none"/>
        </w:rPr>
        <w:t>7.3 合同变更必须经双方协商达成书面协议。终止合同时双方必须结清全部款项后合同终止。</w:t>
      </w:r>
    </w:p>
    <w:p w14:paraId="2F81A827">
      <w:pPr>
        <w:adjustRightInd w:val="0"/>
        <w:snapToGrid w:val="0"/>
        <w:spacing w:line="400" w:lineRule="exact"/>
        <w:ind w:left="0" w:leftChars="0" w:firstLine="449" w:firstLineChars="213"/>
        <w:rPr>
          <w:rFonts w:hAnsi="宋体"/>
          <w:b/>
          <w:bCs/>
          <w:highlight w:val="none"/>
        </w:rPr>
      </w:pPr>
      <w:r>
        <w:rPr>
          <w:rFonts w:hint="eastAsia" w:hAnsi="宋体"/>
          <w:b/>
          <w:bCs/>
          <w:highlight w:val="none"/>
        </w:rPr>
        <w:t>八、违约责任</w:t>
      </w:r>
    </w:p>
    <w:p w14:paraId="2B46E4D6">
      <w:pPr>
        <w:adjustRightInd w:val="0"/>
        <w:snapToGrid w:val="0"/>
        <w:spacing w:line="400" w:lineRule="exact"/>
        <w:ind w:left="0" w:leftChars="0" w:firstLine="447" w:firstLineChars="213"/>
        <w:rPr>
          <w:rFonts w:hAnsi="宋体"/>
          <w:highlight w:val="none"/>
        </w:rPr>
      </w:pPr>
      <w:r>
        <w:rPr>
          <w:rFonts w:hint="eastAsia" w:hAnsi="宋体"/>
          <w:highlight w:val="none"/>
        </w:rPr>
        <w:t>8.1 乙方交货时间比合同规定提前，经有关部门证明理由正当的，甲方可考虑同意接收，并按合同规定付款；乙方无正当理由提前交货的，甲方有权拒收。</w:t>
      </w:r>
      <w:r>
        <w:rPr>
          <w:rFonts w:hint="eastAsia" w:hAnsi="宋体"/>
          <w:highlight w:val="none"/>
        </w:rPr>
        <w:br w:type="textWrapping"/>
      </w:r>
      <w:r>
        <w:rPr>
          <w:rFonts w:hint="eastAsia" w:hAnsi="宋体"/>
          <w:highlight w:val="none"/>
        </w:rPr>
        <w:t xml:space="preserve">    8.2 乙方交售的产品质、量、规格等，与卫生质量标准、</w:t>
      </w:r>
      <w:r>
        <w:rPr>
          <w:rFonts w:hint="eastAsia" w:ascii="宋体" w:hAnsi="宋体" w:cs="宋体"/>
          <w:highlight w:val="none"/>
        </w:rPr>
        <w:t>国家食品安全法</w:t>
      </w:r>
      <w:r>
        <w:rPr>
          <w:rFonts w:hint="eastAsia" w:hAnsi="宋体"/>
          <w:highlight w:val="none"/>
        </w:rPr>
        <w:t xml:space="preserve">及合同规定不符时，甲方可以拒收并扣除本月应付款项的30%。  </w:t>
      </w:r>
    </w:p>
    <w:p w14:paraId="1ED8A56A">
      <w:pPr>
        <w:adjustRightInd w:val="0"/>
        <w:snapToGrid w:val="0"/>
        <w:spacing w:line="400" w:lineRule="exact"/>
        <w:ind w:left="0" w:leftChars="0" w:firstLine="447" w:firstLineChars="213"/>
        <w:rPr>
          <w:rFonts w:hAnsi="宋体"/>
          <w:highlight w:val="none"/>
        </w:rPr>
      </w:pPr>
      <w:r>
        <w:rPr>
          <w:rFonts w:hint="eastAsia" w:hAnsi="宋体"/>
          <w:highlight w:val="none"/>
        </w:rPr>
        <w:t>8.3 因不可抗力造成出货延期，乙方须在事故发生后24小时内向甲方书面通报不能履行或不能完全履行的理由，十五天内取得有关主管机关出具的有效证明文件后，允许延期履行、部分履行或不能履行合同，并根据情况可部分或全部免于承担违约责任。但是不可抗力发生在乙方延期供货后的除外。</w:t>
      </w:r>
    </w:p>
    <w:p w14:paraId="37B534CC">
      <w:pPr>
        <w:adjustRightInd w:val="0"/>
        <w:snapToGrid w:val="0"/>
        <w:spacing w:line="400" w:lineRule="exact"/>
        <w:ind w:left="0" w:leftChars="0" w:firstLine="447" w:firstLineChars="213"/>
        <w:rPr>
          <w:rFonts w:hAnsi="宋体"/>
          <w:highlight w:val="none"/>
        </w:rPr>
      </w:pPr>
      <w:bookmarkStart w:id="74" w:name="_Hlk18418580"/>
      <w:r>
        <w:rPr>
          <w:rFonts w:hint="eastAsia" w:hAnsi="宋体"/>
          <w:highlight w:val="none"/>
        </w:rPr>
        <w:t>8.4 乙方如违反《食品安全法》的有关规定，提供有毒有害或不洁的食物原料造成就餐人员食物中毒，或其他食源性疾患，（经相关部门鉴定）需承担一切经济及法律责任，并承担甲方因此支付的诉讼费、鉴定费、律师费等全部费用。</w:t>
      </w:r>
    </w:p>
    <w:bookmarkEnd w:id="74"/>
    <w:p w14:paraId="49B9385C">
      <w:pPr>
        <w:adjustRightInd w:val="0"/>
        <w:snapToGrid w:val="0"/>
        <w:spacing w:line="400" w:lineRule="exact"/>
        <w:ind w:left="0" w:leftChars="0" w:firstLine="447" w:firstLineChars="213"/>
        <w:rPr>
          <w:highlight w:val="none"/>
        </w:rPr>
      </w:pPr>
      <w:r>
        <w:rPr>
          <w:rFonts w:hint="eastAsia"/>
          <w:highlight w:val="none"/>
        </w:rPr>
        <w:t>8.5 乙方未按甲方要求交付合格产品或有其他违约行为的，应按当月货款总额的30%向甲方支付违约金，违约金不足以赔偿甲方损失的（包括但不限于预期利润、向第三方采购产品的价款），乙方应对损失部分予以赔偿。</w:t>
      </w:r>
    </w:p>
    <w:p w14:paraId="4BA7907D">
      <w:pPr>
        <w:adjustRightInd w:val="0"/>
        <w:snapToGrid w:val="0"/>
        <w:spacing w:line="400" w:lineRule="exact"/>
        <w:ind w:left="0" w:leftChars="0" w:firstLine="449" w:firstLineChars="213"/>
        <w:rPr>
          <w:rFonts w:hAnsi="宋体"/>
          <w:b/>
          <w:bCs/>
          <w:highlight w:val="none"/>
        </w:rPr>
      </w:pPr>
      <w:r>
        <w:rPr>
          <w:rFonts w:hint="eastAsia" w:hAnsi="宋体"/>
          <w:b/>
          <w:bCs/>
          <w:highlight w:val="none"/>
        </w:rPr>
        <w:t>九、解决纠纷的方式</w:t>
      </w:r>
    </w:p>
    <w:p w14:paraId="66D112F9">
      <w:pPr>
        <w:adjustRightInd w:val="0"/>
        <w:snapToGrid w:val="0"/>
        <w:spacing w:line="400" w:lineRule="exact"/>
        <w:ind w:left="0" w:leftChars="0" w:firstLine="447" w:firstLineChars="213"/>
        <w:rPr>
          <w:rFonts w:hAnsi="宋体"/>
          <w:highlight w:val="none"/>
        </w:rPr>
      </w:pPr>
      <w:r>
        <w:rPr>
          <w:rFonts w:hint="eastAsia" w:hAnsi="宋体"/>
          <w:highlight w:val="none"/>
        </w:rPr>
        <w:t>合同履行过程中如发生争议，双方友好协商；协商不成，应向</w:t>
      </w:r>
      <w:r>
        <w:rPr>
          <w:rFonts w:hint="eastAsia" w:hAnsi="宋体"/>
          <w:highlight w:val="none"/>
          <w:lang w:val="en-US" w:eastAsia="zh-CN"/>
        </w:rPr>
        <w:t>高昌区</w:t>
      </w:r>
      <w:r>
        <w:rPr>
          <w:rFonts w:hint="eastAsia" w:hAnsi="宋体"/>
          <w:highlight w:val="none"/>
        </w:rPr>
        <w:t>人民法院起诉。</w:t>
      </w:r>
    </w:p>
    <w:p w14:paraId="529C8AD2">
      <w:pPr>
        <w:adjustRightInd w:val="0"/>
        <w:snapToGrid w:val="0"/>
        <w:spacing w:line="400" w:lineRule="exact"/>
        <w:ind w:left="0" w:leftChars="0" w:firstLine="449" w:firstLineChars="213"/>
        <w:rPr>
          <w:rFonts w:hAnsi="宋体"/>
          <w:b/>
          <w:bCs/>
          <w:highlight w:val="none"/>
        </w:rPr>
      </w:pPr>
      <w:r>
        <w:rPr>
          <w:rFonts w:hint="eastAsia" w:hAnsi="宋体"/>
          <w:b/>
          <w:bCs/>
          <w:highlight w:val="none"/>
        </w:rPr>
        <w:t>十、其它约定事项</w:t>
      </w:r>
    </w:p>
    <w:p w14:paraId="5E0365E5">
      <w:pPr>
        <w:adjustRightInd w:val="0"/>
        <w:snapToGrid w:val="0"/>
        <w:spacing w:line="400" w:lineRule="exact"/>
        <w:ind w:left="0" w:leftChars="0" w:firstLine="447" w:firstLineChars="213"/>
        <w:rPr>
          <w:rFonts w:hAnsi="宋体"/>
          <w:highlight w:val="none"/>
        </w:rPr>
      </w:pPr>
      <w:r>
        <w:rPr>
          <w:rFonts w:hint="eastAsia" w:hAnsi="宋体"/>
          <w:highlight w:val="none"/>
        </w:rPr>
        <w:t>10.1 未尽事宜，双方协商形成补充协议；</w:t>
      </w:r>
    </w:p>
    <w:p w14:paraId="5E4A3AD3">
      <w:pPr>
        <w:adjustRightInd w:val="0"/>
        <w:snapToGrid w:val="0"/>
        <w:spacing w:line="400" w:lineRule="exact"/>
        <w:ind w:left="0" w:leftChars="0" w:firstLine="447" w:firstLineChars="213"/>
        <w:rPr>
          <w:rFonts w:hAnsi="宋体"/>
          <w:highlight w:val="none"/>
        </w:rPr>
      </w:pPr>
      <w:r>
        <w:rPr>
          <w:rFonts w:hint="eastAsia" w:hAnsi="宋体"/>
          <w:highlight w:val="none"/>
        </w:rPr>
        <w:t>10.2 未经双方一致同意，任何一方不得变更合同（采购明细除外）。对本合同正文或附件作任何更改，必须以书面形式且应由双方签字盖章确认；</w:t>
      </w:r>
    </w:p>
    <w:p w14:paraId="69C66E1B">
      <w:pPr>
        <w:adjustRightInd w:val="0"/>
        <w:snapToGrid w:val="0"/>
        <w:spacing w:line="400" w:lineRule="exact"/>
        <w:ind w:left="0" w:leftChars="0" w:firstLine="447" w:firstLineChars="213"/>
        <w:rPr>
          <w:rFonts w:hAnsi="宋体"/>
          <w:highlight w:val="none"/>
        </w:rPr>
      </w:pPr>
      <w:r>
        <w:rPr>
          <w:rFonts w:hint="eastAsia" w:hAnsi="宋体"/>
          <w:highlight w:val="none"/>
        </w:rPr>
        <w:t>10.3 附件作为本合同的组成部分，与本合同具有同等效力；</w:t>
      </w:r>
    </w:p>
    <w:p w14:paraId="1D599473">
      <w:pPr>
        <w:adjustRightInd w:val="0"/>
        <w:snapToGrid w:val="0"/>
        <w:spacing w:line="400" w:lineRule="exact"/>
        <w:ind w:left="0" w:leftChars="0" w:firstLine="447" w:firstLineChars="213"/>
        <w:rPr>
          <w:rFonts w:hAnsi="宋体"/>
          <w:highlight w:val="none"/>
        </w:rPr>
      </w:pPr>
      <w:r>
        <w:rPr>
          <w:rFonts w:hint="eastAsia" w:hAnsi="宋体"/>
          <w:highlight w:val="none"/>
        </w:rPr>
        <w:t>10.4 本合同中所记载的地址为双方真实有效的地址，一方地址发生变动应当于10日内书面告知对方。因变更方未进行有效通知，一方按本合同约定地址送达视为有效送达。</w:t>
      </w:r>
    </w:p>
    <w:p w14:paraId="45A03E88">
      <w:pPr>
        <w:adjustRightInd w:val="0"/>
        <w:snapToGrid w:val="0"/>
        <w:spacing w:line="400" w:lineRule="exact"/>
        <w:ind w:left="0" w:leftChars="0" w:firstLine="449" w:firstLineChars="213"/>
        <w:rPr>
          <w:rFonts w:ascii="宋体" w:hAnsi="宋体"/>
          <w:b/>
          <w:bCs/>
          <w:highlight w:val="none"/>
        </w:rPr>
      </w:pPr>
      <w:r>
        <w:rPr>
          <w:rFonts w:hint="eastAsia" w:hAnsi="宋体"/>
          <w:b/>
          <w:bCs/>
          <w:highlight w:val="none"/>
        </w:rPr>
        <w:t>十一、</w:t>
      </w:r>
      <w:r>
        <w:rPr>
          <w:rFonts w:hint="eastAsia" w:hAnsi="宋体"/>
          <w:highlight w:val="none"/>
        </w:rPr>
        <w:t>本合同一式肆份，甲乙双方各执贰份，每份同等效力。本合同双方签字盖章后生效。</w:t>
      </w:r>
    </w:p>
    <w:p w14:paraId="0AB0018D">
      <w:pPr>
        <w:spacing w:line="400" w:lineRule="exact"/>
        <w:ind w:left="0" w:leftChars="0" w:firstLine="449" w:firstLineChars="213"/>
        <w:jc w:val="left"/>
        <w:rPr>
          <w:rFonts w:ascii="宋体" w:hAnsi="宋体"/>
          <w:b/>
          <w:bCs/>
          <w:highlight w:val="none"/>
        </w:rPr>
        <w:sectPr>
          <w:footerReference r:id="rId6" w:type="default"/>
          <w:pgSz w:w="11906" w:h="16838"/>
          <w:pgMar w:top="1440" w:right="1800" w:bottom="1440" w:left="1400" w:header="851" w:footer="992" w:gutter="0"/>
          <w:pgNumType w:start="1"/>
          <w:cols w:space="425" w:num="1"/>
          <w:docGrid w:type="lines" w:linePitch="312" w:charSpace="0"/>
        </w:sectPr>
      </w:pPr>
    </w:p>
    <w:p w14:paraId="024153FC">
      <w:pPr>
        <w:spacing w:line="400" w:lineRule="exact"/>
        <w:ind w:left="0" w:leftChars="0" w:firstLine="449" w:firstLineChars="213"/>
        <w:jc w:val="left"/>
        <w:rPr>
          <w:rFonts w:ascii="宋体" w:hAnsi="宋体"/>
          <w:highlight w:val="none"/>
        </w:rPr>
      </w:pPr>
      <w:r>
        <w:rPr>
          <w:rFonts w:hint="eastAsia" w:ascii="宋体" w:hAnsi="宋体"/>
          <w:b/>
          <w:bCs/>
          <w:highlight w:val="none"/>
        </w:rPr>
        <w:t>甲方</w:t>
      </w:r>
      <w:r>
        <w:rPr>
          <w:rFonts w:hint="eastAsia" w:ascii="宋体" w:hAnsi="宋体"/>
          <w:highlight w:val="none"/>
        </w:rPr>
        <w:t xml:space="preserve">（盖章）  ：                                                                                                                   </w:t>
      </w:r>
    </w:p>
    <w:p w14:paraId="0CDB2D1F">
      <w:pPr>
        <w:spacing w:line="400" w:lineRule="exact"/>
        <w:ind w:left="0" w:leftChars="0" w:firstLine="449" w:firstLineChars="213"/>
        <w:rPr>
          <w:rFonts w:ascii="宋体" w:hAnsi="宋体"/>
          <w:highlight w:val="none"/>
        </w:rPr>
      </w:pPr>
      <w:r>
        <w:rPr>
          <w:rFonts w:hint="eastAsia" w:ascii="宋体" w:hAnsi="宋体"/>
          <w:b/>
          <w:bCs/>
          <w:highlight w:val="none"/>
        </w:rPr>
        <w:t>法人代表</w:t>
      </w:r>
      <w:r>
        <w:rPr>
          <w:rFonts w:hint="eastAsia" w:ascii="宋体" w:hAnsi="宋体"/>
          <w:highlight w:val="none"/>
        </w:rPr>
        <w:t xml:space="preserve">：                                                        </w:t>
      </w:r>
    </w:p>
    <w:p w14:paraId="3C3838AA">
      <w:pPr>
        <w:spacing w:line="400" w:lineRule="exact"/>
        <w:ind w:left="0" w:leftChars="0" w:firstLine="449" w:firstLineChars="213"/>
        <w:rPr>
          <w:rFonts w:ascii="宋体" w:hAnsi="宋体"/>
          <w:b/>
          <w:bCs/>
          <w:highlight w:val="none"/>
        </w:rPr>
      </w:pPr>
      <w:r>
        <w:rPr>
          <w:rFonts w:hint="eastAsia" w:ascii="宋体" w:hAnsi="宋体"/>
          <w:b/>
          <w:bCs/>
          <w:highlight w:val="none"/>
        </w:rPr>
        <w:t>经办人：</w:t>
      </w:r>
    </w:p>
    <w:p w14:paraId="281D1814">
      <w:pPr>
        <w:spacing w:line="400" w:lineRule="exact"/>
        <w:ind w:left="0" w:leftChars="0" w:firstLine="449" w:firstLineChars="213"/>
        <w:rPr>
          <w:rFonts w:ascii="宋体" w:hAnsi="宋体"/>
          <w:b/>
          <w:bCs/>
          <w:highlight w:val="none"/>
          <w:u w:val="single"/>
        </w:rPr>
      </w:pPr>
      <w:r>
        <w:rPr>
          <w:rFonts w:hint="eastAsia" w:ascii="宋体" w:hAnsi="宋体"/>
          <w:b/>
          <w:bCs/>
          <w:highlight w:val="none"/>
        </w:rPr>
        <w:t>联系电话</w:t>
      </w:r>
      <w:r>
        <w:rPr>
          <w:rFonts w:hint="eastAsia" w:ascii="宋体" w:hAnsi="宋体"/>
          <w:highlight w:val="none"/>
        </w:rPr>
        <w:t xml:space="preserve">：                                 </w:t>
      </w:r>
    </w:p>
    <w:p w14:paraId="45D85D5C">
      <w:pPr>
        <w:spacing w:line="400" w:lineRule="exact"/>
        <w:ind w:left="0" w:leftChars="0" w:firstLine="449" w:firstLineChars="213"/>
        <w:rPr>
          <w:rFonts w:ascii="宋体" w:hAnsi="宋体"/>
          <w:highlight w:val="none"/>
        </w:rPr>
      </w:pPr>
      <w:r>
        <w:rPr>
          <w:rFonts w:hint="eastAsia" w:ascii="宋体" w:hAnsi="宋体"/>
          <w:b/>
          <w:bCs/>
          <w:highlight w:val="none"/>
        </w:rPr>
        <w:t>日    期</w:t>
      </w:r>
      <w:r>
        <w:rPr>
          <w:rFonts w:hint="eastAsia" w:ascii="宋体" w:hAnsi="宋体"/>
          <w:highlight w:val="none"/>
        </w:rPr>
        <w:t>：</w:t>
      </w:r>
      <w:r>
        <w:rPr>
          <w:rFonts w:hint="eastAsia" w:ascii="宋体" w:hAnsi="宋体"/>
          <w:highlight w:val="none"/>
          <w:u w:val="single"/>
        </w:rPr>
        <w:t xml:space="preserve">      </w:t>
      </w:r>
      <w:r>
        <w:rPr>
          <w:rFonts w:hint="eastAsia" w:ascii="宋体" w:hAnsi="宋体"/>
          <w:highlight w:val="none"/>
        </w:rPr>
        <w:t>年</w:t>
      </w:r>
      <w:r>
        <w:rPr>
          <w:rFonts w:hint="eastAsia" w:ascii="宋体" w:hAnsi="宋体"/>
          <w:highlight w:val="none"/>
          <w:u w:val="single"/>
        </w:rPr>
        <w:t xml:space="preserve">    </w:t>
      </w:r>
      <w:r>
        <w:rPr>
          <w:rFonts w:hint="eastAsia" w:ascii="宋体" w:hAnsi="宋体"/>
          <w:highlight w:val="none"/>
        </w:rPr>
        <w:t>月</w:t>
      </w:r>
      <w:r>
        <w:rPr>
          <w:rFonts w:hint="eastAsia" w:ascii="宋体" w:hAnsi="宋体"/>
          <w:highlight w:val="none"/>
          <w:u w:val="single"/>
        </w:rPr>
        <w:t xml:space="preserve">    </w:t>
      </w:r>
      <w:r>
        <w:rPr>
          <w:rFonts w:hint="eastAsia" w:ascii="宋体" w:hAnsi="宋体"/>
          <w:highlight w:val="none"/>
        </w:rPr>
        <w:t xml:space="preserve">日     </w:t>
      </w:r>
    </w:p>
    <w:p w14:paraId="06C58D65">
      <w:pPr>
        <w:spacing w:line="400" w:lineRule="exact"/>
        <w:ind w:left="0" w:leftChars="0" w:firstLine="447" w:firstLineChars="213"/>
        <w:jc w:val="left"/>
        <w:rPr>
          <w:rFonts w:ascii="宋体" w:hAnsi="宋体"/>
          <w:highlight w:val="none"/>
        </w:rPr>
      </w:pPr>
      <w:r>
        <w:rPr>
          <w:rFonts w:hint="eastAsia" w:ascii="宋体" w:hAnsi="宋体"/>
          <w:highlight w:val="none"/>
        </w:rPr>
        <w:t xml:space="preserve">  </w:t>
      </w:r>
    </w:p>
    <w:p w14:paraId="4961778C">
      <w:pPr>
        <w:spacing w:line="400" w:lineRule="exact"/>
        <w:ind w:left="0" w:leftChars="0" w:firstLine="449" w:firstLineChars="213"/>
        <w:jc w:val="left"/>
        <w:rPr>
          <w:rFonts w:ascii="宋体" w:hAnsi="宋体"/>
          <w:b/>
          <w:bCs/>
          <w:highlight w:val="none"/>
        </w:rPr>
      </w:pPr>
    </w:p>
    <w:p w14:paraId="5F7F3DD7">
      <w:pPr>
        <w:spacing w:line="400" w:lineRule="exact"/>
        <w:ind w:left="0" w:leftChars="0" w:firstLine="449" w:firstLineChars="213"/>
        <w:jc w:val="left"/>
        <w:rPr>
          <w:rFonts w:ascii="宋体" w:hAnsi="宋体"/>
          <w:b/>
          <w:bCs/>
          <w:highlight w:val="none"/>
        </w:rPr>
      </w:pPr>
      <w:r>
        <w:rPr>
          <w:rFonts w:hint="eastAsia" w:ascii="宋体" w:hAnsi="宋体"/>
          <w:b/>
          <w:bCs/>
          <w:highlight w:val="none"/>
        </w:rPr>
        <w:t>乙方</w:t>
      </w:r>
      <w:r>
        <w:rPr>
          <w:rFonts w:hint="eastAsia" w:ascii="宋体" w:hAnsi="宋体"/>
          <w:highlight w:val="none"/>
        </w:rPr>
        <w:t xml:space="preserve">（盖章） </w:t>
      </w:r>
      <w:r>
        <w:rPr>
          <w:rFonts w:hint="eastAsia" w:ascii="宋体" w:hAnsi="宋体"/>
          <w:b/>
          <w:bCs/>
          <w:highlight w:val="none"/>
        </w:rPr>
        <w:t>：</w:t>
      </w:r>
    </w:p>
    <w:p w14:paraId="78A77FEB">
      <w:pPr>
        <w:spacing w:line="400" w:lineRule="exact"/>
        <w:ind w:left="0" w:leftChars="0" w:firstLine="449" w:firstLineChars="213"/>
        <w:jc w:val="left"/>
        <w:rPr>
          <w:rFonts w:ascii="宋体" w:hAnsi="宋体"/>
          <w:b/>
          <w:bCs/>
          <w:highlight w:val="none"/>
        </w:rPr>
      </w:pPr>
      <w:r>
        <w:rPr>
          <w:rFonts w:hint="eastAsia" w:ascii="宋体" w:hAnsi="宋体"/>
          <w:b/>
          <w:bCs/>
          <w:highlight w:val="none"/>
        </w:rPr>
        <w:t>法人代表</w:t>
      </w:r>
      <w:r>
        <w:rPr>
          <w:rFonts w:hint="eastAsia" w:ascii="宋体" w:hAnsi="宋体"/>
          <w:highlight w:val="none"/>
        </w:rPr>
        <w:t>：</w:t>
      </w:r>
    </w:p>
    <w:p w14:paraId="66A8D302">
      <w:pPr>
        <w:spacing w:line="400" w:lineRule="exact"/>
        <w:ind w:left="0" w:leftChars="0" w:firstLine="449" w:firstLineChars="213"/>
        <w:jc w:val="left"/>
        <w:rPr>
          <w:rFonts w:ascii="宋体" w:hAnsi="宋体"/>
          <w:b/>
          <w:bCs/>
          <w:highlight w:val="none"/>
        </w:rPr>
      </w:pPr>
      <w:r>
        <w:rPr>
          <w:rFonts w:hint="eastAsia" w:ascii="宋体" w:hAnsi="宋体"/>
          <w:b/>
          <w:bCs/>
          <w:highlight w:val="none"/>
        </w:rPr>
        <w:t>经办人：</w:t>
      </w:r>
    </w:p>
    <w:p w14:paraId="34C4EDAE">
      <w:pPr>
        <w:spacing w:line="400" w:lineRule="exact"/>
        <w:ind w:left="0" w:leftChars="0" w:firstLine="449" w:firstLineChars="213"/>
        <w:jc w:val="left"/>
        <w:rPr>
          <w:rFonts w:ascii="宋体" w:hAnsi="宋体"/>
          <w:highlight w:val="none"/>
        </w:rPr>
      </w:pPr>
      <w:r>
        <w:rPr>
          <w:rFonts w:hint="eastAsia" w:ascii="宋体" w:hAnsi="宋体"/>
          <w:b/>
          <w:bCs/>
          <w:highlight w:val="none"/>
        </w:rPr>
        <w:t>联系电话</w:t>
      </w:r>
      <w:r>
        <w:rPr>
          <w:rFonts w:hint="eastAsia" w:ascii="宋体" w:hAnsi="宋体"/>
          <w:highlight w:val="none"/>
        </w:rPr>
        <w:t xml:space="preserve">： </w:t>
      </w:r>
    </w:p>
    <w:p w14:paraId="41370A08">
      <w:pPr>
        <w:spacing w:line="400" w:lineRule="exact"/>
        <w:ind w:left="0" w:leftChars="0" w:firstLine="449" w:firstLineChars="213"/>
        <w:jc w:val="left"/>
        <w:rPr>
          <w:rFonts w:ascii="新宋体" w:hAnsi="新宋体" w:eastAsia="新宋体" w:cs="新宋体"/>
          <w:highlight w:val="none"/>
        </w:rPr>
        <w:sectPr>
          <w:type w:val="continuous"/>
          <w:pgSz w:w="11906" w:h="16838"/>
          <w:pgMar w:top="1440" w:right="1800" w:bottom="1440" w:left="1800" w:header="851" w:footer="992" w:gutter="0"/>
          <w:cols w:space="425" w:num="2"/>
          <w:docGrid w:type="lines" w:linePitch="312" w:charSpace="0"/>
        </w:sectPr>
      </w:pPr>
      <w:r>
        <w:rPr>
          <w:rFonts w:hint="eastAsia" w:ascii="宋体" w:hAnsi="宋体"/>
          <w:b/>
          <w:bCs/>
          <w:highlight w:val="none"/>
        </w:rPr>
        <w:t>日    期</w:t>
      </w:r>
      <w:r>
        <w:rPr>
          <w:rFonts w:hint="eastAsia" w:ascii="宋体" w:hAnsi="宋体"/>
          <w:highlight w:val="none"/>
        </w:rPr>
        <w:t>：</w:t>
      </w:r>
      <w:r>
        <w:rPr>
          <w:rFonts w:hint="eastAsia" w:ascii="宋体" w:hAnsi="宋体"/>
          <w:highlight w:val="none"/>
          <w:u w:val="single"/>
        </w:rPr>
        <w:t xml:space="preserve">      </w:t>
      </w:r>
      <w:r>
        <w:rPr>
          <w:rFonts w:hint="eastAsia" w:ascii="宋体" w:hAnsi="宋体"/>
          <w:highlight w:val="none"/>
        </w:rPr>
        <w:t>年</w:t>
      </w:r>
      <w:r>
        <w:rPr>
          <w:rFonts w:hint="eastAsia" w:ascii="宋体" w:hAnsi="宋体"/>
          <w:highlight w:val="none"/>
          <w:u w:val="single"/>
        </w:rPr>
        <w:t xml:space="preserve">    </w:t>
      </w:r>
      <w:r>
        <w:rPr>
          <w:rFonts w:hint="eastAsia" w:ascii="宋体" w:hAnsi="宋体"/>
          <w:highlight w:val="none"/>
        </w:rPr>
        <w:t>月</w:t>
      </w:r>
      <w:r>
        <w:rPr>
          <w:rFonts w:hint="eastAsia" w:ascii="宋体" w:hAnsi="宋体"/>
          <w:highlight w:val="none"/>
          <w:u w:val="single"/>
        </w:rPr>
        <w:t xml:space="preserve">    </w:t>
      </w:r>
      <w:r>
        <w:rPr>
          <w:rFonts w:hint="eastAsia" w:ascii="宋体" w:hAnsi="宋体"/>
          <w:highlight w:val="none"/>
        </w:rPr>
        <w:t xml:space="preserve">日 </w:t>
      </w:r>
    </w:p>
    <w:p w14:paraId="5038E833">
      <w:pPr>
        <w:spacing w:line="360" w:lineRule="auto"/>
        <w:ind w:left="0" w:leftChars="0" w:firstLine="447" w:firstLineChars="213"/>
        <w:rPr>
          <w:highlight w:val="none"/>
        </w:rPr>
        <w:sectPr>
          <w:headerReference r:id="rId7" w:type="default"/>
          <w:footerReference r:id="rId8" w:type="default"/>
          <w:pgSz w:w="11906" w:h="16838"/>
          <w:pgMar w:top="1440" w:right="1800" w:bottom="1440" w:left="1800" w:header="851" w:footer="992" w:gutter="0"/>
          <w:cols w:space="720" w:num="1"/>
          <w:docGrid w:type="lines" w:linePitch="312" w:charSpace="0"/>
        </w:sectPr>
      </w:pPr>
    </w:p>
    <w:p w14:paraId="72D5B13F">
      <w:pPr>
        <w:pStyle w:val="2"/>
        <w:spacing w:line="360" w:lineRule="auto"/>
        <w:ind w:left="0" w:leftChars="0" w:firstLine="684" w:firstLineChars="213"/>
        <w:rPr>
          <w:highlight w:val="none"/>
        </w:rPr>
      </w:pPr>
      <w:bookmarkStart w:id="75" w:name="_Toc9411"/>
      <w:bookmarkStart w:id="76" w:name="_Toc31151"/>
      <w:bookmarkStart w:id="77" w:name="_Toc17639"/>
      <w:r>
        <w:rPr>
          <w:rFonts w:hint="eastAsia"/>
          <w:highlight w:val="none"/>
        </w:rPr>
        <w:t>第</w:t>
      </w:r>
      <w:bookmarkStart w:id="78" w:name="_Toc9510643"/>
      <w:r>
        <w:rPr>
          <w:rFonts w:hint="eastAsia"/>
          <w:highlight w:val="none"/>
        </w:rPr>
        <w:t xml:space="preserve">五章 </w:t>
      </w:r>
      <w:r>
        <w:rPr>
          <w:rFonts w:hint="eastAsia"/>
          <w:highlight w:val="none"/>
          <w:lang w:eastAsia="zh-CN"/>
        </w:rPr>
        <w:t>响应文件</w:t>
      </w:r>
      <w:r>
        <w:rPr>
          <w:rFonts w:hint="eastAsia"/>
          <w:highlight w:val="none"/>
        </w:rPr>
        <w:t>格式</w:t>
      </w:r>
      <w:bookmarkEnd w:id="75"/>
      <w:bookmarkEnd w:id="76"/>
      <w:bookmarkEnd w:id="77"/>
    </w:p>
    <w:p w14:paraId="4E0E4D96">
      <w:pPr>
        <w:adjustRightInd w:val="0"/>
        <w:snapToGrid w:val="0"/>
        <w:spacing w:line="360" w:lineRule="auto"/>
        <w:ind w:left="0" w:leftChars="0" w:firstLine="447" w:firstLineChars="213"/>
        <w:rPr>
          <w:rFonts w:ascii="宋体" w:hAnsi="宋体" w:cs="宋体"/>
          <w:szCs w:val="24"/>
          <w:highlight w:val="none"/>
        </w:rPr>
      </w:pPr>
    </w:p>
    <w:p w14:paraId="2783C0C7">
      <w:pPr>
        <w:snapToGrid w:val="0"/>
        <w:spacing w:line="360" w:lineRule="auto"/>
        <w:ind w:left="0" w:leftChars="0" w:firstLine="511" w:firstLineChars="213"/>
        <w:rPr>
          <w:rFonts w:ascii="宋体" w:hAnsi="宋体" w:cs="宋体"/>
          <w:sz w:val="24"/>
          <w:szCs w:val="24"/>
          <w:highlight w:val="none"/>
        </w:rPr>
      </w:pPr>
      <w:r>
        <w:rPr>
          <w:rFonts w:hint="eastAsia" w:ascii="宋体" w:hAnsi="宋体" w:cs="宋体"/>
          <w:sz w:val="24"/>
          <w:szCs w:val="24"/>
          <w:highlight w:val="none"/>
        </w:rPr>
        <w:t>一、</w:t>
      </w:r>
      <w:bookmarkEnd w:id="78"/>
      <w:r>
        <w:rPr>
          <w:rFonts w:hint="eastAsia" w:ascii="宋体" w:hAnsi="宋体" w:cs="宋体"/>
          <w:sz w:val="24"/>
          <w:szCs w:val="24"/>
          <w:highlight w:val="none"/>
        </w:rPr>
        <w:t>投标人提交</w:t>
      </w:r>
      <w:r>
        <w:rPr>
          <w:rFonts w:hint="eastAsia" w:ascii="宋体" w:hAnsi="宋体" w:cs="宋体"/>
          <w:sz w:val="24"/>
          <w:szCs w:val="24"/>
          <w:highlight w:val="none"/>
          <w:lang w:eastAsia="zh-CN"/>
        </w:rPr>
        <w:t>响应文件</w:t>
      </w:r>
      <w:r>
        <w:rPr>
          <w:rFonts w:hint="eastAsia" w:ascii="宋体" w:hAnsi="宋体" w:cs="宋体"/>
          <w:sz w:val="24"/>
          <w:szCs w:val="24"/>
          <w:highlight w:val="none"/>
        </w:rPr>
        <w:t>须知：</w:t>
      </w:r>
    </w:p>
    <w:p w14:paraId="2A99BCC0">
      <w:pPr>
        <w:snapToGrid w:val="0"/>
        <w:spacing w:line="360" w:lineRule="auto"/>
        <w:ind w:left="0" w:leftChars="0" w:firstLine="511" w:firstLineChars="213"/>
        <w:rPr>
          <w:rFonts w:ascii="宋体" w:hAnsi="宋体" w:cs="宋体"/>
          <w:sz w:val="24"/>
          <w:szCs w:val="24"/>
          <w:highlight w:val="none"/>
        </w:rPr>
      </w:pPr>
      <w:r>
        <w:rPr>
          <w:rFonts w:hint="eastAsia" w:ascii="宋体" w:hAnsi="宋体" w:cs="宋体"/>
          <w:sz w:val="24"/>
          <w:szCs w:val="24"/>
          <w:highlight w:val="none"/>
        </w:rPr>
        <w:t>1、投标人应严格按照以下顺序填写和提交下述规定的全部格式文件以及其他有关资料，混乱的编排导致</w:t>
      </w:r>
      <w:r>
        <w:rPr>
          <w:rFonts w:hint="eastAsia" w:ascii="宋体" w:hAnsi="宋体" w:cs="宋体"/>
          <w:sz w:val="24"/>
          <w:szCs w:val="24"/>
          <w:highlight w:val="none"/>
          <w:lang w:eastAsia="zh-CN"/>
        </w:rPr>
        <w:t>响应文件</w:t>
      </w:r>
      <w:r>
        <w:rPr>
          <w:rFonts w:hint="eastAsia" w:ascii="宋体" w:hAnsi="宋体" w:cs="宋体"/>
          <w:sz w:val="24"/>
          <w:szCs w:val="24"/>
          <w:highlight w:val="none"/>
        </w:rPr>
        <w:t>被误读或评标小组查找不到有效文件是投标人的风险。</w:t>
      </w:r>
    </w:p>
    <w:p w14:paraId="4B3869A9">
      <w:pPr>
        <w:snapToGrid w:val="0"/>
        <w:spacing w:line="360" w:lineRule="auto"/>
        <w:ind w:left="0" w:leftChars="0" w:firstLine="511" w:firstLineChars="213"/>
        <w:rPr>
          <w:rFonts w:ascii="宋体" w:hAnsi="宋体" w:cs="宋体"/>
          <w:sz w:val="24"/>
          <w:szCs w:val="24"/>
          <w:highlight w:val="none"/>
        </w:rPr>
      </w:pPr>
      <w:r>
        <w:rPr>
          <w:rFonts w:hint="eastAsia" w:ascii="宋体" w:hAnsi="宋体" w:cs="宋体"/>
          <w:sz w:val="24"/>
          <w:szCs w:val="24"/>
          <w:highlight w:val="none"/>
        </w:rPr>
        <w:t>2、所附表格中要求回答的全部问题和/或信息都必须正面回答。</w:t>
      </w:r>
    </w:p>
    <w:p w14:paraId="1CE1B9AF">
      <w:pPr>
        <w:snapToGrid w:val="0"/>
        <w:spacing w:line="360" w:lineRule="auto"/>
        <w:ind w:left="0" w:leftChars="0" w:firstLine="511" w:firstLineChars="213"/>
        <w:rPr>
          <w:rFonts w:ascii="宋体" w:hAnsi="宋体" w:cs="宋体"/>
          <w:sz w:val="24"/>
          <w:szCs w:val="24"/>
          <w:highlight w:val="none"/>
        </w:rPr>
      </w:pPr>
      <w:r>
        <w:rPr>
          <w:rFonts w:hint="eastAsia" w:ascii="宋体" w:hAnsi="宋体" w:cs="宋体"/>
          <w:sz w:val="24"/>
          <w:szCs w:val="24"/>
          <w:highlight w:val="none"/>
        </w:rPr>
        <w:t>3、本声明书的签字人应保证全部声明和问题的回答是真实的和准确的。</w:t>
      </w:r>
    </w:p>
    <w:p w14:paraId="62907CFD">
      <w:pPr>
        <w:snapToGrid w:val="0"/>
        <w:spacing w:line="360" w:lineRule="auto"/>
        <w:ind w:left="0" w:leftChars="0" w:firstLine="511" w:firstLineChars="213"/>
        <w:rPr>
          <w:rFonts w:ascii="宋体" w:hAnsi="宋体" w:cs="宋体"/>
          <w:sz w:val="24"/>
          <w:szCs w:val="24"/>
          <w:highlight w:val="none"/>
        </w:rPr>
      </w:pPr>
      <w:r>
        <w:rPr>
          <w:rFonts w:hint="eastAsia" w:ascii="宋体" w:hAnsi="宋体" w:cs="宋体"/>
          <w:sz w:val="24"/>
          <w:szCs w:val="24"/>
          <w:highlight w:val="none"/>
        </w:rPr>
        <w:t>4、评标委员会将应用投标人提交的资料根据自己的判断和考虑决定投标人履行合同的合格性及能力。</w:t>
      </w:r>
    </w:p>
    <w:p w14:paraId="10B54B53">
      <w:pPr>
        <w:snapToGrid w:val="0"/>
        <w:spacing w:line="360" w:lineRule="auto"/>
        <w:ind w:left="0" w:leftChars="0" w:firstLine="511" w:firstLineChars="213"/>
        <w:rPr>
          <w:rFonts w:ascii="宋体" w:hAnsi="宋体" w:cs="宋体"/>
          <w:sz w:val="24"/>
          <w:szCs w:val="24"/>
          <w:highlight w:val="none"/>
        </w:rPr>
      </w:pPr>
      <w:r>
        <w:rPr>
          <w:rFonts w:hint="eastAsia" w:ascii="宋体" w:hAnsi="宋体" w:cs="宋体"/>
          <w:sz w:val="24"/>
          <w:szCs w:val="24"/>
          <w:highlight w:val="none"/>
        </w:rPr>
        <w:t>5、投标人提交的材料将在一定期限内被保密保存，但不退还。</w:t>
      </w:r>
    </w:p>
    <w:p w14:paraId="55921F24">
      <w:pPr>
        <w:snapToGrid w:val="0"/>
        <w:spacing w:line="360" w:lineRule="auto"/>
        <w:ind w:left="0" w:leftChars="0" w:firstLine="511" w:firstLineChars="213"/>
        <w:rPr>
          <w:rFonts w:ascii="宋体" w:hAnsi="宋体" w:cs="宋体"/>
          <w:sz w:val="24"/>
          <w:szCs w:val="24"/>
          <w:highlight w:val="none"/>
        </w:rPr>
      </w:pPr>
      <w:r>
        <w:rPr>
          <w:rFonts w:hint="eastAsia" w:ascii="宋体" w:hAnsi="宋体" w:cs="宋体"/>
          <w:sz w:val="24"/>
          <w:szCs w:val="24"/>
          <w:highlight w:val="none"/>
        </w:rPr>
        <w:t>6、全部文件应按投标人须知中规定的语言和份数提交。</w:t>
      </w:r>
      <w:r>
        <w:rPr>
          <w:rFonts w:hint="eastAsia" w:ascii="宋体" w:hAnsi="宋体" w:cs="宋体"/>
          <w:sz w:val="24"/>
          <w:szCs w:val="24"/>
          <w:highlight w:val="none"/>
          <w:lang w:eastAsia="zh-CN"/>
        </w:rPr>
        <w:t>响应文件</w:t>
      </w:r>
      <w:r>
        <w:rPr>
          <w:rFonts w:hint="eastAsia" w:ascii="宋体" w:hAnsi="宋体" w:cs="宋体"/>
          <w:sz w:val="24"/>
          <w:szCs w:val="24"/>
          <w:highlight w:val="none"/>
        </w:rPr>
        <w:t>组成漏项或未按规定的格式编制或</w:t>
      </w:r>
      <w:r>
        <w:rPr>
          <w:rFonts w:hint="eastAsia" w:ascii="宋体" w:hAnsi="宋体" w:cs="宋体"/>
          <w:sz w:val="24"/>
          <w:szCs w:val="24"/>
          <w:highlight w:val="none"/>
          <w:lang w:eastAsia="zh-CN"/>
        </w:rPr>
        <w:t>响应文件</w:t>
      </w:r>
      <w:r>
        <w:rPr>
          <w:rFonts w:hint="eastAsia" w:ascii="宋体" w:hAnsi="宋体" w:cs="宋体"/>
          <w:sz w:val="24"/>
          <w:szCs w:val="24"/>
          <w:highlight w:val="none"/>
        </w:rPr>
        <w:t>正、副本份数不足，内容不全或内容字迹模糊辨认不清的情况，将有可能被评标小组认定为投标无效。</w:t>
      </w:r>
    </w:p>
    <w:p w14:paraId="6387E35D">
      <w:pPr>
        <w:snapToGrid w:val="0"/>
        <w:spacing w:line="360" w:lineRule="auto"/>
        <w:ind w:left="0" w:leftChars="0" w:firstLine="511" w:firstLineChars="213"/>
        <w:rPr>
          <w:rFonts w:ascii="宋体" w:hAnsi="宋体" w:cs="宋体"/>
          <w:sz w:val="24"/>
          <w:szCs w:val="24"/>
          <w:highlight w:val="none"/>
        </w:rPr>
      </w:pPr>
      <w:r>
        <w:rPr>
          <w:rFonts w:hint="eastAsia" w:ascii="宋体" w:hAnsi="宋体" w:cs="宋体"/>
          <w:sz w:val="24"/>
          <w:szCs w:val="24"/>
          <w:highlight w:val="none"/>
        </w:rPr>
        <w:t>二、</w:t>
      </w:r>
      <w:r>
        <w:rPr>
          <w:rFonts w:hint="eastAsia" w:ascii="宋体" w:hAnsi="宋体" w:cs="宋体"/>
          <w:sz w:val="24"/>
          <w:szCs w:val="24"/>
          <w:highlight w:val="none"/>
          <w:lang w:eastAsia="zh-CN"/>
        </w:rPr>
        <w:t>响应文件</w:t>
      </w:r>
      <w:r>
        <w:rPr>
          <w:rFonts w:hint="eastAsia" w:ascii="宋体" w:hAnsi="宋体" w:cs="宋体"/>
          <w:sz w:val="24"/>
          <w:szCs w:val="24"/>
          <w:highlight w:val="none"/>
        </w:rPr>
        <w:t>编制格式及规范要求：</w:t>
      </w:r>
    </w:p>
    <w:p w14:paraId="7993F1B4">
      <w:pPr>
        <w:adjustRightInd w:val="0"/>
        <w:snapToGrid w:val="0"/>
        <w:spacing w:line="360" w:lineRule="auto"/>
        <w:ind w:left="0" w:leftChars="0" w:firstLine="511" w:firstLineChars="213"/>
        <w:rPr>
          <w:rFonts w:ascii="宋体" w:hAnsi="宋体" w:cs="宋体"/>
          <w:sz w:val="24"/>
          <w:szCs w:val="24"/>
          <w:highlight w:val="none"/>
        </w:rPr>
      </w:pPr>
      <w:r>
        <w:rPr>
          <w:rFonts w:hint="eastAsia" w:ascii="宋体" w:hAnsi="宋体" w:cs="宋体"/>
          <w:sz w:val="24"/>
          <w:szCs w:val="24"/>
          <w:highlight w:val="none"/>
        </w:rPr>
        <w:t>商务报价文件和商务技术文件两部分，投标人在编制</w:t>
      </w:r>
      <w:r>
        <w:rPr>
          <w:rFonts w:hint="eastAsia" w:ascii="宋体" w:hAnsi="宋体" w:cs="宋体"/>
          <w:sz w:val="24"/>
          <w:szCs w:val="24"/>
          <w:highlight w:val="none"/>
          <w:lang w:eastAsia="zh-CN"/>
        </w:rPr>
        <w:t>响应文件</w:t>
      </w:r>
      <w:r>
        <w:rPr>
          <w:rFonts w:hint="eastAsia" w:ascii="宋体" w:hAnsi="宋体" w:cs="宋体"/>
          <w:sz w:val="24"/>
          <w:szCs w:val="24"/>
          <w:highlight w:val="none"/>
        </w:rPr>
        <w:t>时请按照以下格式进行，并装订成册。</w:t>
      </w:r>
    </w:p>
    <w:p w14:paraId="2FF6E6CF">
      <w:pPr>
        <w:adjustRightInd w:val="0"/>
        <w:snapToGrid w:val="0"/>
        <w:spacing w:line="360" w:lineRule="auto"/>
        <w:ind w:left="0" w:leftChars="0" w:firstLine="681" w:firstLineChars="213"/>
        <w:rPr>
          <w:rFonts w:ascii="宋体" w:hAnsi="宋体" w:cs="宋体"/>
          <w:sz w:val="32"/>
          <w:highlight w:val="none"/>
        </w:rPr>
      </w:pPr>
    </w:p>
    <w:p w14:paraId="7C3C78B6">
      <w:pPr>
        <w:adjustRightInd w:val="0"/>
        <w:snapToGrid w:val="0"/>
        <w:spacing w:line="360" w:lineRule="auto"/>
        <w:ind w:left="0" w:leftChars="0" w:firstLine="681" w:firstLineChars="213"/>
        <w:rPr>
          <w:rFonts w:ascii="宋体" w:hAnsi="宋体" w:cs="宋体"/>
          <w:b/>
          <w:sz w:val="24"/>
          <w:szCs w:val="24"/>
          <w:highlight w:val="none"/>
        </w:rPr>
      </w:pPr>
      <w:r>
        <w:rPr>
          <w:rFonts w:hint="eastAsia" w:ascii="宋体" w:hAnsi="宋体" w:cs="宋体"/>
          <w:sz w:val="32"/>
          <w:highlight w:val="none"/>
        </w:rPr>
        <w:br w:type="page"/>
      </w:r>
      <w:r>
        <w:rPr>
          <w:rFonts w:hint="eastAsia" w:ascii="宋体" w:hAnsi="宋体" w:cs="宋体"/>
          <w:b/>
          <w:sz w:val="24"/>
          <w:szCs w:val="24"/>
          <w:highlight w:val="none"/>
          <w:lang w:eastAsia="zh-CN"/>
        </w:rPr>
        <w:t>响应文件</w:t>
      </w:r>
      <w:r>
        <w:rPr>
          <w:rFonts w:hint="eastAsia" w:ascii="宋体" w:hAnsi="宋体" w:cs="宋体"/>
          <w:b/>
          <w:sz w:val="24"/>
          <w:szCs w:val="24"/>
          <w:highlight w:val="none"/>
        </w:rPr>
        <w:t>封面</w:t>
      </w:r>
    </w:p>
    <w:p w14:paraId="4A2B23D0">
      <w:pPr>
        <w:snapToGrid w:val="0"/>
        <w:spacing w:line="360" w:lineRule="auto"/>
        <w:ind w:left="0" w:leftChars="0" w:firstLine="852" w:firstLineChars="213"/>
        <w:rPr>
          <w:rFonts w:ascii="宋体" w:hAnsi="宋体" w:cs="宋体"/>
          <w:sz w:val="40"/>
          <w:szCs w:val="20"/>
          <w:highlight w:val="none"/>
        </w:rPr>
      </w:pPr>
      <w:r>
        <w:rPr>
          <w:rFonts w:hint="eastAsia" w:ascii="宋体" w:hAnsi="宋体" w:cs="宋体"/>
          <w:sz w:val="40"/>
          <w:szCs w:val="20"/>
          <w:highlight w:val="none"/>
        </w:rPr>
        <w:t>正（副）本</w:t>
      </w:r>
    </w:p>
    <w:p w14:paraId="4B2A3D2D">
      <w:pPr>
        <w:snapToGrid w:val="0"/>
        <w:spacing w:line="360" w:lineRule="auto"/>
        <w:ind w:left="0" w:leftChars="0" w:firstLine="1192" w:firstLineChars="213"/>
        <w:jc w:val="center"/>
        <w:rPr>
          <w:rFonts w:ascii="宋体" w:hAnsi="宋体" w:cs="宋体"/>
          <w:sz w:val="56"/>
          <w:szCs w:val="20"/>
          <w:highlight w:val="none"/>
        </w:rPr>
      </w:pPr>
    </w:p>
    <w:p w14:paraId="69F9B3B5">
      <w:pPr>
        <w:snapToGrid w:val="0"/>
        <w:spacing w:line="360" w:lineRule="auto"/>
        <w:ind w:left="0" w:leftChars="0" w:firstLine="937" w:firstLineChars="213"/>
        <w:jc w:val="center"/>
        <w:rPr>
          <w:rFonts w:ascii="宋体" w:hAnsi="宋体" w:cs="宋体"/>
          <w:sz w:val="44"/>
          <w:szCs w:val="44"/>
          <w:highlight w:val="none"/>
        </w:rPr>
      </w:pPr>
      <w:r>
        <w:rPr>
          <w:rFonts w:hint="eastAsia" w:ascii="宋体" w:hAnsi="宋体" w:cs="宋体"/>
          <w:sz w:val="44"/>
          <w:szCs w:val="44"/>
          <w:highlight w:val="none"/>
        </w:rPr>
        <w:t>(项目名称)项目</w:t>
      </w:r>
    </w:p>
    <w:p w14:paraId="2B77075D">
      <w:pPr>
        <w:snapToGrid w:val="0"/>
        <w:spacing w:line="360" w:lineRule="auto"/>
        <w:ind w:left="0" w:leftChars="0" w:firstLine="596" w:firstLineChars="213"/>
        <w:jc w:val="center"/>
        <w:rPr>
          <w:rFonts w:ascii="宋体" w:hAnsi="宋体" w:cs="宋体"/>
          <w:sz w:val="28"/>
          <w:szCs w:val="20"/>
          <w:highlight w:val="none"/>
        </w:rPr>
      </w:pPr>
      <w:r>
        <w:rPr>
          <w:rFonts w:hint="eastAsia" w:ascii="宋体" w:hAnsi="宋体" w:cs="宋体"/>
          <w:sz w:val="28"/>
          <w:szCs w:val="20"/>
          <w:highlight w:val="none"/>
        </w:rPr>
        <w:t>标包编号：</w:t>
      </w:r>
    </w:p>
    <w:p w14:paraId="6A670D09">
      <w:pPr>
        <w:snapToGrid w:val="0"/>
        <w:spacing w:line="360" w:lineRule="auto"/>
        <w:ind w:left="0" w:leftChars="0" w:firstLine="1192" w:firstLineChars="213"/>
        <w:jc w:val="center"/>
        <w:rPr>
          <w:rFonts w:ascii="宋体" w:hAnsi="宋体" w:cs="宋体"/>
          <w:sz w:val="56"/>
          <w:szCs w:val="20"/>
          <w:highlight w:val="none"/>
        </w:rPr>
      </w:pPr>
      <w:r>
        <w:rPr>
          <w:rFonts w:hint="eastAsia" w:ascii="宋体" w:hAnsi="宋体" w:cs="宋体"/>
          <w:sz w:val="56"/>
          <w:szCs w:val="20"/>
          <w:highlight w:val="none"/>
        </w:rPr>
        <w:t>报</w:t>
      </w:r>
    </w:p>
    <w:p w14:paraId="76A40935">
      <w:pPr>
        <w:snapToGrid w:val="0"/>
        <w:spacing w:line="360" w:lineRule="auto"/>
        <w:ind w:left="0" w:leftChars="0" w:firstLine="1192" w:firstLineChars="213"/>
        <w:jc w:val="center"/>
        <w:rPr>
          <w:rFonts w:ascii="宋体" w:hAnsi="宋体" w:cs="宋体"/>
          <w:sz w:val="56"/>
          <w:szCs w:val="20"/>
          <w:highlight w:val="none"/>
        </w:rPr>
      </w:pPr>
      <w:r>
        <w:rPr>
          <w:rFonts w:hint="eastAsia" w:ascii="宋体" w:hAnsi="宋体" w:cs="宋体"/>
          <w:sz w:val="56"/>
          <w:szCs w:val="20"/>
          <w:highlight w:val="none"/>
        </w:rPr>
        <w:t>价</w:t>
      </w:r>
    </w:p>
    <w:p w14:paraId="3242318A">
      <w:pPr>
        <w:snapToGrid w:val="0"/>
        <w:spacing w:line="360" w:lineRule="auto"/>
        <w:ind w:left="0" w:leftChars="0" w:firstLine="1192" w:firstLineChars="213"/>
        <w:jc w:val="center"/>
        <w:rPr>
          <w:rFonts w:ascii="宋体" w:hAnsi="宋体" w:cs="宋体"/>
          <w:sz w:val="56"/>
          <w:szCs w:val="20"/>
          <w:highlight w:val="none"/>
        </w:rPr>
      </w:pPr>
      <w:r>
        <w:rPr>
          <w:rFonts w:hint="eastAsia" w:ascii="宋体" w:hAnsi="宋体" w:cs="宋体"/>
          <w:sz w:val="56"/>
          <w:szCs w:val="20"/>
          <w:highlight w:val="none"/>
        </w:rPr>
        <w:t>文</w:t>
      </w:r>
    </w:p>
    <w:p w14:paraId="7F663AB0">
      <w:pPr>
        <w:snapToGrid w:val="0"/>
        <w:spacing w:line="360" w:lineRule="auto"/>
        <w:ind w:left="0" w:leftChars="0" w:firstLine="1192" w:firstLineChars="213"/>
        <w:jc w:val="center"/>
        <w:rPr>
          <w:rFonts w:ascii="宋体" w:hAnsi="宋体" w:cs="宋体"/>
          <w:sz w:val="56"/>
          <w:szCs w:val="20"/>
          <w:highlight w:val="none"/>
        </w:rPr>
      </w:pPr>
      <w:r>
        <w:rPr>
          <w:rFonts w:hint="eastAsia" w:ascii="宋体" w:hAnsi="宋体" w:cs="宋体"/>
          <w:sz w:val="56"/>
          <w:szCs w:val="20"/>
          <w:highlight w:val="none"/>
        </w:rPr>
        <w:t>件</w:t>
      </w:r>
    </w:p>
    <w:p w14:paraId="500F6B70">
      <w:pPr>
        <w:snapToGrid w:val="0"/>
        <w:spacing w:line="360" w:lineRule="auto"/>
        <w:ind w:left="0" w:leftChars="0" w:firstLine="596" w:firstLineChars="213"/>
        <w:rPr>
          <w:rFonts w:ascii="宋体" w:hAnsi="宋体" w:cs="宋体"/>
          <w:sz w:val="28"/>
          <w:szCs w:val="20"/>
          <w:highlight w:val="none"/>
        </w:rPr>
      </w:pPr>
    </w:p>
    <w:p w14:paraId="4D6E578E">
      <w:pPr>
        <w:snapToGrid w:val="0"/>
        <w:spacing w:line="360" w:lineRule="auto"/>
        <w:ind w:left="0" w:leftChars="0" w:firstLine="596" w:firstLineChars="213"/>
        <w:rPr>
          <w:rFonts w:ascii="宋体" w:hAnsi="宋体" w:cs="宋体"/>
          <w:sz w:val="28"/>
          <w:szCs w:val="20"/>
          <w:highlight w:val="none"/>
        </w:rPr>
      </w:pPr>
      <w:r>
        <w:rPr>
          <w:rFonts w:hint="eastAsia" w:ascii="宋体" w:hAnsi="宋体" w:cs="宋体"/>
          <w:sz w:val="28"/>
          <w:szCs w:val="20"/>
          <w:highlight w:val="none"/>
        </w:rPr>
        <w:t>投标人名称：（加盖单位公章）</w:t>
      </w:r>
    </w:p>
    <w:p w14:paraId="22B82659">
      <w:pPr>
        <w:snapToGrid w:val="0"/>
        <w:spacing w:line="360" w:lineRule="auto"/>
        <w:ind w:left="0" w:leftChars="0" w:firstLine="596" w:firstLineChars="213"/>
        <w:rPr>
          <w:rFonts w:ascii="宋体" w:hAnsi="宋体" w:cs="宋体"/>
          <w:sz w:val="28"/>
          <w:szCs w:val="20"/>
          <w:highlight w:val="none"/>
        </w:rPr>
      </w:pPr>
      <w:r>
        <w:rPr>
          <w:rFonts w:hint="eastAsia" w:ascii="宋体" w:hAnsi="宋体" w:cs="宋体"/>
          <w:sz w:val="28"/>
          <w:szCs w:val="20"/>
          <w:highlight w:val="none"/>
        </w:rPr>
        <w:t>投标人地址：</w:t>
      </w:r>
    </w:p>
    <w:p w14:paraId="4CA1637D">
      <w:pPr>
        <w:snapToGrid w:val="0"/>
        <w:spacing w:line="360" w:lineRule="auto"/>
        <w:ind w:left="0" w:leftChars="0" w:firstLine="596" w:firstLineChars="213"/>
        <w:rPr>
          <w:rFonts w:ascii="宋体" w:hAnsi="宋体" w:cs="宋体"/>
          <w:sz w:val="28"/>
          <w:szCs w:val="20"/>
          <w:highlight w:val="none"/>
        </w:rPr>
      </w:pPr>
      <w:r>
        <w:rPr>
          <w:rFonts w:hint="eastAsia" w:ascii="宋体" w:hAnsi="宋体" w:cs="宋体"/>
          <w:sz w:val="28"/>
          <w:szCs w:val="20"/>
          <w:highlight w:val="none"/>
        </w:rPr>
        <w:t>投标单位法定代表人（负责人、自然人）或被授权人姓名：（签字或盖章）</w:t>
      </w:r>
    </w:p>
    <w:p w14:paraId="1FDA6D30">
      <w:pPr>
        <w:snapToGrid w:val="0"/>
        <w:spacing w:line="360" w:lineRule="auto"/>
        <w:ind w:left="0" w:leftChars="0" w:firstLine="596" w:firstLineChars="213"/>
        <w:rPr>
          <w:rFonts w:ascii="宋体" w:hAnsi="宋体" w:cs="宋体"/>
          <w:sz w:val="28"/>
          <w:szCs w:val="20"/>
          <w:highlight w:val="none"/>
        </w:rPr>
      </w:pPr>
      <w:r>
        <w:rPr>
          <w:rFonts w:hint="eastAsia" w:ascii="宋体" w:hAnsi="宋体" w:cs="宋体"/>
          <w:sz w:val="28"/>
          <w:szCs w:val="20"/>
          <w:highlight w:val="none"/>
        </w:rPr>
        <w:t>投标单位法定代表人（负责人、自然人）或被授权人职务：</w:t>
      </w:r>
    </w:p>
    <w:p w14:paraId="53CE06FE">
      <w:pPr>
        <w:snapToGrid w:val="0"/>
        <w:spacing w:line="360" w:lineRule="auto"/>
        <w:ind w:left="0" w:leftChars="0" w:firstLine="596" w:firstLineChars="213"/>
        <w:rPr>
          <w:rFonts w:ascii="宋体" w:hAnsi="宋体" w:cs="宋体"/>
          <w:sz w:val="28"/>
          <w:szCs w:val="20"/>
          <w:highlight w:val="none"/>
        </w:rPr>
      </w:pPr>
      <w:r>
        <w:rPr>
          <w:rFonts w:hint="eastAsia" w:ascii="宋体" w:hAnsi="宋体" w:cs="宋体"/>
          <w:sz w:val="28"/>
          <w:szCs w:val="20"/>
          <w:highlight w:val="none"/>
        </w:rPr>
        <w:t>投标单位联系方式：</w:t>
      </w:r>
    </w:p>
    <w:p w14:paraId="182E747D">
      <w:pPr>
        <w:snapToGrid w:val="0"/>
        <w:spacing w:line="360" w:lineRule="auto"/>
        <w:ind w:left="0" w:leftChars="0" w:firstLine="426" w:firstLineChars="213"/>
        <w:rPr>
          <w:rFonts w:ascii="宋体" w:hAnsi="宋体" w:cs="宋体"/>
          <w:sz w:val="20"/>
          <w:szCs w:val="20"/>
          <w:highlight w:val="none"/>
        </w:rPr>
      </w:pPr>
    </w:p>
    <w:p w14:paraId="6B022CFF">
      <w:pPr>
        <w:adjustRightInd w:val="0"/>
        <w:snapToGrid w:val="0"/>
        <w:spacing w:line="360" w:lineRule="auto"/>
        <w:ind w:left="0" w:leftChars="0" w:firstLine="596" w:firstLineChars="213"/>
        <w:jc w:val="center"/>
        <w:rPr>
          <w:rFonts w:ascii="宋体" w:hAnsi="宋体" w:cs="宋体"/>
          <w:sz w:val="28"/>
          <w:szCs w:val="28"/>
          <w:highlight w:val="none"/>
        </w:rPr>
      </w:pPr>
      <w:r>
        <w:rPr>
          <w:rFonts w:hint="eastAsia" w:ascii="宋体" w:hAnsi="宋体" w:cs="宋体"/>
          <w:sz w:val="28"/>
          <w:szCs w:val="28"/>
          <w:highlight w:val="none"/>
        </w:rPr>
        <w:t>年  月  日</w:t>
      </w:r>
    </w:p>
    <w:p w14:paraId="462BE8BD">
      <w:pPr>
        <w:spacing w:line="360" w:lineRule="auto"/>
        <w:ind w:left="0" w:leftChars="0" w:firstLine="941" w:firstLineChars="213"/>
        <w:rPr>
          <w:rFonts w:ascii="宋体" w:hAnsi="宋体" w:cs="宋体"/>
          <w:b/>
          <w:sz w:val="44"/>
          <w:szCs w:val="44"/>
          <w:highlight w:val="none"/>
        </w:rPr>
      </w:pPr>
      <w:r>
        <w:rPr>
          <w:rFonts w:hint="eastAsia" w:ascii="宋体" w:hAnsi="宋体" w:cs="宋体"/>
          <w:b/>
          <w:sz w:val="44"/>
          <w:szCs w:val="44"/>
          <w:highlight w:val="none"/>
        </w:rPr>
        <w:br w:type="page"/>
      </w:r>
    </w:p>
    <w:p w14:paraId="7D14C9FC">
      <w:pPr>
        <w:widowControl/>
        <w:snapToGrid w:val="0"/>
        <w:spacing w:line="360" w:lineRule="auto"/>
        <w:ind w:left="0" w:leftChars="0" w:firstLine="941" w:firstLineChars="213"/>
        <w:jc w:val="center"/>
        <w:rPr>
          <w:rFonts w:ascii="宋体" w:hAnsi="宋体" w:cs="宋体"/>
          <w:b/>
          <w:sz w:val="44"/>
          <w:szCs w:val="44"/>
          <w:highlight w:val="none"/>
        </w:rPr>
      </w:pPr>
      <w:r>
        <w:rPr>
          <w:rFonts w:hint="eastAsia" w:ascii="宋体" w:hAnsi="宋体" w:cs="宋体"/>
          <w:b/>
          <w:sz w:val="44"/>
          <w:szCs w:val="44"/>
          <w:highlight w:val="none"/>
        </w:rPr>
        <w:t xml:space="preserve">目 </w:t>
      </w:r>
      <w:r>
        <w:rPr>
          <w:rFonts w:hint="eastAsia" w:ascii="宋体" w:hAnsi="宋体" w:cs="宋体"/>
          <w:b/>
          <w:sz w:val="44"/>
          <w:szCs w:val="44"/>
          <w:highlight w:val="none"/>
        </w:rPr>
        <w:tab/>
      </w:r>
      <w:r>
        <w:rPr>
          <w:rFonts w:hint="eastAsia" w:ascii="宋体" w:hAnsi="宋体" w:cs="宋体"/>
          <w:b/>
          <w:sz w:val="44"/>
          <w:szCs w:val="44"/>
          <w:highlight w:val="none"/>
        </w:rPr>
        <w:t>录</w:t>
      </w:r>
    </w:p>
    <w:p w14:paraId="1E50FBE3">
      <w:pPr>
        <w:spacing w:line="360" w:lineRule="auto"/>
        <w:ind w:left="0" w:leftChars="0" w:firstLine="511" w:firstLineChars="213"/>
        <w:rPr>
          <w:rFonts w:ascii="宋体" w:hAnsi="宋体" w:cs="宋体"/>
          <w:sz w:val="24"/>
          <w:szCs w:val="24"/>
          <w:highlight w:val="none"/>
        </w:rPr>
      </w:pPr>
      <w:r>
        <w:rPr>
          <w:rFonts w:hint="eastAsia" w:ascii="宋体" w:hAnsi="宋体" w:cs="宋体"/>
          <w:sz w:val="24"/>
          <w:szCs w:val="24"/>
          <w:highlight w:val="none"/>
        </w:rPr>
        <w:t>一、报价文件</w:t>
      </w:r>
    </w:p>
    <w:p w14:paraId="6DC8BA5D">
      <w:pPr>
        <w:spacing w:line="360" w:lineRule="auto"/>
        <w:ind w:left="0" w:leftChars="0" w:firstLine="511" w:firstLineChars="213"/>
        <w:rPr>
          <w:rFonts w:ascii="宋体" w:hAnsi="宋体" w:cs="宋体"/>
          <w:sz w:val="24"/>
          <w:szCs w:val="24"/>
          <w:highlight w:val="none"/>
        </w:rPr>
      </w:pPr>
      <w:r>
        <w:rPr>
          <w:rFonts w:hint="eastAsia" w:ascii="宋体" w:hAnsi="宋体" w:cs="宋体"/>
          <w:sz w:val="24"/>
          <w:szCs w:val="24"/>
          <w:highlight w:val="none"/>
        </w:rPr>
        <w:t>1、投标函</w:t>
      </w:r>
      <w:r>
        <w:rPr>
          <w:rFonts w:hint="eastAsia" w:ascii="宋体" w:hAnsi="宋体" w:cs="宋体"/>
          <w:sz w:val="24"/>
          <w:highlight w:val="none"/>
        </w:rPr>
        <w:t>…………………………………………………………………（页码）</w:t>
      </w:r>
    </w:p>
    <w:p w14:paraId="5453FCB0">
      <w:pPr>
        <w:spacing w:line="360" w:lineRule="auto"/>
        <w:ind w:left="0" w:leftChars="0" w:firstLine="511" w:firstLineChars="213"/>
        <w:rPr>
          <w:rFonts w:ascii="宋体" w:hAnsi="宋体" w:cs="宋体"/>
          <w:sz w:val="24"/>
          <w:szCs w:val="24"/>
          <w:highlight w:val="none"/>
        </w:rPr>
      </w:pPr>
      <w:r>
        <w:rPr>
          <w:rFonts w:hint="eastAsia" w:ascii="宋体" w:hAnsi="宋体" w:cs="宋体"/>
          <w:sz w:val="24"/>
          <w:szCs w:val="24"/>
          <w:highlight w:val="none"/>
        </w:rPr>
        <w:t>2、开标一览表</w:t>
      </w:r>
      <w:r>
        <w:rPr>
          <w:rFonts w:hint="eastAsia" w:ascii="宋体" w:hAnsi="宋体" w:cs="宋体"/>
          <w:sz w:val="24"/>
          <w:highlight w:val="none"/>
        </w:rPr>
        <w:t>……………………………………………………………（页码）</w:t>
      </w:r>
    </w:p>
    <w:p w14:paraId="3112A35B">
      <w:pPr>
        <w:spacing w:line="360" w:lineRule="auto"/>
        <w:ind w:left="0" w:leftChars="0" w:firstLine="511" w:firstLineChars="213"/>
        <w:rPr>
          <w:rFonts w:ascii="宋体" w:hAnsi="宋体" w:cs="宋体"/>
          <w:sz w:val="24"/>
          <w:szCs w:val="24"/>
          <w:highlight w:val="none"/>
        </w:rPr>
      </w:pPr>
      <w:r>
        <w:rPr>
          <w:rFonts w:hint="eastAsia" w:ascii="宋体" w:hAnsi="宋体" w:cs="宋体"/>
          <w:sz w:val="24"/>
          <w:szCs w:val="24"/>
          <w:highlight w:val="none"/>
        </w:rPr>
        <w:t>3、投标报价明细表</w:t>
      </w:r>
      <w:r>
        <w:rPr>
          <w:rFonts w:hint="eastAsia" w:ascii="宋体" w:hAnsi="宋体" w:cs="宋体"/>
          <w:sz w:val="24"/>
          <w:highlight w:val="none"/>
        </w:rPr>
        <w:t>………………………………………………………（页码）</w:t>
      </w:r>
    </w:p>
    <w:p w14:paraId="0A7CC7FA">
      <w:pPr>
        <w:spacing w:line="360" w:lineRule="auto"/>
        <w:ind w:left="0" w:leftChars="0" w:firstLine="511" w:firstLineChars="213"/>
        <w:rPr>
          <w:rFonts w:ascii="宋体" w:hAnsi="宋体" w:cs="宋体"/>
          <w:sz w:val="24"/>
          <w:szCs w:val="24"/>
          <w:highlight w:val="none"/>
        </w:rPr>
      </w:pPr>
      <w:r>
        <w:rPr>
          <w:rFonts w:hint="eastAsia" w:ascii="宋体" w:hAnsi="宋体" w:cs="宋体"/>
          <w:sz w:val="24"/>
          <w:szCs w:val="24"/>
          <w:highlight w:val="none"/>
        </w:rPr>
        <w:t>4、投标保证金缴纳凭证复印件………………………………</w:t>
      </w:r>
      <w:r>
        <w:rPr>
          <w:rFonts w:hint="eastAsia" w:ascii="宋体" w:hAnsi="宋体" w:cs="宋体"/>
          <w:sz w:val="24"/>
          <w:highlight w:val="none"/>
        </w:rPr>
        <w:t>…………（页码）</w:t>
      </w:r>
    </w:p>
    <w:p w14:paraId="0C851066">
      <w:pPr>
        <w:spacing w:line="360" w:lineRule="auto"/>
        <w:ind w:left="0" w:leftChars="0" w:firstLine="511" w:firstLineChars="213"/>
        <w:rPr>
          <w:rFonts w:ascii="宋体" w:hAnsi="宋体" w:cs="宋体"/>
          <w:sz w:val="24"/>
          <w:szCs w:val="24"/>
          <w:highlight w:val="none"/>
        </w:rPr>
      </w:pPr>
      <w:r>
        <w:rPr>
          <w:rFonts w:hint="eastAsia" w:ascii="宋体" w:hAnsi="宋体" w:cs="宋体"/>
          <w:sz w:val="24"/>
          <w:szCs w:val="24"/>
          <w:highlight w:val="none"/>
        </w:rPr>
        <w:t>5、投标人针对报价需要说明的其他文件和资料</w:t>
      </w:r>
      <w:r>
        <w:rPr>
          <w:rFonts w:hint="eastAsia" w:ascii="宋体" w:hAnsi="宋体" w:cs="宋体"/>
          <w:sz w:val="24"/>
          <w:highlight w:val="none"/>
        </w:rPr>
        <w:t>………………………（页码）</w:t>
      </w:r>
    </w:p>
    <w:p w14:paraId="1412F564">
      <w:pPr>
        <w:adjustRightInd w:val="0"/>
        <w:snapToGrid w:val="0"/>
        <w:spacing w:line="360" w:lineRule="auto"/>
        <w:ind w:left="0" w:leftChars="0" w:firstLine="681" w:firstLineChars="213"/>
        <w:rPr>
          <w:rFonts w:ascii="宋体" w:hAnsi="宋体" w:cs="宋体"/>
          <w:sz w:val="32"/>
          <w:szCs w:val="32"/>
          <w:highlight w:val="none"/>
        </w:rPr>
      </w:pPr>
    </w:p>
    <w:p w14:paraId="534C69E7">
      <w:pPr>
        <w:adjustRightInd w:val="0"/>
        <w:snapToGrid w:val="0"/>
        <w:spacing w:line="360" w:lineRule="auto"/>
        <w:ind w:left="0" w:leftChars="0" w:firstLine="681" w:firstLineChars="213"/>
        <w:rPr>
          <w:rFonts w:ascii="宋体" w:hAnsi="宋体" w:cs="宋体"/>
          <w:b/>
          <w:sz w:val="24"/>
          <w:szCs w:val="24"/>
          <w:highlight w:val="none"/>
        </w:rPr>
      </w:pPr>
      <w:r>
        <w:rPr>
          <w:rFonts w:hint="eastAsia" w:ascii="宋体" w:hAnsi="宋体" w:cs="宋体"/>
          <w:sz w:val="32"/>
          <w:szCs w:val="32"/>
          <w:highlight w:val="none"/>
        </w:rPr>
        <w:br w:type="page"/>
      </w:r>
      <w:r>
        <w:rPr>
          <w:rFonts w:hint="eastAsia" w:ascii="宋体" w:hAnsi="宋体" w:cs="宋体"/>
          <w:b/>
          <w:sz w:val="24"/>
          <w:szCs w:val="24"/>
          <w:highlight w:val="none"/>
        </w:rPr>
        <w:t>1、投标函格式：</w:t>
      </w:r>
    </w:p>
    <w:p w14:paraId="0E9E3141">
      <w:pPr>
        <w:adjustRightInd w:val="0"/>
        <w:snapToGrid w:val="0"/>
        <w:spacing w:line="360" w:lineRule="auto"/>
        <w:ind w:left="0" w:leftChars="0" w:firstLine="513" w:firstLineChars="213"/>
        <w:jc w:val="center"/>
        <w:rPr>
          <w:rFonts w:ascii="宋体" w:hAnsi="宋体" w:cs="宋体"/>
          <w:b/>
          <w:sz w:val="24"/>
          <w:szCs w:val="24"/>
          <w:highlight w:val="none"/>
        </w:rPr>
      </w:pPr>
      <w:r>
        <w:rPr>
          <w:rFonts w:hint="eastAsia" w:ascii="宋体" w:hAnsi="宋体" w:cs="宋体"/>
          <w:b/>
          <w:sz w:val="24"/>
          <w:szCs w:val="24"/>
          <w:highlight w:val="none"/>
        </w:rPr>
        <w:t>投 标 函</w:t>
      </w:r>
    </w:p>
    <w:p w14:paraId="094016A1">
      <w:pPr>
        <w:adjustRightInd w:val="0"/>
        <w:snapToGrid w:val="0"/>
        <w:spacing w:line="360" w:lineRule="auto"/>
        <w:ind w:left="0" w:leftChars="0" w:firstLine="511" w:firstLineChars="213"/>
        <w:rPr>
          <w:rFonts w:ascii="宋体" w:hAnsi="宋体" w:cs="宋体"/>
          <w:sz w:val="24"/>
          <w:szCs w:val="24"/>
          <w:highlight w:val="none"/>
        </w:rPr>
      </w:pPr>
      <w:r>
        <w:rPr>
          <w:rFonts w:hint="eastAsia" w:ascii="宋体" w:hAnsi="宋体" w:cs="宋体"/>
          <w:sz w:val="24"/>
          <w:szCs w:val="24"/>
          <w:highlight w:val="none"/>
        </w:rPr>
        <w:t>（采购代理机构名称）：</w:t>
      </w:r>
    </w:p>
    <w:p w14:paraId="11068E39">
      <w:pPr>
        <w:adjustRightInd w:val="0"/>
        <w:snapToGrid w:val="0"/>
        <w:spacing w:line="360" w:lineRule="auto"/>
        <w:ind w:left="0" w:leftChars="0" w:firstLine="511" w:firstLineChars="213"/>
        <w:rPr>
          <w:rFonts w:ascii="宋体" w:hAnsi="宋体" w:cs="宋体"/>
          <w:sz w:val="24"/>
          <w:szCs w:val="24"/>
          <w:highlight w:val="none"/>
        </w:rPr>
      </w:pPr>
      <w:r>
        <w:rPr>
          <w:rFonts w:hint="eastAsia" w:ascii="宋体" w:hAnsi="宋体" w:cs="宋体"/>
          <w:sz w:val="24"/>
          <w:szCs w:val="24"/>
          <w:highlight w:val="none"/>
        </w:rPr>
        <w:t>根据贵方项目（项目编号：）招标公告/投标邀请书，签字代表（全名）经正式授权并代表投标人（投标人名称）提交</w:t>
      </w:r>
      <w:r>
        <w:rPr>
          <w:rFonts w:hint="eastAsia" w:ascii="宋体" w:hAnsi="宋体" w:cs="宋体"/>
          <w:sz w:val="24"/>
          <w:szCs w:val="24"/>
          <w:highlight w:val="none"/>
          <w:u w:val="single"/>
          <w:lang w:val="en-US" w:eastAsia="zh-CN"/>
        </w:rPr>
        <w:t>标包</w:t>
      </w:r>
      <w:r>
        <w:rPr>
          <w:rFonts w:hint="eastAsia" w:ascii="宋体" w:hAnsi="宋体" w:cs="宋体"/>
          <w:sz w:val="24"/>
          <w:szCs w:val="24"/>
          <w:highlight w:val="none"/>
          <w:u w:val="single"/>
        </w:rPr>
        <w:t>编号及内容</w:t>
      </w:r>
      <w:r>
        <w:rPr>
          <w:rFonts w:hint="eastAsia" w:ascii="宋体" w:hAnsi="宋体" w:cs="宋体"/>
          <w:sz w:val="24"/>
          <w:szCs w:val="24"/>
          <w:highlight w:val="none"/>
          <w:lang w:eastAsia="zh-CN"/>
        </w:rPr>
        <w:t>响应文件</w:t>
      </w:r>
      <w:r>
        <w:rPr>
          <w:rFonts w:hint="eastAsia" w:ascii="宋体" w:hAnsi="宋体" w:cs="宋体"/>
          <w:sz w:val="24"/>
          <w:szCs w:val="24"/>
          <w:highlight w:val="none"/>
        </w:rPr>
        <w:t>正本一份、副本</w:t>
      </w:r>
      <w:r>
        <w:rPr>
          <w:rFonts w:hint="eastAsia" w:ascii="宋体" w:hAnsi="宋体" w:cs="宋体"/>
          <w:sz w:val="24"/>
          <w:szCs w:val="24"/>
          <w:highlight w:val="none"/>
          <w:u w:val="single"/>
        </w:rPr>
        <w:t xml:space="preserve">     </w:t>
      </w:r>
      <w:r>
        <w:rPr>
          <w:rFonts w:hint="eastAsia" w:ascii="宋体" w:hAnsi="宋体" w:cs="宋体"/>
          <w:sz w:val="24"/>
          <w:szCs w:val="24"/>
          <w:highlight w:val="none"/>
        </w:rPr>
        <w:t>份、电子文件</w:t>
      </w:r>
      <w:r>
        <w:rPr>
          <w:rFonts w:hint="eastAsia" w:ascii="宋体" w:hAnsi="宋体" w:cs="宋体"/>
          <w:sz w:val="24"/>
          <w:szCs w:val="24"/>
          <w:highlight w:val="none"/>
          <w:u w:val="single"/>
        </w:rPr>
        <w:t xml:space="preserve">    </w:t>
      </w:r>
      <w:r>
        <w:rPr>
          <w:rFonts w:hint="eastAsia" w:ascii="宋体" w:hAnsi="宋体" w:cs="宋体"/>
          <w:sz w:val="24"/>
          <w:szCs w:val="24"/>
          <w:highlight w:val="none"/>
        </w:rPr>
        <w:t>份。</w:t>
      </w:r>
    </w:p>
    <w:p w14:paraId="4D6AFF2B">
      <w:pPr>
        <w:adjustRightInd w:val="0"/>
        <w:snapToGrid w:val="0"/>
        <w:spacing w:line="360" w:lineRule="auto"/>
        <w:ind w:left="0" w:leftChars="0" w:firstLine="511" w:firstLineChars="213"/>
        <w:rPr>
          <w:rFonts w:ascii="宋体" w:hAnsi="宋体" w:cs="宋体"/>
          <w:sz w:val="24"/>
          <w:szCs w:val="24"/>
          <w:highlight w:val="none"/>
        </w:rPr>
      </w:pPr>
      <w:r>
        <w:rPr>
          <w:rFonts w:hint="eastAsia" w:ascii="宋体" w:hAnsi="宋体" w:cs="宋体"/>
          <w:sz w:val="24"/>
          <w:szCs w:val="24"/>
          <w:highlight w:val="none"/>
        </w:rPr>
        <w:t>据此函，签字代表宣布同意如下：</w:t>
      </w:r>
    </w:p>
    <w:p w14:paraId="2B76EB52">
      <w:pPr>
        <w:adjustRightInd w:val="0"/>
        <w:snapToGrid w:val="0"/>
        <w:spacing w:line="360" w:lineRule="auto"/>
        <w:ind w:left="0" w:leftChars="0" w:firstLine="511" w:firstLineChars="213"/>
        <w:rPr>
          <w:rFonts w:ascii="宋体" w:hAnsi="宋体" w:cs="宋体"/>
          <w:sz w:val="24"/>
          <w:szCs w:val="24"/>
          <w:highlight w:val="none"/>
        </w:rPr>
      </w:pPr>
      <w:r>
        <w:rPr>
          <w:rFonts w:hint="eastAsia" w:ascii="宋体" w:hAnsi="宋体" w:cs="宋体"/>
          <w:sz w:val="24"/>
          <w:szCs w:val="24"/>
          <w:highlight w:val="none"/>
        </w:rPr>
        <w:t>1、投标人已详细审查全部“</w:t>
      </w:r>
      <w:r>
        <w:rPr>
          <w:rFonts w:hint="eastAsia" w:ascii="宋体" w:hAnsi="宋体" w:cs="宋体"/>
          <w:sz w:val="24"/>
          <w:szCs w:val="24"/>
          <w:highlight w:val="none"/>
          <w:lang w:eastAsia="zh-CN"/>
        </w:rPr>
        <w:t>磋商文件</w:t>
      </w:r>
      <w:r>
        <w:rPr>
          <w:rFonts w:hint="eastAsia" w:ascii="宋体" w:hAnsi="宋体" w:cs="宋体"/>
          <w:sz w:val="24"/>
          <w:szCs w:val="24"/>
          <w:highlight w:val="none"/>
        </w:rPr>
        <w:t>”，包括补充文件（如有）以及全部参考资料和有关附件，已经了解我方对于</w:t>
      </w:r>
      <w:r>
        <w:rPr>
          <w:rFonts w:hint="eastAsia" w:ascii="宋体" w:hAnsi="宋体" w:cs="宋体"/>
          <w:sz w:val="24"/>
          <w:szCs w:val="24"/>
          <w:highlight w:val="none"/>
          <w:lang w:eastAsia="zh-CN"/>
        </w:rPr>
        <w:t>磋商文件</w:t>
      </w:r>
      <w:r>
        <w:rPr>
          <w:rFonts w:hint="eastAsia" w:ascii="宋体" w:hAnsi="宋体" w:cs="宋体"/>
          <w:sz w:val="24"/>
          <w:szCs w:val="24"/>
          <w:highlight w:val="none"/>
        </w:rPr>
        <w:t>、采购过程、采购结果有依法进行询问、质疑、投诉的权利及相关渠道和要求。</w:t>
      </w:r>
    </w:p>
    <w:p w14:paraId="43815A99">
      <w:pPr>
        <w:adjustRightInd w:val="0"/>
        <w:snapToGrid w:val="0"/>
        <w:spacing w:line="360" w:lineRule="auto"/>
        <w:ind w:left="0" w:leftChars="0" w:firstLine="511" w:firstLineChars="213"/>
        <w:rPr>
          <w:rFonts w:ascii="宋体" w:hAnsi="宋体" w:cs="宋体"/>
          <w:sz w:val="24"/>
          <w:szCs w:val="24"/>
          <w:highlight w:val="none"/>
        </w:rPr>
      </w:pPr>
      <w:r>
        <w:rPr>
          <w:rFonts w:hint="eastAsia" w:ascii="宋体" w:hAnsi="宋体" w:cs="宋体"/>
          <w:sz w:val="24"/>
          <w:szCs w:val="24"/>
          <w:highlight w:val="none"/>
        </w:rPr>
        <w:t>2、投标人在投标之前已经与贵方进行了充分的沟通，完全理解并接受</w:t>
      </w:r>
      <w:r>
        <w:rPr>
          <w:rFonts w:hint="eastAsia" w:ascii="宋体" w:hAnsi="宋体" w:cs="宋体"/>
          <w:sz w:val="24"/>
          <w:szCs w:val="24"/>
          <w:highlight w:val="none"/>
          <w:lang w:eastAsia="zh-CN"/>
        </w:rPr>
        <w:t>磋商文件</w:t>
      </w:r>
      <w:r>
        <w:rPr>
          <w:rFonts w:hint="eastAsia" w:ascii="宋体" w:hAnsi="宋体" w:cs="宋体"/>
          <w:sz w:val="24"/>
          <w:szCs w:val="24"/>
          <w:highlight w:val="none"/>
        </w:rPr>
        <w:t>的各项规定和要求，对</w:t>
      </w:r>
      <w:r>
        <w:rPr>
          <w:rFonts w:hint="eastAsia" w:ascii="宋体" w:hAnsi="宋体" w:cs="宋体"/>
          <w:sz w:val="24"/>
          <w:szCs w:val="24"/>
          <w:highlight w:val="none"/>
          <w:lang w:eastAsia="zh-CN"/>
        </w:rPr>
        <w:t>磋商文件</w:t>
      </w:r>
      <w:r>
        <w:rPr>
          <w:rFonts w:hint="eastAsia" w:ascii="宋体" w:hAnsi="宋体" w:cs="宋体"/>
          <w:sz w:val="24"/>
          <w:szCs w:val="24"/>
          <w:highlight w:val="none"/>
        </w:rPr>
        <w:t>的合理性、合法性不再有异议。</w:t>
      </w:r>
    </w:p>
    <w:p w14:paraId="2DCC1B56">
      <w:pPr>
        <w:adjustRightInd w:val="0"/>
        <w:snapToGrid w:val="0"/>
        <w:spacing w:line="360" w:lineRule="auto"/>
        <w:ind w:left="0" w:leftChars="0" w:firstLine="511" w:firstLineChars="213"/>
        <w:rPr>
          <w:rFonts w:ascii="宋体" w:hAnsi="宋体" w:cs="宋体"/>
          <w:sz w:val="24"/>
          <w:szCs w:val="24"/>
          <w:highlight w:val="none"/>
        </w:rPr>
      </w:pPr>
      <w:r>
        <w:rPr>
          <w:rFonts w:hint="eastAsia" w:ascii="宋体" w:hAnsi="宋体" w:cs="宋体"/>
          <w:sz w:val="24"/>
          <w:szCs w:val="24"/>
          <w:highlight w:val="none"/>
        </w:rPr>
        <w:t>3、本投标有效期自递交</w:t>
      </w:r>
      <w:r>
        <w:rPr>
          <w:rFonts w:hint="eastAsia" w:ascii="宋体" w:hAnsi="宋体" w:cs="宋体"/>
          <w:sz w:val="24"/>
          <w:szCs w:val="24"/>
          <w:highlight w:val="none"/>
          <w:lang w:eastAsia="zh-CN"/>
        </w:rPr>
        <w:t>响应文件</w:t>
      </w:r>
      <w:r>
        <w:rPr>
          <w:rFonts w:hint="eastAsia" w:ascii="宋体" w:hAnsi="宋体" w:cs="宋体"/>
          <w:sz w:val="24"/>
          <w:szCs w:val="24"/>
          <w:highlight w:val="none"/>
        </w:rPr>
        <w:t>截止之日起</w:t>
      </w:r>
      <w:r>
        <w:rPr>
          <w:rFonts w:hint="eastAsia" w:ascii="宋体" w:hAnsi="宋体" w:cs="宋体"/>
          <w:sz w:val="24"/>
          <w:szCs w:val="24"/>
          <w:highlight w:val="none"/>
          <w:u w:val="single"/>
        </w:rPr>
        <w:t>90</w:t>
      </w:r>
      <w:r>
        <w:rPr>
          <w:rFonts w:hint="eastAsia" w:ascii="宋体" w:hAnsi="宋体" w:cs="宋体"/>
          <w:sz w:val="24"/>
          <w:szCs w:val="24"/>
          <w:highlight w:val="none"/>
        </w:rPr>
        <w:t>天。</w:t>
      </w:r>
    </w:p>
    <w:p w14:paraId="556630C7">
      <w:pPr>
        <w:adjustRightInd w:val="0"/>
        <w:snapToGrid w:val="0"/>
        <w:spacing w:line="360" w:lineRule="auto"/>
        <w:ind w:left="0" w:leftChars="0" w:firstLine="511" w:firstLineChars="213"/>
        <w:rPr>
          <w:rFonts w:ascii="宋体" w:hAnsi="宋体" w:cs="宋体"/>
          <w:sz w:val="24"/>
          <w:szCs w:val="24"/>
          <w:highlight w:val="none"/>
        </w:rPr>
      </w:pPr>
      <w:r>
        <w:rPr>
          <w:rFonts w:hint="eastAsia" w:ascii="宋体" w:hAnsi="宋体" w:cs="宋体"/>
          <w:sz w:val="24"/>
          <w:szCs w:val="24"/>
          <w:highlight w:val="none"/>
        </w:rPr>
        <w:t>4、如中标，本</w:t>
      </w:r>
      <w:r>
        <w:rPr>
          <w:rFonts w:hint="eastAsia" w:ascii="宋体" w:hAnsi="宋体" w:cs="宋体"/>
          <w:sz w:val="24"/>
          <w:szCs w:val="24"/>
          <w:highlight w:val="none"/>
          <w:lang w:eastAsia="zh-CN"/>
        </w:rPr>
        <w:t>响应文件</w:t>
      </w:r>
      <w:r>
        <w:rPr>
          <w:rFonts w:hint="eastAsia" w:ascii="宋体" w:hAnsi="宋体" w:cs="宋体"/>
          <w:sz w:val="24"/>
          <w:szCs w:val="24"/>
          <w:highlight w:val="none"/>
        </w:rPr>
        <w:t>至本项目合同履行完毕止均保持有效，本投标人将按“</w:t>
      </w:r>
      <w:r>
        <w:rPr>
          <w:rFonts w:hint="eastAsia" w:ascii="宋体" w:hAnsi="宋体" w:cs="宋体"/>
          <w:sz w:val="24"/>
          <w:szCs w:val="24"/>
          <w:highlight w:val="none"/>
          <w:lang w:eastAsia="zh-CN"/>
        </w:rPr>
        <w:t>磋商文件</w:t>
      </w:r>
      <w:r>
        <w:rPr>
          <w:rFonts w:hint="eastAsia" w:ascii="宋体" w:hAnsi="宋体" w:cs="宋体"/>
          <w:sz w:val="24"/>
          <w:szCs w:val="24"/>
          <w:highlight w:val="none"/>
        </w:rPr>
        <w:t>”及政府采购法律、法规的规定履行合同责任和义务。</w:t>
      </w:r>
    </w:p>
    <w:p w14:paraId="690F488F">
      <w:pPr>
        <w:adjustRightInd w:val="0"/>
        <w:snapToGrid w:val="0"/>
        <w:spacing w:line="360" w:lineRule="auto"/>
        <w:ind w:left="0" w:leftChars="0" w:firstLine="511" w:firstLineChars="213"/>
        <w:rPr>
          <w:rFonts w:ascii="宋体" w:hAnsi="宋体" w:cs="宋体"/>
          <w:sz w:val="24"/>
          <w:szCs w:val="24"/>
          <w:highlight w:val="none"/>
        </w:rPr>
      </w:pPr>
      <w:r>
        <w:rPr>
          <w:rFonts w:hint="eastAsia" w:ascii="宋体" w:hAnsi="宋体" w:cs="宋体"/>
          <w:sz w:val="24"/>
          <w:szCs w:val="24"/>
          <w:highlight w:val="none"/>
        </w:rPr>
        <w:t>5、投标人同意按照贵方要求提供与投标有关的一切数据或资料，完全理解采购人不一定接受最低价的投标或收到的任何投标。</w:t>
      </w:r>
    </w:p>
    <w:p w14:paraId="7A574B8B">
      <w:pPr>
        <w:adjustRightInd w:val="0"/>
        <w:snapToGrid w:val="0"/>
        <w:spacing w:line="360" w:lineRule="auto"/>
        <w:ind w:left="0" w:leftChars="0" w:firstLine="511" w:firstLineChars="213"/>
        <w:rPr>
          <w:rFonts w:ascii="宋体" w:hAnsi="宋体" w:cs="宋体"/>
          <w:sz w:val="24"/>
          <w:szCs w:val="24"/>
          <w:highlight w:val="none"/>
        </w:rPr>
      </w:pPr>
      <w:r>
        <w:rPr>
          <w:rFonts w:hint="eastAsia" w:ascii="宋体" w:hAnsi="宋体" w:cs="宋体"/>
          <w:sz w:val="24"/>
          <w:szCs w:val="24"/>
          <w:highlight w:val="none"/>
        </w:rPr>
        <w:t>6、与本投标有关的一切正式往来信函请寄：</w:t>
      </w:r>
    </w:p>
    <w:p w14:paraId="036D17A9">
      <w:pPr>
        <w:adjustRightInd w:val="0"/>
        <w:snapToGrid w:val="0"/>
        <w:spacing w:line="360" w:lineRule="auto"/>
        <w:ind w:left="0" w:leftChars="0" w:firstLine="511" w:firstLineChars="213"/>
        <w:rPr>
          <w:rFonts w:ascii="宋体" w:hAnsi="宋体" w:cs="宋体"/>
          <w:sz w:val="24"/>
          <w:szCs w:val="24"/>
          <w:highlight w:val="none"/>
        </w:rPr>
      </w:pPr>
    </w:p>
    <w:p w14:paraId="46FE4416">
      <w:pPr>
        <w:adjustRightInd w:val="0"/>
        <w:snapToGrid w:val="0"/>
        <w:spacing w:line="360" w:lineRule="auto"/>
        <w:ind w:left="0" w:leftChars="0" w:firstLine="511" w:firstLineChars="213"/>
        <w:rPr>
          <w:rFonts w:ascii="宋体" w:hAnsi="宋体" w:cs="宋体"/>
          <w:sz w:val="24"/>
          <w:szCs w:val="24"/>
          <w:highlight w:val="none"/>
        </w:rPr>
      </w:pPr>
      <w:r>
        <w:rPr>
          <w:rFonts w:hint="eastAsia" w:ascii="宋体" w:hAnsi="宋体" w:cs="宋体"/>
          <w:sz w:val="24"/>
          <w:szCs w:val="24"/>
          <w:highlight w:val="none"/>
        </w:rPr>
        <w:t>地址：  邮编：     电话：</w:t>
      </w:r>
    </w:p>
    <w:p w14:paraId="59857D5D">
      <w:pPr>
        <w:adjustRightInd w:val="0"/>
        <w:snapToGrid w:val="0"/>
        <w:spacing w:line="360" w:lineRule="auto"/>
        <w:ind w:left="0" w:leftChars="0" w:firstLine="511" w:firstLineChars="213"/>
        <w:rPr>
          <w:rFonts w:ascii="宋体" w:hAnsi="宋体" w:cs="宋体"/>
          <w:sz w:val="24"/>
          <w:szCs w:val="24"/>
          <w:highlight w:val="none"/>
        </w:rPr>
      </w:pPr>
      <w:r>
        <w:rPr>
          <w:rFonts w:hint="eastAsia" w:ascii="宋体" w:hAnsi="宋体" w:cs="宋体"/>
          <w:sz w:val="24"/>
          <w:szCs w:val="24"/>
          <w:highlight w:val="none"/>
        </w:rPr>
        <w:t>传真：   投标人代表姓名：  职务：</w:t>
      </w:r>
    </w:p>
    <w:p w14:paraId="7DA5278F">
      <w:pPr>
        <w:adjustRightInd w:val="0"/>
        <w:snapToGrid w:val="0"/>
        <w:spacing w:line="360" w:lineRule="auto"/>
        <w:ind w:left="0" w:leftChars="0" w:firstLine="511" w:firstLineChars="213"/>
        <w:rPr>
          <w:rFonts w:ascii="宋体" w:hAnsi="宋体" w:cs="宋体"/>
          <w:sz w:val="24"/>
          <w:szCs w:val="24"/>
          <w:highlight w:val="none"/>
        </w:rPr>
      </w:pPr>
      <w:r>
        <w:rPr>
          <w:rFonts w:hint="eastAsia" w:ascii="宋体" w:hAnsi="宋体" w:cs="宋体"/>
          <w:sz w:val="24"/>
          <w:szCs w:val="24"/>
          <w:highlight w:val="none"/>
        </w:rPr>
        <w:t>投标人名称(公章):</w:t>
      </w:r>
    </w:p>
    <w:p w14:paraId="177453FE">
      <w:pPr>
        <w:adjustRightInd w:val="0"/>
        <w:snapToGrid w:val="0"/>
        <w:spacing w:line="360" w:lineRule="auto"/>
        <w:ind w:left="0" w:leftChars="0" w:firstLine="511" w:firstLineChars="213"/>
        <w:rPr>
          <w:rFonts w:ascii="宋体" w:hAnsi="宋体" w:cs="宋体"/>
          <w:sz w:val="24"/>
          <w:szCs w:val="24"/>
          <w:highlight w:val="none"/>
        </w:rPr>
      </w:pPr>
      <w:r>
        <w:rPr>
          <w:rFonts w:hint="eastAsia" w:ascii="宋体" w:hAnsi="宋体" w:cs="宋体"/>
          <w:sz w:val="24"/>
          <w:szCs w:val="24"/>
          <w:highlight w:val="none"/>
        </w:rPr>
        <w:t>开户银行：    银行账号：</w:t>
      </w:r>
    </w:p>
    <w:p w14:paraId="7AB128D4">
      <w:pPr>
        <w:adjustRightInd w:val="0"/>
        <w:snapToGrid w:val="0"/>
        <w:spacing w:line="360" w:lineRule="auto"/>
        <w:ind w:left="0" w:leftChars="0" w:firstLine="511" w:firstLineChars="213"/>
        <w:jc w:val="left"/>
        <w:rPr>
          <w:rFonts w:ascii="宋体" w:hAnsi="宋体" w:cs="宋体"/>
          <w:sz w:val="24"/>
          <w:szCs w:val="24"/>
          <w:highlight w:val="none"/>
        </w:rPr>
      </w:pPr>
      <w:r>
        <w:rPr>
          <w:rFonts w:hint="eastAsia" w:ascii="宋体" w:hAnsi="宋体" w:cs="宋体"/>
          <w:sz w:val="24"/>
          <w:szCs w:val="24"/>
          <w:highlight w:val="none"/>
        </w:rPr>
        <w:t>被授权人签字:</w:t>
      </w:r>
    </w:p>
    <w:p w14:paraId="57AA029F">
      <w:pPr>
        <w:adjustRightInd w:val="0"/>
        <w:snapToGrid w:val="0"/>
        <w:spacing w:line="360" w:lineRule="auto"/>
        <w:ind w:left="0" w:leftChars="0" w:firstLine="511" w:firstLineChars="213"/>
        <w:jc w:val="left"/>
        <w:rPr>
          <w:rFonts w:ascii="宋体" w:hAnsi="宋体" w:cs="宋体"/>
          <w:sz w:val="24"/>
          <w:szCs w:val="24"/>
          <w:highlight w:val="none"/>
        </w:rPr>
      </w:pPr>
      <w:r>
        <w:rPr>
          <w:rFonts w:hint="eastAsia" w:ascii="宋体" w:hAnsi="宋体" w:cs="宋体"/>
          <w:sz w:val="24"/>
          <w:szCs w:val="24"/>
          <w:highlight w:val="none"/>
        </w:rPr>
        <w:t xml:space="preserve">                                             日期：年月日</w:t>
      </w:r>
    </w:p>
    <w:p w14:paraId="4ECE5F3D">
      <w:pPr>
        <w:adjustRightInd w:val="0"/>
        <w:snapToGrid w:val="0"/>
        <w:spacing w:line="360" w:lineRule="auto"/>
        <w:ind w:left="0" w:leftChars="0" w:firstLine="511" w:firstLineChars="213"/>
        <w:rPr>
          <w:rFonts w:ascii="宋体" w:hAnsi="宋体" w:cs="宋体"/>
          <w:sz w:val="24"/>
          <w:szCs w:val="24"/>
          <w:highlight w:val="none"/>
        </w:rPr>
      </w:pPr>
    </w:p>
    <w:p w14:paraId="3759E5C5">
      <w:pPr>
        <w:adjustRightInd w:val="0"/>
        <w:snapToGrid w:val="0"/>
        <w:spacing w:line="360" w:lineRule="auto"/>
        <w:ind w:left="0" w:leftChars="0" w:firstLine="511" w:firstLineChars="213"/>
        <w:rPr>
          <w:rFonts w:ascii="宋体" w:hAnsi="宋体" w:cs="宋体"/>
          <w:b/>
          <w:sz w:val="24"/>
          <w:szCs w:val="24"/>
          <w:highlight w:val="none"/>
        </w:rPr>
      </w:pPr>
      <w:r>
        <w:rPr>
          <w:rFonts w:hint="eastAsia" w:ascii="宋体" w:hAnsi="宋体" w:cs="宋体"/>
          <w:sz w:val="24"/>
          <w:szCs w:val="24"/>
          <w:highlight w:val="none"/>
        </w:rPr>
        <w:br w:type="page"/>
      </w:r>
      <w:r>
        <w:rPr>
          <w:rFonts w:hint="eastAsia" w:ascii="宋体" w:hAnsi="宋体" w:cs="宋体"/>
          <w:b/>
          <w:sz w:val="24"/>
          <w:szCs w:val="24"/>
          <w:highlight w:val="none"/>
        </w:rPr>
        <w:t>2、开标一览表</w:t>
      </w:r>
    </w:p>
    <w:p w14:paraId="53A6D167">
      <w:pPr>
        <w:adjustRightInd w:val="0"/>
        <w:snapToGrid w:val="0"/>
        <w:spacing w:line="360" w:lineRule="auto"/>
        <w:ind w:left="0" w:leftChars="0" w:firstLine="513" w:firstLineChars="213"/>
        <w:jc w:val="center"/>
        <w:rPr>
          <w:rFonts w:ascii="宋体" w:hAnsi="宋体" w:cs="宋体"/>
          <w:b/>
          <w:sz w:val="24"/>
          <w:szCs w:val="24"/>
          <w:highlight w:val="none"/>
        </w:rPr>
      </w:pPr>
      <w:r>
        <w:rPr>
          <w:rFonts w:hint="eastAsia" w:ascii="宋体" w:hAnsi="宋体" w:cs="宋体"/>
          <w:b/>
          <w:sz w:val="24"/>
          <w:szCs w:val="24"/>
          <w:highlight w:val="none"/>
        </w:rPr>
        <w:t>开标一览表</w:t>
      </w:r>
    </w:p>
    <w:p w14:paraId="1AB0D264">
      <w:pPr>
        <w:adjustRightInd w:val="0"/>
        <w:snapToGrid w:val="0"/>
        <w:spacing w:line="360" w:lineRule="auto"/>
        <w:ind w:left="0" w:leftChars="0" w:firstLine="511" w:firstLineChars="213"/>
        <w:rPr>
          <w:rFonts w:ascii="宋体" w:hAnsi="宋体" w:cs="宋体"/>
          <w:sz w:val="24"/>
          <w:szCs w:val="24"/>
          <w:highlight w:val="none"/>
        </w:rPr>
      </w:pPr>
      <w:r>
        <w:rPr>
          <w:rFonts w:hint="eastAsia" w:ascii="宋体" w:hAnsi="宋体" w:cs="宋体"/>
          <w:sz w:val="24"/>
          <w:szCs w:val="24"/>
          <w:highlight w:val="none"/>
        </w:rPr>
        <w:t xml:space="preserve">项目名称：      </w:t>
      </w:r>
    </w:p>
    <w:p w14:paraId="2F7A69FD">
      <w:pPr>
        <w:adjustRightInd w:val="0"/>
        <w:snapToGrid w:val="0"/>
        <w:spacing w:line="360" w:lineRule="auto"/>
        <w:ind w:left="0" w:leftChars="0" w:firstLine="511" w:firstLineChars="213"/>
        <w:rPr>
          <w:rFonts w:ascii="宋体" w:hAnsi="宋体" w:cs="宋体"/>
          <w:sz w:val="24"/>
          <w:szCs w:val="24"/>
          <w:highlight w:val="none"/>
        </w:rPr>
      </w:pPr>
      <w:r>
        <w:rPr>
          <w:rFonts w:hint="eastAsia" w:ascii="宋体" w:hAnsi="宋体" w:cs="宋体"/>
          <w:sz w:val="24"/>
          <w:szCs w:val="24"/>
          <w:highlight w:val="none"/>
        </w:rPr>
        <w:t xml:space="preserve">标包编号及内容：                          </w:t>
      </w:r>
      <w:r>
        <w:rPr>
          <w:rFonts w:ascii="宋体" w:hAnsi="宋体" w:cs="宋体"/>
          <w:sz w:val="24"/>
          <w:szCs w:val="24"/>
          <w:highlight w:val="none"/>
        </w:rPr>
        <w:t xml:space="preserve"> </w:t>
      </w:r>
    </w:p>
    <w:tbl>
      <w:tblPr>
        <w:tblStyle w:val="37"/>
        <w:tblpPr w:leftFromText="180" w:rightFromText="180" w:vertAnchor="text" w:horzAnchor="margin" w:tblpXSpec="center" w:tblpY="225"/>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5"/>
        <w:gridCol w:w="2750"/>
        <w:gridCol w:w="1286"/>
        <w:gridCol w:w="2235"/>
      </w:tblGrid>
      <w:tr w14:paraId="18340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9" w:hRule="atLeast"/>
        </w:trPr>
        <w:tc>
          <w:tcPr>
            <w:tcW w:w="2025" w:type="dxa"/>
            <w:vAlign w:val="center"/>
          </w:tcPr>
          <w:p w14:paraId="51694BCD">
            <w:pPr>
              <w:pStyle w:val="3"/>
              <w:spacing w:line="360" w:lineRule="auto"/>
              <w:ind w:left="0" w:leftChars="0" w:firstLine="511" w:firstLineChars="213"/>
              <w:jc w:val="center"/>
              <w:rPr>
                <w:rFonts w:ascii="宋体" w:hAnsi="宋体" w:cs="宋体"/>
                <w:sz w:val="24"/>
                <w:highlight w:val="none"/>
              </w:rPr>
            </w:pPr>
            <w:r>
              <w:rPr>
                <w:rFonts w:hint="eastAsia" w:ascii="宋体" w:hAnsi="宋体" w:cs="宋体"/>
                <w:sz w:val="24"/>
                <w:highlight w:val="none"/>
              </w:rPr>
              <w:t>投标人名称</w:t>
            </w:r>
          </w:p>
        </w:tc>
        <w:tc>
          <w:tcPr>
            <w:tcW w:w="6271" w:type="dxa"/>
            <w:gridSpan w:val="3"/>
            <w:vAlign w:val="center"/>
          </w:tcPr>
          <w:p w14:paraId="648C0D04">
            <w:pPr>
              <w:pStyle w:val="3"/>
              <w:spacing w:line="360" w:lineRule="auto"/>
              <w:ind w:left="0" w:leftChars="0" w:firstLine="511" w:firstLineChars="213"/>
              <w:rPr>
                <w:rFonts w:ascii="宋体" w:hAnsi="宋体" w:cs="宋体"/>
                <w:sz w:val="24"/>
                <w:highlight w:val="none"/>
              </w:rPr>
            </w:pPr>
          </w:p>
        </w:tc>
      </w:tr>
      <w:tr w14:paraId="336BF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trPr>
        <w:tc>
          <w:tcPr>
            <w:tcW w:w="2025" w:type="dxa"/>
            <w:vAlign w:val="center"/>
          </w:tcPr>
          <w:p w14:paraId="319769BC">
            <w:pPr>
              <w:pStyle w:val="3"/>
              <w:spacing w:line="360" w:lineRule="auto"/>
              <w:ind w:left="0" w:leftChars="0" w:firstLine="511" w:firstLineChars="213"/>
              <w:jc w:val="center"/>
              <w:rPr>
                <w:rFonts w:ascii="宋体" w:hAnsi="宋体" w:cs="宋体"/>
                <w:sz w:val="24"/>
                <w:highlight w:val="none"/>
              </w:rPr>
            </w:pPr>
            <w:r>
              <w:rPr>
                <w:rFonts w:hint="eastAsia" w:ascii="宋体" w:hAnsi="宋体" w:cs="宋体"/>
                <w:sz w:val="24"/>
                <w:highlight w:val="none"/>
              </w:rPr>
              <w:t>单位地址</w:t>
            </w:r>
          </w:p>
        </w:tc>
        <w:tc>
          <w:tcPr>
            <w:tcW w:w="6271" w:type="dxa"/>
            <w:gridSpan w:val="3"/>
            <w:vAlign w:val="center"/>
          </w:tcPr>
          <w:p w14:paraId="467CE3DD">
            <w:pPr>
              <w:pStyle w:val="3"/>
              <w:spacing w:line="360" w:lineRule="auto"/>
              <w:ind w:left="0" w:leftChars="0" w:firstLine="511" w:firstLineChars="213"/>
              <w:rPr>
                <w:rFonts w:ascii="宋体" w:hAnsi="宋体" w:cs="宋体"/>
                <w:sz w:val="24"/>
                <w:highlight w:val="none"/>
              </w:rPr>
            </w:pPr>
          </w:p>
        </w:tc>
      </w:tr>
      <w:tr w14:paraId="2DABB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6" w:hRule="atLeast"/>
        </w:trPr>
        <w:tc>
          <w:tcPr>
            <w:tcW w:w="2025" w:type="dxa"/>
            <w:vAlign w:val="center"/>
          </w:tcPr>
          <w:p w14:paraId="6E596063">
            <w:pPr>
              <w:pStyle w:val="3"/>
              <w:spacing w:line="360" w:lineRule="auto"/>
              <w:ind w:left="0" w:leftChars="0" w:firstLine="511" w:firstLineChars="213"/>
              <w:jc w:val="center"/>
              <w:rPr>
                <w:rFonts w:ascii="宋体" w:hAnsi="宋体" w:cs="宋体"/>
                <w:sz w:val="24"/>
                <w:highlight w:val="none"/>
              </w:rPr>
            </w:pPr>
            <w:r>
              <w:rPr>
                <w:rFonts w:hint="eastAsia" w:ascii="宋体" w:hAnsi="宋体" w:cs="宋体"/>
                <w:sz w:val="24"/>
                <w:highlight w:val="none"/>
              </w:rPr>
              <w:t>法定代表人</w:t>
            </w:r>
          </w:p>
        </w:tc>
        <w:tc>
          <w:tcPr>
            <w:tcW w:w="2750" w:type="dxa"/>
            <w:vAlign w:val="center"/>
          </w:tcPr>
          <w:p w14:paraId="2DEFCDDD">
            <w:pPr>
              <w:pStyle w:val="3"/>
              <w:spacing w:line="360" w:lineRule="auto"/>
              <w:ind w:left="0" w:leftChars="0" w:firstLine="511" w:firstLineChars="213"/>
              <w:rPr>
                <w:rFonts w:ascii="宋体" w:hAnsi="宋体" w:cs="宋体"/>
                <w:sz w:val="24"/>
                <w:highlight w:val="none"/>
              </w:rPr>
            </w:pPr>
          </w:p>
        </w:tc>
        <w:tc>
          <w:tcPr>
            <w:tcW w:w="1286" w:type="dxa"/>
            <w:vAlign w:val="center"/>
          </w:tcPr>
          <w:p w14:paraId="251CB8B9">
            <w:pPr>
              <w:pStyle w:val="3"/>
              <w:spacing w:line="360" w:lineRule="auto"/>
              <w:ind w:left="0" w:leftChars="0" w:firstLine="511" w:firstLineChars="213"/>
              <w:rPr>
                <w:rFonts w:ascii="宋体" w:hAnsi="宋体" w:cs="宋体"/>
                <w:sz w:val="24"/>
                <w:highlight w:val="none"/>
              </w:rPr>
            </w:pPr>
            <w:r>
              <w:rPr>
                <w:rFonts w:hint="eastAsia" w:ascii="宋体" w:hAnsi="宋体" w:cs="宋体"/>
                <w:sz w:val="24"/>
                <w:highlight w:val="none"/>
              </w:rPr>
              <w:t>联系电话</w:t>
            </w:r>
          </w:p>
        </w:tc>
        <w:tc>
          <w:tcPr>
            <w:tcW w:w="2235" w:type="dxa"/>
            <w:vAlign w:val="center"/>
          </w:tcPr>
          <w:p w14:paraId="2FF0A04B">
            <w:pPr>
              <w:pStyle w:val="3"/>
              <w:spacing w:line="360" w:lineRule="auto"/>
              <w:ind w:left="0" w:leftChars="0" w:firstLine="511" w:firstLineChars="213"/>
              <w:rPr>
                <w:rFonts w:ascii="宋体" w:hAnsi="宋体" w:cs="宋体"/>
                <w:sz w:val="24"/>
                <w:highlight w:val="none"/>
              </w:rPr>
            </w:pPr>
          </w:p>
        </w:tc>
      </w:tr>
      <w:tr w14:paraId="6BAE8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6" w:hRule="atLeast"/>
        </w:trPr>
        <w:tc>
          <w:tcPr>
            <w:tcW w:w="2025" w:type="dxa"/>
            <w:vAlign w:val="center"/>
          </w:tcPr>
          <w:p w14:paraId="3C858E32">
            <w:pPr>
              <w:pStyle w:val="3"/>
              <w:spacing w:line="360" w:lineRule="auto"/>
              <w:ind w:left="0" w:leftChars="0" w:firstLine="511" w:firstLineChars="213"/>
              <w:jc w:val="center"/>
              <w:rPr>
                <w:rFonts w:ascii="宋体" w:hAnsi="宋体" w:cs="宋体"/>
                <w:sz w:val="24"/>
                <w:highlight w:val="none"/>
              </w:rPr>
            </w:pPr>
            <w:r>
              <w:rPr>
                <w:rFonts w:hint="eastAsia" w:ascii="宋体" w:hAnsi="宋体" w:cs="宋体"/>
                <w:sz w:val="24"/>
                <w:highlight w:val="none"/>
              </w:rPr>
              <w:t>授权委托人</w:t>
            </w:r>
          </w:p>
        </w:tc>
        <w:tc>
          <w:tcPr>
            <w:tcW w:w="2750" w:type="dxa"/>
            <w:vAlign w:val="center"/>
          </w:tcPr>
          <w:p w14:paraId="388665F7">
            <w:pPr>
              <w:pStyle w:val="3"/>
              <w:spacing w:line="360" w:lineRule="auto"/>
              <w:ind w:left="0" w:leftChars="0" w:firstLine="511" w:firstLineChars="213"/>
              <w:rPr>
                <w:rFonts w:ascii="宋体" w:hAnsi="宋体" w:cs="宋体"/>
                <w:sz w:val="24"/>
                <w:highlight w:val="none"/>
              </w:rPr>
            </w:pPr>
          </w:p>
        </w:tc>
        <w:tc>
          <w:tcPr>
            <w:tcW w:w="1286" w:type="dxa"/>
            <w:vAlign w:val="center"/>
          </w:tcPr>
          <w:p w14:paraId="071100F3">
            <w:pPr>
              <w:pStyle w:val="3"/>
              <w:spacing w:line="360" w:lineRule="auto"/>
              <w:ind w:left="0" w:leftChars="0" w:firstLine="511" w:firstLineChars="213"/>
              <w:rPr>
                <w:rFonts w:ascii="宋体" w:hAnsi="宋体" w:cs="宋体"/>
                <w:sz w:val="24"/>
                <w:highlight w:val="none"/>
              </w:rPr>
            </w:pPr>
            <w:r>
              <w:rPr>
                <w:rFonts w:hint="eastAsia" w:ascii="宋体" w:hAnsi="宋体" w:cs="宋体"/>
                <w:sz w:val="24"/>
                <w:highlight w:val="none"/>
              </w:rPr>
              <w:t>联系电话</w:t>
            </w:r>
          </w:p>
        </w:tc>
        <w:tc>
          <w:tcPr>
            <w:tcW w:w="2235" w:type="dxa"/>
            <w:vAlign w:val="center"/>
          </w:tcPr>
          <w:p w14:paraId="1B96A17B">
            <w:pPr>
              <w:pStyle w:val="3"/>
              <w:spacing w:line="360" w:lineRule="auto"/>
              <w:ind w:left="0" w:leftChars="0" w:firstLine="511" w:firstLineChars="213"/>
              <w:rPr>
                <w:rFonts w:ascii="宋体" w:hAnsi="宋体" w:cs="宋体"/>
                <w:sz w:val="24"/>
                <w:highlight w:val="none"/>
              </w:rPr>
            </w:pPr>
          </w:p>
        </w:tc>
      </w:tr>
      <w:tr w14:paraId="1C049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64" w:hRule="atLeast"/>
        </w:trPr>
        <w:tc>
          <w:tcPr>
            <w:tcW w:w="2025" w:type="dxa"/>
            <w:vAlign w:val="center"/>
          </w:tcPr>
          <w:p w14:paraId="41C825D7">
            <w:pPr>
              <w:pStyle w:val="3"/>
              <w:spacing w:line="360" w:lineRule="auto"/>
              <w:ind w:left="0" w:leftChars="0" w:firstLine="511" w:firstLineChars="213"/>
              <w:jc w:val="center"/>
              <w:rPr>
                <w:rFonts w:ascii="宋体" w:hAnsi="宋体" w:cs="宋体"/>
                <w:sz w:val="24"/>
                <w:highlight w:val="none"/>
              </w:rPr>
            </w:pPr>
            <w:r>
              <w:rPr>
                <w:rFonts w:hint="eastAsia" w:ascii="宋体" w:hAnsi="宋体" w:cs="宋体"/>
                <w:sz w:val="24"/>
                <w:highlight w:val="none"/>
              </w:rPr>
              <w:t>折扣率报价%</w:t>
            </w:r>
          </w:p>
        </w:tc>
        <w:tc>
          <w:tcPr>
            <w:tcW w:w="6271" w:type="dxa"/>
            <w:gridSpan w:val="3"/>
            <w:vAlign w:val="center"/>
          </w:tcPr>
          <w:p w14:paraId="71940910">
            <w:pPr>
              <w:pStyle w:val="3"/>
              <w:spacing w:line="360" w:lineRule="auto"/>
              <w:ind w:left="0" w:leftChars="0" w:firstLine="511" w:firstLineChars="213"/>
              <w:rPr>
                <w:rFonts w:ascii="宋体" w:hAnsi="宋体" w:cs="宋体"/>
                <w:sz w:val="24"/>
                <w:highlight w:val="none"/>
              </w:rPr>
            </w:pPr>
            <w:r>
              <w:rPr>
                <w:rFonts w:hint="eastAsia" w:ascii="宋体" w:hAnsi="宋体" w:cs="宋体"/>
                <w:sz w:val="24"/>
                <w:highlight w:val="none"/>
              </w:rPr>
              <w:t>小写：平均下浮比例</w:t>
            </w:r>
            <w:r>
              <w:rPr>
                <w:rFonts w:hint="eastAsia" w:ascii="宋体" w:hAnsi="宋体" w:cs="宋体"/>
                <w:sz w:val="24"/>
                <w:highlight w:val="none"/>
                <w:u w:val="single"/>
              </w:rPr>
              <w:t xml:space="preserve">                    </w:t>
            </w:r>
            <w:r>
              <w:rPr>
                <w:rFonts w:ascii="宋体" w:hAnsi="宋体" w:cs="宋体"/>
                <w:sz w:val="24"/>
                <w:highlight w:val="none"/>
                <w:u w:val="single"/>
              </w:rPr>
              <w:t>%</w:t>
            </w:r>
            <w:r>
              <w:rPr>
                <w:rFonts w:hint="eastAsia" w:ascii="宋体" w:hAnsi="宋体" w:cs="宋体"/>
                <w:sz w:val="24"/>
                <w:highlight w:val="none"/>
                <w:u w:val="single"/>
              </w:rPr>
              <w:t xml:space="preserve">  </w:t>
            </w:r>
            <w:r>
              <w:rPr>
                <w:rFonts w:hint="eastAsia" w:ascii="宋体" w:hAnsi="宋体" w:cs="宋体"/>
                <w:sz w:val="24"/>
                <w:highlight w:val="none"/>
              </w:rPr>
              <w:t xml:space="preserve">                 </w:t>
            </w:r>
          </w:p>
          <w:p w14:paraId="4DCFBF93">
            <w:pPr>
              <w:pStyle w:val="3"/>
              <w:spacing w:line="360" w:lineRule="auto"/>
              <w:ind w:left="0" w:leftChars="0" w:firstLine="511" w:firstLineChars="213"/>
              <w:rPr>
                <w:rFonts w:ascii="宋体" w:hAnsi="宋体" w:cs="宋体"/>
                <w:sz w:val="24"/>
                <w:highlight w:val="none"/>
              </w:rPr>
            </w:pPr>
            <w:r>
              <w:rPr>
                <w:rFonts w:hint="eastAsia" w:ascii="宋体" w:hAnsi="宋体" w:cs="宋体"/>
                <w:sz w:val="24"/>
                <w:highlight w:val="none"/>
              </w:rPr>
              <w:t>大写：平均下浮比例</w:t>
            </w:r>
            <w:r>
              <w:rPr>
                <w:rFonts w:hint="eastAsia" w:ascii="宋体" w:hAnsi="宋体" w:cs="宋体"/>
                <w:sz w:val="24"/>
                <w:highlight w:val="none"/>
                <w:u w:val="single"/>
              </w:rPr>
              <w:t xml:space="preserve">  </w:t>
            </w:r>
            <w:r>
              <w:rPr>
                <w:rFonts w:hint="eastAsia" w:ascii="宋体" w:hAnsi="宋体" w:cs="宋体"/>
                <w:sz w:val="24"/>
                <w:highlight w:val="none"/>
                <w:u w:val="single"/>
                <w:lang w:val="en-US" w:eastAsia="zh-CN"/>
              </w:rPr>
              <w:t xml:space="preserve">    </w:t>
            </w:r>
            <w:r>
              <w:rPr>
                <w:rFonts w:hint="eastAsia" w:ascii="宋体" w:hAnsi="宋体" w:cs="宋体"/>
                <w:sz w:val="24"/>
                <w:highlight w:val="none"/>
                <w:u w:val="single"/>
              </w:rPr>
              <w:t xml:space="preserve">百分之                </w:t>
            </w:r>
            <w:r>
              <w:rPr>
                <w:rFonts w:hint="eastAsia" w:ascii="宋体" w:hAnsi="宋体" w:cs="宋体"/>
                <w:sz w:val="24"/>
                <w:highlight w:val="none"/>
              </w:rPr>
              <w:t xml:space="preserve">     </w:t>
            </w:r>
          </w:p>
        </w:tc>
      </w:tr>
      <w:tr w14:paraId="2979C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8" w:hRule="atLeast"/>
        </w:trPr>
        <w:tc>
          <w:tcPr>
            <w:tcW w:w="2025" w:type="dxa"/>
            <w:vAlign w:val="center"/>
          </w:tcPr>
          <w:p w14:paraId="3D6E1CA9">
            <w:pPr>
              <w:pStyle w:val="3"/>
              <w:spacing w:line="360" w:lineRule="auto"/>
              <w:ind w:left="0" w:leftChars="0" w:firstLine="511" w:firstLineChars="213"/>
              <w:jc w:val="center"/>
              <w:rPr>
                <w:rFonts w:ascii="宋体" w:hAnsi="宋体" w:cs="宋体"/>
                <w:sz w:val="24"/>
                <w:highlight w:val="none"/>
              </w:rPr>
            </w:pPr>
            <w:r>
              <w:rPr>
                <w:rFonts w:hint="eastAsia" w:ascii="宋体" w:hAnsi="宋体" w:cs="宋体"/>
                <w:sz w:val="24"/>
                <w:highlight w:val="none"/>
              </w:rPr>
              <w:t>交货期</w:t>
            </w:r>
          </w:p>
        </w:tc>
        <w:tc>
          <w:tcPr>
            <w:tcW w:w="6271" w:type="dxa"/>
            <w:gridSpan w:val="3"/>
            <w:vAlign w:val="center"/>
          </w:tcPr>
          <w:p w14:paraId="6BC66CBF">
            <w:pPr>
              <w:pStyle w:val="3"/>
              <w:spacing w:line="360" w:lineRule="auto"/>
              <w:ind w:left="0" w:leftChars="0" w:firstLine="511" w:firstLineChars="213"/>
              <w:rPr>
                <w:rFonts w:ascii="宋体" w:hAnsi="宋体" w:cs="宋体"/>
                <w:sz w:val="24"/>
                <w:highlight w:val="none"/>
              </w:rPr>
            </w:pPr>
            <w:r>
              <w:rPr>
                <w:rFonts w:hint="eastAsia" w:ascii="宋体" w:hAnsi="宋体" w:cs="宋体"/>
                <w:sz w:val="24"/>
                <w:highlight w:val="none"/>
              </w:rPr>
              <w:t>（可填写是\否满足</w:t>
            </w:r>
            <w:r>
              <w:rPr>
                <w:rFonts w:hint="eastAsia" w:ascii="宋体" w:hAnsi="宋体" w:cs="宋体"/>
                <w:sz w:val="24"/>
                <w:highlight w:val="none"/>
                <w:lang w:eastAsia="zh-CN"/>
              </w:rPr>
              <w:t>磋商文件</w:t>
            </w:r>
            <w:r>
              <w:rPr>
                <w:rFonts w:hint="eastAsia" w:ascii="宋体" w:hAnsi="宋体" w:cs="宋体"/>
                <w:sz w:val="24"/>
                <w:highlight w:val="none"/>
              </w:rPr>
              <w:t>要求）</w:t>
            </w:r>
          </w:p>
        </w:tc>
      </w:tr>
      <w:tr w14:paraId="1B8BA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atLeast"/>
        </w:trPr>
        <w:tc>
          <w:tcPr>
            <w:tcW w:w="2025" w:type="dxa"/>
            <w:vAlign w:val="center"/>
          </w:tcPr>
          <w:p w14:paraId="46A3A815">
            <w:pPr>
              <w:pStyle w:val="3"/>
              <w:spacing w:line="360" w:lineRule="auto"/>
              <w:ind w:left="0" w:leftChars="0" w:firstLine="511" w:firstLineChars="213"/>
              <w:jc w:val="center"/>
              <w:rPr>
                <w:rFonts w:ascii="宋体" w:hAnsi="宋体" w:cs="宋体"/>
                <w:sz w:val="24"/>
                <w:highlight w:val="none"/>
              </w:rPr>
            </w:pPr>
            <w:r>
              <w:rPr>
                <w:rFonts w:hint="eastAsia" w:ascii="宋体" w:hAnsi="宋体" w:cs="宋体"/>
                <w:sz w:val="24"/>
                <w:highlight w:val="none"/>
              </w:rPr>
              <w:t>备注</w:t>
            </w:r>
          </w:p>
        </w:tc>
        <w:tc>
          <w:tcPr>
            <w:tcW w:w="6271" w:type="dxa"/>
            <w:gridSpan w:val="3"/>
            <w:vAlign w:val="center"/>
          </w:tcPr>
          <w:p w14:paraId="1A3FCBAB">
            <w:pPr>
              <w:pStyle w:val="3"/>
              <w:ind w:left="0" w:leftChars="0" w:firstLine="513" w:firstLineChars="213"/>
              <w:rPr>
                <w:rFonts w:ascii="宋体" w:hAnsi="宋体" w:cs="宋体"/>
                <w:b/>
                <w:sz w:val="24"/>
                <w:highlight w:val="none"/>
              </w:rPr>
            </w:pPr>
            <w:r>
              <w:rPr>
                <w:rFonts w:hint="eastAsia" w:ascii="宋体" w:hAnsi="宋体" w:cs="宋体"/>
                <w:b/>
                <w:sz w:val="24"/>
                <w:highlight w:val="none"/>
              </w:rPr>
              <w:t>平均下浮比例即“投标报价明细表”内的平均下浮比例</w:t>
            </w:r>
          </w:p>
        </w:tc>
      </w:tr>
    </w:tbl>
    <w:p w14:paraId="674F4191">
      <w:pPr>
        <w:adjustRightInd w:val="0"/>
        <w:snapToGrid w:val="0"/>
        <w:spacing w:line="360" w:lineRule="auto"/>
        <w:ind w:left="0" w:leftChars="0" w:firstLine="511" w:firstLineChars="213"/>
        <w:jc w:val="left"/>
        <w:rPr>
          <w:rFonts w:ascii="宋体" w:hAnsi="宋体" w:cs="宋体"/>
          <w:sz w:val="24"/>
          <w:szCs w:val="24"/>
          <w:highlight w:val="none"/>
        </w:rPr>
      </w:pPr>
      <w:r>
        <w:rPr>
          <w:rFonts w:hint="eastAsia" w:ascii="宋体" w:hAnsi="宋体" w:cs="宋体"/>
          <w:sz w:val="24"/>
          <w:szCs w:val="24"/>
          <w:highlight w:val="none"/>
        </w:rPr>
        <w:t>注: 1、投标报价包括项目实施所需的货款、人工费、服务费、运输费、税金及其他一切费用。</w:t>
      </w:r>
    </w:p>
    <w:p w14:paraId="1794B3F8">
      <w:pPr>
        <w:adjustRightInd w:val="0"/>
        <w:snapToGrid w:val="0"/>
        <w:spacing w:line="360" w:lineRule="auto"/>
        <w:ind w:left="0" w:leftChars="0" w:firstLine="511" w:firstLineChars="213"/>
        <w:jc w:val="left"/>
        <w:rPr>
          <w:rFonts w:ascii="宋体" w:hAnsi="宋体" w:cs="宋体"/>
          <w:sz w:val="24"/>
          <w:szCs w:val="24"/>
          <w:highlight w:val="none"/>
        </w:rPr>
      </w:pPr>
      <w:r>
        <w:rPr>
          <w:rFonts w:hint="eastAsia" w:ascii="宋体" w:hAnsi="宋体" w:cs="宋体"/>
          <w:sz w:val="24"/>
          <w:szCs w:val="24"/>
          <w:highlight w:val="none"/>
        </w:rPr>
        <w:t>2、</w:t>
      </w:r>
      <w:r>
        <w:rPr>
          <w:rFonts w:hint="eastAsia" w:ascii="宋体" w:hAnsi="宋体" w:cs="宋体"/>
          <w:kern w:val="0"/>
          <w:position w:val="-3"/>
          <w:sz w:val="24"/>
          <w:szCs w:val="24"/>
          <w:highlight w:val="none"/>
        </w:rPr>
        <w:t>“开标一览表”单独出具一份与电子一同密封并递交（</w:t>
      </w:r>
      <w:r>
        <w:rPr>
          <w:rFonts w:hint="eastAsia" w:ascii="宋体" w:hAnsi="宋体" w:cs="宋体"/>
          <w:kern w:val="0"/>
          <w:position w:val="-3"/>
          <w:sz w:val="24"/>
          <w:szCs w:val="24"/>
          <w:highlight w:val="none"/>
          <w:lang w:eastAsia="zh-CN"/>
        </w:rPr>
        <w:t>响应文件</w:t>
      </w:r>
      <w:r>
        <w:rPr>
          <w:rFonts w:hint="eastAsia" w:ascii="宋体" w:hAnsi="宋体" w:cs="宋体"/>
          <w:kern w:val="0"/>
          <w:position w:val="-3"/>
          <w:sz w:val="24"/>
          <w:szCs w:val="24"/>
          <w:highlight w:val="none"/>
        </w:rPr>
        <w:t>中不得省略该部分内容）。</w:t>
      </w:r>
    </w:p>
    <w:p w14:paraId="066C7888">
      <w:pPr>
        <w:adjustRightInd w:val="0"/>
        <w:snapToGrid w:val="0"/>
        <w:spacing w:line="360" w:lineRule="auto"/>
        <w:ind w:left="0" w:leftChars="0" w:right="-817" w:rightChars="-389" w:firstLine="511" w:firstLineChars="213"/>
        <w:rPr>
          <w:rFonts w:ascii="宋体" w:hAnsi="宋体" w:cs="宋体"/>
          <w:sz w:val="24"/>
          <w:szCs w:val="24"/>
          <w:highlight w:val="none"/>
        </w:rPr>
      </w:pPr>
      <w:r>
        <w:rPr>
          <w:rFonts w:hint="eastAsia" w:ascii="宋体" w:hAnsi="宋体" w:cs="宋体"/>
          <w:sz w:val="24"/>
          <w:szCs w:val="24"/>
          <w:highlight w:val="none"/>
        </w:rPr>
        <w:t>投标人名称（盖章）：</w:t>
      </w:r>
    </w:p>
    <w:p w14:paraId="4F83CFE3">
      <w:pPr>
        <w:adjustRightInd w:val="0"/>
        <w:snapToGrid w:val="0"/>
        <w:spacing w:line="360" w:lineRule="auto"/>
        <w:ind w:left="0" w:leftChars="0" w:right="-817" w:rightChars="-389" w:firstLine="511" w:firstLineChars="213"/>
        <w:rPr>
          <w:rFonts w:ascii="宋体" w:hAnsi="宋体" w:cs="宋体"/>
          <w:sz w:val="24"/>
          <w:szCs w:val="24"/>
          <w:highlight w:val="none"/>
        </w:rPr>
      </w:pPr>
      <w:r>
        <w:rPr>
          <w:rFonts w:hint="eastAsia" w:ascii="宋体" w:hAnsi="宋体" w:cs="宋体"/>
          <w:sz w:val="24"/>
          <w:szCs w:val="24"/>
          <w:highlight w:val="none"/>
        </w:rPr>
        <w:t>法定代表人或被授权人（签字）：</w:t>
      </w:r>
    </w:p>
    <w:p w14:paraId="43E87C9B">
      <w:pPr>
        <w:adjustRightInd w:val="0"/>
        <w:snapToGrid w:val="0"/>
        <w:spacing w:line="360" w:lineRule="auto"/>
        <w:ind w:left="0" w:leftChars="0" w:right="-817" w:rightChars="-389" w:firstLine="511" w:firstLineChars="213"/>
        <w:rPr>
          <w:rFonts w:ascii="宋体" w:hAnsi="宋体" w:cs="宋体"/>
          <w:sz w:val="24"/>
          <w:szCs w:val="24"/>
          <w:highlight w:val="none"/>
        </w:rPr>
      </w:pPr>
      <w:r>
        <w:rPr>
          <w:rFonts w:hint="eastAsia" w:ascii="宋体" w:hAnsi="宋体" w:cs="宋体"/>
          <w:sz w:val="24"/>
          <w:szCs w:val="24"/>
          <w:highlight w:val="none"/>
        </w:rPr>
        <w:t>日期：    年   月   日</w:t>
      </w:r>
    </w:p>
    <w:p w14:paraId="4F0F3F94">
      <w:pPr>
        <w:pStyle w:val="29"/>
        <w:spacing w:line="360" w:lineRule="auto"/>
        <w:ind w:left="0" w:leftChars="0" w:firstLine="383" w:firstLineChars="213"/>
        <w:rPr>
          <w:highlight w:val="none"/>
        </w:rPr>
      </w:pPr>
    </w:p>
    <w:p w14:paraId="510E01E9">
      <w:pPr>
        <w:adjustRightInd w:val="0"/>
        <w:snapToGrid w:val="0"/>
        <w:spacing w:line="360" w:lineRule="auto"/>
        <w:ind w:left="0" w:leftChars="0" w:firstLine="513" w:firstLineChars="213"/>
        <w:rPr>
          <w:rFonts w:ascii="宋体" w:hAnsi="宋体" w:cs="宋体"/>
          <w:b/>
          <w:sz w:val="24"/>
          <w:szCs w:val="24"/>
          <w:highlight w:val="none"/>
        </w:rPr>
      </w:pPr>
    </w:p>
    <w:p w14:paraId="0100D5C9">
      <w:pPr>
        <w:adjustRightInd w:val="0"/>
        <w:snapToGrid w:val="0"/>
        <w:spacing w:line="360" w:lineRule="auto"/>
        <w:ind w:left="0" w:leftChars="0" w:firstLine="513" w:firstLineChars="213"/>
        <w:rPr>
          <w:rFonts w:ascii="宋体" w:hAnsi="宋体" w:cs="宋体"/>
          <w:b/>
          <w:sz w:val="24"/>
          <w:szCs w:val="24"/>
          <w:highlight w:val="none"/>
        </w:rPr>
      </w:pPr>
    </w:p>
    <w:p w14:paraId="0AF1A9E7">
      <w:pPr>
        <w:adjustRightInd w:val="0"/>
        <w:snapToGrid w:val="0"/>
        <w:spacing w:line="360" w:lineRule="auto"/>
        <w:ind w:left="0" w:leftChars="0" w:firstLine="513" w:firstLineChars="213"/>
        <w:rPr>
          <w:rFonts w:ascii="宋体" w:hAnsi="宋体" w:cs="宋体"/>
          <w:b/>
          <w:sz w:val="24"/>
          <w:szCs w:val="24"/>
          <w:highlight w:val="none"/>
        </w:rPr>
      </w:pPr>
    </w:p>
    <w:p w14:paraId="04194E56">
      <w:pPr>
        <w:adjustRightInd w:val="0"/>
        <w:snapToGrid w:val="0"/>
        <w:spacing w:line="360" w:lineRule="auto"/>
        <w:ind w:left="0" w:leftChars="0" w:firstLine="513" w:firstLineChars="213"/>
        <w:rPr>
          <w:rFonts w:ascii="宋体" w:hAnsi="宋体" w:cs="宋体"/>
          <w:b/>
          <w:sz w:val="24"/>
          <w:szCs w:val="24"/>
          <w:highlight w:val="none"/>
        </w:rPr>
      </w:pPr>
    </w:p>
    <w:p w14:paraId="79503A38">
      <w:pPr>
        <w:adjustRightInd w:val="0"/>
        <w:snapToGrid w:val="0"/>
        <w:spacing w:line="360" w:lineRule="auto"/>
        <w:ind w:left="0" w:leftChars="0" w:firstLine="513" w:firstLineChars="213"/>
        <w:rPr>
          <w:rFonts w:ascii="宋体" w:hAnsi="宋体" w:cs="宋体"/>
          <w:b/>
          <w:sz w:val="24"/>
          <w:szCs w:val="24"/>
          <w:highlight w:val="none"/>
        </w:rPr>
      </w:pPr>
    </w:p>
    <w:p w14:paraId="2EF65E05">
      <w:pPr>
        <w:adjustRightInd w:val="0"/>
        <w:snapToGrid w:val="0"/>
        <w:spacing w:line="360" w:lineRule="auto"/>
        <w:ind w:left="0" w:leftChars="0" w:firstLine="513" w:firstLineChars="213"/>
        <w:rPr>
          <w:rFonts w:ascii="宋体" w:hAnsi="宋体" w:cs="宋体"/>
          <w:sz w:val="24"/>
          <w:szCs w:val="24"/>
          <w:highlight w:val="none"/>
        </w:rPr>
      </w:pPr>
      <w:r>
        <w:rPr>
          <w:rFonts w:hint="eastAsia" w:ascii="宋体" w:hAnsi="宋体" w:cs="宋体"/>
          <w:b/>
          <w:sz w:val="24"/>
          <w:szCs w:val="24"/>
          <w:highlight w:val="none"/>
        </w:rPr>
        <w:t>3、投标报价明细表格式</w:t>
      </w:r>
      <w:r>
        <w:rPr>
          <w:rFonts w:hint="eastAsia" w:ascii="宋体" w:hAnsi="宋体" w:cs="宋体"/>
          <w:sz w:val="24"/>
          <w:szCs w:val="24"/>
          <w:highlight w:val="none"/>
        </w:rPr>
        <w:t xml:space="preserve">：       </w:t>
      </w:r>
    </w:p>
    <w:p w14:paraId="0FF17929">
      <w:pPr>
        <w:adjustRightInd w:val="0"/>
        <w:snapToGrid w:val="0"/>
        <w:spacing w:line="360" w:lineRule="auto"/>
        <w:ind w:left="0" w:leftChars="0" w:firstLine="513" w:firstLineChars="213"/>
        <w:jc w:val="center"/>
        <w:rPr>
          <w:rFonts w:hint="eastAsia" w:ascii="宋体" w:hAnsi="宋体" w:eastAsia="宋体" w:cs="宋体"/>
          <w:b/>
          <w:sz w:val="24"/>
          <w:szCs w:val="24"/>
          <w:highlight w:val="none"/>
          <w:lang w:eastAsia="zh-CN"/>
        </w:rPr>
      </w:pPr>
      <w:r>
        <w:rPr>
          <w:rFonts w:hint="eastAsia" w:ascii="宋体" w:hAnsi="宋体" w:cs="宋体"/>
          <w:b/>
          <w:sz w:val="24"/>
          <w:szCs w:val="24"/>
          <w:highlight w:val="none"/>
        </w:rPr>
        <w:t>投标报价明细表</w:t>
      </w:r>
      <w:r>
        <w:rPr>
          <w:rFonts w:hint="eastAsia" w:ascii="宋体" w:hAnsi="宋体" w:cs="宋体"/>
          <w:b/>
          <w:sz w:val="24"/>
          <w:szCs w:val="24"/>
          <w:highlight w:val="none"/>
          <w:lang w:eastAsia="zh-CN"/>
        </w:rPr>
        <w:t>（第</w:t>
      </w:r>
      <w:r>
        <w:rPr>
          <w:rFonts w:hint="eastAsia" w:ascii="宋体" w:hAnsi="宋体" w:cs="宋体"/>
          <w:b/>
          <w:sz w:val="24"/>
          <w:szCs w:val="24"/>
          <w:highlight w:val="none"/>
          <w:lang w:val="en-US" w:eastAsia="zh-CN"/>
        </w:rPr>
        <w:t>1包</w:t>
      </w:r>
      <w:r>
        <w:rPr>
          <w:rFonts w:hint="eastAsia" w:ascii="宋体" w:hAnsi="宋体" w:cs="宋体"/>
          <w:b/>
          <w:sz w:val="24"/>
          <w:szCs w:val="24"/>
          <w:highlight w:val="none"/>
          <w:lang w:eastAsia="zh-CN"/>
        </w:rPr>
        <w:t>）</w:t>
      </w:r>
    </w:p>
    <w:p w14:paraId="57E87E1A">
      <w:pPr>
        <w:adjustRightInd w:val="0"/>
        <w:snapToGrid w:val="0"/>
        <w:spacing w:line="360" w:lineRule="auto"/>
        <w:ind w:left="0" w:leftChars="0" w:firstLine="511" w:firstLineChars="213"/>
        <w:rPr>
          <w:rFonts w:ascii="宋体" w:hAnsi="宋体" w:cs="宋体"/>
          <w:sz w:val="24"/>
          <w:szCs w:val="24"/>
          <w:highlight w:val="none"/>
        </w:rPr>
      </w:pPr>
      <w:r>
        <w:rPr>
          <w:rFonts w:hint="eastAsia" w:ascii="宋体" w:hAnsi="宋体" w:cs="宋体"/>
          <w:sz w:val="24"/>
          <w:szCs w:val="24"/>
          <w:highlight w:val="none"/>
        </w:rPr>
        <w:t xml:space="preserve">项目名称：                          </w:t>
      </w:r>
      <w:r>
        <w:rPr>
          <w:rFonts w:hint="eastAsia" w:ascii="宋体" w:hAnsi="宋体" w:cs="宋体"/>
          <w:sz w:val="24"/>
          <w:szCs w:val="24"/>
          <w:highlight w:val="none"/>
          <w:lang w:val="en-US" w:eastAsia="zh-CN"/>
        </w:rPr>
        <w:t xml:space="preserve">            </w:t>
      </w:r>
      <w:r>
        <w:rPr>
          <w:rFonts w:hint="eastAsia" w:ascii="宋体" w:hAnsi="宋体" w:cs="宋体"/>
          <w:sz w:val="24"/>
          <w:szCs w:val="24"/>
          <w:highlight w:val="none"/>
        </w:rPr>
        <w:t>单位：%</w:t>
      </w:r>
    </w:p>
    <w:tbl>
      <w:tblPr>
        <w:tblStyle w:val="37"/>
        <w:tblW w:w="8333" w:type="dxa"/>
        <w:tblInd w:w="0" w:type="dxa"/>
        <w:tblLayout w:type="fixed"/>
        <w:tblCellMar>
          <w:top w:w="0" w:type="dxa"/>
          <w:left w:w="0" w:type="dxa"/>
          <w:bottom w:w="0" w:type="dxa"/>
          <w:right w:w="0" w:type="dxa"/>
        </w:tblCellMar>
      </w:tblPr>
      <w:tblGrid>
        <w:gridCol w:w="806"/>
        <w:gridCol w:w="5004"/>
        <w:gridCol w:w="1609"/>
        <w:gridCol w:w="914"/>
      </w:tblGrid>
      <w:tr w14:paraId="6E4A7BE5">
        <w:tblPrEx>
          <w:tblCellMar>
            <w:top w:w="0" w:type="dxa"/>
            <w:left w:w="0" w:type="dxa"/>
            <w:bottom w:w="0" w:type="dxa"/>
            <w:right w:w="0" w:type="dxa"/>
          </w:tblCellMar>
        </w:tblPrEx>
        <w:trPr>
          <w:trHeight w:val="380" w:hRule="atLeast"/>
        </w:trPr>
        <w:tc>
          <w:tcPr>
            <w:tcW w:w="80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457F7C5">
            <w:pPr>
              <w:widowControl/>
              <w:ind w:left="0" w:leftChars="0" w:firstLine="511" w:firstLineChars="213"/>
              <w:jc w:val="center"/>
              <w:textAlignment w:val="center"/>
              <w:rPr>
                <w:rFonts w:ascii="宋体" w:hAnsi="宋体" w:cs="宋体"/>
                <w:sz w:val="24"/>
                <w:szCs w:val="24"/>
                <w:highlight w:val="none"/>
              </w:rPr>
            </w:pPr>
            <w:r>
              <w:rPr>
                <w:rFonts w:hint="eastAsia" w:ascii="宋体" w:hAnsi="宋体" w:cs="宋体"/>
                <w:snapToGrid w:val="0"/>
                <w:kern w:val="0"/>
                <w:sz w:val="24"/>
                <w:szCs w:val="24"/>
                <w:highlight w:val="none"/>
                <w:lang w:bidi="ar"/>
              </w:rPr>
              <w:t>类别</w:t>
            </w:r>
          </w:p>
        </w:tc>
        <w:tc>
          <w:tcPr>
            <w:tcW w:w="500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F99CEFC">
            <w:pPr>
              <w:widowControl/>
              <w:ind w:left="0" w:leftChars="0" w:firstLine="511" w:firstLineChars="213"/>
              <w:jc w:val="center"/>
              <w:textAlignment w:val="center"/>
              <w:rPr>
                <w:rFonts w:ascii="宋体" w:hAnsi="宋体" w:cs="宋体"/>
                <w:sz w:val="24"/>
                <w:szCs w:val="24"/>
                <w:highlight w:val="none"/>
              </w:rPr>
            </w:pPr>
            <w:r>
              <w:rPr>
                <w:rFonts w:hint="eastAsia" w:ascii="宋体" w:hAnsi="宋体" w:cs="宋体"/>
                <w:snapToGrid w:val="0"/>
                <w:kern w:val="0"/>
                <w:sz w:val="24"/>
                <w:szCs w:val="24"/>
                <w:highlight w:val="none"/>
                <w:lang w:bidi="ar"/>
              </w:rPr>
              <w:t>货物名称(标的名称)</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F26529B">
            <w:pPr>
              <w:widowControl/>
              <w:ind w:left="0" w:leftChars="0" w:firstLine="511" w:firstLineChars="213"/>
              <w:jc w:val="center"/>
              <w:textAlignment w:val="center"/>
              <w:rPr>
                <w:rFonts w:ascii="宋体" w:hAnsi="宋体" w:cs="宋体"/>
                <w:snapToGrid w:val="0"/>
                <w:kern w:val="0"/>
                <w:sz w:val="24"/>
                <w:szCs w:val="24"/>
                <w:highlight w:val="none"/>
                <w:lang w:bidi="ar"/>
              </w:rPr>
            </w:pPr>
            <w:r>
              <w:rPr>
                <w:rFonts w:hint="eastAsia" w:ascii="宋体" w:hAnsi="宋体" w:cs="宋体"/>
                <w:snapToGrid w:val="0"/>
                <w:kern w:val="0"/>
                <w:sz w:val="24"/>
                <w:szCs w:val="24"/>
                <w:highlight w:val="none"/>
                <w:lang w:bidi="ar"/>
              </w:rPr>
              <w:t>下浮比例</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27E7C9E">
            <w:pPr>
              <w:widowControl/>
              <w:ind w:left="0" w:leftChars="0" w:firstLine="511" w:firstLineChars="213"/>
              <w:jc w:val="center"/>
              <w:textAlignment w:val="center"/>
              <w:rPr>
                <w:rFonts w:ascii="宋体" w:hAnsi="宋体" w:cs="宋体"/>
                <w:snapToGrid w:val="0"/>
                <w:kern w:val="0"/>
                <w:sz w:val="24"/>
                <w:szCs w:val="24"/>
                <w:highlight w:val="none"/>
                <w:lang w:bidi="ar"/>
              </w:rPr>
            </w:pPr>
            <w:r>
              <w:rPr>
                <w:rFonts w:hint="eastAsia" w:ascii="宋体" w:hAnsi="宋体" w:cs="宋体"/>
                <w:snapToGrid w:val="0"/>
                <w:kern w:val="0"/>
                <w:sz w:val="24"/>
                <w:szCs w:val="24"/>
                <w:highlight w:val="none"/>
                <w:lang w:bidi="ar"/>
              </w:rPr>
              <w:t>备注</w:t>
            </w:r>
          </w:p>
        </w:tc>
      </w:tr>
      <w:tr w14:paraId="23DBF3A9">
        <w:tblPrEx>
          <w:tblCellMar>
            <w:top w:w="0" w:type="dxa"/>
            <w:left w:w="0" w:type="dxa"/>
            <w:bottom w:w="0" w:type="dxa"/>
            <w:right w:w="0" w:type="dxa"/>
          </w:tblCellMar>
        </w:tblPrEx>
        <w:trPr>
          <w:trHeight w:val="380" w:hRule="atLeast"/>
        </w:trPr>
        <w:tc>
          <w:tcPr>
            <w:tcW w:w="806" w:type="dxa"/>
            <w:vMerge w:val="restart"/>
            <w:tcBorders>
              <w:top w:val="single" w:color="000000" w:sz="4" w:space="0"/>
              <w:left w:val="single" w:color="000000" w:sz="4" w:space="0"/>
              <w:right w:val="single" w:color="000000" w:sz="4" w:space="0"/>
            </w:tcBorders>
            <w:shd w:val="clear" w:color="auto" w:fill="auto"/>
            <w:noWrap/>
            <w:tcMar>
              <w:top w:w="12" w:type="dxa"/>
              <w:left w:w="12" w:type="dxa"/>
              <w:right w:w="12" w:type="dxa"/>
            </w:tcMar>
            <w:vAlign w:val="center"/>
          </w:tcPr>
          <w:p w14:paraId="2AAD7827">
            <w:pPr>
              <w:widowControl/>
              <w:ind w:left="0" w:leftChars="0" w:firstLine="511" w:firstLineChars="213"/>
              <w:jc w:val="center"/>
              <w:textAlignment w:val="center"/>
              <w:rPr>
                <w:rFonts w:ascii="宋体" w:hAnsi="宋体" w:cs="宋体"/>
                <w:sz w:val="24"/>
                <w:szCs w:val="24"/>
                <w:highlight w:val="none"/>
              </w:rPr>
            </w:pPr>
            <w:r>
              <w:rPr>
                <w:rFonts w:hint="eastAsia" w:ascii="宋体" w:hAnsi="宋体" w:cs="宋体"/>
                <w:snapToGrid w:val="0"/>
                <w:kern w:val="0"/>
                <w:sz w:val="24"/>
                <w:szCs w:val="24"/>
                <w:highlight w:val="none"/>
                <w:lang w:bidi="ar"/>
              </w:rPr>
              <w:t>A</w:t>
            </w:r>
          </w:p>
        </w:tc>
        <w:tc>
          <w:tcPr>
            <w:tcW w:w="500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7EE8658">
            <w:pPr>
              <w:widowControl/>
              <w:ind w:left="0" w:leftChars="0" w:firstLine="511" w:firstLineChars="213"/>
              <w:jc w:val="center"/>
              <w:textAlignment w:val="center"/>
              <w:rPr>
                <w:rFonts w:ascii="宋体" w:hAnsi="宋体" w:cs="宋体"/>
                <w:sz w:val="24"/>
                <w:szCs w:val="24"/>
                <w:highlight w:val="none"/>
              </w:rPr>
            </w:pPr>
            <w:r>
              <w:rPr>
                <w:rFonts w:hint="eastAsia" w:ascii="宋体" w:hAnsi="宋体" w:cs="宋体"/>
                <w:snapToGrid w:val="0"/>
                <w:kern w:val="0"/>
                <w:sz w:val="24"/>
                <w:szCs w:val="24"/>
                <w:highlight w:val="none"/>
                <w:lang w:bidi="ar"/>
              </w:rPr>
              <w:t>蔬菜类</w:t>
            </w:r>
          </w:p>
        </w:tc>
        <w:tc>
          <w:tcPr>
            <w:tcW w:w="1609" w:type="dxa"/>
            <w:vMerge w:val="restart"/>
            <w:tcBorders>
              <w:top w:val="single" w:color="000000" w:sz="4" w:space="0"/>
              <w:left w:val="single" w:color="000000" w:sz="4" w:space="0"/>
              <w:right w:val="single" w:color="000000" w:sz="4" w:space="0"/>
            </w:tcBorders>
            <w:shd w:val="clear" w:color="auto" w:fill="auto"/>
            <w:noWrap/>
            <w:tcMar>
              <w:top w:w="12" w:type="dxa"/>
              <w:left w:w="12" w:type="dxa"/>
              <w:right w:w="12" w:type="dxa"/>
            </w:tcMar>
            <w:vAlign w:val="center"/>
          </w:tcPr>
          <w:p w14:paraId="0A313529">
            <w:pPr>
              <w:widowControl/>
              <w:ind w:left="0" w:leftChars="0" w:firstLine="511" w:firstLineChars="213"/>
              <w:jc w:val="center"/>
              <w:textAlignment w:val="center"/>
              <w:rPr>
                <w:rFonts w:ascii="宋体" w:hAnsi="宋体" w:cs="宋体"/>
                <w:snapToGrid w:val="0"/>
                <w:kern w:val="0"/>
                <w:sz w:val="24"/>
                <w:szCs w:val="24"/>
                <w:highlight w:val="none"/>
                <w:lang w:bidi="ar"/>
              </w:rPr>
            </w:pPr>
          </w:p>
        </w:tc>
        <w:tc>
          <w:tcPr>
            <w:tcW w:w="914" w:type="dxa"/>
            <w:vMerge w:val="restart"/>
            <w:tcBorders>
              <w:top w:val="single" w:color="000000" w:sz="4" w:space="0"/>
              <w:left w:val="single" w:color="000000" w:sz="4" w:space="0"/>
              <w:right w:val="single" w:color="000000" w:sz="4" w:space="0"/>
            </w:tcBorders>
            <w:shd w:val="clear" w:color="auto" w:fill="auto"/>
            <w:noWrap/>
            <w:tcMar>
              <w:top w:w="12" w:type="dxa"/>
              <w:left w:w="12" w:type="dxa"/>
              <w:right w:w="12" w:type="dxa"/>
            </w:tcMar>
            <w:vAlign w:val="center"/>
          </w:tcPr>
          <w:p w14:paraId="7E008F72">
            <w:pPr>
              <w:widowControl/>
              <w:ind w:left="0" w:leftChars="0" w:firstLine="511" w:firstLineChars="213"/>
              <w:jc w:val="center"/>
              <w:textAlignment w:val="center"/>
              <w:rPr>
                <w:rFonts w:ascii="宋体" w:hAnsi="宋体" w:cs="宋体"/>
                <w:snapToGrid w:val="0"/>
                <w:kern w:val="0"/>
                <w:sz w:val="24"/>
                <w:szCs w:val="24"/>
                <w:highlight w:val="none"/>
                <w:lang w:bidi="ar"/>
              </w:rPr>
            </w:pPr>
          </w:p>
        </w:tc>
      </w:tr>
      <w:tr w14:paraId="7AE07B6F">
        <w:tblPrEx>
          <w:tblCellMar>
            <w:top w:w="0" w:type="dxa"/>
            <w:left w:w="0" w:type="dxa"/>
            <w:bottom w:w="0" w:type="dxa"/>
            <w:right w:w="0" w:type="dxa"/>
          </w:tblCellMar>
        </w:tblPrEx>
        <w:trPr>
          <w:trHeight w:val="380" w:hRule="atLeast"/>
        </w:trPr>
        <w:tc>
          <w:tcPr>
            <w:tcW w:w="806" w:type="dxa"/>
            <w:vMerge w:val="continue"/>
            <w:tcBorders>
              <w:left w:val="single" w:color="000000" w:sz="4" w:space="0"/>
              <w:right w:val="single" w:color="000000" w:sz="4" w:space="0"/>
            </w:tcBorders>
            <w:shd w:val="clear" w:color="auto" w:fill="auto"/>
            <w:noWrap/>
            <w:tcMar>
              <w:top w:w="12" w:type="dxa"/>
              <w:left w:w="12" w:type="dxa"/>
              <w:right w:w="12" w:type="dxa"/>
            </w:tcMar>
            <w:vAlign w:val="center"/>
          </w:tcPr>
          <w:p w14:paraId="14294FC5">
            <w:pPr>
              <w:widowControl/>
              <w:ind w:left="0" w:leftChars="0" w:firstLine="511" w:firstLineChars="213"/>
              <w:jc w:val="center"/>
              <w:textAlignment w:val="center"/>
              <w:rPr>
                <w:rFonts w:ascii="宋体" w:hAnsi="宋体" w:cs="宋体"/>
                <w:sz w:val="24"/>
                <w:szCs w:val="24"/>
                <w:highlight w:val="none"/>
              </w:rPr>
            </w:pPr>
          </w:p>
        </w:tc>
        <w:tc>
          <w:tcPr>
            <w:tcW w:w="500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C909864">
            <w:pPr>
              <w:widowControl/>
              <w:ind w:left="0" w:leftChars="0" w:firstLine="511" w:firstLineChars="213"/>
              <w:jc w:val="center"/>
              <w:textAlignment w:val="center"/>
              <w:rPr>
                <w:rFonts w:ascii="宋体" w:hAnsi="宋体" w:cs="宋体"/>
                <w:sz w:val="24"/>
                <w:szCs w:val="24"/>
                <w:highlight w:val="none"/>
              </w:rPr>
            </w:pPr>
            <w:r>
              <w:rPr>
                <w:rFonts w:hint="eastAsia" w:ascii="宋体" w:hAnsi="宋体" w:cs="宋体"/>
                <w:snapToGrid w:val="0"/>
                <w:kern w:val="0"/>
                <w:sz w:val="24"/>
                <w:szCs w:val="24"/>
                <w:highlight w:val="none"/>
                <w:lang w:bidi="ar"/>
              </w:rPr>
              <w:t>水果类</w:t>
            </w:r>
          </w:p>
        </w:tc>
        <w:tc>
          <w:tcPr>
            <w:tcW w:w="1609" w:type="dxa"/>
            <w:vMerge w:val="continue"/>
            <w:tcBorders>
              <w:left w:val="single" w:color="000000" w:sz="4" w:space="0"/>
              <w:right w:val="single" w:color="000000" w:sz="4" w:space="0"/>
            </w:tcBorders>
            <w:shd w:val="clear" w:color="auto" w:fill="auto"/>
            <w:noWrap/>
            <w:tcMar>
              <w:top w:w="12" w:type="dxa"/>
              <w:left w:w="12" w:type="dxa"/>
              <w:right w:w="12" w:type="dxa"/>
            </w:tcMar>
            <w:vAlign w:val="center"/>
          </w:tcPr>
          <w:p w14:paraId="08993AED">
            <w:pPr>
              <w:widowControl/>
              <w:ind w:left="0" w:leftChars="0" w:firstLine="511" w:firstLineChars="213"/>
              <w:jc w:val="center"/>
              <w:textAlignment w:val="center"/>
              <w:rPr>
                <w:rFonts w:ascii="宋体" w:hAnsi="宋体" w:cs="宋体"/>
                <w:snapToGrid w:val="0"/>
                <w:kern w:val="0"/>
                <w:sz w:val="24"/>
                <w:szCs w:val="24"/>
                <w:highlight w:val="none"/>
                <w:lang w:bidi="ar"/>
              </w:rPr>
            </w:pPr>
          </w:p>
        </w:tc>
        <w:tc>
          <w:tcPr>
            <w:tcW w:w="914" w:type="dxa"/>
            <w:vMerge w:val="continue"/>
            <w:tcBorders>
              <w:left w:val="single" w:color="000000" w:sz="4" w:space="0"/>
              <w:right w:val="single" w:color="000000" w:sz="4" w:space="0"/>
            </w:tcBorders>
            <w:shd w:val="clear" w:color="auto" w:fill="auto"/>
            <w:noWrap/>
            <w:tcMar>
              <w:top w:w="12" w:type="dxa"/>
              <w:left w:w="12" w:type="dxa"/>
              <w:right w:w="12" w:type="dxa"/>
            </w:tcMar>
            <w:vAlign w:val="center"/>
          </w:tcPr>
          <w:p w14:paraId="1B5B6B8D">
            <w:pPr>
              <w:widowControl/>
              <w:ind w:left="0" w:leftChars="0" w:firstLine="511" w:firstLineChars="213"/>
              <w:jc w:val="center"/>
              <w:textAlignment w:val="center"/>
              <w:rPr>
                <w:rFonts w:ascii="宋体" w:hAnsi="宋体" w:cs="宋体"/>
                <w:snapToGrid w:val="0"/>
                <w:kern w:val="0"/>
                <w:sz w:val="24"/>
                <w:szCs w:val="24"/>
                <w:highlight w:val="none"/>
                <w:lang w:bidi="ar"/>
              </w:rPr>
            </w:pPr>
          </w:p>
        </w:tc>
      </w:tr>
      <w:tr w14:paraId="77C386B9">
        <w:tblPrEx>
          <w:tblCellMar>
            <w:top w:w="0" w:type="dxa"/>
            <w:left w:w="0" w:type="dxa"/>
            <w:bottom w:w="0" w:type="dxa"/>
            <w:right w:w="0" w:type="dxa"/>
          </w:tblCellMar>
        </w:tblPrEx>
        <w:trPr>
          <w:trHeight w:val="380" w:hRule="atLeast"/>
        </w:trPr>
        <w:tc>
          <w:tcPr>
            <w:tcW w:w="806" w:type="dxa"/>
            <w:vMerge w:val="restart"/>
            <w:tcBorders>
              <w:top w:val="single" w:color="auto" w:sz="4" w:space="0"/>
              <w:left w:val="single" w:color="auto" w:sz="4" w:space="0"/>
              <w:right w:val="single" w:color="auto" w:sz="4" w:space="0"/>
            </w:tcBorders>
            <w:shd w:val="clear" w:color="auto" w:fill="auto"/>
            <w:noWrap/>
            <w:tcMar>
              <w:top w:w="12" w:type="dxa"/>
              <w:left w:w="12" w:type="dxa"/>
              <w:right w:w="12" w:type="dxa"/>
            </w:tcMar>
            <w:vAlign w:val="center"/>
          </w:tcPr>
          <w:p w14:paraId="5992F092">
            <w:pPr>
              <w:widowControl/>
              <w:ind w:left="0" w:leftChars="0" w:firstLine="511" w:firstLineChars="213"/>
              <w:jc w:val="center"/>
              <w:textAlignment w:val="center"/>
              <w:rPr>
                <w:rFonts w:hint="eastAsia" w:ascii="宋体" w:hAnsi="宋体" w:eastAsia="宋体" w:cs="宋体"/>
                <w:sz w:val="24"/>
                <w:szCs w:val="24"/>
                <w:highlight w:val="none"/>
                <w:lang w:eastAsia="zh-CN"/>
              </w:rPr>
            </w:pPr>
            <w:r>
              <w:rPr>
                <w:rFonts w:hint="eastAsia" w:ascii="宋体" w:hAnsi="宋体" w:cs="宋体"/>
                <w:snapToGrid w:val="0"/>
                <w:kern w:val="0"/>
                <w:sz w:val="24"/>
                <w:szCs w:val="24"/>
                <w:highlight w:val="none"/>
                <w:lang w:val="en-US" w:eastAsia="zh-CN" w:bidi="ar"/>
              </w:rPr>
              <w:t>C</w:t>
            </w:r>
          </w:p>
        </w:tc>
        <w:tc>
          <w:tcPr>
            <w:tcW w:w="5004" w:type="dxa"/>
            <w:tcBorders>
              <w:top w:val="single" w:color="000000" w:sz="4" w:space="0"/>
              <w:left w:val="single" w:color="auto" w:sz="4" w:space="0"/>
              <w:bottom w:val="single" w:color="000000" w:sz="4" w:space="0"/>
              <w:right w:val="single" w:color="auto" w:sz="4" w:space="0"/>
            </w:tcBorders>
            <w:shd w:val="clear" w:color="auto" w:fill="auto"/>
            <w:noWrap/>
            <w:tcMar>
              <w:top w:w="12" w:type="dxa"/>
              <w:left w:w="12" w:type="dxa"/>
              <w:right w:w="12" w:type="dxa"/>
            </w:tcMar>
            <w:vAlign w:val="center"/>
          </w:tcPr>
          <w:p w14:paraId="5B851806">
            <w:pPr>
              <w:widowControl/>
              <w:ind w:left="0" w:leftChars="0" w:firstLine="511" w:firstLineChars="213"/>
              <w:jc w:val="center"/>
              <w:textAlignment w:val="center"/>
              <w:rPr>
                <w:rFonts w:ascii="宋体" w:hAnsi="宋体" w:cs="宋体"/>
                <w:sz w:val="24"/>
                <w:szCs w:val="24"/>
                <w:highlight w:val="none"/>
              </w:rPr>
            </w:pPr>
            <w:r>
              <w:rPr>
                <w:rFonts w:hint="eastAsia" w:ascii="宋体" w:hAnsi="宋体" w:cs="宋体"/>
                <w:sz w:val="24"/>
                <w:szCs w:val="24"/>
                <w:highlight w:val="none"/>
              </w:rPr>
              <w:t>米</w:t>
            </w:r>
          </w:p>
        </w:tc>
        <w:tc>
          <w:tcPr>
            <w:tcW w:w="1609" w:type="dxa"/>
            <w:vMerge w:val="restart"/>
            <w:tcBorders>
              <w:top w:val="single" w:color="auto" w:sz="4" w:space="0"/>
              <w:left w:val="single" w:color="auto" w:sz="4" w:space="0"/>
              <w:right w:val="single" w:color="auto" w:sz="4" w:space="0"/>
            </w:tcBorders>
            <w:shd w:val="clear" w:color="auto" w:fill="auto"/>
            <w:noWrap/>
            <w:tcMar>
              <w:top w:w="12" w:type="dxa"/>
              <w:left w:w="12" w:type="dxa"/>
              <w:right w:w="12" w:type="dxa"/>
            </w:tcMar>
            <w:vAlign w:val="center"/>
          </w:tcPr>
          <w:p w14:paraId="62A6F62A">
            <w:pPr>
              <w:widowControl/>
              <w:ind w:left="0" w:leftChars="0" w:firstLine="511" w:firstLineChars="213"/>
              <w:jc w:val="center"/>
              <w:textAlignment w:val="center"/>
              <w:rPr>
                <w:rFonts w:ascii="宋体" w:hAnsi="宋体" w:cs="宋体"/>
                <w:snapToGrid w:val="0"/>
                <w:kern w:val="0"/>
                <w:sz w:val="24"/>
                <w:szCs w:val="24"/>
                <w:highlight w:val="none"/>
                <w:lang w:bidi="ar"/>
              </w:rPr>
            </w:pPr>
          </w:p>
        </w:tc>
        <w:tc>
          <w:tcPr>
            <w:tcW w:w="914" w:type="dxa"/>
            <w:vMerge w:val="restart"/>
            <w:tcBorders>
              <w:top w:val="single" w:color="000000" w:sz="4" w:space="0"/>
              <w:left w:val="single" w:color="auto" w:sz="4" w:space="0"/>
              <w:right w:val="single" w:color="000000" w:sz="4" w:space="0"/>
            </w:tcBorders>
            <w:shd w:val="clear" w:color="auto" w:fill="auto"/>
            <w:noWrap/>
            <w:tcMar>
              <w:top w:w="12" w:type="dxa"/>
              <w:left w:w="12" w:type="dxa"/>
              <w:right w:w="12" w:type="dxa"/>
            </w:tcMar>
            <w:vAlign w:val="center"/>
          </w:tcPr>
          <w:p w14:paraId="3D54A9B3">
            <w:pPr>
              <w:widowControl/>
              <w:ind w:left="0" w:leftChars="0" w:firstLine="511" w:firstLineChars="213"/>
              <w:jc w:val="center"/>
              <w:textAlignment w:val="center"/>
              <w:rPr>
                <w:rFonts w:ascii="宋体" w:hAnsi="宋体" w:cs="宋体"/>
                <w:snapToGrid w:val="0"/>
                <w:kern w:val="0"/>
                <w:sz w:val="24"/>
                <w:szCs w:val="24"/>
                <w:highlight w:val="none"/>
                <w:lang w:bidi="ar"/>
              </w:rPr>
            </w:pPr>
          </w:p>
        </w:tc>
      </w:tr>
      <w:tr w14:paraId="44317B86">
        <w:tblPrEx>
          <w:tblCellMar>
            <w:top w:w="0" w:type="dxa"/>
            <w:left w:w="0" w:type="dxa"/>
            <w:bottom w:w="0" w:type="dxa"/>
            <w:right w:w="0" w:type="dxa"/>
          </w:tblCellMar>
        </w:tblPrEx>
        <w:trPr>
          <w:trHeight w:val="380" w:hRule="atLeast"/>
        </w:trPr>
        <w:tc>
          <w:tcPr>
            <w:tcW w:w="806" w:type="dxa"/>
            <w:vMerge w:val="continue"/>
            <w:tcBorders>
              <w:left w:val="single" w:color="auto" w:sz="4" w:space="0"/>
              <w:right w:val="single" w:color="auto" w:sz="4" w:space="0"/>
            </w:tcBorders>
            <w:shd w:val="clear" w:color="auto" w:fill="auto"/>
            <w:noWrap/>
            <w:tcMar>
              <w:top w:w="12" w:type="dxa"/>
              <w:left w:w="12" w:type="dxa"/>
              <w:right w:w="12" w:type="dxa"/>
            </w:tcMar>
            <w:vAlign w:val="center"/>
          </w:tcPr>
          <w:p w14:paraId="4A2626F0">
            <w:pPr>
              <w:widowControl/>
              <w:ind w:left="0" w:leftChars="0" w:firstLine="511" w:firstLineChars="213"/>
              <w:jc w:val="center"/>
              <w:textAlignment w:val="center"/>
              <w:rPr>
                <w:rFonts w:ascii="宋体" w:hAnsi="宋体" w:cs="宋体"/>
                <w:sz w:val="24"/>
                <w:szCs w:val="24"/>
                <w:highlight w:val="none"/>
              </w:rPr>
            </w:pPr>
          </w:p>
        </w:tc>
        <w:tc>
          <w:tcPr>
            <w:tcW w:w="5004" w:type="dxa"/>
            <w:tcBorders>
              <w:top w:val="single" w:color="000000" w:sz="4" w:space="0"/>
              <w:left w:val="single" w:color="auto" w:sz="4" w:space="0"/>
              <w:bottom w:val="single" w:color="000000" w:sz="4" w:space="0"/>
              <w:right w:val="single" w:color="auto" w:sz="4" w:space="0"/>
            </w:tcBorders>
            <w:shd w:val="clear" w:color="auto" w:fill="auto"/>
            <w:noWrap/>
            <w:tcMar>
              <w:top w:w="12" w:type="dxa"/>
              <w:left w:w="12" w:type="dxa"/>
              <w:right w:w="12" w:type="dxa"/>
            </w:tcMar>
            <w:vAlign w:val="center"/>
          </w:tcPr>
          <w:p w14:paraId="32260D59">
            <w:pPr>
              <w:widowControl/>
              <w:ind w:left="0" w:leftChars="0" w:firstLine="511" w:firstLineChars="213"/>
              <w:jc w:val="center"/>
              <w:textAlignment w:val="center"/>
              <w:rPr>
                <w:rFonts w:ascii="宋体" w:hAnsi="宋体" w:cs="宋体"/>
                <w:sz w:val="24"/>
                <w:szCs w:val="24"/>
                <w:highlight w:val="none"/>
              </w:rPr>
            </w:pPr>
            <w:r>
              <w:rPr>
                <w:rFonts w:hint="eastAsia" w:ascii="宋体" w:hAnsi="宋体" w:cs="宋体"/>
                <w:sz w:val="24"/>
                <w:szCs w:val="24"/>
                <w:highlight w:val="none"/>
              </w:rPr>
              <w:t>面粉</w:t>
            </w:r>
          </w:p>
        </w:tc>
        <w:tc>
          <w:tcPr>
            <w:tcW w:w="1609" w:type="dxa"/>
            <w:vMerge w:val="continue"/>
            <w:tcBorders>
              <w:left w:val="single" w:color="auto" w:sz="4" w:space="0"/>
              <w:right w:val="single" w:color="auto" w:sz="4" w:space="0"/>
            </w:tcBorders>
            <w:shd w:val="clear" w:color="auto" w:fill="auto"/>
            <w:noWrap/>
            <w:tcMar>
              <w:top w:w="12" w:type="dxa"/>
              <w:left w:w="12" w:type="dxa"/>
              <w:right w:w="12" w:type="dxa"/>
            </w:tcMar>
            <w:vAlign w:val="center"/>
          </w:tcPr>
          <w:p w14:paraId="0CA3B992">
            <w:pPr>
              <w:widowControl/>
              <w:ind w:left="0" w:leftChars="0" w:firstLine="511" w:firstLineChars="213"/>
              <w:jc w:val="center"/>
              <w:textAlignment w:val="center"/>
              <w:rPr>
                <w:rFonts w:ascii="宋体" w:hAnsi="宋体" w:cs="宋体"/>
                <w:snapToGrid w:val="0"/>
                <w:kern w:val="0"/>
                <w:sz w:val="24"/>
                <w:szCs w:val="24"/>
                <w:highlight w:val="none"/>
                <w:lang w:bidi="ar"/>
              </w:rPr>
            </w:pPr>
          </w:p>
        </w:tc>
        <w:tc>
          <w:tcPr>
            <w:tcW w:w="914" w:type="dxa"/>
            <w:vMerge w:val="continue"/>
            <w:tcBorders>
              <w:left w:val="single" w:color="auto" w:sz="4" w:space="0"/>
              <w:right w:val="single" w:color="000000" w:sz="4" w:space="0"/>
            </w:tcBorders>
            <w:shd w:val="clear" w:color="auto" w:fill="auto"/>
            <w:noWrap/>
            <w:tcMar>
              <w:top w:w="12" w:type="dxa"/>
              <w:left w:w="12" w:type="dxa"/>
              <w:right w:w="12" w:type="dxa"/>
            </w:tcMar>
            <w:vAlign w:val="center"/>
          </w:tcPr>
          <w:p w14:paraId="13CFE62E">
            <w:pPr>
              <w:widowControl/>
              <w:ind w:left="0" w:leftChars="0" w:firstLine="511" w:firstLineChars="213"/>
              <w:jc w:val="center"/>
              <w:textAlignment w:val="center"/>
              <w:rPr>
                <w:rFonts w:ascii="宋体" w:hAnsi="宋体" w:cs="宋体"/>
                <w:snapToGrid w:val="0"/>
                <w:kern w:val="0"/>
                <w:sz w:val="24"/>
                <w:szCs w:val="24"/>
                <w:highlight w:val="none"/>
                <w:lang w:bidi="ar"/>
              </w:rPr>
            </w:pPr>
          </w:p>
        </w:tc>
      </w:tr>
      <w:tr w14:paraId="1063EC18">
        <w:tblPrEx>
          <w:tblCellMar>
            <w:top w:w="0" w:type="dxa"/>
            <w:left w:w="0" w:type="dxa"/>
            <w:bottom w:w="0" w:type="dxa"/>
            <w:right w:w="0" w:type="dxa"/>
          </w:tblCellMar>
        </w:tblPrEx>
        <w:trPr>
          <w:trHeight w:val="380" w:hRule="atLeast"/>
        </w:trPr>
        <w:tc>
          <w:tcPr>
            <w:tcW w:w="806" w:type="dxa"/>
            <w:vMerge w:val="continue"/>
            <w:tcBorders>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14:paraId="380C42B0">
            <w:pPr>
              <w:widowControl/>
              <w:ind w:left="0" w:leftChars="0" w:firstLine="511" w:firstLineChars="213"/>
              <w:jc w:val="center"/>
              <w:textAlignment w:val="center"/>
              <w:rPr>
                <w:rFonts w:ascii="宋体" w:hAnsi="宋体" w:cs="宋体"/>
                <w:sz w:val="24"/>
                <w:szCs w:val="24"/>
                <w:highlight w:val="none"/>
              </w:rPr>
            </w:pPr>
          </w:p>
        </w:tc>
        <w:tc>
          <w:tcPr>
            <w:tcW w:w="5004" w:type="dxa"/>
            <w:tcBorders>
              <w:top w:val="single" w:color="000000" w:sz="4" w:space="0"/>
              <w:left w:val="single" w:color="auto" w:sz="4" w:space="0"/>
              <w:bottom w:val="single" w:color="000000" w:sz="4" w:space="0"/>
              <w:right w:val="single" w:color="auto" w:sz="4" w:space="0"/>
            </w:tcBorders>
            <w:shd w:val="clear" w:color="auto" w:fill="auto"/>
            <w:noWrap/>
            <w:tcMar>
              <w:top w:w="12" w:type="dxa"/>
              <w:left w:w="12" w:type="dxa"/>
              <w:right w:w="12" w:type="dxa"/>
            </w:tcMar>
            <w:vAlign w:val="center"/>
          </w:tcPr>
          <w:p w14:paraId="78C6E990">
            <w:pPr>
              <w:widowControl/>
              <w:ind w:left="0" w:leftChars="0" w:firstLine="511" w:firstLineChars="213"/>
              <w:jc w:val="center"/>
              <w:textAlignment w:val="center"/>
              <w:rPr>
                <w:rFonts w:hint="eastAsia" w:ascii="宋体" w:hAnsi="宋体" w:cs="宋体"/>
                <w:snapToGrid w:val="0"/>
                <w:kern w:val="0"/>
                <w:sz w:val="24"/>
                <w:szCs w:val="24"/>
                <w:highlight w:val="none"/>
                <w:lang w:bidi="ar"/>
              </w:rPr>
            </w:pPr>
            <w:r>
              <w:rPr>
                <w:rFonts w:hint="eastAsia" w:ascii="宋体" w:hAnsi="宋体" w:cs="宋体"/>
                <w:sz w:val="24"/>
                <w:szCs w:val="24"/>
                <w:highlight w:val="none"/>
              </w:rPr>
              <w:t>油</w:t>
            </w:r>
          </w:p>
        </w:tc>
        <w:tc>
          <w:tcPr>
            <w:tcW w:w="1609" w:type="dxa"/>
            <w:vMerge w:val="continue"/>
            <w:tcBorders>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14:paraId="4AFC9E7D">
            <w:pPr>
              <w:widowControl/>
              <w:ind w:left="0" w:leftChars="0" w:firstLine="511" w:firstLineChars="213"/>
              <w:jc w:val="center"/>
              <w:textAlignment w:val="center"/>
              <w:rPr>
                <w:rFonts w:ascii="宋体" w:hAnsi="宋体" w:cs="宋体"/>
                <w:snapToGrid w:val="0"/>
                <w:kern w:val="0"/>
                <w:sz w:val="24"/>
                <w:szCs w:val="24"/>
                <w:highlight w:val="none"/>
                <w:lang w:bidi="ar"/>
              </w:rPr>
            </w:pPr>
          </w:p>
        </w:tc>
        <w:tc>
          <w:tcPr>
            <w:tcW w:w="914" w:type="dxa"/>
            <w:vMerge w:val="continue"/>
            <w:tcBorders>
              <w:left w:val="single" w:color="auto" w:sz="4" w:space="0"/>
              <w:bottom w:val="single" w:color="000000" w:sz="4" w:space="0"/>
              <w:right w:val="single" w:color="000000" w:sz="4" w:space="0"/>
            </w:tcBorders>
            <w:shd w:val="clear" w:color="auto" w:fill="auto"/>
            <w:noWrap/>
            <w:tcMar>
              <w:top w:w="12" w:type="dxa"/>
              <w:left w:w="12" w:type="dxa"/>
              <w:right w:w="12" w:type="dxa"/>
            </w:tcMar>
            <w:vAlign w:val="center"/>
          </w:tcPr>
          <w:p w14:paraId="1582CB49">
            <w:pPr>
              <w:widowControl/>
              <w:ind w:left="0" w:leftChars="0" w:firstLine="511" w:firstLineChars="213"/>
              <w:jc w:val="center"/>
              <w:textAlignment w:val="center"/>
              <w:rPr>
                <w:rFonts w:ascii="宋体" w:hAnsi="宋体" w:cs="宋体"/>
                <w:snapToGrid w:val="0"/>
                <w:kern w:val="0"/>
                <w:sz w:val="24"/>
                <w:szCs w:val="24"/>
                <w:highlight w:val="none"/>
                <w:lang w:bidi="ar"/>
              </w:rPr>
            </w:pPr>
          </w:p>
        </w:tc>
      </w:tr>
      <w:tr w14:paraId="1F7EE29B">
        <w:tblPrEx>
          <w:tblCellMar>
            <w:top w:w="0" w:type="dxa"/>
            <w:left w:w="0" w:type="dxa"/>
            <w:bottom w:w="0" w:type="dxa"/>
            <w:right w:w="0" w:type="dxa"/>
          </w:tblCellMar>
        </w:tblPrEx>
        <w:trPr>
          <w:trHeight w:val="380" w:hRule="atLeast"/>
        </w:trPr>
        <w:tc>
          <w:tcPr>
            <w:tcW w:w="806" w:type="dxa"/>
            <w:vMerge w:val="restart"/>
            <w:tcBorders>
              <w:top w:val="single" w:color="auto" w:sz="4" w:space="0"/>
              <w:left w:val="single" w:color="auto" w:sz="4" w:space="0"/>
              <w:right w:val="single" w:color="auto" w:sz="4" w:space="0"/>
            </w:tcBorders>
            <w:shd w:val="clear" w:color="auto" w:fill="auto"/>
            <w:noWrap/>
            <w:tcMar>
              <w:top w:w="12" w:type="dxa"/>
              <w:left w:w="12" w:type="dxa"/>
              <w:right w:w="12" w:type="dxa"/>
            </w:tcMar>
            <w:vAlign w:val="center"/>
          </w:tcPr>
          <w:p w14:paraId="78238A91">
            <w:pPr>
              <w:widowControl/>
              <w:ind w:left="0" w:leftChars="0" w:firstLine="511" w:firstLineChars="213"/>
              <w:jc w:val="center"/>
              <w:textAlignment w:val="center"/>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D</w:t>
            </w:r>
          </w:p>
        </w:tc>
        <w:tc>
          <w:tcPr>
            <w:tcW w:w="5004" w:type="dxa"/>
            <w:tcBorders>
              <w:top w:val="single" w:color="000000" w:sz="4" w:space="0"/>
              <w:left w:val="single" w:color="auto" w:sz="4" w:space="0"/>
              <w:bottom w:val="single" w:color="000000" w:sz="4" w:space="0"/>
              <w:right w:val="single" w:color="auto" w:sz="4" w:space="0"/>
            </w:tcBorders>
            <w:shd w:val="clear" w:color="auto" w:fill="auto"/>
            <w:noWrap/>
            <w:tcMar>
              <w:top w:w="12" w:type="dxa"/>
              <w:left w:w="12" w:type="dxa"/>
              <w:right w:w="12" w:type="dxa"/>
            </w:tcMar>
            <w:vAlign w:val="center"/>
          </w:tcPr>
          <w:p w14:paraId="5CBDEE6D">
            <w:pPr>
              <w:widowControl/>
              <w:ind w:left="0" w:leftChars="0" w:firstLine="511" w:firstLineChars="213"/>
              <w:jc w:val="center"/>
              <w:textAlignment w:val="center"/>
              <w:rPr>
                <w:rFonts w:hint="eastAsia" w:ascii="宋体" w:hAnsi="宋体" w:cs="宋体"/>
                <w:snapToGrid w:val="0"/>
                <w:kern w:val="0"/>
                <w:sz w:val="24"/>
                <w:szCs w:val="24"/>
                <w:highlight w:val="none"/>
                <w:lang w:bidi="ar"/>
              </w:rPr>
            </w:pPr>
            <w:r>
              <w:rPr>
                <w:rFonts w:hint="eastAsia" w:ascii="宋体" w:hAnsi="宋体" w:cs="宋体"/>
                <w:sz w:val="24"/>
                <w:szCs w:val="24"/>
                <w:highlight w:val="none"/>
                <w:lang w:val="en-US" w:eastAsia="zh-CN"/>
              </w:rPr>
              <w:t>奶制品</w:t>
            </w:r>
          </w:p>
        </w:tc>
        <w:tc>
          <w:tcPr>
            <w:tcW w:w="1609" w:type="dxa"/>
            <w:vMerge w:val="restart"/>
            <w:tcBorders>
              <w:top w:val="single" w:color="auto" w:sz="4" w:space="0"/>
              <w:left w:val="single" w:color="auto" w:sz="4" w:space="0"/>
              <w:right w:val="single" w:color="auto" w:sz="4" w:space="0"/>
            </w:tcBorders>
            <w:shd w:val="clear" w:color="auto" w:fill="auto"/>
            <w:noWrap/>
            <w:tcMar>
              <w:top w:w="12" w:type="dxa"/>
              <w:left w:w="12" w:type="dxa"/>
              <w:right w:w="12" w:type="dxa"/>
            </w:tcMar>
            <w:vAlign w:val="center"/>
          </w:tcPr>
          <w:p w14:paraId="526E525A">
            <w:pPr>
              <w:widowControl/>
              <w:ind w:left="0" w:leftChars="0" w:firstLine="511" w:firstLineChars="213"/>
              <w:jc w:val="center"/>
              <w:textAlignment w:val="center"/>
              <w:rPr>
                <w:rFonts w:ascii="宋体" w:hAnsi="宋体" w:cs="宋体"/>
                <w:snapToGrid w:val="0"/>
                <w:kern w:val="0"/>
                <w:sz w:val="24"/>
                <w:szCs w:val="24"/>
                <w:highlight w:val="none"/>
                <w:lang w:bidi="ar"/>
              </w:rPr>
            </w:pPr>
          </w:p>
        </w:tc>
        <w:tc>
          <w:tcPr>
            <w:tcW w:w="914" w:type="dxa"/>
            <w:vMerge w:val="restart"/>
            <w:tcBorders>
              <w:left w:val="single" w:color="auto" w:sz="4" w:space="0"/>
              <w:right w:val="single" w:color="000000" w:sz="4" w:space="0"/>
            </w:tcBorders>
            <w:shd w:val="clear" w:color="auto" w:fill="auto"/>
            <w:noWrap/>
            <w:tcMar>
              <w:top w:w="12" w:type="dxa"/>
              <w:left w:w="12" w:type="dxa"/>
              <w:right w:w="12" w:type="dxa"/>
            </w:tcMar>
            <w:vAlign w:val="center"/>
          </w:tcPr>
          <w:p w14:paraId="5BA6402B">
            <w:pPr>
              <w:widowControl/>
              <w:ind w:left="0" w:leftChars="0" w:firstLine="511" w:firstLineChars="213"/>
              <w:jc w:val="center"/>
              <w:textAlignment w:val="center"/>
              <w:rPr>
                <w:rFonts w:ascii="宋体" w:hAnsi="宋体" w:cs="宋体"/>
                <w:snapToGrid w:val="0"/>
                <w:kern w:val="0"/>
                <w:sz w:val="24"/>
                <w:szCs w:val="24"/>
                <w:highlight w:val="none"/>
                <w:lang w:bidi="ar"/>
              </w:rPr>
            </w:pPr>
          </w:p>
        </w:tc>
      </w:tr>
      <w:tr w14:paraId="56912A4A">
        <w:tblPrEx>
          <w:tblCellMar>
            <w:top w:w="0" w:type="dxa"/>
            <w:left w:w="0" w:type="dxa"/>
            <w:bottom w:w="0" w:type="dxa"/>
            <w:right w:w="0" w:type="dxa"/>
          </w:tblCellMar>
        </w:tblPrEx>
        <w:trPr>
          <w:trHeight w:val="380" w:hRule="atLeast"/>
        </w:trPr>
        <w:tc>
          <w:tcPr>
            <w:tcW w:w="806" w:type="dxa"/>
            <w:vMerge w:val="continue"/>
            <w:tcBorders>
              <w:left w:val="single" w:color="auto" w:sz="4" w:space="0"/>
              <w:right w:val="single" w:color="auto" w:sz="4" w:space="0"/>
            </w:tcBorders>
            <w:shd w:val="clear" w:color="auto" w:fill="auto"/>
            <w:noWrap/>
            <w:tcMar>
              <w:top w:w="12" w:type="dxa"/>
              <w:left w:w="12" w:type="dxa"/>
              <w:right w:w="12" w:type="dxa"/>
            </w:tcMar>
            <w:vAlign w:val="center"/>
          </w:tcPr>
          <w:p w14:paraId="1F685AD8">
            <w:pPr>
              <w:widowControl/>
              <w:ind w:left="0" w:leftChars="0" w:firstLine="511" w:firstLineChars="213"/>
              <w:jc w:val="center"/>
              <w:textAlignment w:val="center"/>
              <w:rPr>
                <w:rFonts w:hint="eastAsia" w:ascii="宋体" w:hAnsi="宋体" w:cs="宋体"/>
                <w:sz w:val="24"/>
                <w:szCs w:val="24"/>
                <w:highlight w:val="none"/>
                <w:lang w:val="en-US" w:eastAsia="zh-CN"/>
              </w:rPr>
            </w:pPr>
          </w:p>
        </w:tc>
        <w:tc>
          <w:tcPr>
            <w:tcW w:w="5004" w:type="dxa"/>
            <w:tcBorders>
              <w:top w:val="single" w:color="000000" w:sz="4" w:space="0"/>
              <w:left w:val="single" w:color="auto" w:sz="4" w:space="0"/>
              <w:bottom w:val="single" w:color="000000" w:sz="4" w:space="0"/>
              <w:right w:val="single" w:color="auto" w:sz="4" w:space="0"/>
            </w:tcBorders>
            <w:shd w:val="clear" w:color="auto" w:fill="auto"/>
            <w:noWrap/>
            <w:tcMar>
              <w:top w:w="12" w:type="dxa"/>
              <w:left w:w="12" w:type="dxa"/>
              <w:right w:w="12" w:type="dxa"/>
            </w:tcMar>
            <w:vAlign w:val="center"/>
          </w:tcPr>
          <w:p w14:paraId="16C50C19">
            <w:pPr>
              <w:widowControl/>
              <w:ind w:left="0" w:leftChars="0" w:firstLine="511" w:firstLineChars="213"/>
              <w:jc w:val="center"/>
              <w:textAlignment w:val="center"/>
              <w:rPr>
                <w:rFonts w:hint="eastAsia" w:ascii="宋体" w:hAnsi="宋体" w:cs="宋体"/>
                <w:snapToGrid w:val="0"/>
                <w:kern w:val="0"/>
                <w:sz w:val="24"/>
                <w:szCs w:val="24"/>
                <w:highlight w:val="none"/>
                <w:lang w:bidi="ar"/>
              </w:rPr>
            </w:pPr>
            <w:r>
              <w:rPr>
                <w:rFonts w:hint="eastAsia" w:ascii="宋体" w:hAnsi="宋体" w:cs="宋体"/>
                <w:snapToGrid w:val="0"/>
                <w:kern w:val="0"/>
                <w:sz w:val="24"/>
                <w:szCs w:val="24"/>
                <w:highlight w:val="none"/>
                <w:lang w:eastAsia="zh-CN" w:bidi="ar"/>
              </w:rPr>
              <w:t>豆制品</w:t>
            </w:r>
          </w:p>
        </w:tc>
        <w:tc>
          <w:tcPr>
            <w:tcW w:w="1609" w:type="dxa"/>
            <w:vMerge w:val="continue"/>
            <w:tcBorders>
              <w:left w:val="single" w:color="auto" w:sz="4" w:space="0"/>
              <w:right w:val="single" w:color="auto" w:sz="4" w:space="0"/>
            </w:tcBorders>
            <w:shd w:val="clear" w:color="auto" w:fill="auto"/>
            <w:noWrap/>
            <w:tcMar>
              <w:top w:w="12" w:type="dxa"/>
              <w:left w:w="12" w:type="dxa"/>
              <w:right w:w="12" w:type="dxa"/>
            </w:tcMar>
            <w:vAlign w:val="center"/>
          </w:tcPr>
          <w:p w14:paraId="10CC151C">
            <w:pPr>
              <w:widowControl/>
              <w:ind w:left="0" w:leftChars="0" w:firstLine="511" w:firstLineChars="213"/>
              <w:jc w:val="center"/>
              <w:textAlignment w:val="center"/>
              <w:rPr>
                <w:rFonts w:ascii="宋体" w:hAnsi="宋体" w:cs="宋体"/>
                <w:snapToGrid w:val="0"/>
                <w:kern w:val="0"/>
                <w:sz w:val="24"/>
                <w:szCs w:val="24"/>
                <w:highlight w:val="none"/>
                <w:lang w:bidi="ar"/>
              </w:rPr>
            </w:pPr>
          </w:p>
        </w:tc>
        <w:tc>
          <w:tcPr>
            <w:tcW w:w="914" w:type="dxa"/>
            <w:vMerge w:val="continue"/>
            <w:tcBorders>
              <w:left w:val="single" w:color="auto" w:sz="4" w:space="0"/>
              <w:right w:val="single" w:color="000000" w:sz="4" w:space="0"/>
            </w:tcBorders>
            <w:shd w:val="clear" w:color="auto" w:fill="auto"/>
            <w:noWrap/>
            <w:tcMar>
              <w:top w:w="12" w:type="dxa"/>
              <w:left w:w="12" w:type="dxa"/>
              <w:right w:w="12" w:type="dxa"/>
            </w:tcMar>
            <w:vAlign w:val="center"/>
          </w:tcPr>
          <w:p w14:paraId="66C93BC6">
            <w:pPr>
              <w:widowControl/>
              <w:ind w:left="0" w:leftChars="0" w:firstLine="511" w:firstLineChars="213"/>
              <w:jc w:val="center"/>
              <w:textAlignment w:val="center"/>
              <w:rPr>
                <w:rFonts w:ascii="宋体" w:hAnsi="宋体" w:cs="宋体"/>
                <w:snapToGrid w:val="0"/>
                <w:kern w:val="0"/>
                <w:sz w:val="24"/>
                <w:szCs w:val="24"/>
                <w:highlight w:val="none"/>
                <w:lang w:bidi="ar"/>
              </w:rPr>
            </w:pPr>
          </w:p>
        </w:tc>
      </w:tr>
      <w:tr w14:paraId="6565A4F2">
        <w:tblPrEx>
          <w:tblCellMar>
            <w:top w:w="0" w:type="dxa"/>
            <w:left w:w="0" w:type="dxa"/>
            <w:bottom w:w="0" w:type="dxa"/>
            <w:right w:w="0" w:type="dxa"/>
          </w:tblCellMar>
        </w:tblPrEx>
        <w:trPr>
          <w:trHeight w:val="380" w:hRule="atLeast"/>
        </w:trPr>
        <w:tc>
          <w:tcPr>
            <w:tcW w:w="806" w:type="dxa"/>
            <w:vMerge w:val="continue"/>
            <w:tcBorders>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14:paraId="09D07F98">
            <w:pPr>
              <w:widowControl/>
              <w:ind w:left="0" w:leftChars="0" w:firstLine="511" w:firstLineChars="213"/>
              <w:jc w:val="center"/>
              <w:textAlignment w:val="center"/>
              <w:rPr>
                <w:rFonts w:hint="eastAsia" w:ascii="宋体" w:hAnsi="宋体" w:eastAsia="宋体" w:cs="宋体"/>
                <w:sz w:val="24"/>
                <w:szCs w:val="24"/>
                <w:highlight w:val="none"/>
                <w:lang w:val="en-US" w:eastAsia="zh-CN"/>
              </w:rPr>
            </w:pPr>
          </w:p>
        </w:tc>
        <w:tc>
          <w:tcPr>
            <w:tcW w:w="5004" w:type="dxa"/>
            <w:tcBorders>
              <w:top w:val="single" w:color="000000" w:sz="4" w:space="0"/>
              <w:left w:val="single" w:color="auto" w:sz="4" w:space="0"/>
              <w:bottom w:val="single" w:color="000000" w:sz="4" w:space="0"/>
              <w:right w:val="single" w:color="auto" w:sz="4" w:space="0"/>
            </w:tcBorders>
            <w:shd w:val="clear" w:color="auto" w:fill="auto"/>
            <w:noWrap/>
            <w:tcMar>
              <w:top w:w="12" w:type="dxa"/>
              <w:left w:w="12" w:type="dxa"/>
              <w:right w:w="12" w:type="dxa"/>
            </w:tcMar>
            <w:vAlign w:val="center"/>
          </w:tcPr>
          <w:p w14:paraId="13BFF505">
            <w:pPr>
              <w:widowControl/>
              <w:ind w:left="0" w:leftChars="0" w:firstLine="511" w:firstLineChars="213"/>
              <w:jc w:val="center"/>
              <w:textAlignment w:val="center"/>
              <w:rPr>
                <w:rFonts w:hint="eastAsia" w:ascii="宋体" w:hAnsi="宋体" w:cs="宋体"/>
                <w:snapToGrid w:val="0"/>
                <w:kern w:val="0"/>
                <w:sz w:val="24"/>
                <w:szCs w:val="24"/>
                <w:highlight w:val="none"/>
                <w:lang w:bidi="ar"/>
              </w:rPr>
            </w:pPr>
            <w:r>
              <w:rPr>
                <w:rFonts w:hint="eastAsia" w:ascii="宋体" w:hAnsi="宋体" w:cs="宋体"/>
                <w:snapToGrid w:val="0"/>
                <w:kern w:val="0"/>
                <w:sz w:val="24"/>
                <w:szCs w:val="24"/>
                <w:highlight w:val="none"/>
                <w:lang w:bidi="ar"/>
              </w:rPr>
              <w:t>调料(不包含食用盐)</w:t>
            </w:r>
          </w:p>
        </w:tc>
        <w:tc>
          <w:tcPr>
            <w:tcW w:w="1609" w:type="dxa"/>
            <w:vMerge w:val="continue"/>
            <w:tcBorders>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14:paraId="78C37A0C">
            <w:pPr>
              <w:widowControl/>
              <w:ind w:left="0" w:leftChars="0" w:firstLine="511" w:firstLineChars="213"/>
              <w:jc w:val="center"/>
              <w:textAlignment w:val="center"/>
              <w:rPr>
                <w:rFonts w:ascii="宋体" w:hAnsi="宋体" w:cs="宋体"/>
                <w:snapToGrid w:val="0"/>
                <w:kern w:val="0"/>
                <w:sz w:val="24"/>
                <w:szCs w:val="24"/>
                <w:highlight w:val="none"/>
                <w:lang w:bidi="ar"/>
              </w:rPr>
            </w:pPr>
          </w:p>
        </w:tc>
        <w:tc>
          <w:tcPr>
            <w:tcW w:w="914" w:type="dxa"/>
            <w:vMerge w:val="continue"/>
            <w:tcBorders>
              <w:left w:val="single" w:color="auto" w:sz="4" w:space="0"/>
              <w:bottom w:val="single" w:color="000000" w:sz="4" w:space="0"/>
              <w:right w:val="single" w:color="000000" w:sz="4" w:space="0"/>
            </w:tcBorders>
            <w:shd w:val="clear" w:color="auto" w:fill="auto"/>
            <w:noWrap/>
            <w:tcMar>
              <w:top w:w="12" w:type="dxa"/>
              <w:left w:w="12" w:type="dxa"/>
              <w:right w:w="12" w:type="dxa"/>
            </w:tcMar>
            <w:vAlign w:val="center"/>
          </w:tcPr>
          <w:p w14:paraId="008E5893">
            <w:pPr>
              <w:widowControl/>
              <w:ind w:left="0" w:leftChars="0" w:firstLine="511" w:firstLineChars="213"/>
              <w:jc w:val="center"/>
              <w:textAlignment w:val="center"/>
              <w:rPr>
                <w:rFonts w:ascii="宋体" w:hAnsi="宋体" w:cs="宋体"/>
                <w:snapToGrid w:val="0"/>
                <w:kern w:val="0"/>
                <w:sz w:val="24"/>
                <w:szCs w:val="24"/>
                <w:highlight w:val="none"/>
                <w:lang w:bidi="ar"/>
              </w:rPr>
            </w:pPr>
          </w:p>
        </w:tc>
      </w:tr>
      <w:tr w14:paraId="4BB505A1">
        <w:tblPrEx>
          <w:tblCellMar>
            <w:top w:w="0" w:type="dxa"/>
            <w:left w:w="0" w:type="dxa"/>
            <w:bottom w:w="0" w:type="dxa"/>
            <w:right w:w="0" w:type="dxa"/>
          </w:tblCellMar>
        </w:tblPrEx>
        <w:trPr>
          <w:trHeight w:val="380" w:hRule="atLeast"/>
        </w:trPr>
        <w:tc>
          <w:tcPr>
            <w:tcW w:w="8333" w:type="dxa"/>
            <w:gridSpan w:val="4"/>
            <w:tcBorders>
              <w:top w:val="single" w:color="auto" w:sz="4" w:space="0"/>
              <w:left w:val="single" w:color="auto" w:sz="4" w:space="0"/>
              <w:bottom w:val="single" w:color="auto" w:sz="4" w:space="0"/>
              <w:right w:val="single" w:color="000000" w:sz="4" w:space="0"/>
            </w:tcBorders>
            <w:shd w:val="clear" w:color="auto" w:fill="auto"/>
            <w:noWrap/>
            <w:tcMar>
              <w:top w:w="12" w:type="dxa"/>
              <w:left w:w="12" w:type="dxa"/>
              <w:right w:w="12" w:type="dxa"/>
            </w:tcMar>
            <w:vAlign w:val="center"/>
          </w:tcPr>
          <w:p w14:paraId="347604D3">
            <w:pPr>
              <w:tabs>
                <w:tab w:val="left" w:pos="1418"/>
              </w:tabs>
              <w:adjustRightInd w:val="0"/>
              <w:snapToGrid w:val="0"/>
              <w:ind w:left="0" w:leftChars="0" w:firstLine="596" w:firstLineChars="213"/>
              <w:jc w:val="left"/>
              <w:rPr>
                <w:rFonts w:hint="eastAsia" w:ascii="宋体" w:hAnsi="宋体" w:eastAsia="宋体" w:cs="宋体"/>
                <w:spacing w:val="20"/>
                <w:sz w:val="24"/>
                <w:szCs w:val="24"/>
                <w:highlight w:val="none"/>
                <w:lang w:eastAsia="zh-CN"/>
              </w:rPr>
            </w:pPr>
            <w:r>
              <w:rPr>
                <w:rFonts w:hint="eastAsia" w:ascii="宋体" w:hAnsi="宋体" w:cs="宋体"/>
                <w:spacing w:val="20"/>
                <w:sz w:val="24"/>
                <w:szCs w:val="24"/>
                <w:highlight w:val="none"/>
              </w:rPr>
              <w:t>平均下浮比例计算公式：(A类别+</w:t>
            </w:r>
            <w:r>
              <w:rPr>
                <w:rFonts w:hint="eastAsia" w:ascii="宋体" w:hAnsi="宋体" w:cs="宋体"/>
                <w:spacing w:val="20"/>
                <w:sz w:val="24"/>
                <w:szCs w:val="24"/>
                <w:highlight w:val="none"/>
                <w:lang w:val="en-US" w:eastAsia="zh-CN"/>
              </w:rPr>
              <w:t>C</w:t>
            </w:r>
            <w:r>
              <w:rPr>
                <w:rFonts w:hint="eastAsia" w:ascii="宋体" w:hAnsi="宋体" w:cs="宋体"/>
                <w:spacing w:val="20"/>
                <w:sz w:val="24"/>
                <w:szCs w:val="24"/>
                <w:highlight w:val="none"/>
              </w:rPr>
              <w:t>类别+</w:t>
            </w:r>
            <w:r>
              <w:rPr>
                <w:rFonts w:hint="eastAsia" w:ascii="宋体" w:hAnsi="宋体" w:cs="宋体"/>
                <w:spacing w:val="20"/>
                <w:sz w:val="24"/>
                <w:szCs w:val="24"/>
                <w:highlight w:val="none"/>
                <w:lang w:val="en-US" w:eastAsia="zh-CN"/>
              </w:rPr>
              <w:t>D</w:t>
            </w:r>
            <w:r>
              <w:rPr>
                <w:rFonts w:hint="eastAsia" w:ascii="宋体" w:hAnsi="宋体" w:cs="宋体"/>
                <w:spacing w:val="20"/>
                <w:sz w:val="24"/>
                <w:szCs w:val="24"/>
                <w:highlight w:val="none"/>
              </w:rPr>
              <w:t>类别)/</w:t>
            </w:r>
            <w:r>
              <w:rPr>
                <w:rFonts w:hint="eastAsia" w:ascii="宋体" w:hAnsi="宋体" w:cs="宋体"/>
                <w:spacing w:val="20"/>
                <w:sz w:val="24"/>
                <w:szCs w:val="24"/>
                <w:highlight w:val="none"/>
                <w:lang w:val="en-US" w:eastAsia="zh-CN"/>
              </w:rPr>
              <w:t>3</w:t>
            </w:r>
          </w:p>
          <w:p w14:paraId="441FCF9B">
            <w:pPr>
              <w:tabs>
                <w:tab w:val="left" w:pos="1418"/>
              </w:tabs>
              <w:adjustRightInd w:val="0"/>
              <w:snapToGrid w:val="0"/>
              <w:ind w:left="0" w:leftChars="0" w:firstLine="596" w:firstLineChars="213"/>
              <w:jc w:val="left"/>
              <w:rPr>
                <w:highlight w:val="none"/>
              </w:rPr>
            </w:pPr>
            <w:r>
              <w:rPr>
                <w:rFonts w:hint="eastAsia" w:ascii="宋体" w:hAnsi="宋体" w:cs="宋体"/>
                <w:spacing w:val="20"/>
                <w:sz w:val="24"/>
                <w:szCs w:val="24"/>
                <w:highlight w:val="none"/>
              </w:rPr>
              <w:t>平均下浮比例：     %</w:t>
            </w:r>
          </w:p>
        </w:tc>
      </w:tr>
      <w:tr w14:paraId="073E9B20">
        <w:tblPrEx>
          <w:tblCellMar>
            <w:top w:w="0" w:type="dxa"/>
            <w:left w:w="0" w:type="dxa"/>
            <w:bottom w:w="0" w:type="dxa"/>
            <w:right w:w="0" w:type="dxa"/>
          </w:tblCellMar>
        </w:tblPrEx>
        <w:trPr>
          <w:trHeight w:val="380" w:hRule="atLeast"/>
        </w:trPr>
        <w:tc>
          <w:tcPr>
            <w:tcW w:w="8333" w:type="dxa"/>
            <w:gridSpan w:val="4"/>
            <w:tcBorders>
              <w:top w:val="single" w:color="auto" w:sz="4" w:space="0"/>
              <w:left w:val="single" w:color="auto" w:sz="4" w:space="0"/>
              <w:bottom w:val="single" w:color="auto" w:sz="4" w:space="0"/>
              <w:right w:val="single" w:color="000000" w:sz="4" w:space="0"/>
            </w:tcBorders>
            <w:shd w:val="clear" w:color="auto" w:fill="auto"/>
            <w:noWrap/>
            <w:tcMar>
              <w:top w:w="12" w:type="dxa"/>
              <w:left w:w="12" w:type="dxa"/>
              <w:right w:w="12" w:type="dxa"/>
            </w:tcMar>
            <w:vAlign w:val="center"/>
          </w:tcPr>
          <w:p w14:paraId="04A46C74">
            <w:pPr>
              <w:tabs>
                <w:tab w:val="left" w:pos="1418"/>
              </w:tabs>
              <w:adjustRightInd w:val="0"/>
              <w:snapToGrid w:val="0"/>
              <w:ind w:left="0" w:leftChars="0" w:firstLine="511" w:firstLineChars="213"/>
              <w:jc w:val="left"/>
              <w:rPr>
                <w:rFonts w:hint="eastAsia" w:ascii="宋体" w:hAnsi="宋体" w:eastAsia="宋体" w:cs="宋体"/>
                <w:spacing w:val="20"/>
                <w:sz w:val="24"/>
                <w:szCs w:val="24"/>
                <w:highlight w:val="none"/>
                <w:lang w:eastAsia="zh-CN"/>
              </w:rPr>
            </w:pPr>
            <w:r>
              <w:rPr>
                <w:rFonts w:hint="eastAsia"/>
                <w:sz w:val="24"/>
                <w:szCs w:val="24"/>
                <w:highlight w:val="none"/>
              </w:rPr>
              <w:t>折扣率报价：</w:t>
            </w:r>
            <w:r>
              <w:rPr>
                <w:rFonts w:hint="eastAsia"/>
                <w:sz w:val="24"/>
                <w:szCs w:val="24"/>
                <w:highlight w:val="none"/>
                <w:lang w:eastAsia="zh-CN"/>
              </w:rPr>
              <w:t>是指按吐鲁番市发改委提供的市场零售价作为基准点参考依据。每月共同调研次数不少于两次。</w:t>
            </w:r>
          </w:p>
        </w:tc>
      </w:tr>
    </w:tbl>
    <w:p w14:paraId="66F43D57">
      <w:pPr>
        <w:pStyle w:val="29"/>
        <w:ind w:left="0" w:leftChars="0" w:firstLine="383" w:firstLineChars="213"/>
        <w:rPr>
          <w:highlight w:val="none"/>
        </w:rPr>
      </w:pPr>
    </w:p>
    <w:p w14:paraId="446E14E1">
      <w:pPr>
        <w:tabs>
          <w:tab w:val="left" w:pos="1418"/>
        </w:tabs>
        <w:snapToGrid w:val="0"/>
        <w:spacing w:line="360" w:lineRule="auto"/>
        <w:ind w:left="0" w:leftChars="0" w:firstLine="511" w:firstLineChars="213"/>
        <w:rPr>
          <w:rFonts w:ascii="宋体" w:hAnsi="宋体" w:cs="宋体"/>
          <w:spacing w:val="20"/>
          <w:sz w:val="24"/>
          <w:szCs w:val="24"/>
          <w:highlight w:val="none"/>
        </w:rPr>
      </w:pPr>
      <w:r>
        <w:rPr>
          <w:rFonts w:hint="eastAsia" w:ascii="宋体" w:hAnsi="宋体" w:cs="宋体"/>
          <w:sz w:val="24"/>
          <w:szCs w:val="24"/>
          <w:highlight w:val="none"/>
        </w:rPr>
        <w:t>说明：1、若获得中标资格并与采购人签署供货合同，由于报价遗漏而造成在供货工作中出现费用的增加，均由成交投标人自行承担，采购人将不再支付任何额外费用</w:t>
      </w:r>
      <w:r>
        <w:rPr>
          <w:rFonts w:hint="eastAsia" w:ascii="宋体" w:hAnsi="宋体" w:cs="宋体"/>
          <w:spacing w:val="20"/>
          <w:sz w:val="24"/>
          <w:szCs w:val="24"/>
          <w:highlight w:val="none"/>
        </w:rPr>
        <w:t>。</w:t>
      </w:r>
    </w:p>
    <w:p w14:paraId="5AF21B7D">
      <w:pPr>
        <w:adjustRightInd w:val="0"/>
        <w:snapToGrid w:val="0"/>
        <w:spacing w:line="360" w:lineRule="auto"/>
        <w:ind w:left="0" w:leftChars="0" w:right="-817" w:rightChars="-389" w:firstLine="511" w:firstLineChars="213"/>
        <w:rPr>
          <w:rFonts w:ascii="宋体" w:hAnsi="宋体" w:cs="宋体"/>
          <w:sz w:val="24"/>
          <w:szCs w:val="24"/>
          <w:highlight w:val="none"/>
        </w:rPr>
      </w:pPr>
      <w:r>
        <w:rPr>
          <w:rFonts w:hint="eastAsia" w:ascii="宋体" w:hAnsi="宋体" w:cs="宋体"/>
          <w:sz w:val="24"/>
          <w:szCs w:val="24"/>
          <w:highlight w:val="none"/>
        </w:rPr>
        <w:t>投标人名称（盖章）：</w:t>
      </w:r>
    </w:p>
    <w:p w14:paraId="57CB2604">
      <w:pPr>
        <w:adjustRightInd w:val="0"/>
        <w:snapToGrid w:val="0"/>
        <w:spacing w:line="360" w:lineRule="auto"/>
        <w:ind w:left="0" w:leftChars="0" w:right="-817" w:rightChars="-389" w:firstLine="511" w:firstLineChars="213"/>
        <w:rPr>
          <w:rFonts w:ascii="宋体" w:hAnsi="宋体" w:cs="宋体"/>
          <w:sz w:val="24"/>
          <w:szCs w:val="24"/>
          <w:highlight w:val="none"/>
        </w:rPr>
      </w:pPr>
    </w:p>
    <w:p w14:paraId="53A6D73D">
      <w:pPr>
        <w:adjustRightInd w:val="0"/>
        <w:snapToGrid w:val="0"/>
        <w:spacing w:line="360" w:lineRule="auto"/>
        <w:ind w:left="0" w:leftChars="0" w:right="-817" w:rightChars="-389" w:firstLine="511" w:firstLineChars="213"/>
        <w:rPr>
          <w:rFonts w:ascii="宋体" w:hAnsi="宋体" w:cs="宋体"/>
          <w:sz w:val="24"/>
          <w:szCs w:val="24"/>
          <w:highlight w:val="none"/>
        </w:rPr>
      </w:pPr>
      <w:r>
        <w:rPr>
          <w:rFonts w:hint="eastAsia" w:ascii="宋体" w:hAnsi="宋体" w:cs="宋体"/>
          <w:sz w:val="24"/>
          <w:szCs w:val="24"/>
          <w:highlight w:val="none"/>
        </w:rPr>
        <w:t>法定代表人或被授权人（签字）：</w:t>
      </w:r>
    </w:p>
    <w:p w14:paraId="4C2A59F8">
      <w:pPr>
        <w:adjustRightInd w:val="0"/>
        <w:snapToGrid w:val="0"/>
        <w:spacing w:line="360" w:lineRule="auto"/>
        <w:ind w:left="0" w:leftChars="0" w:firstLine="596" w:firstLineChars="213"/>
        <w:rPr>
          <w:rFonts w:ascii="宋体" w:hAnsi="宋体" w:cs="宋体"/>
          <w:spacing w:val="20"/>
          <w:sz w:val="24"/>
          <w:szCs w:val="24"/>
          <w:highlight w:val="none"/>
        </w:rPr>
      </w:pPr>
    </w:p>
    <w:p w14:paraId="756D467D">
      <w:pPr>
        <w:adjustRightInd w:val="0"/>
        <w:snapToGrid w:val="0"/>
        <w:spacing w:line="360" w:lineRule="auto"/>
        <w:ind w:left="0" w:leftChars="0" w:right="-817" w:rightChars="-389" w:firstLine="511" w:firstLineChars="213"/>
        <w:jc w:val="left"/>
        <w:rPr>
          <w:rFonts w:ascii="宋体" w:hAnsi="宋体" w:cs="宋体"/>
          <w:sz w:val="24"/>
          <w:szCs w:val="24"/>
          <w:highlight w:val="none"/>
        </w:rPr>
      </w:pPr>
      <w:r>
        <w:rPr>
          <w:rFonts w:hint="eastAsia" w:ascii="宋体" w:hAnsi="宋体" w:cs="宋体"/>
          <w:sz w:val="24"/>
          <w:szCs w:val="24"/>
          <w:highlight w:val="none"/>
        </w:rPr>
        <w:t>日期：    年   月   日</w:t>
      </w:r>
    </w:p>
    <w:p w14:paraId="6F3F65AE">
      <w:pPr>
        <w:adjustRightInd w:val="0"/>
        <w:snapToGrid w:val="0"/>
        <w:spacing w:line="360" w:lineRule="auto"/>
        <w:ind w:left="0" w:leftChars="0" w:firstLine="513" w:firstLineChars="213"/>
        <w:jc w:val="center"/>
        <w:rPr>
          <w:rFonts w:hint="eastAsia" w:ascii="宋体" w:hAnsi="宋体" w:cs="宋体"/>
          <w:b/>
          <w:sz w:val="24"/>
          <w:szCs w:val="24"/>
          <w:highlight w:val="none"/>
        </w:rPr>
      </w:pPr>
    </w:p>
    <w:p w14:paraId="3DC18B13">
      <w:pPr>
        <w:adjustRightInd w:val="0"/>
        <w:snapToGrid w:val="0"/>
        <w:spacing w:line="360" w:lineRule="auto"/>
        <w:ind w:left="0" w:leftChars="0" w:firstLine="513" w:firstLineChars="213"/>
        <w:jc w:val="center"/>
        <w:rPr>
          <w:rFonts w:hint="eastAsia" w:ascii="宋体" w:hAnsi="宋体" w:cs="宋体"/>
          <w:b/>
          <w:sz w:val="24"/>
          <w:szCs w:val="24"/>
          <w:highlight w:val="none"/>
        </w:rPr>
      </w:pPr>
    </w:p>
    <w:p w14:paraId="69037E13">
      <w:pPr>
        <w:adjustRightInd w:val="0"/>
        <w:snapToGrid w:val="0"/>
        <w:spacing w:line="360" w:lineRule="auto"/>
        <w:ind w:left="0" w:leftChars="0" w:firstLine="513" w:firstLineChars="213"/>
        <w:jc w:val="center"/>
        <w:rPr>
          <w:rFonts w:hint="eastAsia" w:ascii="宋体" w:hAnsi="宋体" w:cs="宋体"/>
          <w:b/>
          <w:sz w:val="24"/>
          <w:szCs w:val="24"/>
          <w:highlight w:val="none"/>
        </w:rPr>
      </w:pPr>
    </w:p>
    <w:p w14:paraId="2931AE1F">
      <w:pPr>
        <w:adjustRightInd w:val="0"/>
        <w:snapToGrid w:val="0"/>
        <w:spacing w:line="360" w:lineRule="auto"/>
        <w:ind w:left="0" w:leftChars="0" w:firstLine="513" w:firstLineChars="213"/>
        <w:jc w:val="center"/>
        <w:rPr>
          <w:rFonts w:hint="eastAsia" w:ascii="宋体" w:hAnsi="宋体" w:cs="宋体"/>
          <w:b/>
          <w:sz w:val="24"/>
          <w:szCs w:val="24"/>
          <w:highlight w:val="none"/>
        </w:rPr>
      </w:pPr>
    </w:p>
    <w:p w14:paraId="7B27BA8E">
      <w:pPr>
        <w:adjustRightInd w:val="0"/>
        <w:snapToGrid w:val="0"/>
        <w:spacing w:line="360" w:lineRule="auto"/>
        <w:ind w:left="0" w:leftChars="0" w:firstLine="513" w:firstLineChars="213"/>
        <w:jc w:val="center"/>
        <w:rPr>
          <w:rFonts w:hint="eastAsia" w:ascii="宋体" w:hAnsi="宋体" w:cs="宋体"/>
          <w:b/>
          <w:sz w:val="24"/>
          <w:szCs w:val="24"/>
          <w:highlight w:val="none"/>
        </w:rPr>
      </w:pPr>
    </w:p>
    <w:p w14:paraId="4168A514">
      <w:pPr>
        <w:adjustRightInd w:val="0"/>
        <w:snapToGrid w:val="0"/>
        <w:spacing w:line="360" w:lineRule="auto"/>
        <w:ind w:left="0" w:leftChars="0" w:firstLine="513" w:firstLineChars="213"/>
        <w:jc w:val="center"/>
        <w:rPr>
          <w:rFonts w:hint="eastAsia" w:ascii="宋体" w:hAnsi="宋体" w:cs="宋体"/>
          <w:b/>
          <w:sz w:val="24"/>
          <w:szCs w:val="24"/>
          <w:highlight w:val="none"/>
        </w:rPr>
      </w:pPr>
    </w:p>
    <w:p w14:paraId="3595BDC2">
      <w:pPr>
        <w:adjustRightInd w:val="0"/>
        <w:snapToGrid w:val="0"/>
        <w:spacing w:line="360" w:lineRule="auto"/>
        <w:ind w:left="0" w:leftChars="0" w:firstLine="513" w:firstLineChars="213"/>
        <w:jc w:val="center"/>
        <w:rPr>
          <w:rFonts w:hint="eastAsia" w:ascii="宋体" w:hAnsi="宋体" w:cs="宋体"/>
          <w:b/>
          <w:sz w:val="24"/>
          <w:szCs w:val="24"/>
          <w:highlight w:val="none"/>
        </w:rPr>
      </w:pPr>
    </w:p>
    <w:p w14:paraId="512C4C7E">
      <w:pPr>
        <w:adjustRightInd w:val="0"/>
        <w:snapToGrid w:val="0"/>
        <w:spacing w:line="360" w:lineRule="auto"/>
        <w:ind w:left="0" w:leftChars="0" w:firstLine="513" w:firstLineChars="213"/>
        <w:jc w:val="center"/>
        <w:rPr>
          <w:rFonts w:hint="eastAsia" w:ascii="宋体" w:hAnsi="宋体" w:eastAsia="宋体" w:cs="宋体"/>
          <w:b/>
          <w:sz w:val="24"/>
          <w:szCs w:val="24"/>
          <w:highlight w:val="none"/>
          <w:lang w:eastAsia="zh-CN"/>
        </w:rPr>
      </w:pPr>
      <w:r>
        <w:rPr>
          <w:rFonts w:hint="eastAsia" w:ascii="宋体" w:hAnsi="宋体" w:cs="宋体"/>
          <w:b/>
          <w:sz w:val="24"/>
          <w:szCs w:val="24"/>
          <w:highlight w:val="none"/>
        </w:rPr>
        <w:t>投标报价明细表</w:t>
      </w:r>
      <w:r>
        <w:rPr>
          <w:rFonts w:hint="eastAsia" w:ascii="宋体" w:hAnsi="宋体" w:cs="宋体"/>
          <w:b/>
          <w:sz w:val="24"/>
          <w:szCs w:val="24"/>
          <w:highlight w:val="none"/>
          <w:lang w:eastAsia="zh-CN"/>
        </w:rPr>
        <w:t>（第</w:t>
      </w:r>
      <w:r>
        <w:rPr>
          <w:rFonts w:hint="eastAsia" w:ascii="宋体" w:hAnsi="宋体" w:cs="宋体"/>
          <w:b/>
          <w:sz w:val="24"/>
          <w:szCs w:val="24"/>
          <w:highlight w:val="none"/>
          <w:lang w:val="en-US" w:eastAsia="zh-CN"/>
        </w:rPr>
        <w:t>2包</w:t>
      </w:r>
      <w:r>
        <w:rPr>
          <w:rFonts w:hint="eastAsia" w:ascii="宋体" w:hAnsi="宋体" w:cs="宋体"/>
          <w:b/>
          <w:sz w:val="24"/>
          <w:szCs w:val="24"/>
          <w:highlight w:val="none"/>
          <w:lang w:eastAsia="zh-CN"/>
        </w:rPr>
        <w:t>）</w:t>
      </w:r>
    </w:p>
    <w:p w14:paraId="2FC4B02B">
      <w:pPr>
        <w:adjustRightInd w:val="0"/>
        <w:snapToGrid w:val="0"/>
        <w:spacing w:line="360" w:lineRule="auto"/>
        <w:ind w:left="0" w:leftChars="0" w:firstLine="511" w:firstLineChars="213"/>
        <w:rPr>
          <w:rFonts w:ascii="宋体" w:hAnsi="宋体" w:cs="宋体"/>
          <w:sz w:val="24"/>
          <w:szCs w:val="24"/>
          <w:highlight w:val="none"/>
        </w:rPr>
      </w:pPr>
      <w:r>
        <w:rPr>
          <w:rFonts w:hint="eastAsia" w:ascii="宋体" w:hAnsi="宋体" w:cs="宋体"/>
          <w:sz w:val="24"/>
          <w:szCs w:val="24"/>
          <w:highlight w:val="none"/>
        </w:rPr>
        <w:t xml:space="preserve">项目名称：                          </w:t>
      </w:r>
      <w:r>
        <w:rPr>
          <w:rFonts w:hint="eastAsia" w:ascii="宋体" w:hAnsi="宋体" w:cs="宋体"/>
          <w:sz w:val="24"/>
          <w:szCs w:val="24"/>
          <w:highlight w:val="none"/>
          <w:lang w:val="en-US" w:eastAsia="zh-CN"/>
        </w:rPr>
        <w:t xml:space="preserve">            </w:t>
      </w:r>
      <w:r>
        <w:rPr>
          <w:rFonts w:hint="eastAsia" w:ascii="宋体" w:hAnsi="宋体" w:cs="宋体"/>
          <w:sz w:val="24"/>
          <w:szCs w:val="24"/>
          <w:highlight w:val="none"/>
        </w:rPr>
        <w:t>单位：%</w:t>
      </w:r>
    </w:p>
    <w:tbl>
      <w:tblPr>
        <w:tblStyle w:val="37"/>
        <w:tblW w:w="8333" w:type="dxa"/>
        <w:tblInd w:w="0" w:type="dxa"/>
        <w:tblLayout w:type="fixed"/>
        <w:tblCellMar>
          <w:top w:w="0" w:type="dxa"/>
          <w:left w:w="0" w:type="dxa"/>
          <w:bottom w:w="0" w:type="dxa"/>
          <w:right w:w="0" w:type="dxa"/>
        </w:tblCellMar>
      </w:tblPr>
      <w:tblGrid>
        <w:gridCol w:w="806"/>
        <w:gridCol w:w="5004"/>
        <w:gridCol w:w="1609"/>
        <w:gridCol w:w="914"/>
      </w:tblGrid>
      <w:tr w14:paraId="3D4B8AA1">
        <w:tblPrEx>
          <w:tblCellMar>
            <w:top w:w="0" w:type="dxa"/>
            <w:left w:w="0" w:type="dxa"/>
            <w:bottom w:w="0" w:type="dxa"/>
            <w:right w:w="0" w:type="dxa"/>
          </w:tblCellMar>
        </w:tblPrEx>
        <w:trPr>
          <w:trHeight w:val="380" w:hRule="atLeast"/>
        </w:trPr>
        <w:tc>
          <w:tcPr>
            <w:tcW w:w="80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F15BD71">
            <w:pPr>
              <w:widowControl/>
              <w:ind w:left="0" w:leftChars="0" w:firstLine="511" w:firstLineChars="213"/>
              <w:jc w:val="center"/>
              <w:textAlignment w:val="center"/>
              <w:rPr>
                <w:rFonts w:ascii="宋体" w:hAnsi="宋体" w:cs="宋体"/>
                <w:sz w:val="24"/>
                <w:szCs w:val="24"/>
                <w:highlight w:val="none"/>
              </w:rPr>
            </w:pPr>
            <w:r>
              <w:rPr>
                <w:rFonts w:hint="eastAsia" w:ascii="宋体" w:hAnsi="宋体" w:cs="宋体"/>
                <w:snapToGrid w:val="0"/>
                <w:kern w:val="0"/>
                <w:sz w:val="24"/>
                <w:szCs w:val="24"/>
                <w:highlight w:val="none"/>
                <w:lang w:bidi="ar"/>
              </w:rPr>
              <w:t>类别</w:t>
            </w:r>
          </w:p>
        </w:tc>
        <w:tc>
          <w:tcPr>
            <w:tcW w:w="500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3BFD6CC">
            <w:pPr>
              <w:widowControl/>
              <w:ind w:left="0" w:leftChars="0" w:firstLine="511" w:firstLineChars="213"/>
              <w:jc w:val="center"/>
              <w:textAlignment w:val="center"/>
              <w:rPr>
                <w:rFonts w:ascii="宋体" w:hAnsi="宋体" w:cs="宋体"/>
                <w:sz w:val="24"/>
                <w:szCs w:val="24"/>
                <w:highlight w:val="none"/>
              </w:rPr>
            </w:pPr>
            <w:r>
              <w:rPr>
                <w:rFonts w:hint="eastAsia" w:ascii="宋体" w:hAnsi="宋体" w:cs="宋体"/>
                <w:snapToGrid w:val="0"/>
                <w:kern w:val="0"/>
                <w:sz w:val="24"/>
                <w:szCs w:val="24"/>
                <w:highlight w:val="none"/>
                <w:lang w:bidi="ar"/>
              </w:rPr>
              <w:t>货物名称(标的名称)</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609BD41">
            <w:pPr>
              <w:widowControl/>
              <w:ind w:left="0" w:leftChars="0" w:firstLine="511" w:firstLineChars="213"/>
              <w:jc w:val="center"/>
              <w:textAlignment w:val="center"/>
              <w:rPr>
                <w:rFonts w:ascii="宋体" w:hAnsi="宋体" w:cs="宋体"/>
                <w:snapToGrid w:val="0"/>
                <w:kern w:val="0"/>
                <w:sz w:val="24"/>
                <w:szCs w:val="24"/>
                <w:highlight w:val="none"/>
                <w:lang w:bidi="ar"/>
              </w:rPr>
            </w:pPr>
            <w:r>
              <w:rPr>
                <w:rFonts w:hint="eastAsia" w:ascii="宋体" w:hAnsi="宋体" w:cs="宋体"/>
                <w:snapToGrid w:val="0"/>
                <w:kern w:val="0"/>
                <w:sz w:val="24"/>
                <w:szCs w:val="24"/>
                <w:highlight w:val="none"/>
                <w:lang w:bidi="ar"/>
              </w:rPr>
              <w:t>下浮比例</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E995E47">
            <w:pPr>
              <w:widowControl/>
              <w:ind w:left="0" w:leftChars="0" w:firstLine="511" w:firstLineChars="213"/>
              <w:jc w:val="center"/>
              <w:textAlignment w:val="center"/>
              <w:rPr>
                <w:rFonts w:ascii="宋体" w:hAnsi="宋体" w:cs="宋体"/>
                <w:snapToGrid w:val="0"/>
                <w:kern w:val="0"/>
                <w:sz w:val="24"/>
                <w:szCs w:val="24"/>
                <w:highlight w:val="none"/>
                <w:lang w:bidi="ar"/>
              </w:rPr>
            </w:pPr>
            <w:r>
              <w:rPr>
                <w:rFonts w:hint="eastAsia" w:ascii="宋体" w:hAnsi="宋体" w:cs="宋体"/>
                <w:snapToGrid w:val="0"/>
                <w:kern w:val="0"/>
                <w:sz w:val="24"/>
                <w:szCs w:val="24"/>
                <w:highlight w:val="none"/>
                <w:lang w:bidi="ar"/>
              </w:rPr>
              <w:t>备注</w:t>
            </w:r>
          </w:p>
        </w:tc>
      </w:tr>
      <w:tr w14:paraId="3D642078">
        <w:tblPrEx>
          <w:tblCellMar>
            <w:top w:w="0" w:type="dxa"/>
            <w:left w:w="0" w:type="dxa"/>
            <w:bottom w:w="0" w:type="dxa"/>
            <w:right w:w="0" w:type="dxa"/>
          </w:tblCellMar>
        </w:tblPrEx>
        <w:trPr>
          <w:trHeight w:val="380" w:hRule="atLeast"/>
        </w:trPr>
        <w:tc>
          <w:tcPr>
            <w:tcW w:w="806" w:type="dxa"/>
            <w:vMerge w:val="restart"/>
            <w:tcBorders>
              <w:top w:val="single" w:color="000000" w:sz="4" w:space="0"/>
              <w:left w:val="single" w:color="000000" w:sz="4" w:space="0"/>
              <w:right w:val="single" w:color="000000" w:sz="4" w:space="0"/>
            </w:tcBorders>
            <w:shd w:val="clear" w:color="auto" w:fill="auto"/>
            <w:noWrap/>
            <w:tcMar>
              <w:top w:w="12" w:type="dxa"/>
              <w:left w:w="12" w:type="dxa"/>
              <w:right w:w="12" w:type="dxa"/>
            </w:tcMar>
            <w:vAlign w:val="center"/>
          </w:tcPr>
          <w:p w14:paraId="2D307F73">
            <w:pPr>
              <w:widowControl/>
              <w:ind w:left="0" w:leftChars="0" w:firstLine="511" w:firstLineChars="213"/>
              <w:jc w:val="center"/>
              <w:textAlignment w:val="center"/>
              <w:rPr>
                <w:rFonts w:ascii="宋体" w:hAnsi="宋体" w:cs="宋体"/>
                <w:sz w:val="24"/>
                <w:szCs w:val="24"/>
                <w:highlight w:val="none"/>
              </w:rPr>
            </w:pPr>
            <w:r>
              <w:rPr>
                <w:rFonts w:hint="eastAsia" w:ascii="宋体" w:hAnsi="宋体" w:cs="宋体"/>
                <w:snapToGrid w:val="0"/>
                <w:kern w:val="0"/>
                <w:sz w:val="24"/>
                <w:szCs w:val="24"/>
                <w:highlight w:val="none"/>
                <w:lang w:bidi="ar"/>
              </w:rPr>
              <w:t>B</w:t>
            </w:r>
          </w:p>
        </w:tc>
        <w:tc>
          <w:tcPr>
            <w:tcW w:w="500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CEF8281">
            <w:pPr>
              <w:widowControl/>
              <w:ind w:left="0" w:leftChars="0" w:firstLine="511" w:firstLineChars="213"/>
              <w:jc w:val="center"/>
              <w:textAlignment w:val="center"/>
              <w:rPr>
                <w:rFonts w:hint="eastAsia" w:ascii="宋体" w:hAnsi="宋体" w:eastAsia="宋体" w:cs="宋体"/>
                <w:sz w:val="24"/>
                <w:szCs w:val="24"/>
                <w:highlight w:val="none"/>
                <w:lang w:eastAsia="zh-CN"/>
              </w:rPr>
            </w:pPr>
            <w:r>
              <w:rPr>
                <w:rFonts w:hint="eastAsia" w:ascii="宋体" w:hAnsi="宋体" w:cs="宋体"/>
                <w:snapToGrid w:val="0"/>
                <w:kern w:val="0"/>
                <w:sz w:val="24"/>
                <w:szCs w:val="24"/>
                <w:highlight w:val="none"/>
                <w:lang w:bidi="ar"/>
              </w:rPr>
              <w:t>肉类</w:t>
            </w:r>
            <w:r>
              <w:rPr>
                <w:rFonts w:hint="eastAsia" w:ascii="宋体" w:hAnsi="宋体" w:cs="宋体"/>
                <w:snapToGrid w:val="0"/>
                <w:kern w:val="0"/>
                <w:sz w:val="24"/>
                <w:szCs w:val="24"/>
                <w:highlight w:val="none"/>
                <w:lang w:eastAsia="zh-CN" w:bidi="ar"/>
              </w:rPr>
              <w:t>（含冻货）</w:t>
            </w:r>
          </w:p>
        </w:tc>
        <w:tc>
          <w:tcPr>
            <w:tcW w:w="1609" w:type="dxa"/>
            <w:vMerge w:val="restart"/>
            <w:tcBorders>
              <w:top w:val="single" w:color="000000" w:sz="4" w:space="0"/>
              <w:left w:val="single" w:color="000000" w:sz="4" w:space="0"/>
              <w:right w:val="single" w:color="000000" w:sz="4" w:space="0"/>
            </w:tcBorders>
            <w:shd w:val="clear" w:color="auto" w:fill="auto"/>
            <w:noWrap/>
            <w:tcMar>
              <w:top w:w="12" w:type="dxa"/>
              <w:left w:w="12" w:type="dxa"/>
              <w:right w:w="12" w:type="dxa"/>
            </w:tcMar>
            <w:vAlign w:val="center"/>
          </w:tcPr>
          <w:p w14:paraId="55FEDCCF">
            <w:pPr>
              <w:widowControl/>
              <w:ind w:left="0" w:leftChars="0" w:firstLine="511" w:firstLineChars="213"/>
              <w:jc w:val="center"/>
              <w:textAlignment w:val="center"/>
              <w:rPr>
                <w:rFonts w:ascii="宋体" w:hAnsi="宋体" w:cs="宋体"/>
                <w:snapToGrid w:val="0"/>
                <w:kern w:val="0"/>
                <w:sz w:val="24"/>
                <w:szCs w:val="24"/>
                <w:highlight w:val="none"/>
                <w:lang w:bidi="ar"/>
              </w:rPr>
            </w:pPr>
          </w:p>
        </w:tc>
        <w:tc>
          <w:tcPr>
            <w:tcW w:w="914" w:type="dxa"/>
            <w:vMerge w:val="restart"/>
            <w:tcBorders>
              <w:top w:val="single" w:color="000000" w:sz="4" w:space="0"/>
              <w:left w:val="single" w:color="000000" w:sz="4" w:space="0"/>
              <w:right w:val="single" w:color="000000" w:sz="4" w:space="0"/>
            </w:tcBorders>
            <w:shd w:val="clear" w:color="auto" w:fill="auto"/>
            <w:noWrap/>
            <w:tcMar>
              <w:top w:w="12" w:type="dxa"/>
              <w:left w:w="12" w:type="dxa"/>
              <w:right w:w="12" w:type="dxa"/>
            </w:tcMar>
            <w:vAlign w:val="center"/>
          </w:tcPr>
          <w:p w14:paraId="374B0508">
            <w:pPr>
              <w:widowControl/>
              <w:ind w:left="0" w:leftChars="0" w:firstLine="511" w:firstLineChars="213"/>
              <w:jc w:val="center"/>
              <w:textAlignment w:val="center"/>
              <w:rPr>
                <w:rFonts w:ascii="宋体" w:hAnsi="宋体" w:cs="宋体"/>
                <w:snapToGrid w:val="0"/>
                <w:kern w:val="0"/>
                <w:sz w:val="24"/>
                <w:szCs w:val="24"/>
                <w:highlight w:val="none"/>
                <w:lang w:bidi="ar"/>
              </w:rPr>
            </w:pPr>
          </w:p>
        </w:tc>
      </w:tr>
      <w:tr w14:paraId="36355C12">
        <w:tblPrEx>
          <w:tblCellMar>
            <w:top w:w="0" w:type="dxa"/>
            <w:left w:w="0" w:type="dxa"/>
            <w:bottom w:w="0" w:type="dxa"/>
            <w:right w:w="0" w:type="dxa"/>
          </w:tblCellMar>
        </w:tblPrEx>
        <w:trPr>
          <w:trHeight w:val="380" w:hRule="atLeast"/>
        </w:trPr>
        <w:tc>
          <w:tcPr>
            <w:tcW w:w="806" w:type="dxa"/>
            <w:vMerge w:val="continue"/>
            <w:tcBorders>
              <w:left w:val="single" w:color="000000" w:sz="4" w:space="0"/>
              <w:right w:val="single" w:color="000000" w:sz="4" w:space="0"/>
            </w:tcBorders>
            <w:shd w:val="clear" w:color="auto" w:fill="auto"/>
            <w:noWrap/>
            <w:tcMar>
              <w:top w:w="12" w:type="dxa"/>
              <w:left w:w="12" w:type="dxa"/>
              <w:right w:w="12" w:type="dxa"/>
            </w:tcMar>
            <w:vAlign w:val="center"/>
          </w:tcPr>
          <w:p w14:paraId="56A55944">
            <w:pPr>
              <w:widowControl/>
              <w:ind w:left="0" w:leftChars="0" w:firstLine="511" w:firstLineChars="213"/>
              <w:jc w:val="center"/>
              <w:textAlignment w:val="center"/>
              <w:rPr>
                <w:rFonts w:ascii="宋体" w:hAnsi="宋体" w:cs="宋体"/>
                <w:sz w:val="24"/>
                <w:szCs w:val="24"/>
                <w:highlight w:val="none"/>
              </w:rPr>
            </w:pPr>
          </w:p>
        </w:tc>
        <w:tc>
          <w:tcPr>
            <w:tcW w:w="500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4FE2517">
            <w:pPr>
              <w:widowControl/>
              <w:ind w:left="0" w:leftChars="0" w:firstLine="511" w:firstLineChars="213"/>
              <w:jc w:val="center"/>
              <w:textAlignment w:val="center"/>
              <w:rPr>
                <w:rFonts w:ascii="宋体" w:hAnsi="宋体" w:cs="宋体"/>
                <w:sz w:val="24"/>
                <w:szCs w:val="24"/>
                <w:highlight w:val="none"/>
              </w:rPr>
            </w:pPr>
            <w:r>
              <w:rPr>
                <w:rFonts w:hint="eastAsia" w:ascii="宋体" w:hAnsi="宋体" w:cs="宋体"/>
                <w:snapToGrid w:val="0"/>
                <w:kern w:val="0"/>
                <w:sz w:val="24"/>
                <w:szCs w:val="24"/>
                <w:highlight w:val="none"/>
                <w:lang w:bidi="ar"/>
              </w:rPr>
              <w:t>禽类</w:t>
            </w:r>
            <w:r>
              <w:rPr>
                <w:rFonts w:hint="eastAsia" w:ascii="宋体" w:hAnsi="宋体" w:cs="宋体"/>
                <w:snapToGrid w:val="0"/>
                <w:kern w:val="0"/>
                <w:sz w:val="24"/>
                <w:szCs w:val="24"/>
                <w:highlight w:val="none"/>
                <w:lang w:eastAsia="zh-CN" w:bidi="ar"/>
              </w:rPr>
              <w:t>（含冻货）</w:t>
            </w:r>
          </w:p>
        </w:tc>
        <w:tc>
          <w:tcPr>
            <w:tcW w:w="1609" w:type="dxa"/>
            <w:vMerge w:val="continue"/>
            <w:tcBorders>
              <w:left w:val="single" w:color="000000" w:sz="4" w:space="0"/>
              <w:right w:val="single" w:color="000000" w:sz="4" w:space="0"/>
            </w:tcBorders>
            <w:shd w:val="clear" w:color="auto" w:fill="auto"/>
            <w:noWrap/>
            <w:tcMar>
              <w:top w:w="12" w:type="dxa"/>
              <w:left w:w="12" w:type="dxa"/>
              <w:right w:w="12" w:type="dxa"/>
            </w:tcMar>
            <w:vAlign w:val="center"/>
          </w:tcPr>
          <w:p w14:paraId="42C1F48B">
            <w:pPr>
              <w:widowControl/>
              <w:ind w:left="0" w:leftChars="0" w:firstLine="511" w:firstLineChars="213"/>
              <w:jc w:val="center"/>
              <w:textAlignment w:val="center"/>
              <w:rPr>
                <w:rFonts w:ascii="宋体" w:hAnsi="宋体" w:cs="宋体"/>
                <w:snapToGrid w:val="0"/>
                <w:kern w:val="0"/>
                <w:sz w:val="24"/>
                <w:szCs w:val="24"/>
                <w:highlight w:val="none"/>
                <w:lang w:bidi="ar"/>
              </w:rPr>
            </w:pPr>
          </w:p>
        </w:tc>
        <w:tc>
          <w:tcPr>
            <w:tcW w:w="914" w:type="dxa"/>
            <w:vMerge w:val="continue"/>
            <w:tcBorders>
              <w:left w:val="single" w:color="000000" w:sz="4" w:space="0"/>
              <w:right w:val="single" w:color="000000" w:sz="4" w:space="0"/>
            </w:tcBorders>
            <w:shd w:val="clear" w:color="auto" w:fill="auto"/>
            <w:noWrap/>
            <w:tcMar>
              <w:top w:w="12" w:type="dxa"/>
              <w:left w:w="12" w:type="dxa"/>
              <w:right w:w="12" w:type="dxa"/>
            </w:tcMar>
            <w:vAlign w:val="center"/>
          </w:tcPr>
          <w:p w14:paraId="0D9A3B44">
            <w:pPr>
              <w:widowControl/>
              <w:ind w:left="0" w:leftChars="0" w:firstLine="511" w:firstLineChars="213"/>
              <w:jc w:val="center"/>
              <w:textAlignment w:val="center"/>
              <w:rPr>
                <w:rFonts w:ascii="宋体" w:hAnsi="宋体" w:cs="宋体"/>
                <w:snapToGrid w:val="0"/>
                <w:kern w:val="0"/>
                <w:sz w:val="24"/>
                <w:szCs w:val="24"/>
                <w:highlight w:val="none"/>
                <w:lang w:bidi="ar"/>
              </w:rPr>
            </w:pPr>
          </w:p>
        </w:tc>
      </w:tr>
      <w:tr w14:paraId="63D62D99">
        <w:tblPrEx>
          <w:tblCellMar>
            <w:top w:w="0" w:type="dxa"/>
            <w:left w:w="0" w:type="dxa"/>
            <w:bottom w:w="0" w:type="dxa"/>
            <w:right w:w="0" w:type="dxa"/>
          </w:tblCellMar>
        </w:tblPrEx>
        <w:trPr>
          <w:trHeight w:val="380" w:hRule="atLeast"/>
        </w:trPr>
        <w:tc>
          <w:tcPr>
            <w:tcW w:w="806" w:type="dxa"/>
            <w:vMerge w:val="continue"/>
            <w:tcBorders>
              <w:left w:val="single" w:color="000000" w:sz="4" w:space="0"/>
              <w:right w:val="single" w:color="000000" w:sz="4" w:space="0"/>
            </w:tcBorders>
            <w:shd w:val="clear" w:color="auto" w:fill="auto"/>
            <w:noWrap/>
            <w:tcMar>
              <w:top w:w="12" w:type="dxa"/>
              <w:left w:w="12" w:type="dxa"/>
              <w:right w:w="12" w:type="dxa"/>
            </w:tcMar>
            <w:vAlign w:val="center"/>
          </w:tcPr>
          <w:p w14:paraId="585AFA76">
            <w:pPr>
              <w:widowControl/>
              <w:ind w:left="0" w:leftChars="0" w:firstLine="511" w:firstLineChars="213"/>
              <w:jc w:val="center"/>
              <w:textAlignment w:val="center"/>
              <w:rPr>
                <w:rFonts w:ascii="宋体" w:hAnsi="宋体" w:cs="宋体"/>
                <w:sz w:val="24"/>
                <w:szCs w:val="24"/>
                <w:highlight w:val="none"/>
              </w:rPr>
            </w:pPr>
          </w:p>
        </w:tc>
        <w:tc>
          <w:tcPr>
            <w:tcW w:w="500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532EEBC">
            <w:pPr>
              <w:widowControl/>
              <w:ind w:left="0" w:leftChars="0" w:firstLine="511" w:firstLineChars="213"/>
              <w:jc w:val="center"/>
              <w:textAlignment w:val="center"/>
              <w:rPr>
                <w:rFonts w:ascii="宋体" w:hAnsi="宋体" w:cs="宋体"/>
                <w:sz w:val="24"/>
                <w:szCs w:val="24"/>
                <w:highlight w:val="none"/>
              </w:rPr>
            </w:pPr>
            <w:r>
              <w:rPr>
                <w:rFonts w:hint="eastAsia" w:ascii="宋体" w:hAnsi="宋体" w:cs="宋体"/>
                <w:snapToGrid w:val="0"/>
                <w:kern w:val="0"/>
                <w:sz w:val="24"/>
                <w:szCs w:val="24"/>
                <w:highlight w:val="none"/>
                <w:lang w:bidi="ar"/>
              </w:rPr>
              <w:t>蛋类</w:t>
            </w:r>
          </w:p>
        </w:tc>
        <w:tc>
          <w:tcPr>
            <w:tcW w:w="1609" w:type="dxa"/>
            <w:vMerge w:val="continue"/>
            <w:tcBorders>
              <w:left w:val="single" w:color="000000" w:sz="4" w:space="0"/>
              <w:right w:val="single" w:color="000000" w:sz="4" w:space="0"/>
            </w:tcBorders>
            <w:shd w:val="clear" w:color="auto" w:fill="auto"/>
            <w:noWrap/>
            <w:tcMar>
              <w:top w:w="12" w:type="dxa"/>
              <w:left w:w="12" w:type="dxa"/>
              <w:right w:w="12" w:type="dxa"/>
            </w:tcMar>
            <w:vAlign w:val="center"/>
          </w:tcPr>
          <w:p w14:paraId="45F27D59">
            <w:pPr>
              <w:widowControl/>
              <w:ind w:left="0" w:leftChars="0" w:firstLine="511" w:firstLineChars="213"/>
              <w:jc w:val="center"/>
              <w:textAlignment w:val="center"/>
              <w:rPr>
                <w:rFonts w:ascii="宋体" w:hAnsi="宋体" w:cs="宋体"/>
                <w:snapToGrid w:val="0"/>
                <w:kern w:val="0"/>
                <w:sz w:val="24"/>
                <w:szCs w:val="24"/>
                <w:highlight w:val="none"/>
                <w:lang w:bidi="ar"/>
              </w:rPr>
            </w:pPr>
          </w:p>
        </w:tc>
        <w:tc>
          <w:tcPr>
            <w:tcW w:w="914" w:type="dxa"/>
            <w:vMerge w:val="continue"/>
            <w:tcBorders>
              <w:left w:val="single" w:color="000000" w:sz="4" w:space="0"/>
              <w:right w:val="single" w:color="000000" w:sz="4" w:space="0"/>
            </w:tcBorders>
            <w:shd w:val="clear" w:color="auto" w:fill="auto"/>
            <w:noWrap/>
            <w:tcMar>
              <w:top w:w="12" w:type="dxa"/>
              <w:left w:w="12" w:type="dxa"/>
              <w:right w:w="12" w:type="dxa"/>
            </w:tcMar>
            <w:vAlign w:val="center"/>
          </w:tcPr>
          <w:p w14:paraId="19060A4A">
            <w:pPr>
              <w:widowControl/>
              <w:ind w:left="0" w:leftChars="0" w:firstLine="511" w:firstLineChars="213"/>
              <w:jc w:val="center"/>
              <w:textAlignment w:val="center"/>
              <w:rPr>
                <w:rFonts w:ascii="宋体" w:hAnsi="宋体" w:cs="宋体"/>
                <w:snapToGrid w:val="0"/>
                <w:kern w:val="0"/>
                <w:sz w:val="24"/>
                <w:szCs w:val="24"/>
                <w:highlight w:val="none"/>
                <w:lang w:bidi="ar"/>
              </w:rPr>
            </w:pPr>
          </w:p>
        </w:tc>
      </w:tr>
      <w:tr w14:paraId="12654D29">
        <w:tblPrEx>
          <w:tblCellMar>
            <w:top w:w="0" w:type="dxa"/>
            <w:left w:w="0" w:type="dxa"/>
            <w:bottom w:w="0" w:type="dxa"/>
            <w:right w:w="0" w:type="dxa"/>
          </w:tblCellMar>
        </w:tblPrEx>
        <w:trPr>
          <w:trHeight w:val="380" w:hRule="atLeast"/>
        </w:trPr>
        <w:tc>
          <w:tcPr>
            <w:tcW w:w="806" w:type="dxa"/>
            <w:vMerge w:val="continue"/>
            <w:tcBorders>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14EAC04">
            <w:pPr>
              <w:widowControl/>
              <w:ind w:left="0" w:leftChars="0" w:firstLine="511" w:firstLineChars="213"/>
              <w:jc w:val="center"/>
              <w:textAlignment w:val="center"/>
              <w:rPr>
                <w:rFonts w:ascii="宋体" w:hAnsi="宋体" w:cs="宋体"/>
                <w:sz w:val="24"/>
                <w:szCs w:val="24"/>
                <w:highlight w:val="none"/>
              </w:rPr>
            </w:pPr>
          </w:p>
        </w:tc>
        <w:tc>
          <w:tcPr>
            <w:tcW w:w="500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083753A">
            <w:pPr>
              <w:widowControl/>
              <w:ind w:left="0" w:leftChars="0" w:firstLine="511" w:firstLineChars="213"/>
              <w:jc w:val="center"/>
              <w:textAlignment w:val="center"/>
              <w:rPr>
                <w:rFonts w:ascii="宋体" w:hAnsi="宋体" w:cs="宋体"/>
                <w:sz w:val="24"/>
                <w:szCs w:val="24"/>
                <w:highlight w:val="none"/>
              </w:rPr>
            </w:pPr>
            <w:r>
              <w:rPr>
                <w:rFonts w:hint="eastAsia" w:ascii="宋体" w:hAnsi="宋体" w:cs="宋体"/>
                <w:snapToGrid w:val="0"/>
                <w:kern w:val="0"/>
                <w:sz w:val="24"/>
                <w:szCs w:val="24"/>
                <w:highlight w:val="none"/>
                <w:lang w:bidi="ar"/>
              </w:rPr>
              <w:t>水产类</w:t>
            </w:r>
            <w:r>
              <w:rPr>
                <w:rFonts w:hint="eastAsia" w:ascii="宋体" w:hAnsi="宋体" w:cs="宋体"/>
                <w:snapToGrid w:val="0"/>
                <w:kern w:val="0"/>
                <w:sz w:val="24"/>
                <w:szCs w:val="24"/>
                <w:highlight w:val="none"/>
                <w:lang w:eastAsia="zh-CN" w:bidi="ar"/>
              </w:rPr>
              <w:t>（含冻货）</w:t>
            </w:r>
          </w:p>
        </w:tc>
        <w:tc>
          <w:tcPr>
            <w:tcW w:w="1609" w:type="dxa"/>
            <w:vMerge w:val="continue"/>
            <w:tcBorders>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084E14A">
            <w:pPr>
              <w:widowControl/>
              <w:ind w:left="0" w:leftChars="0" w:firstLine="511" w:firstLineChars="213"/>
              <w:jc w:val="center"/>
              <w:textAlignment w:val="center"/>
              <w:rPr>
                <w:rFonts w:ascii="宋体" w:hAnsi="宋体" w:cs="宋体"/>
                <w:snapToGrid w:val="0"/>
                <w:kern w:val="0"/>
                <w:sz w:val="24"/>
                <w:szCs w:val="24"/>
                <w:highlight w:val="none"/>
                <w:lang w:bidi="ar"/>
              </w:rPr>
            </w:pPr>
          </w:p>
        </w:tc>
        <w:tc>
          <w:tcPr>
            <w:tcW w:w="914" w:type="dxa"/>
            <w:vMerge w:val="continue"/>
            <w:tcBorders>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5B677D1">
            <w:pPr>
              <w:widowControl/>
              <w:ind w:left="0" w:leftChars="0" w:firstLine="511" w:firstLineChars="213"/>
              <w:jc w:val="center"/>
              <w:textAlignment w:val="center"/>
              <w:rPr>
                <w:rFonts w:ascii="宋体" w:hAnsi="宋体" w:cs="宋体"/>
                <w:snapToGrid w:val="0"/>
                <w:kern w:val="0"/>
                <w:sz w:val="24"/>
                <w:szCs w:val="24"/>
                <w:highlight w:val="none"/>
                <w:lang w:bidi="ar"/>
              </w:rPr>
            </w:pPr>
          </w:p>
        </w:tc>
      </w:tr>
      <w:tr w14:paraId="573940B8">
        <w:tblPrEx>
          <w:tblCellMar>
            <w:top w:w="0" w:type="dxa"/>
            <w:left w:w="0" w:type="dxa"/>
            <w:bottom w:w="0" w:type="dxa"/>
            <w:right w:w="0" w:type="dxa"/>
          </w:tblCellMar>
        </w:tblPrEx>
        <w:trPr>
          <w:trHeight w:val="380" w:hRule="atLeast"/>
        </w:trPr>
        <w:tc>
          <w:tcPr>
            <w:tcW w:w="8333" w:type="dxa"/>
            <w:gridSpan w:val="4"/>
            <w:tcBorders>
              <w:top w:val="single" w:color="auto" w:sz="4" w:space="0"/>
              <w:left w:val="single" w:color="auto" w:sz="4" w:space="0"/>
              <w:bottom w:val="single" w:color="auto" w:sz="4" w:space="0"/>
              <w:right w:val="single" w:color="000000" w:sz="4" w:space="0"/>
            </w:tcBorders>
            <w:shd w:val="clear" w:color="auto" w:fill="auto"/>
            <w:noWrap/>
            <w:tcMar>
              <w:top w:w="12" w:type="dxa"/>
              <w:left w:w="12" w:type="dxa"/>
              <w:right w:w="12" w:type="dxa"/>
            </w:tcMar>
            <w:vAlign w:val="center"/>
          </w:tcPr>
          <w:p w14:paraId="6425A6CE">
            <w:pPr>
              <w:tabs>
                <w:tab w:val="left" w:pos="1418"/>
              </w:tabs>
              <w:adjustRightInd w:val="0"/>
              <w:snapToGrid w:val="0"/>
              <w:ind w:left="0" w:leftChars="0" w:firstLine="596" w:firstLineChars="213"/>
              <w:jc w:val="left"/>
              <w:rPr>
                <w:highlight w:val="none"/>
              </w:rPr>
            </w:pPr>
            <w:r>
              <w:rPr>
                <w:rFonts w:hint="eastAsia" w:ascii="宋体" w:hAnsi="宋体" w:cs="宋体"/>
                <w:spacing w:val="20"/>
                <w:sz w:val="24"/>
                <w:szCs w:val="24"/>
                <w:highlight w:val="none"/>
              </w:rPr>
              <w:t>下浮比例：     %</w:t>
            </w:r>
          </w:p>
        </w:tc>
      </w:tr>
      <w:tr w14:paraId="5B2F436C">
        <w:tblPrEx>
          <w:tblCellMar>
            <w:top w:w="0" w:type="dxa"/>
            <w:left w:w="0" w:type="dxa"/>
            <w:bottom w:w="0" w:type="dxa"/>
            <w:right w:w="0" w:type="dxa"/>
          </w:tblCellMar>
        </w:tblPrEx>
        <w:trPr>
          <w:trHeight w:val="380" w:hRule="atLeast"/>
        </w:trPr>
        <w:tc>
          <w:tcPr>
            <w:tcW w:w="8333" w:type="dxa"/>
            <w:gridSpan w:val="4"/>
            <w:tcBorders>
              <w:top w:val="single" w:color="auto" w:sz="4" w:space="0"/>
              <w:left w:val="single" w:color="auto" w:sz="4" w:space="0"/>
              <w:bottom w:val="single" w:color="auto" w:sz="4" w:space="0"/>
              <w:right w:val="single" w:color="000000" w:sz="4" w:space="0"/>
            </w:tcBorders>
            <w:shd w:val="clear" w:color="auto" w:fill="auto"/>
            <w:noWrap/>
            <w:tcMar>
              <w:top w:w="12" w:type="dxa"/>
              <w:left w:w="12" w:type="dxa"/>
              <w:right w:w="12" w:type="dxa"/>
            </w:tcMar>
            <w:vAlign w:val="center"/>
          </w:tcPr>
          <w:p w14:paraId="0E0E5217">
            <w:pPr>
              <w:tabs>
                <w:tab w:val="left" w:pos="1418"/>
              </w:tabs>
              <w:adjustRightInd w:val="0"/>
              <w:snapToGrid w:val="0"/>
              <w:ind w:left="0" w:leftChars="0" w:firstLine="511" w:firstLineChars="213"/>
              <w:jc w:val="left"/>
              <w:rPr>
                <w:rFonts w:hint="eastAsia" w:ascii="宋体" w:hAnsi="宋体" w:eastAsia="宋体" w:cs="宋体"/>
                <w:spacing w:val="20"/>
                <w:sz w:val="24"/>
                <w:szCs w:val="24"/>
                <w:highlight w:val="none"/>
                <w:lang w:eastAsia="zh-CN"/>
              </w:rPr>
            </w:pPr>
            <w:r>
              <w:rPr>
                <w:rFonts w:hint="eastAsia"/>
                <w:sz w:val="24"/>
                <w:szCs w:val="24"/>
                <w:highlight w:val="none"/>
              </w:rPr>
              <w:t>折扣率报价：</w:t>
            </w:r>
            <w:r>
              <w:rPr>
                <w:rFonts w:hint="eastAsia"/>
                <w:sz w:val="24"/>
                <w:szCs w:val="24"/>
                <w:highlight w:val="none"/>
                <w:lang w:eastAsia="zh-CN"/>
              </w:rPr>
              <w:t>是指按吐鲁番市发改委提供的市场零售价作为基准点参考依据。每月共同调研次数不少于两次。</w:t>
            </w:r>
          </w:p>
        </w:tc>
      </w:tr>
    </w:tbl>
    <w:p w14:paraId="2B2F9891">
      <w:pPr>
        <w:pStyle w:val="29"/>
        <w:ind w:left="0" w:leftChars="0" w:firstLine="383" w:firstLineChars="213"/>
        <w:rPr>
          <w:highlight w:val="none"/>
        </w:rPr>
      </w:pPr>
    </w:p>
    <w:p w14:paraId="521D6C42">
      <w:pPr>
        <w:tabs>
          <w:tab w:val="left" w:pos="1418"/>
        </w:tabs>
        <w:snapToGrid w:val="0"/>
        <w:spacing w:line="360" w:lineRule="auto"/>
        <w:ind w:left="0" w:leftChars="0" w:firstLine="511" w:firstLineChars="213"/>
        <w:rPr>
          <w:rFonts w:ascii="宋体" w:hAnsi="宋体" w:cs="宋体"/>
          <w:spacing w:val="20"/>
          <w:sz w:val="24"/>
          <w:szCs w:val="24"/>
          <w:highlight w:val="none"/>
        </w:rPr>
      </w:pPr>
      <w:r>
        <w:rPr>
          <w:rFonts w:hint="eastAsia" w:ascii="宋体" w:hAnsi="宋体" w:cs="宋体"/>
          <w:sz w:val="24"/>
          <w:szCs w:val="24"/>
          <w:highlight w:val="none"/>
        </w:rPr>
        <w:t>说明：1、若获得中标资格并与采购人签署供货合同，由于报价遗漏而造成在供货工作中出现费用的增加，均由成交投标人自行承担，采购人将不再支付任何额外费用</w:t>
      </w:r>
      <w:r>
        <w:rPr>
          <w:rFonts w:hint="eastAsia" w:ascii="宋体" w:hAnsi="宋体" w:cs="宋体"/>
          <w:spacing w:val="20"/>
          <w:sz w:val="24"/>
          <w:szCs w:val="24"/>
          <w:highlight w:val="none"/>
        </w:rPr>
        <w:t>。</w:t>
      </w:r>
    </w:p>
    <w:p w14:paraId="71E5340A">
      <w:pPr>
        <w:adjustRightInd w:val="0"/>
        <w:snapToGrid w:val="0"/>
        <w:spacing w:line="360" w:lineRule="auto"/>
        <w:ind w:left="0" w:leftChars="0" w:right="-817" w:rightChars="-389" w:firstLine="511" w:firstLineChars="213"/>
        <w:rPr>
          <w:rFonts w:ascii="宋体" w:hAnsi="宋体" w:cs="宋体"/>
          <w:sz w:val="24"/>
          <w:szCs w:val="24"/>
          <w:highlight w:val="none"/>
        </w:rPr>
      </w:pPr>
      <w:r>
        <w:rPr>
          <w:rFonts w:hint="eastAsia" w:ascii="宋体" w:hAnsi="宋体" w:cs="宋体"/>
          <w:sz w:val="24"/>
          <w:szCs w:val="24"/>
          <w:highlight w:val="none"/>
        </w:rPr>
        <w:t>投标人名称（盖章）：</w:t>
      </w:r>
    </w:p>
    <w:p w14:paraId="4E6D9286">
      <w:pPr>
        <w:adjustRightInd w:val="0"/>
        <w:snapToGrid w:val="0"/>
        <w:spacing w:line="360" w:lineRule="auto"/>
        <w:ind w:left="0" w:leftChars="0" w:right="-817" w:rightChars="-389" w:firstLine="511" w:firstLineChars="213"/>
        <w:rPr>
          <w:rFonts w:ascii="宋体" w:hAnsi="宋体" w:cs="宋体"/>
          <w:sz w:val="24"/>
          <w:szCs w:val="24"/>
          <w:highlight w:val="none"/>
        </w:rPr>
      </w:pPr>
    </w:p>
    <w:p w14:paraId="7210EF34">
      <w:pPr>
        <w:adjustRightInd w:val="0"/>
        <w:snapToGrid w:val="0"/>
        <w:spacing w:line="360" w:lineRule="auto"/>
        <w:ind w:left="0" w:leftChars="0" w:right="-817" w:rightChars="-389" w:firstLine="511" w:firstLineChars="213"/>
        <w:rPr>
          <w:rFonts w:ascii="宋体" w:hAnsi="宋体" w:cs="宋体"/>
          <w:sz w:val="24"/>
          <w:szCs w:val="24"/>
          <w:highlight w:val="none"/>
        </w:rPr>
      </w:pPr>
      <w:r>
        <w:rPr>
          <w:rFonts w:hint="eastAsia" w:ascii="宋体" w:hAnsi="宋体" w:cs="宋体"/>
          <w:sz w:val="24"/>
          <w:szCs w:val="24"/>
          <w:highlight w:val="none"/>
        </w:rPr>
        <w:t>法定代表人或被授权人（签字）：</w:t>
      </w:r>
    </w:p>
    <w:p w14:paraId="1877E0C3">
      <w:pPr>
        <w:adjustRightInd w:val="0"/>
        <w:snapToGrid w:val="0"/>
        <w:spacing w:line="360" w:lineRule="auto"/>
        <w:ind w:left="0" w:leftChars="0" w:firstLine="596" w:firstLineChars="213"/>
        <w:rPr>
          <w:rFonts w:ascii="宋体" w:hAnsi="宋体" w:cs="宋体"/>
          <w:spacing w:val="20"/>
          <w:sz w:val="24"/>
          <w:szCs w:val="24"/>
          <w:highlight w:val="none"/>
        </w:rPr>
      </w:pPr>
    </w:p>
    <w:p w14:paraId="0D3AD3AE">
      <w:pPr>
        <w:adjustRightInd w:val="0"/>
        <w:snapToGrid w:val="0"/>
        <w:spacing w:line="360" w:lineRule="auto"/>
        <w:ind w:left="0" w:leftChars="0" w:right="-817" w:rightChars="-389" w:firstLine="511" w:firstLineChars="213"/>
        <w:jc w:val="left"/>
        <w:rPr>
          <w:rFonts w:ascii="宋体" w:hAnsi="宋体" w:cs="宋体"/>
          <w:sz w:val="24"/>
          <w:szCs w:val="24"/>
          <w:highlight w:val="none"/>
        </w:rPr>
      </w:pPr>
      <w:r>
        <w:rPr>
          <w:rFonts w:hint="eastAsia" w:ascii="宋体" w:hAnsi="宋体" w:cs="宋体"/>
          <w:sz w:val="24"/>
          <w:szCs w:val="24"/>
          <w:highlight w:val="none"/>
        </w:rPr>
        <w:t>日期：    年   月   日</w:t>
      </w:r>
    </w:p>
    <w:p w14:paraId="5F458859">
      <w:pPr>
        <w:adjustRightInd w:val="0"/>
        <w:snapToGrid w:val="0"/>
        <w:spacing w:line="360" w:lineRule="auto"/>
        <w:ind w:left="0" w:leftChars="0" w:firstLine="513" w:firstLineChars="213"/>
        <w:jc w:val="center"/>
        <w:rPr>
          <w:rFonts w:hint="eastAsia" w:ascii="宋体" w:hAnsi="宋体" w:cs="宋体"/>
          <w:b/>
          <w:sz w:val="24"/>
          <w:szCs w:val="24"/>
          <w:highlight w:val="none"/>
        </w:rPr>
      </w:pPr>
    </w:p>
    <w:p w14:paraId="4E198F2F">
      <w:pPr>
        <w:adjustRightInd w:val="0"/>
        <w:snapToGrid w:val="0"/>
        <w:spacing w:line="360" w:lineRule="auto"/>
        <w:ind w:left="0" w:leftChars="0" w:firstLine="513" w:firstLineChars="213"/>
        <w:jc w:val="center"/>
        <w:rPr>
          <w:rFonts w:hint="eastAsia" w:ascii="宋体" w:hAnsi="宋体" w:cs="宋体"/>
          <w:b/>
          <w:sz w:val="24"/>
          <w:szCs w:val="24"/>
          <w:highlight w:val="none"/>
        </w:rPr>
      </w:pPr>
    </w:p>
    <w:p w14:paraId="237CF0CB">
      <w:pPr>
        <w:adjustRightInd w:val="0"/>
        <w:snapToGrid w:val="0"/>
        <w:spacing w:line="360" w:lineRule="auto"/>
        <w:ind w:left="0" w:leftChars="0" w:firstLine="513" w:firstLineChars="213"/>
        <w:jc w:val="center"/>
        <w:rPr>
          <w:rFonts w:hint="eastAsia" w:ascii="宋体" w:hAnsi="宋体" w:cs="宋体"/>
          <w:b/>
          <w:sz w:val="24"/>
          <w:szCs w:val="24"/>
          <w:highlight w:val="none"/>
        </w:rPr>
      </w:pPr>
    </w:p>
    <w:p w14:paraId="46EE3018">
      <w:pPr>
        <w:adjustRightInd w:val="0"/>
        <w:snapToGrid w:val="0"/>
        <w:spacing w:line="360" w:lineRule="auto"/>
        <w:ind w:left="0" w:leftChars="0" w:firstLine="596" w:firstLineChars="213"/>
        <w:rPr>
          <w:rFonts w:ascii="宋体" w:hAnsi="宋体" w:cs="宋体"/>
          <w:spacing w:val="20"/>
          <w:sz w:val="24"/>
          <w:szCs w:val="24"/>
          <w:highlight w:val="none"/>
          <w:u w:val="single"/>
        </w:rPr>
      </w:pPr>
    </w:p>
    <w:p w14:paraId="1142ED63">
      <w:pPr>
        <w:adjustRightInd w:val="0"/>
        <w:snapToGrid w:val="0"/>
        <w:spacing w:line="360" w:lineRule="auto"/>
        <w:ind w:left="0" w:leftChars="0" w:firstLine="513" w:firstLineChars="213"/>
        <w:rPr>
          <w:rFonts w:ascii="宋体" w:hAnsi="宋体" w:cs="宋体"/>
          <w:b/>
          <w:sz w:val="24"/>
          <w:szCs w:val="24"/>
          <w:highlight w:val="none"/>
        </w:rPr>
      </w:pPr>
      <w:r>
        <w:rPr>
          <w:rFonts w:hint="eastAsia" w:ascii="宋体" w:hAnsi="宋体" w:cs="宋体"/>
          <w:b/>
          <w:sz w:val="24"/>
          <w:szCs w:val="24"/>
          <w:highlight w:val="none"/>
        </w:rPr>
        <w:t>4、投标保证金缴纳凭证复印件</w:t>
      </w:r>
    </w:p>
    <w:p w14:paraId="5DBE651D">
      <w:pPr>
        <w:adjustRightInd w:val="0"/>
        <w:snapToGrid w:val="0"/>
        <w:spacing w:line="360" w:lineRule="auto"/>
        <w:ind w:left="0" w:leftChars="0" w:firstLine="513" w:firstLineChars="213"/>
        <w:rPr>
          <w:rFonts w:ascii="宋体" w:hAnsi="宋体" w:cs="宋体"/>
          <w:b/>
          <w:sz w:val="24"/>
          <w:szCs w:val="24"/>
          <w:highlight w:val="none"/>
        </w:rPr>
      </w:pPr>
    </w:p>
    <w:p w14:paraId="49492C2B">
      <w:pPr>
        <w:adjustRightInd w:val="0"/>
        <w:snapToGrid w:val="0"/>
        <w:spacing w:line="360" w:lineRule="auto"/>
        <w:ind w:left="0" w:leftChars="0" w:firstLine="513" w:firstLineChars="213"/>
        <w:rPr>
          <w:rFonts w:ascii="宋体" w:hAnsi="宋体" w:cs="宋体"/>
          <w:b/>
          <w:sz w:val="24"/>
          <w:szCs w:val="24"/>
          <w:highlight w:val="none"/>
        </w:rPr>
      </w:pPr>
      <w:r>
        <w:rPr>
          <w:rFonts w:hint="eastAsia" w:ascii="宋体" w:hAnsi="宋体" w:cs="宋体"/>
          <w:b/>
          <w:sz w:val="24"/>
          <w:szCs w:val="24"/>
          <w:highlight w:val="none"/>
        </w:rPr>
        <w:t>5、投标人针对报价需要说明的其他文件和资料（如有）</w:t>
      </w:r>
    </w:p>
    <w:p w14:paraId="5F13DD10">
      <w:pPr>
        <w:adjustRightInd w:val="0"/>
        <w:snapToGrid w:val="0"/>
        <w:spacing w:line="360" w:lineRule="auto"/>
        <w:ind w:left="0" w:leftChars="0" w:firstLine="599" w:firstLineChars="213"/>
        <w:rPr>
          <w:rFonts w:ascii="宋体" w:hAnsi="宋体" w:cs="宋体"/>
          <w:b/>
          <w:sz w:val="24"/>
          <w:szCs w:val="24"/>
          <w:highlight w:val="none"/>
        </w:rPr>
      </w:pPr>
      <w:r>
        <w:rPr>
          <w:rFonts w:hint="eastAsia" w:ascii="宋体" w:hAnsi="宋体" w:cs="宋体"/>
          <w:b/>
          <w:sz w:val="28"/>
          <w:szCs w:val="28"/>
          <w:highlight w:val="none"/>
        </w:rPr>
        <w:br w:type="page"/>
      </w:r>
      <w:r>
        <w:rPr>
          <w:rFonts w:hint="eastAsia" w:ascii="宋体" w:hAnsi="宋体" w:cs="宋体"/>
          <w:b/>
          <w:sz w:val="24"/>
          <w:szCs w:val="24"/>
          <w:highlight w:val="none"/>
          <w:lang w:eastAsia="zh-CN"/>
        </w:rPr>
        <w:t>响应文件</w:t>
      </w:r>
      <w:r>
        <w:rPr>
          <w:rFonts w:hint="eastAsia" w:ascii="宋体" w:hAnsi="宋体" w:cs="宋体"/>
          <w:b/>
          <w:sz w:val="24"/>
          <w:szCs w:val="24"/>
          <w:highlight w:val="none"/>
        </w:rPr>
        <w:t>封面</w:t>
      </w:r>
    </w:p>
    <w:p w14:paraId="7CBD79C5">
      <w:pPr>
        <w:spacing w:line="360" w:lineRule="auto"/>
        <w:ind w:left="0" w:leftChars="0" w:firstLine="852" w:firstLineChars="213"/>
        <w:rPr>
          <w:rFonts w:ascii="宋体" w:hAnsi="宋体" w:cs="宋体"/>
          <w:sz w:val="40"/>
          <w:szCs w:val="20"/>
          <w:highlight w:val="none"/>
        </w:rPr>
      </w:pPr>
      <w:r>
        <w:rPr>
          <w:rFonts w:hint="eastAsia" w:ascii="宋体" w:hAnsi="宋体" w:cs="宋体"/>
          <w:sz w:val="40"/>
          <w:szCs w:val="20"/>
          <w:highlight w:val="none"/>
        </w:rPr>
        <w:t>正（副）本</w:t>
      </w:r>
    </w:p>
    <w:p w14:paraId="0B5AAE96">
      <w:pPr>
        <w:spacing w:line="360" w:lineRule="auto"/>
        <w:ind w:left="0" w:leftChars="0" w:firstLine="1192" w:firstLineChars="213"/>
        <w:jc w:val="center"/>
        <w:rPr>
          <w:rFonts w:ascii="宋体" w:hAnsi="宋体" w:cs="宋体"/>
          <w:sz w:val="56"/>
          <w:szCs w:val="20"/>
          <w:highlight w:val="none"/>
        </w:rPr>
      </w:pPr>
    </w:p>
    <w:p w14:paraId="71FDF979">
      <w:pPr>
        <w:spacing w:line="360" w:lineRule="auto"/>
        <w:ind w:left="0" w:leftChars="0" w:firstLine="1192" w:firstLineChars="213"/>
        <w:jc w:val="center"/>
        <w:rPr>
          <w:rFonts w:ascii="宋体" w:hAnsi="宋体" w:cs="宋体"/>
          <w:sz w:val="56"/>
          <w:szCs w:val="20"/>
          <w:highlight w:val="none"/>
        </w:rPr>
      </w:pPr>
      <w:r>
        <w:rPr>
          <w:rFonts w:hint="eastAsia" w:ascii="宋体" w:hAnsi="宋体" w:cs="宋体"/>
          <w:sz w:val="56"/>
          <w:szCs w:val="20"/>
          <w:highlight w:val="none"/>
        </w:rPr>
        <w:t>(项目名称)项目</w:t>
      </w:r>
    </w:p>
    <w:p w14:paraId="73F67F09">
      <w:pPr>
        <w:spacing w:line="360" w:lineRule="auto"/>
        <w:ind w:left="0" w:leftChars="0" w:firstLine="596" w:firstLineChars="213"/>
        <w:jc w:val="center"/>
        <w:rPr>
          <w:rFonts w:ascii="宋体" w:hAnsi="宋体" w:cs="宋体"/>
          <w:sz w:val="28"/>
          <w:szCs w:val="20"/>
          <w:highlight w:val="none"/>
        </w:rPr>
      </w:pPr>
    </w:p>
    <w:p w14:paraId="0B4732A0">
      <w:pPr>
        <w:spacing w:line="360" w:lineRule="auto"/>
        <w:ind w:left="0" w:leftChars="0" w:firstLine="596" w:firstLineChars="213"/>
        <w:jc w:val="center"/>
        <w:rPr>
          <w:rFonts w:ascii="宋体" w:hAnsi="宋体" w:cs="宋体"/>
          <w:sz w:val="28"/>
          <w:szCs w:val="20"/>
          <w:highlight w:val="none"/>
        </w:rPr>
      </w:pPr>
      <w:r>
        <w:rPr>
          <w:rFonts w:hint="eastAsia" w:ascii="宋体" w:hAnsi="宋体" w:cs="宋体"/>
          <w:sz w:val="28"/>
          <w:szCs w:val="20"/>
          <w:highlight w:val="none"/>
        </w:rPr>
        <w:t>标包</w:t>
      </w:r>
      <w:r>
        <w:rPr>
          <w:rFonts w:hint="eastAsia" w:ascii="宋体" w:hAnsi="宋体" w:cs="宋体"/>
          <w:sz w:val="28"/>
          <w:szCs w:val="20"/>
          <w:highlight w:val="none"/>
          <w:lang w:eastAsia="zh-CN"/>
        </w:rPr>
        <w:t>编号</w:t>
      </w:r>
      <w:r>
        <w:rPr>
          <w:rFonts w:hint="eastAsia" w:ascii="宋体" w:hAnsi="宋体" w:cs="宋体"/>
          <w:sz w:val="28"/>
          <w:szCs w:val="20"/>
          <w:highlight w:val="none"/>
        </w:rPr>
        <w:t>：</w:t>
      </w:r>
    </w:p>
    <w:p w14:paraId="74B648B3">
      <w:pPr>
        <w:spacing w:line="360" w:lineRule="auto"/>
        <w:ind w:left="0" w:leftChars="0" w:firstLine="596" w:firstLineChars="213"/>
        <w:jc w:val="center"/>
        <w:rPr>
          <w:rFonts w:ascii="宋体" w:hAnsi="宋体" w:cs="宋体"/>
          <w:sz w:val="28"/>
          <w:szCs w:val="20"/>
          <w:highlight w:val="none"/>
        </w:rPr>
      </w:pPr>
    </w:p>
    <w:p w14:paraId="3304ECD0">
      <w:pPr>
        <w:spacing w:line="360" w:lineRule="auto"/>
        <w:ind w:left="0" w:leftChars="0" w:firstLine="1192" w:firstLineChars="213"/>
        <w:jc w:val="center"/>
        <w:rPr>
          <w:rFonts w:ascii="宋体" w:hAnsi="宋体" w:cs="宋体"/>
          <w:sz w:val="56"/>
          <w:szCs w:val="20"/>
          <w:highlight w:val="none"/>
        </w:rPr>
      </w:pPr>
      <w:r>
        <w:rPr>
          <w:rFonts w:hint="eastAsia" w:ascii="宋体" w:hAnsi="宋体" w:cs="宋体"/>
          <w:sz w:val="56"/>
          <w:szCs w:val="20"/>
          <w:highlight w:val="none"/>
        </w:rPr>
        <w:t>商务技术文件</w:t>
      </w:r>
    </w:p>
    <w:p w14:paraId="11588414">
      <w:pPr>
        <w:spacing w:line="360" w:lineRule="auto"/>
        <w:ind w:left="0" w:leftChars="0" w:firstLine="1192" w:firstLineChars="213"/>
        <w:jc w:val="center"/>
        <w:rPr>
          <w:rFonts w:ascii="宋体" w:hAnsi="宋体" w:cs="宋体"/>
          <w:sz w:val="56"/>
          <w:szCs w:val="20"/>
          <w:highlight w:val="none"/>
        </w:rPr>
      </w:pPr>
    </w:p>
    <w:p w14:paraId="01D9B715">
      <w:pPr>
        <w:spacing w:line="360" w:lineRule="auto"/>
        <w:ind w:left="0" w:leftChars="0" w:firstLine="1192" w:firstLineChars="213"/>
        <w:jc w:val="center"/>
        <w:rPr>
          <w:rFonts w:ascii="宋体" w:hAnsi="宋体" w:cs="宋体"/>
          <w:sz w:val="56"/>
          <w:szCs w:val="20"/>
          <w:highlight w:val="none"/>
        </w:rPr>
      </w:pPr>
    </w:p>
    <w:p w14:paraId="4AAFF79F">
      <w:pPr>
        <w:spacing w:line="360" w:lineRule="auto"/>
        <w:ind w:left="0" w:leftChars="0" w:firstLine="1192" w:firstLineChars="213"/>
        <w:jc w:val="center"/>
        <w:rPr>
          <w:rFonts w:ascii="宋体" w:hAnsi="宋体" w:cs="宋体"/>
          <w:sz w:val="56"/>
          <w:szCs w:val="20"/>
          <w:highlight w:val="none"/>
        </w:rPr>
      </w:pPr>
    </w:p>
    <w:p w14:paraId="7E8C517A">
      <w:pPr>
        <w:spacing w:line="360" w:lineRule="auto"/>
        <w:ind w:left="0" w:leftChars="0" w:firstLine="596" w:firstLineChars="213"/>
        <w:rPr>
          <w:rFonts w:ascii="宋体" w:hAnsi="宋体" w:cs="宋体"/>
          <w:sz w:val="28"/>
          <w:szCs w:val="20"/>
          <w:highlight w:val="none"/>
        </w:rPr>
      </w:pPr>
      <w:r>
        <w:rPr>
          <w:rFonts w:hint="eastAsia" w:ascii="宋体" w:hAnsi="宋体" w:cs="宋体"/>
          <w:sz w:val="28"/>
          <w:szCs w:val="20"/>
          <w:highlight w:val="none"/>
        </w:rPr>
        <w:t>投标人名称：（加盖单位公章）</w:t>
      </w:r>
    </w:p>
    <w:p w14:paraId="0DB41AD5">
      <w:pPr>
        <w:spacing w:line="360" w:lineRule="auto"/>
        <w:ind w:left="0" w:leftChars="0" w:firstLine="596" w:firstLineChars="213"/>
        <w:rPr>
          <w:rFonts w:ascii="宋体" w:hAnsi="宋体" w:cs="宋体"/>
          <w:sz w:val="28"/>
          <w:szCs w:val="20"/>
          <w:highlight w:val="none"/>
        </w:rPr>
      </w:pPr>
      <w:r>
        <w:rPr>
          <w:rFonts w:hint="eastAsia" w:ascii="宋体" w:hAnsi="宋体" w:cs="宋体"/>
          <w:sz w:val="28"/>
          <w:szCs w:val="20"/>
          <w:highlight w:val="none"/>
        </w:rPr>
        <w:t>投标人地址：</w:t>
      </w:r>
    </w:p>
    <w:p w14:paraId="5D7BC173">
      <w:pPr>
        <w:spacing w:line="360" w:lineRule="auto"/>
        <w:ind w:left="0" w:leftChars="0" w:firstLine="596" w:firstLineChars="213"/>
        <w:rPr>
          <w:rFonts w:ascii="宋体" w:hAnsi="宋体" w:cs="宋体"/>
          <w:sz w:val="28"/>
          <w:szCs w:val="20"/>
          <w:highlight w:val="none"/>
        </w:rPr>
      </w:pPr>
      <w:r>
        <w:rPr>
          <w:rFonts w:hint="eastAsia" w:ascii="宋体" w:hAnsi="宋体" w:cs="宋体"/>
          <w:sz w:val="28"/>
          <w:szCs w:val="20"/>
          <w:highlight w:val="none"/>
        </w:rPr>
        <w:t>投标单位法定代表人（负责人、自然人）或法人被授权人姓名：（签字或盖章）</w:t>
      </w:r>
    </w:p>
    <w:p w14:paraId="30F81FFD">
      <w:pPr>
        <w:spacing w:line="360" w:lineRule="auto"/>
        <w:ind w:left="0" w:leftChars="0" w:firstLine="596" w:firstLineChars="213"/>
        <w:rPr>
          <w:rFonts w:ascii="宋体" w:hAnsi="宋体" w:cs="宋体"/>
          <w:sz w:val="28"/>
          <w:szCs w:val="20"/>
          <w:highlight w:val="none"/>
        </w:rPr>
      </w:pPr>
      <w:r>
        <w:rPr>
          <w:rFonts w:hint="eastAsia" w:ascii="宋体" w:hAnsi="宋体" w:cs="宋体"/>
          <w:sz w:val="28"/>
          <w:szCs w:val="20"/>
          <w:highlight w:val="none"/>
        </w:rPr>
        <w:t>投标单位法定代表人（负责人、自然人）或法人被授权人职务：</w:t>
      </w:r>
    </w:p>
    <w:p w14:paraId="11EB78CD">
      <w:pPr>
        <w:spacing w:line="360" w:lineRule="auto"/>
        <w:ind w:left="0" w:leftChars="0" w:firstLine="596" w:firstLineChars="213"/>
        <w:rPr>
          <w:rFonts w:ascii="宋体" w:hAnsi="宋体" w:cs="宋体"/>
          <w:sz w:val="28"/>
          <w:szCs w:val="20"/>
          <w:highlight w:val="none"/>
        </w:rPr>
      </w:pPr>
      <w:r>
        <w:rPr>
          <w:rFonts w:hint="eastAsia" w:ascii="宋体" w:hAnsi="宋体" w:cs="宋体"/>
          <w:sz w:val="28"/>
          <w:szCs w:val="20"/>
          <w:highlight w:val="none"/>
        </w:rPr>
        <w:t>投标单位联系方式：</w:t>
      </w:r>
    </w:p>
    <w:p w14:paraId="00F7E072">
      <w:pPr>
        <w:spacing w:line="360" w:lineRule="auto"/>
        <w:ind w:left="0" w:leftChars="0" w:firstLine="426" w:firstLineChars="213"/>
        <w:rPr>
          <w:rFonts w:ascii="宋体" w:hAnsi="宋体" w:cs="宋体"/>
          <w:sz w:val="20"/>
          <w:szCs w:val="20"/>
          <w:highlight w:val="none"/>
        </w:rPr>
      </w:pPr>
    </w:p>
    <w:p w14:paraId="17B2AA59">
      <w:pPr>
        <w:adjustRightInd w:val="0"/>
        <w:snapToGrid w:val="0"/>
        <w:spacing w:line="360" w:lineRule="auto"/>
        <w:ind w:left="0" w:leftChars="0" w:firstLine="596" w:firstLineChars="213"/>
        <w:jc w:val="center"/>
        <w:rPr>
          <w:rFonts w:ascii="宋体" w:hAnsi="宋体" w:cs="宋体"/>
          <w:b/>
          <w:sz w:val="24"/>
          <w:szCs w:val="24"/>
          <w:highlight w:val="none"/>
        </w:rPr>
      </w:pPr>
      <w:r>
        <w:rPr>
          <w:rFonts w:hint="eastAsia" w:ascii="宋体" w:hAnsi="宋体" w:cs="宋体"/>
          <w:sz w:val="28"/>
          <w:szCs w:val="28"/>
          <w:highlight w:val="none"/>
        </w:rPr>
        <w:t>年  月  日</w:t>
      </w:r>
    </w:p>
    <w:p w14:paraId="4B082BF8">
      <w:pPr>
        <w:spacing w:line="360" w:lineRule="auto"/>
        <w:ind w:left="0" w:leftChars="0" w:firstLine="599" w:firstLineChars="213"/>
        <w:jc w:val="center"/>
        <w:rPr>
          <w:rFonts w:ascii="宋体" w:hAnsi="宋体" w:cs="宋体"/>
          <w:b/>
          <w:sz w:val="44"/>
          <w:szCs w:val="44"/>
          <w:highlight w:val="none"/>
        </w:rPr>
      </w:pPr>
      <w:r>
        <w:rPr>
          <w:rFonts w:hint="eastAsia" w:ascii="宋体" w:hAnsi="宋体" w:cs="宋体"/>
          <w:b/>
          <w:sz w:val="28"/>
          <w:szCs w:val="28"/>
          <w:highlight w:val="none"/>
        </w:rPr>
        <w:br w:type="page"/>
      </w:r>
      <w:r>
        <w:rPr>
          <w:rFonts w:hint="eastAsia" w:ascii="宋体" w:hAnsi="宋体" w:cs="宋体"/>
          <w:b/>
          <w:sz w:val="44"/>
          <w:szCs w:val="44"/>
          <w:highlight w:val="none"/>
        </w:rPr>
        <w:t xml:space="preserve">目 </w:t>
      </w:r>
      <w:r>
        <w:rPr>
          <w:rFonts w:hint="eastAsia" w:ascii="宋体" w:hAnsi="宋体" w:cs="宋体"/>
          <w:b/>
          <w:sz w:val="44"/>
          <w:szCs w:val="44"/>
          <w:highlight w:val="none"/>
        </w:rPr>
        <w:tab/>
      </w:r>
      <w:r>
        <w:rPr>
          <w:rFonts w:hint="eastAsia" w:ascii="宋体" w:hAnsi="宋体" w:cs="宋体"/>
          <w:b/>
          <w:sz w:val="44"/>
          <w:szCs w:val="44"/>
          <w:highlight w:val="none"/>
        </w:rPr>
        <w:t>录</w:t>
      </w:r>
    </w:p>
    <w:p w14:paraId="5BE67ACC">
      <w:pPr>
        <w:spacing w:line="360" w:lineRule="auto"/>
        <w:ind w:left="0" w:leftChars="0" w:firstLine="511" w:firstLineChars="213"/>
        <w:rPr>
          <w:rFonts w:ascii="宋体" w:hAnsi="宋体" w:cs="宋体"/>
          <w:color w:val="auto"/>
          <w:sz w:val="24"/>
          <w:szCs w:val="24"/>
          <w:highlight w:val="none"/>
        </w:rPr>
      </w:pPr>
      <w:r>
        <w:rPr>
          <w:rFonts w:hint="eastAsia" w:ascii="宋体" w:hAnsi="宋体" w:cs="宋体"/>
          <w:color w:val="auto"/>
          <w:sz w:val="24"/>
          <w:szCs w:val="24"/>
          <w:highlight w:val="none"/>
        </w:rPr>
        <w:t>1</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 xml:space="preserve">投标声明书 </w:t>
      </w:r>
      <w:r>
        <w:rPr>
          <w:rFonts w:hint="eastAsia" w:ascii="宋体" w:hAnsi="宋体" w:cs="宋体"/>
          <w:color w:val="auto"/>
          <w:sz w:val="24"/>
          <w:highlight w:val="none"/>
        </w:rPr>
        <w:t>……………………………………………………………（页码）</w:t>
      </w:r>
    </w:p>
    <w:p w14:paraId="1074C4E2">
      <w:pPr>
        <w:spacing w:line="360" w:lineRule="auto"/>
        <w:ind w:left="0" w:leftChars="0" w:firstLine="511" w:firstLineChars="213"/>
        <w:rPr>
          <w:rFonts w:ascii="宋体" w:hAnsi="宋体" w:cs="宋体"/>
          <w:color w:val="auto"/>
          <w:sz w:val="24"/>
          <w:szCs w:val="24"/>
          <w:highlight w:val="none"/>
        </w:rPr>
      </w:pPr>
      <w:r>
        <w:rPr>
          <w:rFonts w:hint="eastAsia" w:ascii="宋体" w:hAnsi="宋体" w:cs="宋体"/>
          <w:color w:val="auto"/>
          <w:sz w:val="24"/>
          <w:szCs w:val="24"/>
          <w:highlight w:val="none"/>
        </w:rPr>
        <w:t>2</w:t>
      </w:r>
      <w:r>
        <w:rPr>
          <w:rFonts w:hint="eastAsia" w:ascii="宋体" w:hAnsi="宋体" w:cs="宋体"/>
          <w:color w:val="auto"/>
          <w:sz w:val="24"/>
          <w:szCs w:val="24"/>
          <w:highlight w:val="none"/>
          <w:lang w:val="en-US" w:eastAsia="zh-CN"/>
        </w:rPr>
        <w:t>.</w:t>
      </w:r>
      <w:r>
        <w:rPr>
          <w:rFonts w:hint="eastAsia" w:ascii="宋体" w:hAnsi="宋体" w:cs="宋体"/>
          <w:color w:val="auto"/>
          <w:sz w:val="24"/>
          <w:szCs w:val="24"/>
          <w:highlight w:val="none"/>
        </w:rPr>
        <w:t>法定代表人（负责人、自然人）授权书</w:t>
      </w:r>
      <w:r>
        <w:rPr>
          <w:rFonts w:hint="eastAsia" w:ascii="宋体" w:hAnsi="宋体" w:cs="宋体"/>
          <w:color w:val="auto"/>
          <w:sz w:val="24"/>
          <w:highlight w:val="none"/>
        </w:rPr>
        <w:t>……………………………（页码）</w:t>
      </w:r>
    </w:p>
    <w:p w14:paraId="207A14A9">
      <w:pPr>
        <w:spacing w:line="360" w:lineRule="auto"/>
        <w:ind w:left="0" w:leftChars="0" w:firstLine="511" w:firstLineChars="213"/>
        <w:rPr>
          <w:rFonts w:ascii="宋体" w:hAnsi="宋体" w:cs="宋体"/>
          <w:color w:val="auto"/>
          <w:sz w:val="24"/>
          <w:highlight w:val="none"/>
        </w:rPr>
      </w:pPr>
      <w:r>
        <w:rPr>
          <w:rFonts w:hint="eastAsia" w:ascii="宋体" w:hAnsi="宋体" w:cs="宋体"/>
          <w:color w:val="auto"/>
          <w:sz w:val="24"/>
          <w:szCs w:val="24"/>
          <w:highlight w:val="none"/>
        </w:rPr>
        <w:t>3</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 xml:space="preserve">企业法人营业执照（或登记证书、身份证） </w:t>
      </w:r>
      <w:r>
        <w:rPr>
          <w:rFonts w:hint="eastAsia" w:ascii="宋体" w:hAnsi="宋体" w:cs="宋体"/>
          <w:color w:val="auto"/>
          <w:sz w:val="24"/>
          <w:highlight w:val="none"/>
        </w:rPr>
        <w:t>………………………（页码）</w:t>
      </w:r>
    </w:p>
    <w:p w14:paraId="534C54B3">
      <w:pPr>
        <w:spacing w:line="360" w:lineRule="auto"/>
        <w:ind w:left="0" w:leftChars="0" w:firstLine="511" w:firstLineChars="213"/>
        <w:rPr>
          <w:rFonts w:ascii="宋体" w:hAnsi="宋体" w:cs="宋体"/>
          <w:color w:val="auto"/>
          <w:sz w:val="24"/>
          <w:highlight w:val="none"/>
        </w:rPr>
      </w:pPr>
      <w:r>
        <w:rPr>
          <w:rFonts w:hint="eastAsia" w:ascii="宋体" w:hAnsi="宋体" w:cs="宋体"/>
          <w:color w:val="auto"/>
          <w:sz w:val="24"/>
          <w:szCs w:val="24"/>
          <w:highlight w:val="none"/>
        </w:rPr>
        <w:t>4</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投标人情况介绍</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highlight w:val="none"/>
        </w:rPr>
        <w:t>……………………………………………………</w:t>
      </w:r>
      <w:r>
        <w:rPr>
          <w:rFonts w:hint="eastAsia" w:ascii="宋体" w:hAnsi="宋体" w:cs="宋体"/>
          <w:color w:val="auto"/>
          <w:sz w:val="24"/>
          <w:szCs w:val="24"/>
          <w:highlight w:val="none"/>
        </w:rPr>
        <w:t xml:space="preserve"> </w:t>
      </w:r>
      <w:r>
        <w:rPr>
          <w:rFonts w:hint="eastAsia" w:ascii="宋体" w:hAnsi="宋体" w:cs="宋体"/>
          <w:color w:val="auto"/>
          <w:sz w:val="24"/>
          <w:highlight w:val="none"/>
        </w:rPr>
        <w:t>（页码）</w:t>
      </w:r>
    </w:p>
    <w:p w14:paraId="143353C9">
      <w:pPr>
        <w:spacing w:line="360" w:lineRule="auto"/>
        <w:ind w:left="0" w:leftChars="0" w:firstLine="511" w:firstLineChars="213"/>
        <w:rPr>
          <w:rFonts w:ascii="宋体" w:hAnsi="宋体" w:cs="宋体"/>
          <w:color w:val="auto"/>
          <w:sz w:val="24"/>
          <w:szCs w:val="24"/>
          <w:highlight w:val="none"/>
        </w:rPr>
      </w:pPr>
      <w:r>
        <w:rPr>
          <w:rFonts w:hint="eastAsia" w:ascii="宋体" w:hAnsi="宋体" w:cs="宋体"/>
          <w:color w:val="auto"/>
          <w:sz w:val="24"/>
          <w:szCs w:val="24"/>
          <w:highlight w:val="none"/>
        </w:rPr>
        <w:t>5</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 xml:space="preserve">近年财务状况 </w:t>
      </w:r>
      <w:r>
        <w:rPr>
          <w:rFonts w:hint="eastAsia" w:ascii="宋体" w:hAnsi="宋体" w:cs="宋体"/>
          <w:color w:val="auto"/>
          <w:sz w:val="24"/>
          <w:highlight w:val="none"/>
        </w:rPr>
        <w:t>…………………………………………………………（页码）</w:t>
      </w:r>
    </w:p>
    <w:p w14:paraId="1653EE11">
      <w:pPr>
        <w:spacing w:line="360" w:lineRule="auto"/>
        <w:ind w:left="0" w:leftChars="0" w:firstLine="511" w:firstLineChars="213"/>
        <w:rPr>
          <w:rFonts w:ascii="宋体" w:hAnsi="宋体" w:cs="宋体"/>
          <w:color w:val="auto"/>
          <w:sz w:val="24"/>
          <w:highlight w:val="none"/>
        </w:rPr>
      </w:pPr>
      <w:r>
        <w:rPr>
          <w:rFonts w:hint="eastAsia" w:ascii="宋体" w:hAnsi="宋体" w:cs="宋体"/>
          <w:color w:val="auto"/>
          <w:sz w:val="24"/>
          <w:szCs w:val="24"/>
          <w:highlight w:val="none"/>
        </w:rPr>
        <w:t>6</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投标人须具有履行合同所必需的设备和专业技术能力</w:t>
      </w:r>
      <w:r>
        <w:rPr>
          <w:rFonts w:hint="eastAsia" w:ascii="宋体" w:hAnsi="宋体" w:cs="宋体"/>
          <w:color w:val="auto"/>
          <w:sz w:val="24"/>
          <w:szCs w:val="24"/>
          <w:highlight w:val="none"/>
          <w:lang w:eastAsia="zh-CN"/>
        </w:rPr>
        <w:t>证明资料</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highlight w:val="none"/>
        </w:rPr>
        <w:t>…（页码）</w:t>
      </w:r>
    </w:p>
    <w:p w14:paraId="0D8F6169">
      <w:pPr>
        <w:spacing w:line="360" w:lineRule="auto"/>
        <w:ind w:left="0" w:leftChars="0" w:firstLine="511" w:firstLineChars="213"/>
        <w:rPr>
          <w:rFonts w:hint="eastAsia" w:ascii="宋体" w:hAnsi="宋体" w:cs="宋体"/>
          <w:color w:val="auto"/>
          <w:sz w:val="24"/>
          <w:highlight w:val="none"/>
          <w:lang w:val="en-US" w:eastAsia="zh-CN"/>
        </w:rPr>
      </w:pPr>
      <w:r>
        <w:rPr>
          <w:rFonts w:hint="eastAsia" w:ascii="宋体" w:hAnsi="宋体" w:cs="宋体"/>
          <w:color w:val="auto"/>
          <w:sz w:val="24"/>
          <w:highlight w:val="none"/>
        </w:rPr>
        <w:t>7</w:t>
      </w:r>
      <w:r>
        <w:rPr>
          <w:rFonts w:hint="eastAsia" w:ascii="宋体" w:hAnsi="宋体" w:cs="宋体"/>
          <w:color w:val="auto"/>
          <w:sz w:val="24"/>
          <w:highlight w:val="none"/>
          <w:lang w:val="en-US" w:eastAsia="zh-CN"/>
        </w:rPr>
        <w:t>.</w:t>
      </w:r>
      <w:r>
        <w:rPr>
          <w:rFonts w:hint="eastAsia" w:ascii="宋体" w:hAnsi="宋体" w:eastAsia="宋体" w:cs="宋体"/>
          <w:color w:val="auto"/>
          <w:sz w:val="24"/>
          <w:szCs w:val="24"/>
          <w:highlight w:val="none"/>
        </w:rPr>
        <w:t>纳税证明社保证明</w:t>
      </w:r>
      <w:r>
        <w:rPr>
          <w:rFonts w:hint="eastAsia" w:ascii="宋体" w:hAnsi="宋体" w:cs="宋体"/>
          <w:color w:val="auto"/>
          <w:sz w:val="24"/>
          <w:highlight w:val="none"/>
        </w:rPr>
        <w:t>……………………………………………………（页码）</w:t>
      </w:r>
    </w:p>
    <w:p w14:paraId="2A7800A0">
      <w:pPr>
        <w:spacing w:line="360" w:lineRule="auto"/>
        <w:ind w:left="0" w:leftChars="0" w:firstLine="511" w:firstLineChars="213"/>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8.</w:t>
      </w:r>
      <w:r>
        <w:rPr>
          <w:rFonts w:hint="eastAsia" w:ascii="宋体" w:hAnsi="宋体" w:cs="宋体"/>
          <w:color w:val="auto"/>
          <w:sz w:val="24"/>
          <w:szCs w:val="24"/>
          <w:highlight w:val="none"/>
        </w:rPr>
        <w:t xml:space="preserve">前三年内在经营活动中没有重大违法记录的书面声明 </w:t>
      </w:r>
      <w:r>
        <w:rPr>
          <w:rFonts w:hint="eastAsia" w:ascii="宋体" w:hAnsi="宋体" w:cs="宋体"/>
          <w:color w:val="auto"/>
          <w:sz w:val="24"/>
          <w:highlight w:val="none"/>
        </w:rPr>
        <w:t>……………（页码）</w:t>
      </w:r>
    </w:p>
    <w:p w14:paraId="6CE3CAE4">
      <w:pPr>
        <w:spacing w:line="360" w:lineRule="auto"/>
        <w:ind w:left="0" w:leftChars="0" w:firstLine="511" w:firstLineChars="213"/>
        <w:rPr>
          <w:rFonts w:ascii="宋体" w:hAnsi="宋体" w:cs="宋体"/>
          <w:color w:val="auto"/>
          <w:sz w:val="24"/>
          <w:szCs w:val="24"/>
          <w:highlight w:val="none"/>
        </w:rPr>
      </w:pPr>
      <w:r>
        <w:rPr>
          <w:rFonts w:hint="eastAsia" w:ascii="宋体" w:hAnsi="宋体" w:cs="宋体"/>
          <w:color w:val="auto"/>
          <w:sz w:val="24"/>
          <w:szCs w:val="24"/>
          <w:highlight w:val="none"/>
        </w:rPr>
        <w:t>9</w:t>
      </w:r>
      <w:r>
        <w:rPr>
          <w:rFonts w:hint="eastAsia" w:ascii="宋体" w:hAnsi="宋体" w:cs="宋体"/>
          <w:color w:val="auto"/>
          <w:sz w:val="24"/>
          <w:szCs w:val="24"/>
          <w:highlight w:val="none"/>
          <w:lang w:val="en-US" w:eastAsia="zh-CN"/>
        </w:rPr>
        <w:t>.</w:t>
      </w:r>
      <w:r>
        <w:rPr>
          <w:rFonts w:hint="eastAsia" w:ascii="宋体" w:hAnsi="宋体" w:cs="宋体"/>
          <w:color w:val="auto"/>
          <w:sz w:val="24"/>
          <w:szCs w:val="24"/>
          <w:highlight w:val="none"/>
        </w:rPr>
        <w:t xml:space="preserve">信用记录 </w:t>
      </w:r>
      <w:r>
        <w:rPr>
          <w:rFonts w:hint="eastAsia" w:ascii="宋体" w:hAnsi="宋体" w:cs="宋体"/>
          <w:color w:val="auto"/>
          <w:sz w:val="24"/>
          <w:highlight w:val="none"/>
        </w:rPr>
        <w:t>………………………………………………………………（页码）</w:t>
      </w:r>
    </w:p>
    <w:p w14:paraId="4CDA814D">
      <w:pPr>
        <w:spacing w:line="360" w:lineRule="auto"/>
        <w:ind w:left="0" w:leftChars="0" w:firstLine="511" w:firstLineChars="213"/>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10.</w:t>
      </w:r>
      <w:r>
        <w:rPr>
          <w:rFonts w:hint="eastAsia" w:ascii="宋体" w:hAnsi="宋体" w:cs="宋体"/>
          <w:color w:val="auto"/>
          <w:sz w:val="24"/>
          <w:szCs w:val="24"/>
          <w:highlight w:val="none"/>
        </w:rPr>
        <w:t>其他认证证书等</w:t>
      </w:r>
      <w:r>
        <w:rPr>
          <w:rFonts w:hint="eastAsia" w:ascii="宋体" w:hAnsi="宋体" w:cs="宋体"/>
          <w:color w:val="auto"/>
          <w:sz w:val="24"/>
          <w:highlight w:val="none"/>
        </w:rPr>
        <w:t>………………………………………………………（页码）</w:t>
      </w:r>
    </w:p>
    <w:p w14:paraId="57156330">
      <w:pPr>
        <w:spacing w:line="360" w:lineRule="auto"/>
        <w:ind w:left="0" w:leftChars="0" w:firstLine="511" w:firstLineChars="21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11.</w:t>
      </w:r>
      <w:r>
        <w:rPr>
          <w:rFonts w:hint="eastAsia" w:ascii="宋体" w:hAnsi="宋体" w:eastAsia="宋体" w:cs="宋体"/>
          <w:color w:val="auto"/>
          <w:sz w:val="24"/>
          <w:szCs w:val="24"/>
          <w:highlight w:val="none"/>
        </w:rPr>
        <w:t>类似成功业绩…………………………………………………………（页码）</w:t>
      </w:r>
    </w:p>
    <w:p w14:paraId="3D987342">
      <w:pPr>
        <w:spacing w:line="360" w:lineRule="auto"/>
        <w:ind w:left="0" w:leftChars="0" w:firstLine="511" w:firstLineChars="21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12.</w:t>
      </w:r>
      <w:r>
        <w:rPr>
          <w:rFonts w:hint="eastAsia" w:ascii="宋体" w:hAnsi="宋体" w:eastAsia="宋体" w:cs="宋体"/>
          <w:color w:val="auto"/>
          <w:sz w:val="24"/>
          <w:szCs w:val="24"/>
          <w:highlight w:val="none"/>
        </w:rPr>
        <w:t>政府采购政策扶持证明材料…………………………………………（页码）</w:t>
      </w:r>
    </w:p>
    <w:p w14:paraId="76FC5674">
      <w:pPr>
        <w:spacing w:line="360" w:lineRule="auto"/>
        <w:ind w:left="0" w:leftChars="0" w:firstLine="511" w:firstLineChars="213"/>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13.人员配备情况</w:t>
      </w:r>
      <w:r>
        <w:rPr>
          <w:rFonts w:hint="eastAsia" w:ascii="宋体" w:hAnsi="宋体" w:eastAsia="宋体" w:cs="宋体"/>
          <w:color w:val="auto"/>
          <w:sz w:val="24"/>
          <w:szCs w:val="24"/>
          <w:highlight w:val="none"/>
        </w:rPr>
        <w:t>…………………………………………………………（页码）</w:t>
      </w:r>
    </w:p>
    <w:p w14:paraId="0DFFA7DE">
      <w:pPr>
        <w:spacing w:line="360" w:lineRule="auto"/>
        <w:ind w:left="0" w:leftChars="0" w:firstLine="511" w:firstLineChars="213"/>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14.车辆配备情况</w:t>
      </w:r>
      <w:r>
        <w:rPr>
          <w:rFonts w:hint="eastAsia" w:ascii="宋体" w:hAnsi="宋体" w:eastAsia="宋体" w:cs="宋体"/>
          <w:color w:val="auto"/>
          <w:sz w:val="24"/>
          <w:szCs w:val="24"/>
          <w:highlight w:val="none"/>
        </w:rPr>
        <w:t>…………………………………………………………（页码）</w:t>
      </w:r>
    </w:p>
    <w:p w14:paraId="5E2D6FBC">
      <w:pPr>
        <w:spacing w:line="360" w:lineRule="auto"/>
        <w:ind w:left="0" w:leftChars="0" w:firstLine="511" w:firstLineChars="213"/>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15.需求响应偏离情况</w:t>
      </w:r>
      <w:r>
        <w:rPr>
          <w:rFonts w:hint="eastAsia" w:ascii="宋体" w:hAnsi="宋体" w:eastAsia="宋体" w:cs="宋体"/>
          <w:color w:val="auto"/>
          <w:sz w:val="24"/>
          <w:szCs w:val="24"/>
          <w:highlight w:val="none"/>
        </w:rPr>
        <w:t>……………………………………………………（页码）</w:t>
      </w:r>
    </w:p>
    <w:p w14:paraId="7B06A1E6">
      <w:pPr>
        <w:spacing w:line="360" w:lineRule="auto"/>
        <w:ind w:left="0" w:leftChars="0" w:firstLine="511" w:firstLineChars="213"/>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16.仓储能力证明材料</w:t>
      </w:r>
      <w:r>
        <w:rPr>
          <w:rFonts w:hint="eastAsia" w:ascii="宋体" w:hAnsi="宋体" w:eastAsia="宋体" w:cs="宋体"/>
          <w:color w:val="auto"/>
          <w:sz w:val="24"/>
          <w:szCs w:val="24"/>
          <w:highlight w:val="none"/>
        </w:rPr>
        <w:t>……………………………………………………（页码）</w:t>
      </w:r>
    </w:p>
    <w:p w14:paraId="47C7871C">
      <w:pPr>
        <w:spacing w:line="360" w:lineRule="auto"/>
        <w:ind w:left="0" w:leftChars="0" w:firstLine="511" w:firstLineChars="213"/>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17.配送方案</w:t>
      </w:r>
      <w:r>
        <w:rPr>
          <w:rFonts w:hint="eastAsia" w:ascii="宋体" w:hAnsi="宋体" w:eastAsia="宋体" w:cs="宋体"/>
          <w:color w:val="auto"/>
          <w:sz w:val="24"/>
          <w:szCs w:val="24"/>
          <w:highlight w:val="none"/>
        </w:rPr>
        <w:t>………………………………………………………………（页码）</w:t>
      </w:r>
    </w:p>
    <w:p w14:paraId="0DE5AE8F">
      <w:pPr>
        <w:spacing w:line="360" w:lineRule="auto"/>
        <w:ind w:left="0" w:leftChars="0" w:firstLine="511" w:firstLineChars="213"/>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18.应急处置措施</w:t>
      </w:r>
      <w:r>
        <w:rPr>
          <w:rFonts w:hint="eastAsia" w:ascii="宋体" w:hAnsi="宋体" w:eastAsia="宋体" w:cs="宋体"/>
          <w:color w:val="auto"/>
          <w:sz w:val="24"/>
          <w:szCs w:val="24"/>
          <w:highlight w:val="none"/>
        </w:rPr>
        <w:t>…………………………………………………………（页码）</w:t>
      </w:r>
    </w:p>
    <w:p w14:paraId="7DB4CC19">
      <w:pPr>
        <w:spacing w:line="360" w:lineRule="auto"/>
        <w:ind w:left="0" w:leftChars="0" w:firstLine="511" w:firstLineChars="213"/>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19.售后服务证明材料</w:t>
      </w:r>
      <w:r>
        <w:rPr>
          <w:rFonts w:hint="eastAsia" w:ascii="宋体" w:hAnsi="宋体" w:eastAsia="宋体" w:cs="宋体"/>
          <w:color w:val="auto"/>
          <w:sz w:val="24"/>
          <w:szCs w:val="24"/>
          <w:highlight w:val="none"/>
        </w:rPr>
        <w:t>……………………………………………………（页码）</w:t>
      </w:r>
    </w:p>
    <w:p w14:paraId="3FDFD9FA">
      <w:pPr>
        <w:spacing w:line="360" w:lineRule="auto"/>
        <w:ind w:left="0" w:leftChars="0" w:firstLine="511" w:firstLineChars="213"/>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20.投标人认为需要提供的其他文件或材料（如有）</w:t>
      </w:r>
      <w:r>
        <w:rPr>
          <w:rFonts w:hint="eastAsia" w:ascii="宋体" w:hAnsi="宋体" w:eastAsia="宋体" w:cs="宋体"/>
          <w:color w:val="auto"/>
          <w:sz w:val="24"/>
          <w:szCs w:val="24"/>
          <w:highlight w:val="none"/>
        </w:rPr>
        <w:t>…………………（页码）</w:t>
      </w:r>
    </w:p>
    <w:p w14:paraId="00016420">
      <w:pPr>
        <w:spacing w:line="360" w:lineRule="auto"/>
        <w:ind w:left="0" w:leftChars="0" w:firstLine="511" w:firstLineChars="213"/>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21.其他优惠条件（如有）</w:t>
      </w:r>
      <w:r>
        <w:rPr>
          <w:rFonts w:hint="eastAsia" w:ascii="宋体" w:hAnsi="宋体" w:eastAsia="宋体" w:cs="宋体"/>
          <w:color w:val="auto"/>
          <w:sz w:val="24"/>
          <w:szCs w:val="24"/>
          <w:highlight w:val="none"/>
        </w:rPr>
        <w:t>………………………………………………（页码）</w:t>
      </w:r>
    </w:p>
    <w:p w14:paraId="5D886C84">
      <w:pPr>
        <w:pStyle w:val="29"/>
        <w:ind w:left="0" w:leftChars="0" w:firstLine="383" w:firstLineChars="213"/>
        <w:rPr>
          <w:highlight w:val="none"/>
        </w:rPr>
      </w:pPr>
    </w:p>
    <w:p w14:paraId="3ADFAD42">
      <w:pPr>
        <w:pStyle w:val="29"/>
        <w:ind w:left="0" w:leftChars="0" w:firstLine="383" w:firstLineChars="213"/>
        <w:rPr>
          <w:highlight w:val="none"/>
        </w:rPr>
      </w:pPr>
    </w:p>
    <w:p w14:paraId="56904276">
      <w:pPr>
        <w:pStyle w:val="29"/>
        <w:ind w:left="0" w:leftChars="0" w:firstLine="383" w:firstLineChars="213"/>
        <w:rPr>
          <w:highlight w:val="none"/>
        </w:rPr>
      </w:pPr>
    </w:p>
    <w:p w14:paraId="6635A5C0">
      <w:pPr>
        <w:pStyle w:val="29"/>
        <w:ind w:left="0" w:leftChars="0" w:firstLine="383" w:firstLineChars="213"/>
        <w:rPr>
          <w:highlight w:val="none"/>
        </w:rPr>
      </w:pPr>
    </w:p>
    <w:p w14:paraId="1283229B">
      <w:pPr>
        <w:pStyle w:val="29"/>
        <w:ind w:left="0" w:leftChars="0" w:firstLine="383" w:firstLineChars="213"/>
        <w:rPr>
          <w:highlight w:val="none"/>
        </w:rPr>
      </w:pPr>
    </w:p>
    <w:p w14:paraId="4BFA6E14">
      <w:pPr>
        <w:pStyle w:val="29"/>
        <w:ind w:left="0" w:leftChars="0" w:firstLine="383" w:firstLineChars="213"/>
        <w:rPr>
          <w:highlight w:val="none"/>
        </w:rPr>
      </w:pPr>
    </w:p>
    <w:p w14:paraId="74BFC529">
      <w:pPr>
        <w:pStyle w:val="29"/>
        <w:ind w:left="0" w:leftChars="0" w:firstLine="383" w:firstLineChars="213"/>
        <w:rPr>
          <w:highlight w:val="none"/>
        </w:rPr>
      </w:pPr>
    </w:p>
    <w:p w14:paraId="68348FB0">
      <w:pPr>
        <w:pStyle w:val="29"/>
        <w:ind w:left="0" w:leftChars="0" w:firstLine="383" w:firstLineChars="213"/>
        <w:rPr>
          <w:highlight w:val="none"/>
        </w:rPr>
      </w:pPr>
    </w:p>
    <w:p w14:paraId="48228A0D">
      <w:pPr>
        <w:pStyle w:val="29"/>
        <w:ind w:left="0" w:leftChars="0" w:firstLine="383" w:firstLineChars="213"/>
        <w:rPr>
          <w:highlight w:val="none"/>
        </w:rPr>
      </w:pPr>
    </w:p>
    <w:p w14:paraId="11558A52">
      <w:pPr>
        <w:pStyle w:val="29"/>
        <w:ind w:left="0" w:leftChars="0" w:firstLine="383" w:firstLineChars="213"/>
        <w:rPr>
          <w:highlight w:val="none"/>
        </w:rPr>
      </w:pPr>
    </w:p>
    <w:p w14:paraId="2A86D77A">
      <w:pPr>
        <w:pStyle w:val="29"/>
        <w:ind w:left="0" w:leftChars="0" w:firstLine="383" w:firstLineChars="213"/>
        <w:rPr>
          <w:highlight w:val="none"/>
        </w:rPr>
      </w:pPr>
    </w:p>
    <w:p w14:paraId="4539EA22">
      <w:pPr>
        <w:pStyle w:val="29"/>
        <w:ind w:left="0" w:leftChars="0" w:firstLine="383" w:firstLineChars="213"/>
        <w:rPr>
          <w:highlight w:val="none"/>
        </w:rPr>
      </w:pPr>
    </w:p>
    <w:p w14:paraId="154E804B">
      <w:pPr>
        <w:pStyle w:val="29"/>
        <w:ind w:left="0" w:leftChars="0" w:firstLine="383" w:firstLineChars="213"/>
        <w:rPr>
          <w:highlight w:val="none"/>
        </w:rPr>
      </w:pPr>
    </w:p>
    <w:p w14:paraId="61940568">
      <w:pPr>
        <w:pStyle w:val="29"/>
        <w:ind w:left="0" w:leftChars="0" w:firstLine="383" w:firstLineChars="213"/>
        <w:rPr>
          <w:highlight w:val="none"/>
        </w:rPr>
      </w:pPr>
    </w:p>
    <w:p w14:paraId="6CEF93C6">
      <w:pPr>
        <w:pStyle w:val="29"/>
        <w:ind w:left="0" w:leftChars="0" w:firstLine="383" w:firstLineChars="213"/>
        <w:rPr>
          <w:highlight w:val="none"/>
        </w:rPr>
      </w:pPr>
    </w:p>
    <w:tbl>
      <w:tblPr>
        <w:tblStyle w:val="37"/>
        <w:tblW w:w="87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7"/>
        <w:gridCol w:w="2000"/>
        <w:gridCol w:w="2783"/>
        <w:gridCol w:w="2584"/>
      </w:tblGrid>
      <w:tr w14:paraId="7331E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14" w:type="dxa"/>
            <w:gridSpan w:val="4"/>
          </w:tcPr>
          <w:p w14:paraId="3F51D555">
            <w:pPr>
              <w:adjustRightInd w:val="0"/>
              <w:snapToGrid w:val="0"/>
              <w:spacing w:line="360" w:lineRule="auto"/>
              <w:ind w:left="0" w:leftChars="0" w:firstLine="513" w:firstLineChars="213"/>
              <w:jc w:val="center"/>
              <w:rPr>
                <w:rFonts w:ascii="宋体" w:hAnsi="宋体" w:cs="宋体"/>
                <w:b/>
                <w:sz w:val="24"/>
                <w:szCs w:val="24"/>
                <w:highlight w:val="none"/>
              </w:rPr>
            </w:pPr>
            <w:r>
              <w:rPr>
                <w:rFonts w:hint="eastAsia" w:ascii="宋体" w:hAnsi="宋体" w:cs="宋体"/>
                <w:b/>
                <w:sz w:val="24"/>
                <w:szCs w:val="24"/>
                <w:highlight w:val="none"/>
              </w:rPr>
              <w:t>评标索引表</w:t>
            </w:r>
          </w:p>
        </w:tc>
      </w:tr>
      <w:tr w14:paraId="5215B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7" w:type="dxa"/>
          </w:tcPr>
          <w:p w14:paraId="4AEA12C2">
            <w:pPr>
              <w:adjustRightInd w:val="0"/>
              <w:snapToGrid w:val="0"/>
              <w:spacing w:line="360" w:lineRule="auto"/>
              <w:ind w:left="0" w:leftChars="0" w:firstLine="513" w:firstLineChars="213"/>
              <w:rPr>
                <w:rFonts w:ascii="宋体" w:hAnsi="宋体" w:cs="宋体"/>
                <w:b/>
                <w:sz w:val="24"/>
                <w:szCs w:val="24"/>
                <w:highlight w:val="none"/>
              </w:rPr>
            </w:pPr>
            <w:r>
              <w:rPr>
                <w:rFonts w:hint="eastAsia" w:ascii="宋体" w:hAnsi="宋体" w:cs="宋体"/>
                <w:b/>
                <w:sz w:val="24"/>
                <w:szCs w:val="24"/>
                <w:highlight w:val="none"/>
              </w:rPr>
              <w:t>序号</w:t>
            </w:r>
          </w:p>
        </w:tc>
        <w:tc>
          <w:tcPr>
            <w:tcW w:w="2000" w:type="dxa"/>
          </w:tcPr>
          <w:p w14:paraId="5FF6AE06">
            <w:pPr>
              <w:adjustRightInd w:val="0"/>
              <w:snapToGrid w:val="0"/>
              <w:spacing w:line="360" w:lineRule="auto"/>
              <w:ind w:left="0" w:leftChars="0" w:firstLine="513" w:firstLineChars="213"/>
              <w:rPr>
                <w:rFonts w:ascii="宋体" w:hAnsi="宋体" w:cs="宋体"/>
                <w:b/>
                <w:sz w:val="24"/>
                <w:szCs w:val="24"/>
                <w:highlight w:val="none"/>
              </w:rPr>
            </w:pPr>
            <w:r>
              <w:rPr>
                <w:rFonts w:hint="eastAsia" w:ascii="宋体" w:hAnsi="宋体" w:cs="宋体"/>
                <w:b/>
                <w:sz w:val="24"/>
                <w:szCs w:val="24"/>
                <w:highlight w:val="none"/>
              </w:rPr>
              <w:t>评审因素</w:t>
            </w:r>
          </w:p>
        </w:tc>
        <w:tc>
          <w:tcPr>
            <w:tcW w:w="2783" w:type="dxa"/>
          </w:tcPr>
          <w:p w14:paraId="3D849371">
            <w:pPr>
              <w:adjustRightInd w:val="0"/>
              <w:snapToGrid w:val="0"/>
              <w:spacing w:line="360" w:lineRule="auto"/>
              <w:ind w:left="0" w:leftChars="0" w:firstLine="513" w:firstLineChars="213"/>
              <w:rPr>
                <w:rFonts w:ascii="宋体" w:hAnsi="宋体" w:cs="宋体"/>
                <w:b/>
                <w:sz w:val="24"/>
                <w:szCs w:val="24"/>
                <w:highlight w:val="none"/>
              </w:rPr>
            </w:pPr>
            <w:r>
              <w:rPr>
                <w:rFonts w:hint="eastAsia" w:ascii="宋体" w:hAnsi="宋体" w:cs="宋体"/>
                <w:b/>
                <w:sz w:val="24"/>
                <w:szCs w:val="24"/>
                <w:highlight w:val="none"/>
              </w:rPr>
              <w:t>索引页码</w:t>
            </w:r>
          </w:p>
        </w:tc>
        <w:tc>
          <w:tcPr>
            <w:tcW w:w="2584" w:type="dxa"/>
          </w:tcPr>
          <w:p w14:paraId="1E202939">
            <w:pPr>
              <w:adjustRightInd w:val="0"/>
              <w:snapToGrid w:val="0"/>
              <w:spacing w:line="360" w:lineRule="auto"/>
              <w:ind w:left="0" w:leftChars="0" w:firstLine="513" w:firstLineChars="213"/>
              <w:rPr>
                <w:rFonts w:ascii="宋体" w:hAnsi="宋体" w:cs="宋体"/>
                <w:b/>
                <w:sz w:val="24"/>
                <w:szCs w:val="24"/>
                <w:highlight w:val="none"/>
              </w:rPr>
            </w:pPr>
            <w:r>
              <w:rPr>
                <w:rFonts w:hint="eastAsia" w:ascii="宋体" w:hAnsi="宋体" w:cs="宋体"/>
                <w:b/>
                <w:sz w:val="24"/>
                <w:szCs w:val="24"/>
                <w:highlight w:val="none"/>
              </w:rPr>
              <w:t>备注</w:t>
            </w:r>
          </w:p>
        </w:tc>
      </w:tr>
      <w:tr w14:paraId="37929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7" w:type="dxa"/>
          </w:tcPr>
          <w:p w14:paraId="48F1C830">
            <w:pPr>
              <w:adjustRightInd w:val="0"/>
              <w:snapToGrid w:val="0"/>
              <w:spacing w:line="360" w:lineRule="auto"/>
              <w:ind w:left="0" w:leftChars="0" w:firstLine="513" w:firstLineChars="213"/>
              <w:rPr>
                <w:rFonts w:ascii="宋体" w:hAnsi="宋体" w:cs="宋体"/>
                <w:b/>
                <w:sz w:val="24"/>
                <w:szCs w:val="24"/>
                <w:highlight w:val="none"/>
              </w:rPr>
            </w:pPr>
          </w:p>
        </w:tc>
        <w:tc>
          <w:tcPr>
            <w:tcW w:w="2000" w:type="dxa"/>
          </w:tcPr>
          <w:p w14:paraId="07FCE7B6">
            <w:pPr>
              <w:adjustRightInd w:val="0"/>
              <w:snapToGrid w:val="0"/>
              <w:spacing w:line="360" w:lineRule="auto"/>
              <w:ind w:left="0" w:leftChars="0" w:firstLine="513" w:firstLineChars="213"/>
              <w:rPr>
                <w:rFonts w:ascii="宋体" w:hAnsi="宋体" w:cs="宋体"/>
                <w:b/>
                <w:sz w:val="24"/>
                <w:szCs w:val="24"/>
                <w:highlight w:val="none"/>
              </w:rPr>
            </w:pPr>
          </w:p>
        </w:tc>
        <w:tc>
          <w:tcPr>
            <w:tcW w:w="2783" w:type="dxa"/>
          </w:tcPr>
          <w:p w14:paraId="4BEDE5E7">
            <w:pPr>
              <w:adjustRightInd w:val="0"/>
              <w:snapToGrid w:val="0"/>
              <w:spacing w:line="360" w:lineRule="auto"/>
              <w:ind w:left="0" w:leftChars="0" w:firstLine="513" w:firstLineChars="213"/>
              <w:rPr>
                <w:rFonts w:ascii="宋体" w:hAnsi="宋体" w:cs="宋体"/>
                <w:b/>
                <w:sz w:val="24"/>
                <w:szCs w:val="24"/>
                <w:highlight w:val="none"/>
              </w:rPr>
            </w:pPr>
          </w:p>
        </w:tc>
        <w:tc>
          <w:tcPr>
            <w:tcW w:w="2584" w:type="dxa"/>
          </w:tcPr>
          <w:p w14:paraId="563861D7">
            <w:pPr>
              <w:adjustRightInd w:val="0"/>
              <w:snapToGrid w:val="0"/>
              <w:spacing w:line="360" w:lineRule="auto"/>
              <w:ind w:left="0" w:leftChars="0" w:firstLine="513" w:firstLineChars="213"/>
              <w:rPr>
                <w:rFonts w:ascii="宋体" w:hAnsi="宋体" w:cs="宋体"/>
                <w:b/>
                <w:sz w:val="24"/>
                <w:szCs w:val="24"/>
                <w:highlight w:val="none"/>
              </w:rPr>
            </w:pPr>
          </w:p>
        </w:tc>
      </w:tr>
      <w:tr w14:paraId="64772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7" w:type="dxa"/>
          </w:tcPr>
          <w:p w14:paraId="5479848D">
            <w:pPr>
              <w:adjustRightInd w:val="0"/>
              <w:snapToGrid w:val="0"/>
              <w:spacing w:line="360" w:lineRule="auto"/>
              <w:ind w:left="0" w:leftChars="0" w:firstLine="513" w:firstLineChars="213"/>
              <w:rPr>
                <w:rFonts w:ascii="宋体" w:hAnsi="宋体" w:cs="宋体"/>
                <w:b/>
                <w:sz w:val="24"/>
                <w:szCs w:val="24"/>
                <w:highlight w:val="none"/>
              </w:rPr>
            </w:pPr>
          </w:p>
        </w:tc>
        <w:tc>
          <w:tcPr>
            <w:tcW w:w="2000" w:type="dxa"/>
          </w:tcPr>
          <w:p w14:paraId="7CD8DDA4">
            <w:pPr>
              <w:adjustRightInd w:val="0"/>
              <w:snapToGrid w:val="0"/>
              <w:spacing w:line="360" w:lineRule="auto"/>
              <w:ind w:left="0" w:leftChars="0" w:firstLine="513" w:firstLineChars="213"/>
              <w:rPr>
                <w:rFonts w:ascii="宋体" w:hAnsi="宋体" w:cs="宋体"/>
                <w:b/>
                <w:sz w:val="24"/>
                <w:szCs w:val="24"/>
                <w:highlight w:val="none"/>
              </w:rPr>
            </w:pPr>
          </w:p>
        </w:tc>
        <w:tc>
          <w:tcPr>
            <w:tcW w:w="2783" w:type="dxa"/>
          </w:tcPr>
          <w:p w14:paraId="1C7DF5F2">
            <w:pPr>
              <w:adjustRightInd w:val="0"/>
              <w:snapToGrid w:val="0"/>
              <w:spacing w:line="360" w:lineRule="auto"/>
              <w:ind w:left="0" w:leftChars="0" w:firstLine="513" w:firstLineChars="213"/>
              <w:rPr>
                <w:rFonts w:ascii="宋体" w:hAnsi="宋体" w:cs="宋体"/>
                <w:b/>
                <w:sz w:val="24"/>
                <w:szCs w:val="24"/>
                <w:highlight w:val="none"/>
              </w:rPr>
            </w:pPr>
          </w:p>
        </w:tc>
        <w:tc>
          <w:tcPr>
            <w:tcW w:w="2584" w:type="dxa"/>
          </w:tcPr>
          <w:p w14:paraId="4F3F47EA">
            <w:pPr>
              <w:adjustRightInd w:val="0"/>
              <w:snapToGrid w:val="0"/>
              <w:spacing w:line="360" w:lineRule="auto"/>
              <w:ind w:left="0" w:leftChars="0" w:firstLine="513" w:firstLineChars="213"/>
              <w:rPr>
                <w:rFonts w:ascii="宋体" w:hAnsi="宋体" w:cs="宋体"/>
                <w:b/>
                <w:sz w:val="24"/>
                <w:szCs w:val="24"/>
                <w:highlight w:val="none"/>
              </w:rPr>
            </w:pPr>
          </w:p>
        </w:tc>
      </w:tr>
      <w:tr w14:paraId="5C808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7" w:type="dxa"/>
          </w:tcPr>
          <w:p w14:paraId="4564096B">
            <w:pPr>
              <w:adjustRightInd w:val="0"/>
              <w:snapToGrid w:val="0"/>
              <w:spacing w:line="360" w:lineRule="auto"/>
              <w:ind w:left="0" w:leftChars="0" w:firstLine="513" w:firstLineChars="213"/>
              <w:rPr>
                <w:rFonts w:ascii="宋体" w:hAnsi="宋体" w:cs="宋体"/>
                <w:b/>
                <w:sz w:val="24"/>
                <w:szCs w:val="24"/>
                <w:highlight w:val="none"/>
              </w:rPr>
            </w:pPr>
            <w:r>
              <w:rPr>
                <w:rFonts w:hint="eastAsia" w:ascii="宋体" w:hAnsi="宋体" w:cs="宋体"/>
                <w:b/>
                <w:sz w:val="24"/>
                <w:szCs w:val="24"/>
                <w:highlight w:val="none"/>
              </w:rPr>
              <w:t>……</w:t>
            </w:r>
          </w:p>
        </w:tc>
        <w:tc>
          <w:tcPr>
            <w:tcW w:w="2000" w:type="dxa"/>
          </w:tcPr>
          <w:p w14:paraId="2B88F678">
            <w:pPr>
              <w:adjustRightInd w:val="0"/>
              <w:snapToGrid w:val="0"/>
              <w:spacing w:line="360" w:lineRule="auto"/>
              <w:ind w:left="0" w:leftChars="0" w:firstLine="513" w:firstLineChars="213"/>
              <w:rPr>
                <w:rFonts w:ascii="宋体" w:hAnsi="宋体" w:cs="宋体"/>
                <w:b/>
                <w:sz w:val="24"/>
                <w:szCs w:val="24"/>
                <w:highlight w:val="none"/>
              </w:rPr>
            </w:pPr>
            <w:r>
              <w:rPr>
                <w:rFonts w:hint="eastAsia" w:ascii="宋体" w:hAnsi="宋体" w:cs="宋体"/>
                <w:b/>
                <w:sz w:val="24"/>
                <w:szCs w:val="24"/>
                <w:highlight w:val="none"/>
              </w:rPr>
              <w:t>……</w:t>
            </w:r>
          </w:p>
        </w:tc>
        <w:tc>
          <w:tcPr>
            <w:tcW w:w="2783" w:type="dxa"/>
          </w:tcPr>
          <w:p w14:paraId="2122AEE7">
            <w:pPr>
              <w:adjustRightInd w:val="0"/>
              <w:snapToGrid w:val="0"/>
              <w:spacing w:line="360" w:lineRule="auto"/>
              <w:ind w:left="0" w:leftChars="0" w:firstLine="513" w:firstLineChars="213"/>
              <w:rPr>
                <w:rFonts w:ascii="宋体" w:hAnsi="宋体" w:cs="宋体"/>
                <w:b/>
                <w:sz w:val="24"/>
                <w:szCs w:val="24"/>
                <w:highlight w:val="none"/>
              </w:rPr>
            </w:pPr>
            <w:r>
              <w:rPr>
                <w:rFonts w:hint="eastAsia" w:ascii="宋体" w:hAnsi="宋体" w:cs="宋体"/>
                <w:b/>
                <w:sz w:val="24"/>
                <w:szCs w:val="24"/>
                <w:highlight w:val="none"/>
              </w:rPr>
              <w:t>……</w:t>
            </w:r>
          </w:p>
        </w:tc>
        <w:tc>
          <w:tcPr>
            <w:tcW w:w="2584" w:type="dxa"/>
          </w:tcPr>
          <w:p w14:paraId="0355D2C0">
            <w:pPr>
              <w:adjustRightInd w:val="0"/>
              <w:snapToGrid w:val="0"/>
              <w:spacing w:line="360" w:lineRule="auto"/>
              <w:ind w:left="0" w:leftChars="0" w:firstLine="513" w:firstLineChars="213"/>
              <w:rPr>
                <w:rFonts w:ascii="宋体" w:hAnsi="宋体" w:cs="宋体"/>
                <w:b/>
                <w:sz w:val="24"/>
                <w:szCs w:val="24"/>
                <w:highlight w:val="none"/>
              </w:rPr>
            </w:pPr>
            <w:r>
              <w:rPr>
                <w:rFonts w:hint="eastAsia" w:ascii="宋体" w:hAnsi="宋体" w:cs="宋体"/>
                <w:b/>
                <w:sz w:val="24"/>
                <w:szCs w:val="24"/>
                <w:highlight w:val="none"/>
              </w:rPr>
              <w:t>……</w:t>
            </w:r>
          </w:p>
        </w:tc>
      </w:tr>
      <w:tr w14:paraId="14E82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7" w:type="dxa"/>
          </w:tcPr>
          <w:p w14:paraId="3EDF1A94">
            <w:pPr>
              <w:adjustRightInd w:val="0"/>
              <w:snapToGrid w:val="0"/>
              <w:spacing w:line="360" w:lineRule="auto"/>
              <w:ind w:left="0" w:leftChars="0" w:firstLine="513" w:firstLineChars="213"/>
              <w:rPr>
                <w:rFonts w:ascii="宋体" w:hAnsi="宋体" w:cs="宋体"/>
                <w:b/>
                <w:sz w:val="24"/>
                <w:szCs w:val="24"/>
                <w:highlight w:val="none"/>
              </w:rPr>
            </w:pPr>
          </w:p>
        </w:tc>
        <w:tc>
          <w:tcPr>
            <w:tcW w:w="2000" w:type="dxa"/>
          </w:tcPr>
          <w:p w14:paraId="168349D6">
            <w:pPr>
              <w:adjustRightInd w:val="0"/>
              <w:snapToGrid w:val="0"/>
              <w:spacing w:line="360" w:lineRule="auto"/>
              <w:ind w:left="0" w:leftChars="0" w:firstLine="513" w:firstLineChars="213"/>
              <w:rPr>
                <w:rFonts w:ascii="宋体" w:hAnsi="宋体" w:cs="宋体"/>
                <w:b/>
                <w:sz w:val="24"/>
                <w:szCs w:val="24"/>
                <w:highlight w:val="none"/>
              </w:rPr>
            </w:pPr>
          </w:p>
        </w:tc>
        <w:tc>
          <w:tcPr>
            <w:tcW w:w="2783" w:type="dxa"/>
          </w:tcPr>
          <w:p w14:paraId="1D9A623F">
            <w:pPr>
              <w:adjustRightInd w:val="0"/>
              <w:snapToGrid w:val="0"/>
              <w:spacing w:line="360" w:lineRule="auto"/>
              <w:ind w:left="0" w:leftChars="0" w:firstLine="513" w:firstLineChars="213"/>
              <w:rPr>
                <w:rFonts w:ascii="宋体" w:hAnsi="宋体" w:cs="宋体"/>
                <w:b/>
                <w:sz w:val="24"/>
                <w:szCs w:val="24"/>
                <w:highlight w:val="none"/>
              </w:rPr>
            </w:pPr>
          </w:p>
        </w:tc>
        <w:tc>
          <w:tcPr>
            <w:tcW w:w="2584" w:type="dxa"/>
          </w:tcPr>
          <w:p w14:paraId="5D437856">
            <w:pPr>
              <w:adjustRightInd w:val="0"/>
              <w:snapToGrid w:val="0"/>
              <w:spacing w:line="360" w:lineRule="auto"/>
              <w:ind w:left="0" w:leftChars="0" w:firstLine="513" w:firstLineChars="213"/>
              <w:rPr>
                <w:rFonts w:ascii="宋体" w:hAnsi="宋体" w:cs="宋体"/>
                <w:b/>
                <w:sz w:val="24"/>
                <w:szCs w:val="24"/>
                <w:highlight w:val="none"/>
              </w:rPr>
            </w:pPr>
          </w:p>
        </w:tc>
      </w:tr>
      <w:tr w14:paraId="016DB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7" w:type="dxa"/>
          </w:tcPr>
          <w:p w14:paraId="2FC41C4A">
            <w:pPr>
              <w:adjustRightInd w:val="0"/>
              <w:snapToGrid w:val="0"/>
              <w:spacing w:line="360" w:lineRule="auto"/>
              <w:ind w:left="0" w:leftChars="0" w:firstLine="513" w:firstLineChars="213"/>
              <w:rPr>
                <w:rFonts w:ascii="宋体" w:hAnsi="宋体" w:cs="宋体"/>
                <w:b/>
                <w:sz w:val="24"/>
                <w:szCs w:val="24"/>
                <w:highlight w:val="none"/>
              </w:rPr>
            </w:pPr>
          </w:p>
        </w:tc>
        <w:tc>
          <w:tcPr>
            <w:tcW w:w="2000" w:type="dxa"/>
          </w:tcPr>
          <w:p w14:paraId="72B93447">
            <w:pPr>
              <w:adjustRightInd w:val="0"/>
              <w:snapToGrid w:val="0"/>
              <w:spacing w:line="360" w:lineRule="auto"/>
              <w:ind w:left="0" w:leftChars="0" w:firstLine="513" w:firstLineChars="213"/>
              <w:rPr>
                <w:rFonts w:ascii="宋体" w:hAnsi="宋体" w:cs="宋体"/>
                <w:b/>
                <w:sz w:val="24"/>
                <w:szCs w:val="24"/>
                <w:highlight w:val="none"/>
              </w:rPr>
            </w:pPr>
          </w:p>
        </w:tc>
        <w:tc>
          <w:tcPr>
            <w:tcW w:w="2783" w:type="dxa"/>
          </w:tcPr>
          <w:p w14:paraId="68C414A4">
            <w:pPr>
              <w:adjustRightInd w:val="0"/>
              <w:snapToGrid w:val="0"/>
              <w:spacing w:line="360" w:lineRule="auto"/>
              <w:ind w:left="0" w:leftChars="0" w:firstLine="513" w:firstLineChars="213"/>
              <w:rPr>
                <w:rFonts w:ascii="宋体" w:hAnsi="宋体" w:cs="宋体"/>
                <w:b/>
                <w:sz w:val="24"/>
                <w:szCs w:val="24"/>
                <w:highlight w:val="none"/>
              </w:rPr>
            </w:pPr>
          </w:p>
        </w:tc>
        <w:tc>
          <w:tcPr>
            <w:tcW w:w="2584" w:type="dxa"/>
          </w:tcPr>
          <w:p w14:paraId="14CC6064">
            <w:pPr>
              <w:adjustRightInd w:val="0"/>
              <w:snapToGrid w:val="0"/>
              <w:spacing w:line="360" w:lineRule="auto"/>
              <w:ind w:left="0" w:leftChars="0" w:firstLine="513" w:firstLineChars="213"/>
              <w:rPr>
                <w:rFonts w:ascii="宋体" w:hAnsi="宋体" w:cs="宋体"/>
                <w:b/>
                <w:sz w:val="24"/>
                <w:szCs w:val="24"/>
                <w:highlight w:val="none"/>
              </w:rPr>
            </w:pPr>
          </w:p>
        </w:tc>
      </w:tr>
      <w:tr w14:paraId="77EC3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7" w:type="dxa"/>
          </w:tcPr>
          <w:p w14:paraId="279311C3">
            <w:pPr>
              <w:adjustRightInd w:val="0"/>
              <w:snapToGrid w:val="0"/>
              <w:spacing w:line="360" w:lineRule="auto"/>
              <w:ind w:left="0" w:leftChars="0" w:firstLine="513" w:firstLineChars="213"/>
              <w:rPr>
                <w:rFonts w:ascii="宋体" w:hAnsi="宋体" w:cs="宋体"/>
                <w:b/>
                <w:sz w:val="24"/>
                <w:szCs w:val="24"/>
                <w:highlight w:val="none"/>
              </w:rPr>
            </w:pPr>
          </w:p>
        </w:tc>
        <w:tc>
          <w:tcPr>
            <w:tcW w:w="2000" w:type="dxa"/>
          </w:tcPr>
          <w:p w14:paraId="06163349">
            <w:pPr>
              <w:adjustRightInd w:val="0"/>
              <w:snapToGrid w:val="0"/>
              <w:spacing w:line="360" w:lineRule="auto"/>
              <w:ind w:left="0" w:leftChars="0" w:firstLine="513" w:firstLineChars="213"/>
              <w:rPr>
                <w:rFonts w:ascii="宋体" w:hAnsi="宋体" w:cs="宋体"/>
                <w:b/>
                <w:sz w:val="24"/>
                <w:szCs w:val="24"/>
                <w:highlight w:val="none"/>
              </w:rPr>
            </w:pPr>
          </w:p>
        </w:tc>
        <w:tc>
          <w:tcPr>
            <w:tcW w:w="2783" w:type="dxa"/>
          </w:tcPr>
          <w:p w14:paraId="39E04B9E">
            <w:pPr>
              <w:adjustRightInd w:val="0"/>
              <w:snapToGrid w:val="0"/>
              <w:spacing w:line="360" w:lineRule="auto"/>
              <w:ind w:left="0" w:leftChars="0" w:firstLine="513" w:firstLineChars="213"/>
              <w:rPr>
                <w:rFonts w:ascii="宋体" w:hAnsi="宋体" w:cs="宋体"/>
                <w:b/>
                <w:sz w:val="24"/>
                <w:szCs w:val="24"/>
                <w:highlight w:val="none"/>
              </w:rPr>
            </w:pPr>
          </w:p>
        </w:tc>
        <w:tc>
          <w:tcPr>
            <w:tcW w:w="2584" w:type="dxa"/>
          </w:tcPr>
          <w:p w14:paraId="3E313362">
            <w:pPr>
              <w:adjustRightInd w:val="0"/>
              <w:snapToGrid w:val="0"/>
              <w:spacing w:line="360" w:lineRule="auto"/>
              <w:ind w:left="0" w:leftChars="0" w:firstLine="513" w:firstLineChars="213"/>
              <w:rPr>
                <w:rFonts w:ascii="宋体" w:hAnsi="宋体" w:cs="宋体"/>
                <w:b/>
                <w:sz w:val="24"/>
                <w:szCs w:val="24"/>
                <w:highlight w:val="none"/>
              </w:rPr>
            </w:pPr>
          </w:p>
        </w:tc>
      </w:tr>
      <w:tr w14:paraId="01157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7" w:type="dxa"/>
          </w:tcPr>
          <w:p w14:paraId="5D4015FE">
            <w:pPr>
              <w:adjustRightInd w:val="0"/>
              <w:snapToGrid w:val="0"/>
              <w:spacing w:line="360" w:lineRule="auto"/>
              <w:ind w:left="0" w:leftChars="0" w:firstLine="513" w:firstLineChars="213"/>
              <w:rPr>
                <w:rFonts w:ascii="宋体" w:hAnsi="宋体" w:cs="宋体"/>
                <w:b/>
                <w:sz w:val="24"/>
                <w:szCs w:val="24"/>
                <w:highlight w:val="none"/>
              </w:rPr>
            </w:pPr>
          </w:p>
        </w:tc>
        <w:tc>
          <w:tcPr>
            <w:tcW w:w="2000" w:type="dxa"/>
          </w:tcPr>
          <w:p w14:paraId="362426B3">
            <w:pPr>
              <w:adjustRightInd w:val="0"/>
              <w:snapToGrid w:val="0"/>
              <w:spacing w:line="360" w:lineRule="auto"/>
              <w:ind w:left="0" w:leftChars="0" w:firstLine="513" w:firstLineChars="213"/>
              <w:rPr>
                <w:rFonts w:ascii="宋体" w:hAnsi="宋体" w:cs="宋体"/>
                <w:b/>
                <w:sz w:val="24"/>
                <w:szCs w:val="24"/>
                <w:highlight w:val="none"/>
              </w:rPr>
            </w:pPr>
          </w:p>
        </w:tc>
        <w:tc>
          <w:tcPr>
            <w:tcW w:w="2783" w:type="dxa"/>
          </w:tcPr>
          <w:p w14:paraId="522336DE">
            <w:pPr>
              <w:adjustRightInd w:val="0"/>
              <w:snapToGrid w:val="0"/>
              <w:spacing w:line="360" w:lineRule="auto"/>
              <w:ind w:left="0" w:leftChars="0" w:firstLine="513" w:firstLineChars="213"/>
              <w:rPr>
                <w:rFonts w:ascii="宋体" w:hAnsi="宋体" w:cs="宋体"/>
                <w:b/>
                <w:sz w:val="24"/>
                <w:szCs w:val="24"/>
                <w:highlight w:val="none"/>
              </w:rPr>
            </w:pPr>
          </w:p>
        </w:tc>
        <w:tc>
          <w:tcPr>
            <w:tcW w:w="2584" w:type="dxa"/>
          </w:tcPr>
          <w:p w14:paraId="5230A38A">
            <w:pPr>
              <w:adjustRightInd w:val="0"/>
              <w:snapToGrid w:val="0"/>
              <w:spacing w:line="360" w:lineRule="auto"/>
              <w:ind w:left="0" w:leftChars="0" w:firstLine="513" w:firstLineChars="213"/>
              <w:rPr>
                <w:rFonts w:ascii="宋体" w:hAnsi="宋体" w:cs="宋体"/>
                <w:b/>
                <w:sz w:val="24"/>
                <w:szCs w:val="24"/>
                <w:highlight w:val="none"/>
              </w:rPr>
            </w:pPr>
          </w:p>
        </w:tc>
      </w:tr>
      <w:tr w14:paraId="365B5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7" w:type="dxa"/>
          </w:tcPr>
          <w:p w14:paraId="531BF762">
            <w:pPr>
              <w:adjustRightInd w:val="0"/>
              <w:snapToGrid w:val="0"/>
              <w:spacing w:line="360" w:lineRule="auto"/>
              <w:ind w:left="0" w:leftChars="0" w:firstLine="513" w:firstLineChars="213"/>
              <w:rPr>
                <w:rFonts w:ascii="宋体" w:hAnsi="宋体" w:cs="宋体"/>
                <w:b/>
                <w:sz w:val="24"/>
                <w:szCs w:val="24"/>
                <w:highlight w:val="none"/>
              </w:rPr>
            </w:pPr>
          </w:p>
        </w:tc>
        <w:tc>
          <w:tcPr>
            <w:tcW w:w="2000" w:type="dxa"/>
          </w:tcPr>
          <w:p w14:paraId="4C3E0F3B">
            <w:pPr>
              <w:adjustRightInd w:val="0"/>
              <w:snapToGrid w:val="0"/>
              <w:spacing w:line="360" w:lineRule="auto"/>
              <w:ind w:left="0" w:leftChars="0" w:firstLine="513" w:firstLineChars="213"/>
              <w:rPr>
                <w:rFonts w:ascii="宋体" w:hAnsi="宋体" w:cs="宋体"/>
                <w:b/>
                <w:sz w:val="24"/>
                <w:szCs w:val="24"/>
                <w:highlight w:val="none"/>
              </w:rPr>
            </w:pPr>
          </w:p>
        </w:tc>
        <w:tc>
          <w:tcPr>
            <w:tcW w:w="2783" w:type="dxa"/>
          </w:tcPr>
          <w:p w14:paraId="79A70FD2">
            <w:pPr>
              <w:adjustRightInd w:val="0"/>
              <w:snapToGrid w:val="0"/>
              <w:spacing w:line="360" w:lineRule="auto"/>
              <w:ind w:left="0" w:leftChars="0" w:firstLine="513" w:firstLineChars="213"/>
              <w:rPr>
                <w:rFonts w:ascii="宋体" w:hAnsi="宋体" w:cs="宋体"/>
                <w:b/>
                <w:sz w:val="24"/>
                <w:szCs w:val="24"/>
                <w:highlight w:val="none"/>
              </w:rPr>
            </w:pPr>
          </w:p>
        </w:tc>
        <w:tc>
          <w:tcPr>
            <w:tcW w:w="2584" w:type="dxa"/>
          </w:tcPr>
          <w:p w14:paraId="3A4DF974">
            <w:pPr>
              <w:adjustRightInd w:val="0"/>
              <w:snapToGrid w:val="0"/>
              <w:spacing w:line="360" w:lineRule="auto"/>
              <w:ind w:left="0" w:leftChars="0" w:firstLine="513" w:firstLineChars="213"/>
              <w:rPr>
                <w:rFonts w:ascii="宋体" w:hAnsi="宋体" w:cs="宋体"/>
                <w:b/>
                <w:sz w:val="24"/>
                <w:szCs w:val="24"/>
                <w:highlight w:val="none"/>
              </w:rPr>
            </w:pPr>
          </w:p>
        </w:tc>
      </w:tr>
      <w:tr w14:paraId="08A6B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7" w:type="dxa"/>
          </w:tcPr>
          <w:p w14:paraId="5C34B530">
            <w:pPr>
              <w:adjustRightInd w:val="0"/>
              <w:snapToGrid w:val="0"/>
              <w:spacing w:line="360" w:lineRule="auto"/>
              <w:ind w:left="0" w:leftChars="0" w:firstLine="513" w:firstLineChars="213"/>
              <w:rPr>
                <w:rFonts w:ascii="宋体" w:hAnsi="宋体" w:cs="宋体"/>
                <w:b/>
                <w:sz w:val="24"/>
                <w:szCs w:val="24"/>
                <w:highlight w:val="none"/>
              </w:rPr>
            </w:pPr>
          </w:p>
        </w:tc>
        <w:tc>
          <w:tcPr>
            <w:tcW w:w="2000" w:type="dxa"/>
          </w:tcPr>
          <w:p w14:paraId="0ECE2DD3">
            <w:pPr>
              <w:adjustRightInd w:val="0"/>
              <w:snapToGrid w:val="0"/>
              <w:spacing w:line="360" w:lineRule="auto"/>
              <w:ind w:left="0" w:leftChars="0" w:firstLine="513" w:firstLineChars="213"/>
              <w:rPr>
                <w:rFonts w:ascii="宋体" w:hAnsi="宋体" w:cs="宋体"/>
                <w:b/>
                <w:sz w:val="24"/>
                <w:szCs w:val="24"/>
                <w:highlight w:val="none"/>
              </w:rPr>
            </w:pPr>
          </w:p>
        </w:tc>
        <w:tc>
          <w:tcPr>
            <w:tcW w:w="2783" w:type="dxa"/>
          </w:tcPr>
          <w:p w14:paraId="0E4A95D9">
            <w:pPr>
              <w:adjustRightInd w:val="0"/>
              <w:snapToGrid w:val="0"/>
              <w:spacing w:line="360" w:lineRule="auto"/>
              <w:ind w:left="0" w:leftChars="0" w:firstLine="513" w:firstLineChars="213"/>
              <w:rPr>
                <w:rFonts w:ascii="宋体" w:hAnsi="宋体" w:cs="宋体"/>
                <w:b/>
                <w:sz w:val="24"/>
                <w:szCs w:val="24"/>
                <w:highlight w:val="none"/>
              </w:rPr>
            </w:pPr>
          </w:p>
        </w:tc>
        <w:tc>
          <w:tcPr>
            <w:tcW w:w="2584" w:type="dxa"/>
          </w:tcPr>
          <w:p w14:paraId="191014B4">
            <w:pPr>
              <w:adjustRightInd w:val="0"/>
              <w:snapToGrid w:val="0"/>
              <w:spacing w:line="360" w:lineRule="auto"/>
              <w:ind w:left="0" w:leftChars="0" w:firstLine="513" w:firstLineChars="213"/>
              <w:rPr>
                <w:rFonts w:ascii="宋体" w:hAnsi="宋体" w:cs="宋体"/>
                <w:b/>
                <w:sz w:val="24"/>
                <w:szCs w:val="24"/>
                <w:highlight w:val="none"/>
              </w:rPr>
            </w:pPr>
          </w:p>
        </w:tc>
      </w:tr>
    </w:tbl>
    <w:p w14:paraId="607ECB96">
      <w:pPr>
        <w:spacing w:line="360" w:lineRule="auto"/>
        <w:ind w:left="0" w:leftChars="0" w:firstLine="599" w:firstLineChars="213"/>
        <w:rPr>
          <w:rFonts w:ascii="宋体" w:hAnsi="宋体" w:cs="宋体"/>
          <w:b/>
          <w:sz w:val="28"/>
          <w:szCs w:val="28"/>
          <w:highlight w:val="none"/>
        </w:rPr>
      </w:pPr>
      <w:r>
        <w:rPr>
          <w:rFonts w:hint="eastAsia" w:ascii="宋体" w:hAnsi="宋体" w:cs="宋体"/>
          <w:b/>
          <w:sz w:val="28"/>
          <w:szCs w:val="28"/>
          <w:highlight w:val="none"/>
        </w:rPr>
        <w:br w:type="page"/>
      </w:r>
    </w:p>
    <w:p w14:paraId="2C165A6C">
      <w:pPr>
        <w:adjustRightInd w:val="0"/>
        <w:snapToGrid w:val="0"/>
        <w:spacing w:line="360" w:lineRule="auto"/>
        <w:ind w:left="0" w:leftChars="0" w:firstLine="513" w:firstLineChars="213"/>
        <w:rPr>
          <w:rFonts w:ascii="宋体" w:hAnsi="宋体" w:cs="宋体"/>
          <w:b/>
          <w:sz w:val="24"/>
          <w:szCs w:val="24"/>
          <w:highlight w:val="none"/>
        </w:rPr>
      </w:pPr>
      <w:r>
        <w:rPr>
          <w:rFonts w:hint="eastAsia" w:ascii="宋体" w:hAnsi="宋体" w:cs="宋体"/>
          <w:b/>
          <w:sz w:val="24"/>
          <w:szCs w:val="24"/>
          <w:highlight w:val="none"/>
        </w:rPr>
        <w:t>1、投标声明书格式：</w:t>
      </w:r>
    </w:p>
    <w:p w14:paraId="59EC704D">
      <w:pPr>
        <w:adjustRightInd w:val="0"/>
        <w:snapToGrid w:val="0"/>
        <w:ind w:left="0" w:leftChars="0" w:firstLine="511" w:firstLineChars="213"/>
        <w:jc w:val="center"/>
        <w:rPr>
          <w:rFonts w:ascii="宋体" w:hAnsi="宋体" w:cs="宋体"/>
          <w:color w:val="auto"/>
          <w:sz w:val="24"/>
          <w:szCs w:val="24"/>
          <w:highlight w:val="none"/>
        </w:rPr>
      </w:pPr>
      <w:r>
        <w:rPr>
          <w:rFonts w:hint="eastAsia" w:ascii="宋体" w:hAnsi="宋体" w:cs="宋体"/>
          <w:color w:val="auto"/>
          <w:sz w:val="24"/>
          <w:szCs w:val="24"/>
          <w:highlight w:val="none"/>
        </w:rPr>
        <w:t>投标声明书</w:t>
      </w:r>
    </w:p>
    <w:p w14:paraId="15FB83B6">
      <w:pPr>
        <w:adjustRightInd w:val="0"/>
        <w:snapToGrid w:val="0"/>
        <w:spacing w:line="400" w:lineRule="exact"/>
        <w:ind w:left="0" w:leftChars="0" w:firstLine="511" w:firstLineChars="213"/>
        <w:rPr>
          <w:rFonts w:ascii="宋体" w:hAnsi="宋体" w:cs="宋体"/>
          <w:color w:val="auto"/>
          <w:sz w:val="24"/>
          <w:szCs w:val="24"/>
          <w:highlight w:val="none"/>
        </w:rPr>
      </w:pPr>
      <w:r>
        <w:rPr>
          <w:rFonts w:hint="eastAsia" w:ascii="宋体" w:hAnsi="宋体" w:cs="宋体"/>
          <w:color w:val="auto"/>
          <w:sz w:val="24"/>
          <w:szCs w:val="24"/>
          <w:highlight w:val="none"/>
        </w:rPr>
        <w:t>（采购代理机构名称）：</w:t>
      </w:r>
    </w:p>
    <w:p w14:paraId="4301368E">
      <w:pPr>
        <w:adjustRightInd w:val="0"/>
        <w:snapToGrid w:val="0"/>
        <w:spacing w:line="400" w:lineRule="exact"/>
        <w:ind w:left="0" w:leftChars="0" w:firstLine="511" w:firstLineChars="213"/>
        <w:rPr>
          <w:rFonts w:ascii="宋体" w:hAnsi="宋体" w:cs="宋体"/>
          <w:color w:val="auto"/>
          <w:sz w:val="24"/>
          <w:szCs w:val="24"/>
          <w:highlight w:val="none"/>
        </w:rPr>
      </w:pPr>
      <w:r>
        <w:rPr>
          <w:rFonts w:hint="eastAsia" w:ascii="宋体" w:hAnsi="宋体" w:cs="宋体"/>
          <w:color w:val="auto"/>
          <w:sz w:val="24"/>
          <w:szCs w:val="24"/>
          <w:highlight w:val="none"/>
        </w:rPr>
        <w:t>（投标人名称）系中华人民共和国合法企业（其他组织），经营地址。</w:t>
      </w:r>
    </w:p>
    <w:p w14:paraId="523B7944">
      <w:pPr>
        <w:adjustRightInd w:val="0"/>
        <w:snapToGrid w:val="0"/>
        <w:spacing w:line="400" w:lineRule="exact"/>
        <w:ind w:left="0" w:leftChars="0" w:firstLine="511" w:firstLineChars="213"/>
        <w:rPr>
          <w:rFonts w:ascii="宋体" w:hAnsi="宋体" w:cs="宋体"/>
          <w:color w:val="auto"/>
          <w:sz w:val="24"/>
          <w:szCs w:val="24"/>
          <w:highlight w:val="none"/>
        </w:rPr>
      </w:pPr>
      <w:r>
        <w:rPr>
          <w:rFonts w:hint="eastAsia" w:ascii="宋体" w:hAnsi="宋体" w:cs="宋体"/>
          <w:color w:val="auto"/>
          <w:sz w:val="24"/>
          <w:szCs w:val="24"/>
          <w:highlight w:val="none"/>
        </w:rPr>
        <w:t>我（姓名）系（投标人名称）的法定代表人（负责人），我方愿意参加贵方组织的项目（项目编号：）</w:t>
      </w:r>
      <w:r>
        <w:rPr>
          <w:rFonts w:hint="eastAsia" w:ascii="宋体" w:hAnsi="宋体" w:cs="宋体"/>
          <w:color w:val="auto"/>
          <w:sz w:val="24"/>
          <w:szCs w:val="24"/>
          <w:highlight w:val="none"/>
          <w:u w:val="single"/>
          <w:lang w:val="en-US" w:eastAsia="zh-CN"/>
        </w:rPr>
        <w:t>标包</w:t>
      </w:r>
      <w:r>
        <w:rPr>
          <w:rFonts w:hint="eastAsia" w:ascii="宋体" w:hAnsi="宋体" w:cs="宋体"/>
          <w:color w:val="auto"/>
          <w:sz w:val="24"/>
          <w:szCs w:val="24"/>
          <w:highlight w:val="none"/>
          <w:u w:val="single"/>
        </w:rPr>
        <w:t>编号及内容</w:t>
      </w:r>
      <w:r>
        <w:rPr>
          <w:rFonts w:hint="eastAsia" w:ascii="宋体" w:hAnsi="宋体" w:cs="宋体"/>
          <w:color w:val="auto"/>
          <w:sz w:val="24"/>
          <w:szCs w:val="24"/>
          <w:highlight w:val="none"/>
        </w:rPr>
        <w:t xml:space="preserve"> 的投标，为便于贵方公正、择优地确定中标人及其投标产品和服务，我方就本次投标有关事项郑重声明如下：</w:t>
      </w:r>
    </w:p>
    <w:p w14:paraId="50A29A3A">
      <w:pPr>
        <w:numPr>
          <w:ilvl w:val="0"/>
          <w:numId w:val="8"/>
        </w:numPr>
        <w:adjustRightInd w:val="0"/>
        <w:snapToGrid w:val="0"/>
        <w:spacing w:line="400" w:lineRule="exact"/>
        <w:ind w:left="0" w:leftChars="0" w:firstLine="511" w:firstLineChars="213"/>
        <w:rPr>
          <w:rFonts w:ascii="宋体" w:hAnsi="宋体" w:cs="宋体"/>
          <w:color w:val="auto"/>
          <w:sz w:val="24"/>
          <w:szCs w:val="24"/>
          <w:highlight w:val="none"/>
        </w:rPr>
      </w:pPr>
      <w:r>
        <w:rPr>
          <w:rFonts w:hint="eastAsia" w:ascii="宋体" w:hAnsi="宋体" w:cs="宋体"/>
          <w:color w:val="auto"/>
          <w:sz w:val="24"/>
          <w:szCs w:val="24"/>
          <w:highlight w:val="none"/>
        </w:rPr>
        <w:t>投标方已详细审查全部</w:t>
      </w:r>
      <w:r>
        <w:rPr>
          <w:rFonts w:hint="eastAsia" w:ascii="宋体" w:hAnsi="宋体" w:cs="宋体"/>
          <w:color w:val="auto"/>
          <w:sz w:val="24"/>
          <w:szCs w:val="24"/>
          <w:highlight w:val="none"/>
          <w:lang w:eastAsia="zh-CN"/>
        </w:rPr>
        <w:t>磋商文件</w:t>
      </w:r>
      <w:r>
        <w:rPr>
          <w:rFonts w:hint="eastAsia" w:ascii="宋体" w:hAnsi="宋体" w:cs="宋体"/>
          <w:color w:val="auto"/>
          <w:sz w:val="24"/>
          <w:szCs w:val="24"/>
          <w:highlight w:val="none"/>
        </w:rPr>
        <w:t>，同意</w:t>
      </w:r>
      <w:r>
        <w:rPr>
          <w:rFonts w:hint="eastAsia" w:ascii="宋体" w:hAnsi="宋体" w:cs="宋体"/>
          <w:color w:val="auto"/>
          <w:sz w:val="24"/>
          <w:szCs w:val="24"/>
          <w:highlight w:val="none"/>
          <w:lang w:eastAsia="zh-CN"/>
        </w:rPr>
        <w:t>磋商文件</w:t>
      </w:r>
      <w:r>
        <w:rPr>
          <w:rFonts w:hint="eastAsia" w:ascii="宋体" w:hAnsi="宋体" w:cs="宋体"/>
          <w:color w:val="auto"/>
          <w:sz w:val="24"/>
          <w:szCs w:val="24"/>
          <w:highlight w:val="none"/>
        </w:rPr>
        <w:t>的各项要求。</w:t>
      </w:r>
    </w:p>
    <w:p w14:paraId="51650372">
      <w:pPr>
        <w:numPr>
          <w:ilvl w:val="0"/>
          <w:numId w:val="8"/>
        </w:numPr>
        <w:adjustRightInd w:val="0"/>
        <w:snapToGrid w:val="0"/>
        <w:spacing w:line="400" w:lineRule="exact"/>
        <w:ind w:left="0" w:leftChars="0" w:firstLine="511" w:firstLineChars="213"/>
        <w:rPr>
          <w:rFonts w:ascii="宋体" w:hAnsi="宋体" w:cs="宋体"/>
          <w:color w:val="auto"/>
          <w:sz w:val="24"/>
          <w:szCs w:val="24"/>
          <w:highlight w:val="none"/>
        </w:rPr>
      </w:pPr>
      <w:r>
        <w:rPr>
          <w:rFonts w:hint="eastAsia" w:ascii="宋体" w:hAnsi="宋体" w:cs="宋体"/>
          <w:color w:val="auto"/>
          <w:sz w:val="24"/>
          <w:szCs w:val="24"/>
          <w:highlight w:val="none"/>
        </w:rPr>
        <w:t>我方向贵方提交的所有</w:t>
      </w:r>
      <w:r>
        <w:rPr>
          <w:rFonts w:hint="eastAsia" w:ascii="宋体" w:hAnsi="宋体" w:cs="宋体"/>
          <w:color w:val="auto"/>
          <w:sz w:val="24"/>
          <w:szCs w:val="24"/>
          <w:highlight w:val="none"/>
          <w:lang w:eastAsia="zh-CN"/>
        </w:rPr>
        <w:t>响应文件</w:t>
      </w:r>
      <w:r>
        <w:rPr>
          <w:rFonts w:hint="eastAsia" w:ascii="宋体" w:hAnsi="宋体" w:cs="宋体"/>
          <w:color w:val="auto"/>
          <w:sz w:val="24"/>
          <w:szCs w:val="24"/>
          <w:highlight w:val="none"/>
        </w:rPr>
        <w:t>、资料都是准确的和真实的。</w:t>
      </w:r>
    </w:p>
    <w:p w14:paraId="273F002F">
      <w:pPr>
        <w:numPr>
          <w:ilvl w:val="0"/>
          <w:numId w:val="8"/>
        </w:numPr>
        <w:adjustRightInd w:val="0"/>
        <w:snapToGrid w:val="0"/>
        <w:spacing w:line="400" w:lineRule="exact"/>
        <w:ind w:left="0" w:leftChars="0" w:firstLine="511" w:firstLineChars="213"/>
        <w:rPr>
          <w:rFonts w:ascii="宋体" w:hAnsi="宋体" w:cs="宋体"/>
          <w:color w:val="auto"/>
          <w:sz w:val="24"/>
          <w:szCs w:val="24"/>
          <w:highlight w:val="none"/>
        </w:rPr>
      </w:pPr>
      <w:r>
        <w:rPr>
          <w:rFonts w:hint="eastAsia" w:ascii="宋体" w:hAnsi="宋体" w:cs="宋体"/>
          <w:color w:val="auto"/>
          <w:sz w:val="24"/>
          <w:szCs w:val="24"/>
          <w:highlight w:val="none"/>
        </w:rPr>
        <w:t>若中标，我方将按</w:t>
      </w:r>
      <w:r>
        <w:rPr>
          <w:rFonts w:hint="eastAsia" w:ascii="宋体" w:hAnsi="宋体" w:cs="宋体"/>
          <w:color w:val="auto"/>
          <w:sz w:val="24"/>
          <w:szCs w:val="24"/>
          <w:highlight w:val="none"/>
          <w:lang w:eastAsia="zh-CN"/>
        </w:rPr>
        <w:t>磋商文件</w:t>
      </w:r>
      <w:r>
        <w:rPr>
          <w:rFonts w:hint="eastAsia" w:ascii="宋体" w:hAnsi="宋体" w:cs="宋体"/>
          <w:color w:val="auto"/>
          <w:sz w:val="24"/>
          <w:szCs w:val="24"/>
          <w:highlight w:val="none"/>
        </w:rPr>
        <w:t>规定履行合同责任和义务。</w:t>
      </w:r>
    </w:p>
    <w:p w14:paraId="1D5270F3">
      <w:pPr>
        <w:numPr>
          <w:ilvl w:val="0"/>
          <w:numId w:val="8"/>
        </w:numPr>
        <w:adjustRightInd w:val="0"/>
        <w:snapToGrid w:val="0"/>
        <w:spacing w:line="400" w:lineRule="exact"/>
        <w:ind w:left="0" w:leftChars="0" w:firstLine="511" w:firstLineChars="213"/>
        <w:rPr>
          <w:rFonts w:ascii="宋体" w:hAnsi="宋体" w:cs="宋体"/>
          <w:color w:val="auto"/>
          <w:sz w:val="24"/>
          <w:szCs w:val="24"/>
          <w:highlight w:val="none"/>
        </w:rPr>
      </w:pPr>
      <w:r>
        <w:rPr>
          <w:rFonts w:hint="eastAsia" w:ascii="宋体" w:hAnsi="宋体" w:cs="宋体"/>
          <w:color w:val="auto"/>
          <w:sz w:val="24"/>
          <w:szCs w:val="24"/>
          <w:highlight w:val="none"/>
        </w:rPr>
        <w:t>我方郑重承诺：我方所投产品及其任何一部分，免受第三方提出的侵犯其专利权、商标权、著作权或其它知识产权的起诉。我方承担由此可能产生的一切法律责任和费用。</w:t>
      </w:r>
    </w:p>
    <w:p w14:paraId="42C8D5B2">
      <w:pPr>
        <w:numPr>
          <w:ilvl w:val="0"/>
          <w:numId w:val="8"/>
        </w:numPr>
        <w:adjustRightInd w:val="0"/>
        <w:snapToGrid w:val="0"/>
        <w:spacing w:line="400" w:lineRule="exact"/>
        <w:ind w:left="0" w:leftChars="0" w:firstLine="511" w:firstLineChars="213"/>
        <w:rPr>
          <w:rFonts w:ascii="宋体" w:hAnsi="宋体" w:cs="宋体"/>
          <w:color w:val="auto"/>
          <w:sz w:val="24"/>
          <w:szCs w:val="24"/>
          <w:highlight w:val="none"/>
        </w:rPr>
      </w:pPr>
      <w:r>
        <w:rPr>
          <w:rFonts w:hint="eastAsia" w:ascii="宋体" w:hAnsi="宋体" w:cs="宋体"/>
          <w:color w:val="auto"/>
          <w:sz w:val="24"/>
          <w:szCs w:val="24"/>
          <w:highlight w:val="none"/>
        </w:rPr>
        <w:t>我方不是采购人的附属机构；在获知本项目采购信息后，与采购人聘请的为此项目提供咨询服务的公司及其附属机构没有任何联系。</w:t>
      </w:r>
    </w:p>
    <w:p w14:paraId="03249670">
      <w:pPr>
        <w:numPr>
          <w:ilvl w:val="0"/>
          <w:numId w:val="8"/>
        </w:numPr>
        <w:adjustRightInd w:val="0"/>
        <w:snapToGrid w:val="0"/>
        <w:spacing w:line="400" w:lineRule="exact"/>
        <w:ind w:left="0" w:leftChars="0" w:firstLine="511" w:firstLineChars="213"/>
        <w:rPr>
          <w:rFonts w:ascii="宋体" w:hAnsi="宋体" w:cs="宋体"/>
          <w:color w:val="auto"/>
          <w:sz w:val="24"/>
          <w:szCs w:val="24"/>
          <w:highlight w:val="none"/>
        </w:rPr>
      </w:pPr>
      <w:r>
        <w:rPr>
          <w:rFonts w:hint="eastAsia" w:ascii="宋体" w:hAnsi="宋体" w:cs="宋体"/>
          <w:color w:val="auto"/>
          <w:sz w:val="24"/>
          <w:szCs w:val="24"/>
          <w:highlight w:val="none"/>
        </w:rPr>
        <w:t>投标书自开标日起有效期为日。以上事项如有虚假或隐瞒，我方愿意承担一切后果，并不再寻求任何旨在减轻或免除法律责任的辩解。</w:t>
      </w:r>
    </w:p>
    <w:p w14:paraId="0AA79F44">
      <w:pPr>
        <w:adjustRightInd w:val="0"/>
        <w:snapToGrid w:val="0"/>
        <w:spacing w:line="400" w:lineRule="exact"/>
        <w:ind w:left="0" w:leftChars="0" w:right="-817" w:rightChars="-389" w:firstLine="511" w:firstLineChars="213"/>
        <w:rPr>
          <w:rFonts w:ascii="宋体" w:hAnsi="宋体" w:cs="宋体"/>
          <w:color w:val="auto"/>
          <w:sz w:val="24"/>
          <w:szCs w:val="24"/>
          <w:highlight w:val="none"/>
        </w:rPr>
      </w:pPr>
    </w:p>
    <w:p w14:paraId="451CF140">
      <w:pPr>
        <w:adjustRightInd w:val="0"/>
        <w:snapToGrid w:val="0"/>
        <w:spacing w:line="400" w:lineRule="exact"/>
        <w:ind w:left="0" w:leftChars="0" w:right="-817" w:rightChars="-389" w:firstLine="511" w:firstLineChars="213"/>
        <w:rPr>
          <w:rFonts w:ascii="宋体" w:hAnsi="宋体" w:cs="宋体"/>
          <w:color w:val="auto"/>
          <w:sz w:val="24"/>
          <w:szCs w:val="24"/>
          <w:highlight w:val="none"/>
        </w:rPr>
      </w:pPr>
    </w:p>
    <w:p w14:paraId="7D9103F5">
      <w:pPr>
        <w:adjustRightInd w:val="0"/>
        <w:snapToGrid w:val="0"/>
        <w:spacing w:line="400" w:lineRule="exact"/>
        <w:ind w:left="0" w:leftChars="0" w:right="-817" w:rightChars="-389" w:firstLine="511" w:firstLineChars="213"/>
        <w:rPr>
          <w:rFonts w:ascii="宋体" w:hAnsi="宋体" w:cs="宋体"/>
          <w:color w:val="auto"/>
          <w:sz w:val="24"/>
          <w:szCs w:val="24"/>
          <w:highlight w:val="none"/>
        </w:rPr>
      </w:pPr>
    </w:p>
    <w:p w14:paraId="54DB28A5">
      <w:pPr>
        <w:adjustRightInd w:val="0"/>
        <w:snapToGrid w:val="0"/>
        <w:spacing w:line="400" w:lineRule="exact"/>
        <w:ind w:left="0" w:leftChars="0" w:right="-817" w:rightChars="-389" w:firstLine="511" w:firstLineChars="213"/>
        <w:rPr>
          <w:rFonts w:ascii="宋体" w:hAnsi="宋体" w:cs="宋体"/>
          <w:color w:val="auto"/>
          <w:sz w:val="24"/>
          <w:szCs w:val="24"/>
          <w:highlight w:val="none"/>
        </w:rPr>
      </w:pPr>
      <w:r>
        <w:rPr>
          <w:rFonts w:hint="eastAsia" w:ascii="宋体" w:hAnsi="宋体" w:cs="宋体"/>
          <w:color w:val="auto"/>
          <w:sz w:val="24"/>
          <w:szCs w:val="24"/>
          <w:highlight w:val="none"/>
        </w:rPr>
        <w:t>投标人名称（盖章）：</w:t>
      </w:r>
    </w:p>
    <w:p w14:paraId="287A2D0A">
      <w:pPr>
        <w:adjustRightInd w:val="0"/>
        <w:snapToGrid w:val="0"/>
        <w:spacing w:line="400" w:lineRule="exact"/>
        <w:ind w:left="0" w:leftChars="0" w:right="-817" w:rightChars="-389" w:firstLine="511" w:firstLineChars="213"/>
        <w:rPr>
          <w:rFonts w:ascii="宋体" w:hAnsi="宋体" w:cs="宋体"/>
          <w:color w:val="auto"/>
          <w:sz w:val="24"/>
          <w:szCs w:val="24"/>
          <w:highlight w:val="none"/>
        </w:rPr>
      </w:pPr>
      <w:r>
        <w:rPr>
          <w:rFonts w:hint="eastAsia" w:ascii="宋体" w:hAnsi="宋体" w:cs="宋体"/>
          <w:color w:val="auto"/>
          <w:sz w:val="24"/>
          <w:szCs w:val="24"/>
          <w:highlight w:val="none"/>
        </w:rPr>
        <w:t>法定代表人（负责人、自然人）或授权代表（签字）：</w:t>
      </w:r>
    </w:p>
    <w:p w14:paraId="1A1C4BA9">
      <w:pPr>
        <w:adjustRightInd w:val="0"/>
        <w:snapToGrid w:val="0"/>
        <w:spacing w:line="400" w:lineRule="exact"/>
        <w:ind w:left="0" w:leftChars="0" w:right="-817" w:rightChars="-389" w:firstLine="511" w:firstLineChars="213"/>
        <w:jc w:val="left"/>
        <w:rPr>
          <w:rFonts w:ascii="宋体" w:hAnsi="宋体" w:cs="宋体"/>
          <w:color w:val="auto"/>
          <w:sz w:val="24"/>
          <w:szCs w:val="24"/>
          <w:highlight w:val="none"/>
        </w:rPr>
      </w:pPr>
      <w:r>
        <w:rPr>
          <w:rFonts w:hint="eastAsia" w:ascii="宋体" w:hAnsi="宋体" w:cs="宋体"/>
          <w:color w:val="auto"/>
          <w:sz w:val="24"/>
          <w:szCs w:val="24"/>
          <w:highlight w:val="none"/>
        </w:rPr>
        <w:t>日期：    年   月   日</w:t>
      </w:r>
    </w:p>
    <w:p w14:paraId="6773F140">
      <w:pPr>
        <w:adjustRightInd w:val="0"/>
        <w:snapToGrid w:val="0"/>
        <w:spacing w:line="360" w:lineRule="auto"/>
        <w:ind w:left="0" w:leftChars="0" w:firstLine="511" w:firstLineChars="213"/>
        <w:rPr>
          <w:rFonts w:ascii="宋体" w:hAnsi="宋体" w:cs="宋体"/>
          <w:color w:val="auto"/>
          <w:sz w:val="24"/>
          <w:szCs w:val="24"/>
          <w:highlight w:val="none"/>
        </w:rPr>
      </w:pPr>
      <w:r>
        <w:rPr>
          <w:rFonts w:hint="eastAsia" w:ascii="宋体" w:hAnsi="宋体" w:cs="宋体"/>
          <w:sz w:val="24"/>
          <w:szCs w:val="24"/>
          <w:highlight w:val="none"/>
        </w:rPr>
        <w:br w:type="page"/>
      </w:r>
      <w:r>
        <w:rPr>
          <w:rFonts w:hint="eastAsia" w:ascii="宋体" w:hAnsi="宋体" w:cs="宋体"/>
          <w:b/>
          <w:color w:val="auto"/>
          <w:sz w:val="24"/>
          <w:szCs w:val="24"/>
          <w:highlight w:val="none"/>
        </w:rPr>
        <w:t>2、授权委托书格式：</w:t>
      </w:r>
    </w:p>
    <w:p w14:paraId="65AF55B0">
      <w:pPr>
        <w:adjustRightInd w:val="0"/>
        <w:snapToGrid w:val="0"/>
        <w:spacing w:line="360" w:lineRule="auto"/>
        <w:ind w:left="0" w:leftChars="0" w:firstLine="511" w:firstLineChars="213"/>
        <w:jc w:val="center"/>
        <w:rPr>
          <w:rFonts w:ascii="宋体" w:hAnsi="宋体" w:cs="宋体"/>
          <w:color w:val="auto"/>
          <w:sz w:val="24"/>
          <w:szCs w:val="24"/>
          <w:highlight w:val="none"/>
        </w:rPr>
      </w:pPr>
    </w:p>
    <w:p w14:paraId="2188673F">
      <w:pPr>
        <w:adjustRightInd w:val="0"/>
        <w:snapToGrid w:val="0"/>
        <w:spacing w:line="360" w:lineRule="auto"/>
        <w:ind w:left="0" w:leftChars="0" w:firstLine="513" w:firstLineChars="213"/>
        <w:jc w:val="center"/>
        <w:rPr>
          <w:rFonts w:ascii="宋体" w:hAnsi="宋体" w:cs="宋体"/>
          <w:b/>
          <w:color w:val="auto"/>
          <w:sz w:val="24"/>
          <w:szCs w:val="24"/>
          <w:highlight w:val="none"/>
        </w:rPr>
      </w:pPr>
      <w:r>
        <w:rPr>
          <w:rFonts w:hint="eastAsia" w:ascii="宋体" w:hAnsi="宋体" w:cs="宋体"/>
          <w:b/>
          <w:color w:val="auto"/>
          <w:sz w:val="24"/>
          <w:szCs w:val="24"/>
          <w:highlight w:val="none"/>
        </w:rPr>
        <w:t>授权委托书</w:t>
      </w:r>
    </w:p>
    <w:p w14:paraId="16DE9F05">
      <w:pPr>
        <w:adjustRightInd w:val="0"/>
        <w:snapToGrid w:val="0"/>
        <w:spacing w:line="360" w:lineRule="auto"/>
        <w:ind w:left="0" w:leftChars="0" w:firstLine="511" w:firstLineChars="213"/>
        <w:rPr>
          <w:rFonts w:ascii="宋体" w:hAnsi="宋体" w:cs="宋体"/>
          <w:b/>
          <w:bCs/>
          <w:color w:val="auto"/>
          <w:sz w:val="24"/>
          <w:szCs w:val="24"/>
          <w:highlight w:val="none"/>
        </w:rPr>
      </w:pPr>
      <w:r>
        <w:rPr>
          <w:rFonts w:hint="eastAsia" w:ascii="宋体" w:hAnsi="宋体" w:cs="宋体"/>
          <w:color w:val="auto"/>
          <w:sz w:val="24"/>
          <w:szCs w:val="24"/>
          <w:highlight w:val="none"/>
        </w:rPr>
        <w:t>（采购代理机构名称）：</w:t>
      </w:r>
    </w:p>
    <w:p w14:paraId="1B9E835C">
      <w:pPr>
        <w:adjustRightInd w:val="0"/>
        <w:snapToGrid w:val="0"/>
        <w:spacing w:line="360" w:lineRule="auto"/>
        <w:ind w:left="0" w:leftChars="0" w:firstLine="511" w:firstLineChars="213"/>
        <w:rPr>
          <w:rFonts w:ascii="宋体" w:hAnsi="宋体" w:cs="宋体"/>
          <w:color w:val="auto"/>
          <w:sz w:val="24"/>
          <w:szCs w:val="24"/>
          <w:highlight w:val="none"/>
        </w:rPr>
      </w:pPr>
      <w:r>
        <w:rPr>
          <w:rFonts w:hint="eastAsia" w:ascii="宋体" w:hAnsi="宋体" w:cs="宋体"/>
          <w:color w:val="auto"/>
          <w:sz w:val="24"/>
          <w:szCs w:val="24"/>
          <w:highlight w:val="none"/>
        </w:rPr>
        <w:t xml:space="preserve">我（姓名）系（投标人名称）的法定代表人（负责人、自然人），现授权委托 </w:t>
      </w:r>
      <w:r>
        <w:rPr>
          <w:rFonts w:hint="eastAsia" w:ascii="宋体" w:hAnsi="宋体" w:cs="宋体"/>
          <w:color w:val="auto"/>
          <w:sz w:val="24"/>
          <w:szCs w:val="24"/>
          <w:highlight w:val="none"/>
          <w:u w:val="single"/>
        </w:rPr>
        <w:t>（姓名）</w:t>
      </w:r>
      <w:r>
        <w:rPr>
          <w:rFonts w:hint="eastAsia" w:ascii="宋体" w:hAnsi="宋体" w:cs="宋体"/>
          <w:color w:val="auto"/>
          <w:sz w:val="24"/>
          <w:szCs w:val="24"/>
          <w:highlight w:val="none"/>
        </w:rPr>
        <w:t>以我方的名义参加</w:t>
      </w:r>
      <w:r>
        <w:rPr>
          <w:rFonts w:hint="eastAsia" w:ascii="宋体" w:hAnsi="宋体" w:cs="宋体"/>
          <w:color w:val="auto"/>
          <w:sz w:val="24"/>
          <w:szCs w:val="24"/>
          <w:highlight w:val="none"/>
          <w:u w:val="single"/>
        </w:rPr>
        <w:t xml:space="preserve">     项目（项目编号：        ）标包编号及内容</w:t>
      </w:r>
      <w:r>
        <w:rPr>
          <w:rFonts w:hint="eastAsia" w:ascii="宋体" w:hAnsi="宋体" w:cs="宋体"/>
          <w:color w:val="auto"/>
          <w:sz w:val="24"/>
          <w:szCs w:val="24"/>
          <w:highlight w:val="none"/>
        </w:rPr>
        <w:t>的投标活动，并代表我方全权办理针对上述项目的投标、开标、评标、签约等具体事务和签署相关文件。</w:t>
      </w:r>
    </w:p>
    <w:p w14:paraId="1ECC681A">
      <w:pPr>
        <w:adjustRightInd w:val="0"/>
        <w:snapToGrid w:val="0"/>
        <w:spacing w:line="360" w:lineRule="auto"/>
        <w:ind w:left="0" w:leftChars="0" w:firstLine="511" w:firstLineChars="213"/>
        <w:rPr>
          <w:rFonts w:ascii="宋体" w:hAnsi="宋体" w:cs="宋体"/>
          <w:color w:val="auto"/>
          <w:sz w:val="24"/>
          <w:szCs w:val="24"/>
          <w:highlight w:val="none"/>
        </w:rPr>
      </w:pPr>
      <w:r>
        <w:rPr>
          <w:rFonts w:hint="eastAsia" w:ascii="宋体" w:hAnsi="宋体" w:cs="宋体"/>
          <w:color w:val="auto"/>
          <w:sz w:val="24"/>
          <w:szCs w:val="24"/>
          <w:highlight w:val="none"/>
        </w:rPr>
        <w:t xml:space="preserve">    我方对被授权人的签名事项负全部责任。</w:t>
      </w:r>
    </w:p>
    <w:p w14:paraId="257B6CEE">
      <w:pPr>
        <w:adjustRightInd w:val="0"/>
        <w:snapToGrid w:val="0"/>
        <w:spacing w:line="360" w:lineRule="auto"/>
        <w:ind w:left="0" w:leftChars="0" w:firstLine="511" w:firstLineChars="213"/>
        <w:rPr>
          <w:rFonts w:ascii="宋体" w:hAnsi="宋体" w:cs="宋体"/>
          <w:color w:val="auto"/>
          <w:sz w:val="24"/>
          <w:szCs w:val="24"/>
          <w:highlight w:val="none"/>
        </w:rPr>
      </w:pPr>
      <w:r>
        <w:rPr>
          <w:rFonts w:hint="eastAsia" w:ascii="宋体" w:hAnsi="宋体" w:cs="宋体"/>
          <w:color w:val="auto"/>
          <w:sz w:val="24"/>
          <w:szCs w:val="24"/>
          <w:highlight w:val="none"/>
          <w:u w:val="single"/>
        </w:rPr>
        <w:t>在撤销授权的书面通知以前，本授权书一直有效。</w:t>
      </w:r>
      <w:r>
        <w:rPr>
          <w:rFonts w:hint="eastAsia" w:ascii="宋体" w:hAnsi="宋体" w:cs="宋体"/>
          <w:color w:val="auto"/>
          <w:sz w:val="24"/>
          <w:szCs w:val="24"/>
          <w:highlight w:val="none"/>
        </w:rPr>
        <w:t>被授权人在授权书有效期内签署的所有文件不因授权的撤销而失效。</w:t>
      </w:r>
    </w:p>
    <w:p w14:paraId="61D5B8D9">
      <w:pPr>
        <w:adjustRightInd w:val="0"/>
        <w:snapToGrid w:val="0"/>
        <w:spacing w:line="360" w:lineRule="auto"/>
        <w:ind w:left="0" w:leftChars="0" w:firstLine="511" w:firstLineChars="213"/>
        <w:rPr>
          <w:rFonts w:ascii="宋体" w:hAnsi="宋体" w:cs="宋体"/>
          <w:color w:val="auto"/>
          <w:sz w:val="24"/>
          <w:szCs w:val="24"/>
          <w:highlight w:val="none"/>
        </w:rPr>
      </w:pPr>
      <w:r>
        <w:rPr>
          <w:rFonts w:hint="eastAsia" w:ascii="宋体" w:hAnsi="宋体" w:cs="宋体"/>
          <w:color w:val="auto"/>
          <w:sz w:val="24"/>
          <w:szCs w:val="24"/>
          <w:highlight w:val="none"/>
        </w:rPr>
        <w:t>被授权人无转委托权，特此委托。</w:t>
      </w:r>
    </w:p>
    <w:p w14:paraId="273C6D22">
      <w:pPr>
        <w:adjustRightInd w:val="0"/>
        <w:snapToGrid w:val="0"/>
        <w:spacing w:line="360" w:lineRule="auto"/>
        <w:ind w:left="0" w:leftChars="0" w:firstLine="511" w:firstLineChars="213"/>
        <w:rPr>
          <w:rFonts w:ascii="宋体" w:hAnsi="宋体" w:cs="宋体"/>
          <w:color w:val="auto"/>
          <w:sz w:val="24"/>
          <w:szCs w:val="24"/>
          <w:highlight w:val="none"/>
          <w:u w:val="single"/>
        </w:rPr>
      </w:pPr>
      <w:r>
        <w:rPr>
          <w:rFonts w:hint="eastAsia" w:ascii="宋体" w:hAnsi="宋体" w:cs="宋体"/>
          <w:color w:val="auto"/>
          <w:sz w:val="24"/>
          <w:szCs w:val="24"/>
          <w:highlight w:val="none"/>
        </w:rPr>
        <w:t>授权代表签名：                      授权人签名：</w:t>
      </w:r>
    </w:p>
    <w:p w14:paraId="0C0C5FCF">
      <w:pPr>
        <w:adjustRightInd w:val="0"/>
        <w:snapToGrid w:val="0"/>
        <w:spacing w:line="360" w:lineRule="auto"/>
        <w:ind w:left="0" w:leftChars="0" w:firstLine="511" w:firstLineChars="213"/>
        <w:rPr>
          <w:rFonts w:ascii="宋体" w:hAnsi="宋体" w:cs="宋体"/>
          <w:color w:val="auto"/>
          <w:sz w:val="24"/>
          <w:szCs w:val="24"/>
          <w:highlight w:val="none"/>
        </w:rPr>
      </w:pPr>
      <w:r>
        <w:rPr>
          <w:rFonts w:hint="eastAsia" w:ascii="宋体" w:hAnsi="宋体" w:cs="宋体"/>
          <w:color w:val="auto"/>
          <w:sz w:val="24"/>
          <w:szCs w:val="24"/>
          <w:highlight w:val="none"/>
        </w:rPr>
        <w:t>职务：                      职务：</w:t>
      </w:r>
    </w:p>
    <w:p w14:paraId="0B8982FB">
      <w:pPr>
        <w:adjustRightInd w:val="0"/>
        <w:snapToGrid w:val="0"/>
        <w:spacing w:line="360" w:lineRule="auto"/>
        <w:ind w:left="0" w:leftChars="0" w:firstLine="511" w:firstLineChars="213"/>
        <w:rPr>
          <w:rFonts w:ascii="宋体" w:hAnsi="宋体" w:cs="宋体"/>
          <w:color w:val="auto"/>
          <w:sz w:val="24"/>
          <w:szCs w:val="24"/>
          <w:highlight w:val="none"/>
        </w:rPr>
      </w:pPr>
      <w:r>
        <w:rPr>
          <w:rFonts w:hint="eastAsia" w:ascii="宋体" w:hAnsi="宋体" w:cs="宋体"/>
          <w:color w:val="auto"/>
          <w:sz w:val="24"/>
          <w:szCs w:val="24"/>
          <w:highlight w:val="none"/>
        </w:rPr>
        <w:t>授权代表身份证号码：</w:t>
      </w:r>
    </w:p>
    <w:p w14:paraId="353CBC46">
      <w:pPr>
        <w:adjustRightInd w:val="0"/>
        <w:snapToGrid w:val="0"/>
        <w:spacing w:line="360" w:lineRule="auto"/>
        <w:ind w:left="0" w:leftChars="0" w:firstLine="511" w:firstLineChars="213"/>
        <w:rPr>
          <w:rFonts w:ascii="宋体" w:hAnsi="宋体" w:cs="宋体"/>
          <w:color w:val="auto"/>
          <w:sz w:val="24"/>
          <w:szCs w:val="24"/>
          <w:highlight w:val="none"/>
        </w:rPr>
      </w:pPr>
    </w:p>
    <w:tbl>
      <w:tblPr>
        <w:tblStyle w:val="37"/>
        <w:tblW w:w="86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10"/>
        <w:gridCol w:w="4310"/>
      </w:tblGrid>
      <w:tr w14:paraId="13E78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1" w:hRule="atLeast"/>
        </w:trPr>
        <w:tc>
          <w:tcPr>
            <w:tcW w:w="4310" w:type="dxa"/>
            <w:vAlign w:val="center"/>
          </w:tcPr>
          <w:p w14:paraId="695185B6">
            <w:pPr>
              <w:adjustRightInd w:val="0"/>
              <w:snapToGrid w:val="0"/>
              <w:spacing w:line="360" w:lineRule="auto"/>
              <w:ind w:left="0" w:leftChars="0" w:right="480" w:firstLine="511" w:firstLineChars="213"/>
              <w:jc w:val="center"/>
              <w:rPr>
                <w:rFonts w:ascii="宋体" w:hAnsi="宋体" w:cs="宋体"/>
                <w:color w:val="auto"/>
                <w:sz w:val="24"/>
                <w:szCs w:val="24"/>
                <w:highlight w:val="none"/>
              </w:rPr>
            </w:pPr>
            <w:r>
              <w:rPr>
                <w:rFonts w:hint="eastAsia" w:ascii="宋体" w:hAnsi="宋体" w:cs="宋体"/>
                <w:color w:val="auto"/>
                <w:sz w:val="24"/>
                <w:szCs w:val="24"/>
                <w:highlight w:val="none"/>
              </w:rPr>
              <w:t>授权人身份证正面</w:t>
            </w:r>
          </w:p>
        </w:tc>
        <w:tc>
          <w:tcPr>
            <w:tcW w:w="4310" w:type="dxa"/>
            <w:vAlign w:val="center"/>
          </w:tcPr>
          <w:p w14:paraId="0FA9FB58">
            <w:pPr>
              <w:adjustRightInd w:val="0"/>
              <w:snapToGrid w:val="0"/>
              <w:spacing w:line="360" w:lineRule="auto"/>
              <w:ind w:left="0" w:leftChars="0" w:right="480" w:firstLine="511" w:firstLineChars="213"/>
              <w:jc w:val="center"/>
              <w:rPr>
                <w:rFonts w:ascii="宋体" w:hAnsi="宋体" w:cs="宋体"/>
                <w:color w:val="auto"/>
                <w:sz w:val="24"/>
                <w:szCs w:val="24"/>
                <w:highlight w:val="none"/>
              </w:rPr>
            </w:pPr>
            <w:r>
              <w:rPr>
                <w:rFonts w:hint="eastAsia" w:ascii="宋体" w:hAnsi="宋体" w:cs="宋体"/>
                <w:color w:val="auto"/>
                <w:sz w:val="24"/>
                <w:szCs w:val="24"/>
                <w:highlight w:val="none"/>
              </w:rPr>
              <w:t>被授权人身份证正面</w:t>
            </w:r>
          </w:p>
        </w:tc>
      </w:tr>
      <w:tr w14:paraId="03DAF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5" w:hRule="atLeast"/>
        </w:trPr>
        <w:tc>
          <w:tcPr>
            <w:tcW w:w="4310" w:type="dxa"/>
            <w:vAlign w:val="center"/>
          </w:tcPr>
          <w:p w14:paraId="33F40749">
            <w:pPr>
              <w:adjustRightInd w:val="0"/>
              <w:snapToGrid w:val="0"/>
              <w:spacing w:line="360" w:lineRule="auto"/>
              <w:ind w:left="0" w:leftChars="0" w:right="480" w:firstLine="511" w:firstLineChars="213"/>
              <w:jc w:val="center"/>
              <w:rPr>
                <w:rFonts w:ascii="宋体" w:hAnsi="宋体" w:cs="宋体"/>
                <w:color w:val="auto"/>
                <w:sz w:val="24"/>
                <w:szCs w:val="24"/>
                <w:highlight w:val="none"/>
              </w:rPr>
            </w:pPr>
            <w:r>
              <w:rPr>
                <w:rFonts w:hint="eastAsia" w:ascii="宋体" w:hAnsi="宋体" w:cs="宋体"/>
                <w:color w:val="auto"/>
                <w:sz w:val="24"/>
                <w:szCs w:val="24"/>
                <w:highlight w:val="none"/>
              </w:rPr>
              <w:t>授权人身份证反面</w:t>
            </w:r>
          </w:p>
        </w:tc>
        <w:tc>
          <w:tcPr>
            <w:tcW w:w="4310" w:type="dxa"/>
            <w:vAlign w:val="center"/>
          </w:tcPr>
          <w:p w14:paraId="2DE81C37">
            <w:pPr>
              <w:adjustRightInd w:val="0"/>
              <w:snapToGrid w:val="0"/>
              <w:spacing w:line="360" w:lineRule="auto"/>
              <w:ind w:left="0" w:leftChars="0" w:right="480" w:firstLine="511" w:firstLineChars="213"/>
              <w:jc w:val="center"/>
              <w:rPr>
                <w:rFonts w:ascii="宋体" w:hAnsi="宋体" w:cs="宋体"/>
                <w:color w:val="auto"/>
                <w:sz w:val="24"/>
                <w:szCs w:val="24"/>
                <w:highlight w:val="none"/>
              </w:rPr>
            </w:pPr>
            <w:r>
              <w:rPr>
                <w:rFonts w:hint="eastAsia" w:ascii="宋体" w:hAnsi="宋体" w:cs="宋体"/>
                <w:color w:val="auto"/>
                <w:sz w:val="24"/>
                <w:szCs w:val="24"/>
                <w:highlight w:val="none"/>
              </w:rPr>
              <w:t>被授权人身份证反面</w:t>
            </w:r>
          </w:p>
        </w:tc>
      </w:tr>
    </w:tbl>
    <w:p w14:paraId="49037729">
      <w:pPr>
        <w:adjustRightInd w:val="0"/>
        <w:snapToGrid w:val="0"/>
        <w:spacing w:line="360" w:lineRule="auto"/>
        <w:ind w:left="0" w:leftChars="0" w:right="480" w:firstLine="511" w:firstLineChars="213"/>
        <w:jc w:val="center"/>
        <w:rPr>
          <w:rFonts w:ascii="宋体" w:hAnsi="宋体" w:cs="宋体"/>
          <w:color w:val="auto"/>
          <w:sz w:val="24"/>
          <w:szCs w:val="24"/>
          <w:highlight w:val="none"/>
        </w:rPr>
      </w:pPr>
    </w:p>
    <w:p w14:paraId="6F3372E3">
      <w:pPr>
        <w:adjustRightInd w:val="0"/>
        <w:snapToGrid w:val="0"/>
        <w:spacing w:line="360" w:lineRule="auto"/>
        <w:ind w:left="0" w:leftChars="0" w:right="480" w:firstLine="511" w:firstLineChars="213"/>
        <w:jc w:val="center"/>
        <w:rPr>
          <w:rFonts w:ascii="宋体" w:hAnsi="宋体" w:cs="宋体"/>
          <w:color w:val="auto"/>
          <w:sz w:val="24"/>
          <w:szCs w:val="24"/>
          <w:highlight w:val="none"/>
        </w:rPr>
      </w:pPr>
      <w:r>
        <w:rPr>
          <w:rFonts w:hint="eastAsia" w:ascii="宋体" w:hAnsi="宋体" w:cs="宋体"/>
          <w:color w:val="auto"/>
          <w:sz w:val="24"/>
          <w:szCs w:val="24"/>
          <w:highlight w:val="none"/>
        </w:rPr>
        <w:t xml:space="preserve">                          投标人名称（盖章）：</w:t>
      </w:r>
    </w:p>
    <w:p w14:paraId="277307C9">
      <w:pPr>
        <w:adjustRightInd w:val="0"/>
        <w:snapToGrid w:val="0"/>
        <w:spacing w:line="360" w:lineRule="auto"/>
        <w:ind w:left="0" w:leftChars="0" w:right="360" w:firstLine="511" w:firstLineChars="213"/>
        <w:jc w:val="right"/>
        <w:rPr>
          <w:rFonts w:ascii="宋体" w:hAnsi="宋体" w:cs="宋体"/>
          <w:color w:val="auto"/>
          <w:sz w:val="24"/>
          <w:szCs w:val="24"/>
          <w:highlight w:val="none"/>
        </w:rPr>
      </w:pPr>
      <w:r>
        <w:rPr>
          <w:rFonts w:hint="eastAsia" w:ascii="宋体" w:hAnsi="宋体" w:cs="宋体"/>
          <w:color w:val="auto"/>
          <w:sz w:val="24"/>
          <w:szCs w:val="24"/>
          <w:highlight w:val="none"/>
        </w:rPr>
        <w:t>日期：    年    月    日</w:t>
      </w:r>
    </w:p>
    <w:p w14:paraId="482D87F2">
      <w:pPr>
        <w:pStyle w:val="29"/>
        <w:ind w:left="0" w:leftChars="0" w:firstLine="383" w:firstLineChars="213"/>
        <w:rPr>
          <w:highlight w:val="none"/>
        </w:rPr>
      </w:pPr>
    </w:p>
    <w:p w14:paraId="77F3DCD2">
      <w:pPr>
        <w:pStyle w:val="29"/>
        <w:ind w:left="0" w:leftChars="0" w:firstLine="383" w:firstLineChars="213"/>
        <w:rPr>
          <w:highlight w:val="none"/>
        </w:rPr>
      </w:pPr>
    </w:p>
    <w:p w14:paraId="7522D5B8">
      <w:pPr>
        <w:pStyle w:val="29"/>
        <w:ind w:left="0" w:leftChars="0" w:firstLine="383" w:firstLineChars="213"/>
        <w:rPr>
          <w:highlight w:val="none"/>
        </w:rPr>
      </w:pPr>
    </w:p>
    <w:p w14:paraId="5E3016D0">
      <w:pPr>
        <w:pStyle w:val="29"/>
        <w:ind w:left="0" w:leftChars="0" w:firstLine="383" w:firstLineChars="213"/>
        <w:rPr>
          <w:highlight w:val="none"/>
        </w:rPr>
      </w:pPr>
    </w:p>
    <w:p w14:paraId="3B2FDEF1">
      <w:pPr>
        <w:adjustRightInd w:val="0"/>
        <w:snapToGrid w:val="0"/>
        <w:spacing w:line="360" w:lineRule="auto"/>
        <w:ind w:left="0" w:leftChars="0" w:firstLine="513" w:firstLineChars="213"/>
        <w:rPr>
          <w:rFonts w:ascii="宋体" w:hAnsi="宋体" w:cs="宋体"/>
          <w:b/>
          <w:sz w:val="24"/>
          <w:szCs w:val="24"/>
          <w:highlight w:val="none"/>
        </w:rPr>
      </w:pPr>
      <w:r>
        <w:rPr>
          <w:rFonts w:hint="eastAsia" w:ascii="宋体" w:hAnsi="宋体" w:cs="宋体"/>
          <w:b/>
          <w:sz w:val="24"/>
          <w:szCs w:val="24"/>
          <w:highlight w:val="none"/>
        </w:rPr>
        <w:t>3、有效的营业执照（事业单位法人证书、民办非企业单位登记证书、社会团体法人登记证书、基金会法人登记证书、自然人身份证）副本复印件、税务登记证副本（如有）复印件</w:t>
      </w:r>
    </w:p>
    <w:p w14:paraId="4E03B6ED">
      <w:pPr>
        <w:adjustRightInd w:val="0"/>
        <w:snapToGrid w:val="0"/>
        <w:spacing w:line="360" w:lineRule="auto"/>
        <w:ind w:left="0" w:leftChars="0" w:firstLine="513" w:firstLineChars="213"/>
        <w:jc w:val="left"/>
        <w:rPr>
          <w:rFonts w:ascii="宋体" w:hAnsi="宋体" w:cs="宋体"/>
          <w:b/>
          <w:sz w:val="24"/>
          <w:szCs w:val="24"/>
          <w:highlight w:val="none"/>
        </w:rPr>
      </w:pPr>
    </w:p>
    <w:p w14:paraId="2C87C8CF">
      <w:pPr>
        <w:adjustRightInd w:val="0"/>
        <w:snapToGrid w:val="0"/>
        <w:spacing w:line="400" w:lineRule="exact"/>
        <w:ind w:left="0" w:leftChars="0" w:firstLine="513" w:firstLineChars="213"/>
        <w:jc w:val="left"/>
        <w:rPr>
          <w:rFonts w:ascii="宋体" w:hAnsi="宋体" w:cs="宋体"/>
          <w:b/>
          <w:color w:val="auto"/>
          <w:sz w:val="24"/>
          <w:szCs w:val="24"/>
          <w:highlight w:val="none"/>
        </w:rPr>
      </w:pPr>
      <w:r>
        <w:rPr>
          <w:rFonts w:hint="eastAsia" w:ascii="宋体" w:hAnsi="宋体" w:cs="宋体"/>
          <w:b/>
          <w:color w:val="auto"/>
          <w:sz w:val="24"/>
          <w:szCs w:val="24"/>
          <w:highlight w:val="none"/>
        </w:rPr>
        <w:t>4、投标人情况介绍格式：</w:t>
      </w:r>
    </w:p>
    <w:p w14:paraId="56CFEF76">
      <w:pPr>
        <w:adjustRightInd w:val="0"/>
        <w:snapToGrid w:val="0"/>
        <w:spacing w:line="400" w:lineRule="exact"/>
        <w:ind w:left="0" w:leftChars="0" w:firstLine="513" w:firstLineChars="213"/>
        <w:jc w:val="center"/>
        <w:rPr>
          <w:rFonts w:ascii="宋体" w:hAnsi="宋体" w:cs="宋体"/>
          <w:b/>
          <w:color w:val="auto"/>
          <w:sz w:val="24"/>
          <w:szCs w:val="24"/>
          <w:highlight w:val="none"/>
        </w:rPr>
      </w:pPr>
      <w:r>
        <w:rPr>
          <w:rFonts w:hint="eastAsia" w:ascii="宋体" w:hAnsi="宋体" w:cs="宋体"/>
          <w:b/>
          <w:color w:val="auto"/>
          <w:sz w:val="24"/>
          <w:szCs w:val="24"/>
          <w:highlight w:val="none"/>
        </w:rPr>
        <w:t>投标人情况</w:t>
      </w:r>
    </w:p>
    <w:p w14:paraId="35AC22DF">
      <w:pPr>
        <w:adjustRightInd w:val="0"/>
        <w:snapToGrid w:val="0"/>
        <w:spacing w:line="400" w:lineRule="exact"/>
        <w:ind w:left="0" w:leftChars="0" w:firstLine="511" w:firstLineChars="213"/>
        <w:jc w:val="left"/>
        <w:rPr>
          <w:rFonts w:ascii="宋体" w:hAnsi="宋体" w:cs="宋体"/>
          <w:color w:val="auto"/>
          <w:sz w:val="24"/>
          <w:szCs w:val="24"/>
          <w:highlight w:val="none"/>
        </w:rPr>
      </w:pPr>
      <w:r>
        <w:rPr>
          <w:rFonts w:hint="eastAsia" w:ascii="宋体" w:hAnsi="宋体" w:cs="宋体"/>
          <w:color w:val="auto"/>
          <w:sz w:val="24"/>
          <w:szCs w:val="24"/>
          <w:highlight w:val="none"/>
        </w:rPr>
        <w:t xml:space="preserve">投标人名称:                                                   </w:t>
      </w:r>
    </w:p>
    <w:tbl>
      <w:tblPr>
        <w:tblStyle w:val="37"/>
        <w:tblW w:w="86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8"/>
        <w:gridCol w:w="1053"/>
        <w:gridCol w:w="1469"/>
        <w:gridCol w:w="854"/>
        <w:gridCol w:w="1453"/>
        <w:gridCol w:w="765"/>
        <w:gridCol w:w="1400"/>
      </w:tblGrid>
      <w:tr w14:paraId="73A19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1658" w:type="dxa"/>
            <w:vAlign w:val="center"/>
          </w:tcPr>
          <w:p w14:paraId="40D4E009">
            <w:pPr>
              <w:pStyle w:val="182"/>
              <w:spacing w:line="400" w:lineRule="exact"/>
              <w:jc w:val="both"/>
              <w:rPr>
                <w:rFonts w:ascii="宋体" w:hAnsi="宋体" w:cs="宋体"/>
                <w:color w:val="auto"/>
                <w:sz w:val="24"/>
                <w:szCs w:val="24"/>
                <w:highlight w:val="none"/>
              </w:rPr>
            </w:pPr>
            <w:r>
              <w:rPr>
                <w:rFonts w:hint="eastAsia" w:ascii="宋体" w:hAnsi="宋体" w:cs="宋体"/>
                <w:color w:val="auto"/>
                <w:sz w:val="24"/>
                <w:szCs w:val="24"/>
                <w:highlight w:val="none"/>
              </w:rPr>
              <w:t>投标人名称</w:t>
            </w:r>
          </w:p>
        </w:tc>
        <w:tc>
          <w:tcPr>
            <w:tcW w:w="6994" w:type="dxa"/>
            <w:gridSpan w:val="6"/>
            <w:vAlign w:val="center"/>
          </w:tcPr>
          <w:p w14:paraId="52E1968D">
            <w:pPr>
              <w:pStyle w:val="182"/>
              <w:numPr>
                <w:ilvl w:val="0"/>
                <w:numId w:val="9"/>
              </w:numPr>
              <w:spacing w:line="400" w:lineRule="exact"/>
              <w:ind w:left="0" w:leftChars="0" w:firstLine="511" w:firstLineChars="213"/>
              <w:rPr>
                <w:rFonts w:ascii="宋体" w:hAnsi="宋体" w:cs="宋体"/>
                <w:color w:val="auto"/>
                <w:sz w:val="24"/>
                <w:szCs w:val="24"/>
                <w:highlight w:val="none"/>
              </w:rPr>
            </w:pPr>
          </w:p>
        </w:tc>
      </w:tr>
      <w:tr w14:paraId="1803F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1658" w:type="dxa"/>
            <w:vAlign w:val="center"/>
          </w:tcPr>
          <w:p w14:paraId="4D07681A">
            <w:pPr>
              <w:pStyle w:val="182"/>
              <w:spacing w:line="400" w:lineRule="exact"/>
              <w:jc w:val="both"/>
              <w:rPr>
                <w:rFonts w:ascii="宋体" w:hAnsi="宋体" w:cs="宋体"/>
                <w:color w:val="auto"/>
                <w:sz w:val="24"/>
                <w:szCs w:val="24"/>
                <w:highlight w:val="none"/>
              </w:rPr>
            </w:pPr>
            <w:r>
              <w:rPr>
                <w:rFonts w:hint="eastAsia" w:ascii="宋体" w:hAnsi="宋体" w:cs="宋体"/>
                <w:color w:val="auto"/>
                <w:sz w:val="24"/>
                <w:szCs w:val="24"/>
                <w:highlight w:val="none"/>
              </w:rPr>
              <w:t>注册地址</w:t>
            </w:r>
          </w:p>
        </w:tc>
        <w:tc>
          <w:tcPr>
            <w:tcW w:w="3376" w:type="dxa"/>
            <w:gridSpan w:val="3"/>
            <w:vAlign w:val="center"/>
          </w:tcPr>
          <w:p w14:paraId="12D5161E">
            <w:pPr>
              <w:pStyle w:val="182"/>
              <w:numPr>
                <w:ilvl w:val="0"/>
                <w:numId w:val="9"/>
              </w:numPr>
              <w:spacing w:line="400" w:lineRule="exact"/>
              <w:ind w:left="0" w:leftChars="0" w:firstLine="511" w:firstLineChars="213"/>
              <w:rPr>
                <w:rFonts w:ascii="宋体" w:hAnsi="宋体" w:cs="宋体"/>
                <w:color w:val="auto"/>
                <w:sz w:val="24"/>
                <w:szCs w:val="24"/>
                <w:highlight w:val="none"/>
              </w:rPr>
            </w:pPr>
          </w:p>
        </w:tc>
        <w:tc>
          <w:tcPr>
            <w:tcW w:w="1453" w:type="dxa"/>
            <w:vAlign w:val="center"/>
          </w:tcPr>
          <w:p w14:paraId="566B65B9">
            <w:pPr>
              <w:pStyle w:val="182"/>
              <w:spacing w:line="400" w:lineRule="exact"/>
              <w:jc w:val="both"/>
              <w:rPr>
                <w:rFonts w:ascii="宋体" w:hAnsi="宋体" w:cs="宋体"/>
                <w:color w:val="auto"/>
                <w:sz w:val="24"/>
                <w:szCs w:val="24"/>
                <w:highlight w:val="none"/>
              </w:rPr>
            </w:pPr>
            <w:r>
              <w:rPr>
                <w:rFonts w:hint="eastAsia" w:ascii="宋体" w:hAnsi="宋体" w:cs="宋体"/>
                <w:color w:val="auto"/>
                <w:sz w:val="24"/>
                <w:szCs w:val="24"/>
                <w:highlight w:val="none"/>
              </w:rPr>
              <w:t>邮政编码</w:t>
            </w:r>
          </w:p>
        </w:tc>
        <w:tc>
          <w:tcPr>
            <w:tcW w:w="2165" w:type="dxa"/>
            <w:gridSpan w:val="2"/>
            <w:vAlign w:val="center"/>
          </w:tcPr>
          <w:p w14:paraId="1AEF15C5">
            <w:pPr>
              <w:pStyle w:val="182"/>
              <w:numPr>
                <w:ilvl w:val="0"/>
                <w:numId w:val="9"/>
              </w:numPr>
              <w:spacing w:line="400" w:lineRule="exact"/>
              <w:ind w:left="0" w:leftChars="0" w:firstLine="511" w:firstLineChars="213"/>
              <w:rPr>
                <w:rFonts w:ascii="宋体" w:hAnsi="宋体" w:cs="宋体"/>
                <w:color w:val="auto"/>
                <w:sz w:val="24"/>
                <w:szCs w:val="24"/>
                <w:highlight w:val="none"/>
              </w:rPr>
            </w:pPr>
          </w:p>
        </w:tc>
      </w:tr>
      <w:tr w14:paraId="675B6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1658" w:type="dxa"/>
            <w:vMerge w:val="restart"/>
            <w:vAlign w:val="center"/>
          </w:tcPr>
          <w:p w14:paraId="0FAB2AF6">
            <w:pPr>
              <w:pStyle w:val="182"/>
              <w:spacing w:line="400" w:lineRule="exact"/>
              <w:jc w:val="both"/>
              <w:rPr>
                <w:rFonts w:ascii="宋体" w:hAnsi="宋体" w:cs="宋体"/>
                <w:color w:val="auto"/>
                <w:sz w:val="24"/>
                <w:szCs w:val="24"/>
                <w:highlight w:val="none"/>
              </w:rPr>
            </w:pPr>
            <w:r>
              <w:rPr>
                <w:rFonts w:hint="eastAsia" w:ascii="宋体" w:hAnsi="宋体" w:cs="宋体"/>
                <w:color w:val="auto"/>
                <w:sz w:val="24"/>
                <w:szCs w:val="24"/>
                <w:highlight w:val="none"/>
              </w:rPr>
              <w:t>联系方式</w:t>
            </w:r>
          </w:p>
        </w:tc>
        <w:tc>
          <w:tcPr>
            <w:tcW w:w="1053" w:type="dxa"/>
            <w:vAlign w:val="center"/>
          </w:tcPr>
          <w:p w14:paraId="63F338F0">
            <w:pPr>
              <w:pStyle w:val="182"/>
              <w:spacing w:line="400" w:lineRule="exact"/>
              <w:jc w:val="both"/>
              <w:rPr>
                <w:rFonts w:ascii="宋体" w:hAnsi="宋体" w:cs="宋体"/>
                <w:color w:val="auto"/>
                <w:sz w:val="24"/>
                <w:szCs w:val="24"/>
                <w:highlight w:val="none"/>
              </w:rPr>
            </w:pPr>
            <w:r>
              <w:rPr>
                <w:rFonts w:hint="eastAsia" w:ascii="宋体" w:hAnsi="宋体" w:cs="宋体"/>
                <w:color w:val="auto"/>
                <w:sz w:val="24"/>
                <w:szCs w:val="24"/>
                <w:highlight w:val="none"/>
              </w:rPr>
              <w:t>联系人</w:t>
            </w:r>
          </w:p>
        </w:tc>
        <w:tc>
          <w:tcPr>
            <w:tcW w:w="2323" w:type="dxa"/>
            <w:gridSpan w:val="2"/>
            <w:vAlign w:val="center"/>
          </w:tcPr>
          <w:p w14:paraId="2EB41E19">
            <w:pPr>
              <w:pStyle w:val="182"/>
              <w:numPr>
                <w:ilvl w:val="0"/>
                <w:numId w:val="9"/>
              </w:numPr>
              <w:spacing w:line="400" w:lineRule="exact"/>
              <w:ind w:left="0" w:leftChars="0" w:firstLine="511" w:firstLineChars="213"/>
              <w:rPr>
                <w:rFonts w:ascii="宋体" w:hAnsi="宋体" w:cs="宋体"/>
                <w:color w:val="auto"/>
                <w:sz w:val="24"/>
                <w:szCs w:val="24"/>
                <w:highlight w:val="none"/>
              </w:rPr>
            </w:pPr>
          </w:p>
        </w:tc>
        <w:tc>
          <w:tcPr>
            <w:tcW w:w="1453" w:type="dxa"/>
            <w:vAlign w:val="center"/>
          </w:tcPr>
          <w:p w14:paraId="57F6EB53">
            <w:pPr>
              <w:pStyle w:val="182"/>
              <w:numPr>
                <w:ilvl w:val="0"/>
                <w:numId w:val="0"/>
              </w:numPr>
              <w:spacing w:line="400" w:lineRule="exact"/>
              <w:ind w:leftChars="213"/>
              <w:jc w:val="both"/>
              <w:rPr>
                <w:rFonts w:ascii="宋体" w:hAnsi="宋体" w:cs="宋体"/>
                <w:color w:val="auto"/>
                <w:sz w:val="24"/>
                <w:szCs w:val="24"/>
                <w:highlight w:val="none"/>
              </w:rPr>
            </w:pPr>
            <w:r>
              <w:rPr>
                <w:rFonts w:hint="eastAsia" w:ascii="宋体" w:hAnsi="宋体" w:cs="宋体"/>
                <w:color w:val="auto"/>
                <w:sz w:val="24"/>
                <w:szCs w:val="24"/>
                <w:highlight w:val="none"/>
              </w:rPr>
              <w:t>电话</w:t>
            </w:r>
          </w:p>
        </w:tc>
        <w:tc>
          <w:tcPr>
            <w:tcW w:w="2165" w:type="dxa"/>
            <w:gridSpan w:val="2"/>
            <w:vAlign w:val="center"/>
          </w:tcPr>
          <w:p w14:paraId="35D077EE">
            <w:pPr>
              <w:pStyle w:val="182"/>
              <w:numPr>
                <w:ilvl w:val="0"/>
                <w:numId w:val="9"/>
              </w:numPr>
              <w:spacing w:line="400" w:lineRule="exact"/>
              <w:ind w:left="0" w:leftChars="0" w:firstLine="511" w:firstLineChars="213"/>
              <w:rPr>
                <w:rFonts w:ascii="宋体" w:hAnsi="宋体" w:cs="宋体"/>
                <w:color w:val="auto"/>
                <w:sz w:val="24"/>
                <w:szCs w:val="24"/>
                <w:highlight w:val="none"/>
              </w:rPr>
            </w:pPr>
          </w:p>
        </w:tc>
      </w:tr>
      <w:tr w14:paraId="31BEC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1658" w:type="dxa"/>
            <w:vMerge w:val="continue"/>
            <w:vAlign w:val="center"/>
          </w:tcPr>
          <w:p w14:paraId="11C1DD0B">
            <w:pPr>
              <w:pStyle w:val="182"/>
              <w:numPr>
                <w:ilvl w:val="0"/>
                <w:numId w:val="9"/>
              </w:numPr>
              <w:spacing w:line="400" w:lineRule="exact"/>
              <w:ind w:left="0" w:leftChars="0" w:firstLine="511" w:firstLineChars="213"/>
              <w:rPr>
                <w:rFonts w:ascii="宋体" w:hAnsi="宋体" w:cs="宋体"/>
                <w:color w:val="auto"/>
                <w:sz w:val="24"/>
                <w:szCs w:val="24"/>
                <w:highlight w:val="none"/>
              </w:rPr>
            </w:pPr>
          </w:p>
        </w:tc>
        <w:tc>
          <w:tcPr>
            <w:tcW w:w="1053" w:type="dxa"/>
            <w:vAlign w:val="center"/>
          </w:tcPr>
          <w:p w14:paraId="5AAAF122">
            <w:pPr>
              <w:pStyle w:val="182"/>
              <w:spacing w:line="400" w:lineRule="exact"/>
              <w:jc w:val="both"/>
              <w:rPr>
                <w:rFonts w:ascii="宋体" w:hAnsi="宋体" w:cs="宋体"/>
                <w:color w:val="auto"/>
                <w:sz w:val="24"/>
                <w:szCs w:val="24"/>
                <w:highlight w:val="none"/>
              </w:rPr>
            </w:pPr>
            <w:r>
              <w:rPr>
                <w:rFonts w:hint="eastAsia" w:ascii="宋体" w:hAnsi="宋体" w:cs="宋体"/>
                <w:color w:val="auto"/>
                <w:sz w:val="24"/>
                <w:szCs w:val="24"/>
                <w:highlight w:val="none"/>
              </w:rPr>
              <w:t>传 真</w:t>
            </w:r>
          </w:p>
        </w:tc>
        <w:tc>
          <w:tcPr>
            <w:tcW w:w="2323" w:type="dxa"/>
            <w:gridSpan w:val="2"/>
            <w:vAlign w:val="center"/>
          </w:tcPr>
          <w:p w14:paraId="371CE2F1">
            <w:pPr>
              <w:pStyle w:val="182"/>
              <w:numPr>
                <w:ilvl w:val="0"/>
                <w:numId w:val="9"/>
              </w:numPr>
              <w:spacing w:line="400" w:lineRule="exact"/>
              <w:ind w:left="0" w:leftChars="0" w:firstLine="511" w:firstLineChars="213"/>
              <w:rPr>
                <w:rFonts w:ascii="宋体" w:hAnsi="宋体" w:cs="宋体"/>
                <w:color w:val="auto"/>
                <w:sz w:val="24"/>
                <w:szCs w:val="24"/>
                <w:highlight w:val="none"/>
              </w:rPr>
            </w:pPr>
          </w:p>
        </w:tc>
        <w:tc>
          <w:tcPr>
            <w:tcW w:w="1453" w:type="dxa"/>
            <w:vAlign w:val="center"/>
          </w:tcPr>
          <w:p w14:paraId="28C4A228">
            <w:pPr>
              <w:pStyle w:val="182"/>
              <w:numPr>
                <w:ilvl w:val="0"/>
                <w:numId w:val="0"/>
              </w:numPr>
              <w:spacing w:line="400" w:lineRule="exact"/>
              <w:ind w:leftChars="213"/>
              <w:jc w:val="both"/>
              <w:rPr>
                <w:rFonts w:ascii="宋体" w:hAnsi="宋体" w:cs="宋体"/>
                <w:color w:val="auto"/>
                <w:sz w:val="24"/>
                <w:szCs w:val="24"/>
                <w:highlight w:val="none"/>
              </w:rPr>
            </w:pPr>
            <w:r>
              <w:rPr>
                <w:rFonts w:hint="eastAsia" w:ascii="宋体" w:hAnsi="宋体" w:cs="宋体"/>
                <w:color w:val="auto"/>
                <w:sz w:val="24"/>
                <w:szCs w:val="24"/>
                <w:highlight w:val="none"/>
              </w:rPr>
              <w:t>网址</w:t>
            </w:r>
          </w:p>
        </w:tc>
        <w:tc>
          <w:tcPr>
            <w:tcW w:w="2165" w:type="dxa"/>
            <w:gridSpan w:val="2"/>
            <w:vAlign w:val="center"/>
          </w:tcPr>
          <w:p w14:paraId="11F60C75">
            <w:pPr>
              <w:pStyle w:val="182"/>
              <w:numPr>
                <w:ilvl w:val="0"/>
                <w:numId w:val="9"/>
              </w:numPr>
              <w:spacing w:line="400" w:lineRule="exact"/>
              <w:ind w:left="0" w:leftChars="0" w:firstLine="511" w:firstLineChars="213"/>
              <w:rPr>
                <w:rFonts w:ascii="宋体" w:hAnsi="宋体" w:cs="宋体"/>
                <w:color w:val="auto"/>
                <w:sz w:val="24"/>
                <w:szCs w:val="24"/>
                <w:highlight w:val="none"/>
              </w:rPr>
            </w:pPr>
          </w:p>
        </w:tc>
      </w:tr>
      <w:tr w14:paraId="3A1DA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1658" w:type="dxa"/>
            <w:vAlign w:val="center"/>
          </w:tcPr>
          <w:p w14:paraId="062A0179">
            <w:pPr>
              <w:pStyle w:val="182"/>
              <w:spacing w:line="400" w:lineRule="exact"/>
              <w:jc w:val="both"/>
              <w:rPr>
                <w:rFonts w:ascii="宋体" w:hAnsi="宋体" w:cs="宋体"/>
                <w:color w:val="auto"/>
                <w:sz w:val="24"/>
                <w:szCs w:val="24"/>
                <w:highlight w:val="none"/>
              </w:rPr>
            </w:pPr>
            <w:r>
              <w:rPr>
                <w:rFonts w:hint="eastAsia" w:ascii="宋体" w:hAnsi="宋体" w:cs="宋体"/>
                <w:color w:val="auto"/>
                <w:sz w:val="24"/>
                <w:szCs w:val="24"/>
                <w:highlight w:val="none"/>
              </w:rPr>
              <w:t>法定代表人</w:t>
            </w:r>
          </w:p>
        </w:tc>
        <w:tc>
          <w:tcPr>
            <w:tcW w:w="1053" w:type="dxa"/>
            <w:vAlign w:val="center"/>
          </w:tcPr>
          <w:p w14:paraId="7F2FAEDD">
            <w:pPr>
              <w:pStyle w:val="182"/>
              <w:spacing w:line="400" w:lineRule="exact"/>
              <w:jc w:val="both"/>
              <w:rPr>
                <w:rFonts w:ascii="宋体" w:hAnsi="宋体" w:cs="宋体"/>
                <w:color w:val="auto"/>
                <w:sz w:val="24"/>
                <w:szCs w:val="24"/>
                <w:highlight w:val="none"/>
              </w:rPr>
            </w:pPr>
            <w:r>
              <w:rPr>
                <w:rFonts w:hint="eastAsia" w:ascii="宋体" w:hAnsi="宋体" w:cs="宋体"/>
                <w:color w:val="auto"/>
                <w:sz w:val="24"/>
                <w:szCs w:val="24"/>
                <w:highlight w:val="none"/>
              </w:rPr>
              <w:t>姓名</w:t>
            </w:r>
          </w:p>
        </w:tc>
        <w:tc>
          <w:tcPr>
            <w:tcW w:w="1469" w:type="dxa"/>
            <w:vAlign w:val="center"/>
          </w:tcPr>
          <w:p w14:paraId="4E2D9324">
            <w:pPr>
              <w:pStyle w:val="182"/>
              <w:numPr>
                <w:ilvl w:val="0"/>
                <w:numId w:val="9"/>
              </w:numPr>
              <w:spacing w:line="400" w:lineRule="exact"/>
              <w:ind w:left="0" w:leftChars="0" w:firstLine="511" w:firstLineChars="213"/>
              <w:rPr>
                <w:rFonts w:ascii="宋体" w:hAnsi="宋体" w:cs="宋体"/>
                <w:color w:val="auto"/>
                <w:sz w:val="24"/>
                <w:szCs w:val="24"/>
                <w:highlight w:val="none"/>
              </w:rPr>
            </w:pPr>
          </w:p>
        </w:tc>
        <w:tc>
          <w:tcPr>
            <w:tcW w:w="854" w:type="dxa"/>
            <w:vAlign w:val="center"/>
          </w:tcPr>
          <w:p w14:paraId="451F892C">
            <w:pPr>
              <w:pStyle w:val="182"/>
              <w:spacing w:line="400" w:lineRule="exact"/>
              <w:jc w:val="both"/>
              <w:rPr>
                <w:rFonts w:ascii="宋体" w:hAnsi="宋体" w:cs="宋体"/>
                <w:color w:val="auto"/>
                <w:sz w:val="24"/>
                <w:szCs w:val="24"/>
                <w:highlight w:val="none"/>
              </w:rPr>
            </w:pPr>
            <w:r>
              <w:rPr>
                <w:rFonts w:hint="eastAsia" w:ascii="宋体" w:hAnsi="宋体" w:cs="宋体"/>
                <w:color w:val="auto"/>
                <w:sz w:val="24"/>
                <w:szCs w:val="24"/>
                <w:highlight w:val="none"/>
              </w:rPr>
              <w:t>职称</w:t>
            </w:r>
          </w:p>
        </w:tc>
        <w:tc>
          <w:tcPr>
            <w:tcW w:w="1453" w:type="dxa"/>
            <w:vAlign w:val="center"/>
          </w:tcPr>
          <w:p w14:paraId="3CDE47CD">
            <w:pPr>
              <w:pStyle w:val="182"/>
              <w:numPr>
                <w:ilvl w:val="0"/>
                <w:numId w:val="9"/>
              </w:numPr>
              <w:spacing w:line="400" w:lineRule="exact"/>
              <w:ind w:left="0" w:leftChars="0" w:firstLine="511" w:firstLineChars="213"/>
              <w:rPr>
                <w:rFonts w:ascii="宋体" w:hAnsi="宋体" w:cs="宋体"/>
                <w:color w:val="auto"/>
                <w:sz w:val="24"/>
                <w:szCs w:val="24"/>
                <w:highlight w:val="none"/>
              </w:rPr>
            </w:pPr>
          </w:p>
        </w:tc>
        <w:tc>
          <w:tcPr>
            <w:tcW w:w="765" w:type="dxa"/>
            <w:vAlign w:val="center"/>
          </w:tcPr>
          <w:p w14:paraId="5505F0E1">
            <w:pPr>
              <w:pStyle w:val="182"/>
              <w:spacing w:line="400" w:lineRule="exact"/>
              <w:jc w:val="both"/>
              <w:rPr>
                <w:rFonts w:ascii="宋体" w:hAnsi="宋体" w:cs="宋体"/>
                <w:color w:val="auto"/>
                <w:sz w:val="24"/>
                <w:szCs w:val="24"/>
                <w:highlight w:val="none"/>
              </w:rPr>
            </w:pPr>
            <w:r>
              <w:rPr>
                <w:rFonts w:hint="eastAsia" w:ascii="宋体" w:hAnsi="宋体" w:cs="宋体"/>
                <w:color w:val="auto"/>
                <w:sz w:val="24"/>
                <w:szCs w:val="24"/>
                <w:highlight w:val="none"/>
              </w:rPr>
              <w:t>电话</w:t>
            </w:r>
          </w:p>
        </w:tc>
        <w:tc>
          <w:tcPr>
            <w:tcW w:w="1400" w:type="dxa"/>
            <w:vAlign w:val="center"/>
          </w:tcPr>
          <w:p w14:paraId="2C85B4CF">
            <w:pPr>
              <w:pStyle w:val="182"/>
              <w:numPr>
                <w:ilvl w:val="0"/>
                <w:numId w:val="9"/>
              </w:numPr>
              <w:spacing w:line="400" w:lineRule="exact"/>
              <w:ind w:left="0" w:leftChars="0" w:firstLine="511" w:firstLineChars="213"/>
              <w:rPr>
                <w:rFonts w:ascii="宋体" w:hAnsi="宋体" w:cs="宋体"/>
                <w:color w:val="auto"/>
                <w:sz w:val="24"/>
                <w:szCs w:val="24"/>
                <w:highlight w:val="none"/>
              </w:rPr>
            </w:pPr>
          </w:p>
        </w:tc>
      </w:tr>
      <w:tr w14:paraId="04BC5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1658" w:type="dxa"/>
            <w:vAlign w:val="center"/>
          </w:tcPr>
          <w:p w14:paraId="0AFD7396">
            <w:pPr>
              <w:pStyle w:val="182"/>
              <w:spacing w:line="400" w:lineRule="exact"/>
              <w:jc w:val="both"/>
              <w:rPr>
                <w:rFonts w:ascii="宋体" w:hAnsi="宋体" w:cs="宋体"/>
                <w:color w:val="auto"/>
                <w:sz w:val="24"/>
                <w:szCs w:val="24"/>
                <w:highlight w:val="none"/>
              </w:rPr>
            </w:pPr>
            <w:r>
              <w:rPr>
                <w:rFonts w:hint="eastAsia" w:ascii="宋体" w:hAnsi="宋体" w:cs="宋体"/>
                <w:color w:val="auto"/>
                <w:sz w:val="24"/>
                <w:szCs w:val="24"/>
                <w:highlight w:val="none"/>
              </w:rPr>
              <w:t>企业负责人</w:t>
            </w:r>
          </w:p>
        </w:tc>
        <w:tc>
          <w:tcPr>
            <w:tcW w:w="1053" w:type="dxa"/>
            <w:vAlign w:val="center"/>
          </w:tcPr>
          <w:p w14:paraId="3A4FBEF9">
            <w:pPr>
              <w:pStyle w:val="182"/>
              <w:spacing w:line="400" w:lineRule="exact"/>
              <w:jc w:val="both"/>
              <w:rPr>
                <w:rFonts w:ascii="宋体" w:hAnsi="宋体" w:cs="宋体"/>
                <w:color w:val="auto"/>
                <w:sz w:val="24"/>
                <w:szCs w:val="24"/>
                <w:highlight w:val="none"/>
              </w:rPr>
            </w:pPr>
            <w:r>
              <w:rPr>
                <w:rFonts w:hint="eastAsia" w:ascii="宋体" w:hAnsi="宋体" w:cs="宋体"/>
                <w:color w:val="auto"/>
                <w:sz w:val="24"/>
                <w:szCs w:val="24"/>
                <w:highlight w:val="none"/>
              </w:rPr>
              <w:t>姓名</w:t>
            </w:r>
          </w:p>
        </w:tc>
        <w:tc>
          <w:tcPr>
            <w:tcW w:w="1469" w:type="dxa"/>
            <w:vAlign w:val="center"/>
          </w:tcPr>
          <w:p w14:paraId="6D9AB85C">
            <w:pPr>
              <w:pStyle w:val="182"/>
              <w:numPr>
                <w:ilvl w:val="0"/>
                <w:numId w:val="9"/>
              </w:numPr>
              <w:spacing w:line="400" w:lineRule="exact"/>
              <w:ind w:left="0" w:leftChars="0" w:firstLine="511" w:firstLineChars="213"/>
              <w:rPr>
                <w:rFonts w:ascii="宋体" w:hAnsi="宋体" w:cs="宋体"/>
                <w:color w:val="auto"/>
                <w:sz w:val="24"/>
                <w:szCs w:val="24"/>
                <w:highlight w:val="none"/>
              </w:rPr>
            </w:pPr>
          </w:p>
        </w:tc>
        <w:tc>
          <w:tcPr>
            <w:tcW w:w="854" w:type="dxa"/>
            <w:vAlign w:val="center"/>
          </w:tcPr>
          <w:p w14:paraId="6B4F23C8">
            <w:pPr>
              <w:pStyle w:val="182"/>
              <w:spacing w:line="400" w:lineRule="exact"/>
              <w:jc w:val="both"/>
              <w:rPr>
                <w:rFonts w:ascii="宋体" w:hAnsi="宋体" w:cs="宋体"/>
                <w:color w:val="auto"/>
                <w:sz w:val="24"/>
                <w:szCs w:val="24"/>
                <w:highlight w:val="none"/>
              </w:rPr>
            </w:pPr>
            <w:r>
              <w:rPr>
                <w:rFonts w:hint="eastAsia" w:ascii="宋体" w:hAnsi="宋体" w:cs="宋体"/>
                <w:color w:val="auto"/>
                <w:sz w:val="24"/>
                <w:szCs w:val="24"/>
                <w:highlight w:val="none"/>
              </w:rPr>
              <w:t>职称</w:t>
            </w:r>
          </w:p>
        </w:tc>
        <w:tc>
          <w:tcPr>
            <w:tcW w:w="1453" w:type="dxa"/>
            <w:vAlign w:val="center"/>
          </w:tcPr>
          <w:p w14:paraId="053C83DA">
            <w:pPr>
              <w:pStyle w:val="182"/>
              <w:numPr>
                <w:ilvl w:val="0"/>
                <w:numId w:val="9"/>
              </w:numPr>
              <w:spacing w:line="400" w:lineRule="exact"/>
              <w:ind w:left="0" w:leftChars="0" w:firstLine="511" w:firstLineChars="213"/>
              <w:rPr>
                <w:rFonts w:ascii="宋体" w:hAnsi="宋体" w:cs="宋体"/>
                <w:color w:val="auto"/>
                <w:sz w:val="24"/>
                <w:szCs w:val="24"/>
                <w:highlight w:val="none"/>
              </w:rPr>
            </w:pPr>
          </w:p>
        </w:tc>
        <w:tc>
          <w:tcPr>
            <w:tcW w:w="765" w:type="dxa"/>
            <w:vAlign w:val="center"/>
          </w:tcPr>
          <w:p w14:paraId="37205DB2">
            <w:pPr>
              <w:pStyle w:val="182"/>
              <w:spacing w:line="400" w:lineRule="exact"/>
              <w:jc w:val="both"/>
              <w:rPr>
                <w:rFonts w:ascii="宋体" w:hAnsi="宋体" w:cs="宋体"/>
                <w:color w:val="auto"/>
                <w:sz w:val="24"/>
                <w:szCs w:val="24"/>
                <w:highlight w:val="none"/>
              </w:rPr>
            </w:pPr>
            <w:r>
              <w:rPr>
                <w:rFonts w:hint="eastAsia" w:ascii="宋体" w:hAnsi="宋体" w:cs="宋体"/>
                <w:color w:val="auto"/>
                <w:sz w:val="24"/>
                <w:szCs w:val="24"/>
                <w:highlight w:val="none"/>
              </w:rPr>
              <w:t>电话</w:t>
            </w:r>
          </w:p>
        </w:tc>
        <w:tc>
          <w:tcPr>
            <w:tcW w:w="1400" w:type="dxa"/>
            <w:vAlign w:val="center"/>
          </w:tcPr>
          <w:p w14:paraId="5520C74F">
            <w:pPr>
              <w:pStyle w:val="182"/>
              <w:numPr>
                <w:ilvl w:val="0"/>
                <w:numId w:val="9"/>
              </w:numPr>
              <w:spacing w:line="400" w:lineRule="exact"/>
              <w:ind w:left="0" w:leftChars="0" w:firstLine="511" w:firstLineChars="213"/>
              <w:rPr>
                <w:rFonts w:ascii="宋体" w:hAnsi="宋体" w:cs="宋体"/>
                <w:color w:val="auto"/>
                <w:sz w:val="24"/>
                <w:szCs w:val="24"/>
                <w:highlight w:val="none"/>
              </w:rPr>
            </w:pPr>
          </w:p>
        </w:tc>
      </w:tr>
      <w:tr w14:paraId="5FE65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1658" w:type="dxa"/>
            <w:vAlign w:val="center"/>
          </w:tcPr>
          <w:p w14:paraId="7DF9DDB4">
            <w:pPr>
              <w:pStyle w:val="182"/>
              <w:spacing w:line="400" w:lineRule="exact"/>
              <w:jc w:val="both"/>
              <w:rPr>
                <w:rFonts w:ascii="宋体" w:hAnsi="宋体" w:cs="宋体"/>
                <w:color w:val="auto"/>
                <w:sz w:val="24"/>
                <w:szCs w:val="24"/>
                <w:highlight w:val="none"/>
              </w:rPr>
            </w:pPr>
            <w:r>
              <w:rPr>
                <w:rFonts w:hint="eastAsia" w:ascii="宋体" w:hAnsi="宋体" w:cs="宋体"/>
                <w:color w:val="auto"/>
                <w:sz w:val="24"/>
                <w:szCs w:val="24"/>
                <w:highlight w:val="none"/>
              </w:rPr>
              <w:t>技术负责人</w:t>
            </w:r>
          </w:p>
        </w:tc>
        <w:tc>
          <w:tcPr>
            <w:tcW w:w="1053" w:type="dxa"/>
            <w:vAlign w:val="center"/>
          </w:tcPr>
          <w:p w14:paraId="0FE3A2A9">
            <w:pPr>
              <w:pStyle w:val="182"/>
              <w:spacing w:line="400" w:lineRule="exact"/>
              <w:jc w:val="both"/>
              <w:rPr>
                <w:rFonts w:ascii="宋体" w:hAnsi="宋体" w:cs="宋体"/>
                <w:color w:val="auto"/>
                <w:sz w:val="24"/>
                <w:szCs w:val="24"/>
                <w:highlight w:val="none"/>
              </w:rPr>
            </w:pPr>
            <w:r>
              <w:rPr>
                <w:rFonts w:hint="eastAsia" w:ascii="宋体" w:hAnsi="宋体" w:cs="宋体"/>
                <w:color w:val="auto"/>
                <w:sz w:val="24"/>
                <w:szCs w:val="24"/>
                <w:highlight w:val="none"/>
              </w:rPr>
              <w:t>姓名</w:t>
            </w:r>
          </w:p>
        </w:tc>
        <w:tc>
          <w:tcPr>
            <w:tcW w:w="1469" w:type="dxa"/>
            <w:vAlign w:val="center"/>
          </w:tcPr>
          <w:p w14:paraId="695B7BB6">
            <w:pPr>
              <w:pStyle w:val="182"/>
              <w:numPr>
                <w:ilvl w:val="0"/>
                <w:numId w:val="9"/>
              </w:numPr>
              <w:spacing w:line="400" w:lineRule="exact"/>
              <w:ind w:left="0" w:leftChars="0" w:firstLine="511" w:firstLineChars="213"/>
              <w:rPr>
                <w:rFonts w:ascii="宋体" w:hAnsi="宋体" w:cs="宋体"/>
                <w:color w:val="auto"/>
                <w:sz w:val="24"/>
                <w:szCs w:val="24"/>
                <w:highlight w:val="none"/>
              </w:rPr>
            </w:pPr>
          </w:p>
        </w:tc>
        <w:tc>
          <w:tcPr>
            <w:tcW w:w="854" w:type="dxa"/>
            <w:vAlign w:val="center"/>
          </w:tcPr>
          <w:p w14:paraId="0008C69E">
            <w:pPr>
              <w:pStyle w:val="182"/>
              <w:spacing w:line="400" w:lineRule="exact"/>
              <w:jc w:val="both"/>
              <w:rPr>
                <w:rFonts w:ascii="宋体" w:hAnsi="宋体" w:cs="宋体"/>
                <w:color w:val="auto"/>
                <w:sz w:val="24"/>
                <w:szCs w:val="24"/>
                <w:highlight w:val="none"/>
              </w:rPr>
            </w:pPr>
            <w:r>
              <w:rPr>
                <w:rFonts w:hint="eastAsia" w:ascii="宋体" w:hAnsi="宋体" w:cs="宋体"/>
                <w:color w:val="auto"/>
                <w:sz w:val="24"/>
                <w:szCs w:val="24"/>
                <w:highlight w:val="none"/>
              </w:rPr>
              <w:t>职称</w:t>
            </w:r>
          </w:p>
        </w:tc>
        <w:tc>
          <w:tcPr>
            <w:tcW w:w="1453" w:type="dxa"/>
            <w:vAlign w:val="center"/>
          </w:tcPr>
          <w:p w14:paraId="3FBDD501">
            <w:pPr>
              <w:pStyle w:val="182"/>
              <w:numPr>
                <w:ilvl w:val="0"/>
                <w:numId w:val="9"/>
              </w:numPr>
              <w:spacing w:line="400" w:lineRule="exact"/>
              <w:ind w:left="0" w:leftChars="0" w:firstLine="511" w:firstLineChars="213"/>
              <w:rPr>
                <w:rFonts w:ascii="宋体" w:hAnsi="宋体" w:cs="宋体"/>
                <w:color w:val="auto"/>
                <w:sz w:val="24"/>
                <w:szCs w:val="24"/>
                <w:highlight w:val="none"/>
              </w:rPr>
            </w:pPr>
          </w:p>
        </w:tc>
        <w:tc>
          <w:tcPr>
            <w:tcW w:w="765" w:type="dxa"/>
            <w:vAlign w:val="center"/>
          </w:tcPr>
          <w:p w14:paraId="0BE8338E">
            <w:pPr>
              <w:pStyle w:val="182"/>
              <w:spacing w:line="400" w:lineRule="exact"/>
              <w:jc w:val="both"/>
              <w:rPr>
                <w:rFonts w:ascii="宋体" w:hAnsi="宋体" w:cs="宋体"/>
                <w:color w:val="auto"/>
                <w:sz w:val="24"/>
                <w:szCs w:val="24"/>
                <w:highlight w:val="none"/>
              </w:rPr>
            </w:pPr>
            <w:r>
              <w:rPr>
                <w:rFonts w:hint="eastAsia" w:ascii="宋体" w:hAnsi="宋体" w:cs="宋体"/>
                <w:color w:val="auto"/>
                <w:sz w:val="24"/>
                <w:szCs w:val="24"/>
                <w:highlight w:val="none"/>
              </w:rPr>
              <w:t>电话</w:t>
            </w:r>
          </w:p>
        </w:tc>
        <w:tc>
          <w:tcPr>
            <w:tcW w:w="1400" w:type="dxa"/>
            <w:vAlign w:val="center"/>
          </w:tcPr>
          <w:p w14:paraId="35F98FB6">
            <w:pPr>
              <w:pStyle w:val="182"/>
              <w:numPr>
                <w:ilvl w:val="0"/>
                <w:numId w:val="9"/>
              </w:numPr>
              <w:spacing w:line="400" w:lineRule="exact"/>
              <w:ind w:left="0" w:leftChars="0" w:firstLine="511" w:firstLineChars="213"/>
              <w:rPr>
                <w:rFonts w:ascii="宋体" w:hAnsi="宋体" w:cs="宋体"/>
                <w:color w:val="auto"/>
                <w:sz w:val="24"/>
                <w:szCs w:val="24"/>
                <w:highlight w:val="none"/>
              </w:rPr>
            </w:pPr>
          </w:p>
        </w:tc>
      </w:tr>
      <w:tr w14:paraId="1CDCD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1658" w:type="dxa"/>
            <w:vAlign w:val="center"/>
          </w:tcPr>
          <w:p w14:paraId="695D97A6">
            <w:pPr>
              <w:pStyle w:val="182"/>
              <w:spacing w:line="400" w:lineRule="exact"/>
              <w:jc w:val="both"/>
              <w:rPr>
                <w:rFonts w:ascii="宋体" w:hAnsi="宋体" w:cs="宋体"/>
                <w:color w:val="auto"/>
                <w:sz w:val="24"/>
                <w:szCs w:val="24"/>
                <w:highlight w:val="none"/>
              </w:rPr>
            </w:pPr>
            <w:r>
              <w:rPr>
                <w:rFonts w:hint="eastAsia" w:ascii="宋体" w:hAnsi="宋体" w:cs="宋体"/>
                <w:color w:val="auto"/>
                <w:sz w:val="24"/>
                <w:szCs w:val="24"/>
                <w:highlight w:val="none"/>
              </w:rPr>
              <w:t>企业资质</w:t>
            </w:r>
          </w:p>
        </w:tc>
        <w:tc>
          <w:tcPr>
            <w:tcW w:w="2522" w:type="dxa"/>
            <w:gridSpan w:val="2"/>
            <w:vAlign w:val="center"/>
          </w:tcPr>
          <w:p w14:paraId="6DEA3F86">
            <w:pPr>
              <w:pStyle w:val="182"/>
              <w:numPr>
                <w:ilvl w:val="0"/>
                <w:numId w:val="9"/>
              </w:numPr>
              <w:spacing w:line="400" w:lineRule="exact"/>
              <w:ind w:left="0" w:leftChars="0" w:firstLine="511" w:firstLineChars="213"/>
              <w:rPr>
                <w:rFonts w:ascii="宋体" w:hAnsi="宋体" w:cs="宋体"/>
                <w:color w:val="auto"/>
                <w:sz w:val="24"/>
                <w:szCs w:val="24"/>
                <w:highlight w:val="none"/>
              </w:rPr>
            </w:pPr>
          </w:p>
        </w:tc>
        <w:tc>
          <w:tcPr>
            <w:tcW w:w="2307" w:type="dxa"/>
            <w:gridSpan w:val="2"/>
            <w:vAlign w:val="center"/>
          </w:tcPr>
          <w:p w14:paraId="17CA5E73">
            <w:pPr>
              <w:pStyle w:val="182"/>
              <w:spacing w:line="400" w:lineRule="exact"/>
              <w:ind w:left="0" w:leftChars="0" w:firstLine="511" w:firstLineChars="213"/>
              <w:rPr>
                <w:rFonts w:ascii="宋体" w:hAnsi="宋体" w:cs="宋体"/>
                <w:color w:val="auto"/>
                <w:sz w:val="24"/>
                <w:szCs w:val="24"/>
                <w:highlight w:val="none"/>
              </w:rPr>
            </w:pPr>
            <w:r>
              <w:rPr>
                <w:rFonts w:hint="eastAsia" w:ascii="宋体" w:hAnsi="宋体" w:cs="宋体"/>
                <w:color w:val="auto"/>
                <w:sz w:val="24"/>
                <w:szCs w:val="24"/>
                <w:highlight w:val="none"/>
              </w:rPr>
              <w:t>营业执照号</w:t>
            </w:r>
          </w:p>
        </w:tc>
        <w:tc>
          <w:tcPr>
            <w:tcW w:w="2165" w:type="dxa"/>
            <w:gridSpan w:val="2"/>
            <w:vAlign w:val="center"/>
          </w:tcPr>
          <w:p w14:paraId="4FC0949A">
            <w:pPr>
              <w:pStyle w:val="182"/>
              <w:numPr>
                <w:ilvl w:val="0"/>
                <w:numId w:val="9"/>
              </w:numPr>
              <w:spacing w:line="400" w:lineRule="exact"/>
              <w:ind w:left="0" w:leftChars="0" w:firstLine="511" w:firstLineChars="213"/>
              <w:rPr>
                <w:rFonts w:ascii="宋体" w:hAnsi="宋体" w:cs="宋体"/>
                <w:color w:val="auto"/>
                <w:sz w:val="24"/>
                <w:szCs w:val="24"/>
                <w:highlight w:val="none"/>
              </w:rPr>
            </w:pPr>
          </w:p>
        </w:tc>
      </w:tr>
      <w:tr w14:paraId="341E9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7" w:hRule="atLeast"/>
          <w:jc w:val="center"/>
        </w:trPr>
        <w:tc>
          <w:tcPr>
            <w:tcW w:w="1658" w:type="dxa"/>
            <w:vAlign w:val="center"/>
          </w:tcPr>
          <w:p w14:paraId="066FDCCC">
            <w:pPr>
              <w:pStyle w:val="182"/>
              <w:spacing w:line="400" w:lineRule="exact"/>
              <w:jc w:val="both"/>
              <w:rPr>
                <w:rFonts w:ascii="宋体" w:hAnsi="宋体" w:cs="宋体"/>
                <w:color w:val="auto"/>
                <w:sz w:val="24"/>
                <w:szCs w:val="24"/>
                <w:highlight w:val="none"/>
              </w:rPr>
            </w:pPr>
            <w:r>
              <w:rPr>
                <w:rFonts w:hint="eastAsia" w:ascii="宋体" w:hAnsi="宋体" w:cs="宋体"/>
                <w:color w:val="auto"/>
                <w:sz w:val="24"/>
                <w:szCs w:val="24"/>
                <w:highlight w:val="none"/>
              </w:rPr>
              <w:t>资信等级</w:t>
            </w:r>
          </w:p>
        </w:tc>
        <w:tc>
          <w:tcPr>
            <w:tcW w:w="6994" w:type="dxa"/>
            <w:gridSpan w:val="6"/>
            <w:vAlign w:val="center"/>
          </w:tcPr>
          <w:p w14:paraId="00B89C53">
            <w:pPr>
              <w:pStyle w:val="182"/>
              <w:numPr>
                <w:ilvl w:val="0"/>
                <w:numId w:val="9"/>
              </w:numPr>
              <w:spacing w:line="400" w:lineRule="exact"/>
              <w:ind w:left="0" w:leftChars="0" w:firstLine="511" w:firstLineChars="213"/>
              <w:rPr>
                <w:rFonts w:ascii="宋体" w:hAnsi="宋体" w:cs="宋体"/>
                <w:color w:val="auto"/>
                <w:sz w:val="24"/>
                <w:szCs w:val="24"/>
                <w:highlight w:val="none"/>
              </w:rPr>
            </w:pPr>
          </w:p>
        </w:tc>
      </w:tr>
      <w:tr w14:paraId="3A2EA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1658" w:type="dxa"/>
            <w:vAlign w:val="center"/>
          </w:tcPr>
          <w:p w14:paraId="37E21C5F">
            <w:pPr>
              <w:pStyle w:val="182"/>
              <w:spacing w:line="400" w:lineRule="exact"/>
              <w:jc w:val="both"/>
              <w:rPr>
                <w:rFonts w:ascii="宋体" w:hAnsi="宋体" w:cs="宋体"/>
                <w:color w:val="auto"/>
                <w:sz w:val="24"/>
                <w:szCs w:val="24"/>
                <w:highlight w:val="none"/>
              </w:rPr>
            </w:pPr>
            <w:r>
              <w:rPr>
                <w:rFonts w:hint="eastAsia" w:ascii="宋体" w:hAnsi="宋体" w:cs="宋体"/>
                <w:color w:val="auto"/>
                <w:sz w:val="24"/>
                <w:szCs w:val="24"/>
                <w:highlight w:val="none"/>
              </w:rPr>
              <w:t>环境管理体系认证</w:t>
            </w:r>
          </w:p>
        </w:tc>
        <w:tc>
          <w:tcPr>
            <w:tcW w:w="2522" w:type="dxa"/>
            <w:gridSpan w:val="2"/>
            <w:vAlign w:val="center"/>
          </w:tcPr>
          <w:p w14:paraId="47F56414">
            <w:pPr>
              <w:pStyle w:val="182"/>
              <w:numPr>
                <w:ilvl w:val="0"/>
                <w:numId w:val="9"/>
              </w:numPr>
              <w:spacing w:line="400" w:lineRule="exact"/>
              <w:ind w:left="0" w:leftChars="0" w:firstLine="511" w:firstLineChars="213"/>
              <w:rPr>
                <w:rFonts w:ascii="宋体" w:hAnsi="宋体" w:cs="宋体"/>
                <w:color w:val="auto"/>
                <w:sz w:val="24"/>
                <w:szCs w:val="24"/>
                <w:highlight w:val="none"/>
              </w:rPr>
            </w:pPr>
          </w:p>
        </w:tc>
        <w:tc>
          <w:tcPr>
            <w:tcW w:w="2307" w:type="dxa"/>
            <w:gridSpan w:val="2"/>
            <w:vAlign w:val="center"/>
          </w:tcPr>
          <w:p w14:paraId="61C67A7C">
            <w:pPr>
              <w:pStyle w:val="182"/>
              <w:spacing w:line="400" w:lineRule="exact"/>
              <w:jc w:val="both"/>
              <w:rPr>
                <w:rFonts w:ascii="宋体" w:hAnsi="宋体" w:cs="宋体"/>
                <w:color w:val="auto"/>
                <w:sz w:val="24"/>
                <w:szCs w:val="24"/>
                <w:highlight w:val="none"/>
              </w:rPr>
            </w:pPr>
            <w:r>
              <w:rPr>
                <w:rFonts w:hint="eastAsia" w:ascii="宋体" w:hAnsi="宋体" w:cs="宋体"/>
                <w:color w:val="auto"/>
                <w:sz w:val="24"/>
                <w:szCs w:val="24"/>
                <w:highlight w:val="none"/>
              </w:rPr>
              <w:t>职业安全健康管理体系认证</w:t>
            </w:r>
          </w:p>
        </w:tc>
        <w:tc>
          <w:tcPr>
            <w:tcW w:w="2165" w:type="dxa"/>
            <w:gridSpan w:val="2"/>
            <w:vAlign w:val="center"/>
          </w:tcPr>
          <w:p w14:paraId="1D2850CF">
            <w:pPr>
              <w:pStyle w:val="182"/>
              <w:numPr>
                <w:ilvl w:val="0"/>
                <w:numId w:val="9"/>
              </w:numPr>
              <w:spacing w:line="400" w:lineRule="exact"/>
              <w:ind w:left="0" w:leftChars="0" w:firstLine="511" w:firstLineChars="213"/>
              <w:rPr>
                <w:rFonts w:ascii="宋体" w:hAnsi="宋体" w:cs="宋体"/>
                <w:color w:val="auto"/>
                <w:sz w:val="24"/>
                <w:szCs w:val="24"/>
                <w:highlight w:val="none"/>
              </w:rPr>
            </w:pPr>
          </w:p>
        </w:tc>
      </w:tr>
      <w:tr w14:paraId="0B937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1" w:hRule="atLeast"/>
          <w:jc w:val="center"/>
        </w:trPr>
        <w:tc>
          <w:tcPr>
            <w:tcW w:w="1658" w:type="dxa"/>
            <w:vAlign w:val="center"/>
          </w:tcPr>
          <w:p w14:paraId="37F600C4">
            <w:pPr>
              <w:pStyle w:val="182"/>
              <w:spacing w:line="400" w:lineRule="exact"/>
              <w:jc w:val="both"/>
              <w:rPr>
                <w:rFonts w:ascii="宋体" w:hAnsi="宋体" w:cs="宋体"/>
                <w:color w:val="auto"/>
                <w:sz w:val="24"/>
                <w:szCs w:val="24"/>
                <w:highlight w:val="none"/>
              </w:rPr>
            </w:pPr>
            <w:r>
              <w:rPr>
                <w:rFonts w:hint="eastAsia" w:ascii="宋体" w:hAnsi="宋体" w:cs="宋体"/>
                <w:color w:val="auto"/>
                <w:sz w:val="24"/>
                <w:szCs w:val="24"/>
                <w:highlight w:val="none"/>
              </w:rPr>
              <w:t>注册资金</w:t>
            </w:r>
          </w:p>
        </w:tc>
        <w:tc>
          <w:tcPr>
            <w:tcW w:w="2522" w:type="dxa"/>
            <w:gridSpan w:val="2"/>
            <w:vAlign w:val="center"/>
          </w:tcPr>
          <w:p w14:paraId="7E2F5DD6">
            <w:pPr>
              <w:pStyle w:val="182"/>
              <w:numPr>
                <w:ilvl w:val="0"/>
                <w:numId w:val="9"/>
              </w:numPr>
              <w:spacing w:line="400" w:lineRule="exact"/>
              <w:ind w:left="0" w:leftChars="0" w:firstLine="511" w:firstLineChars="213"/>
              <w:rPr>
                <w:rFonts w:ascii="宋体" w:hAnsi="宋体" w:cs="宋体"/>
                <w:color w:val="auto"/>
                <w:sz w:val="24"/>
                <w:szCs w:val="24"/>
                <w:highlight w:val="none"/>
              </w:rPr>
            </w:pPr>
            <w:r>
              <w:rPr>
                <w:rFonts w:hint="eastAsia" w:ascii="宋体" w:hAnsi="宋体" w:cs="宋体"/>
                <w:color w:val="auto"/>
                <w:sz w:val="24"/>
                <w:szCs w:val="24"/>
                <w:highlight w:val="none"/>
              </w:rPr>
              <w:t>万元</w:t>
            </w:r>
          </w:p>
        </w:tc>
        <w:tc>
          <w:tcPr>
            <w:tcW w:w="2307" w:type="dxa"/>
            <w:gridSpan w:val="2"/>
            <w:vAlign w:val="center"/>
          </w:tcPr>
          <w:p w14:paraId="10E18927">
            <w:pPr>
              <w:pStyle w:val="182"/>
              <w:spacing w:line="400" w:lineRule="exact"/>
              <w:ind w:left="0" w:leftChars="0" w:firstLine="511" w:firstLineChars="213"/>
              <w:jc w:val="both"/>
              <w:rPr>
                <w:rFonts w:ascii="宋体" w:hAnsi="宋体" w:cs="宋体"/>
                <w:color w:val="auto"/>
                <w:sz w:val="24"/>
                <w:szCs w:val="24"/>
                <w:highlight w:val="none"/>
              </w:rPr>
            </w:pPr>
            <w:r>
              <w:rPr>
                <w:rFonts w:hint="eastAsia" w:ascii="宋体" w:hAnsi="宋体" w:cs="宋体"/>
                <w:color w:val="auto"/>
                <w:sz w:val="24"/>
                <w:szCs w:val="24"/>
                <w:highlight w:val="none"/>
              </w:rPr>
              <w:t>固定资产净值</w:t>
            </w:r>
          </w:p>
        </w:tc>
        <w:tc>
          <w:tcPr>
            <w:tcW w:w="2165" w:type="dxa"/>
            <w:gridSpan w:val="2"/>
            <w:vAlign w:val="center"/>
          </w:tcPr>
          <w:p w14:paraId="0C40E7A0">
            <w:pPr>
              <w:pStyle w:val="182"/>
              <w:numPr>
                <w:ilvl w:val="0"/>
                <w:numId w:val="9"/>
              </w:numPr>
              <w:spacing w:line="400" w:lineRule="exact"/>
              <w:ind w:left="0" w:leftChars="0" w:firstLine="511" w:firstLineChars="213"/>
              <w:rPr>
                <w:rFonts w:ascii="宋体" w:hAnsi="宋体" w:cs="宋体"/>
                <w:color w:val="auto"/>
                <w:sz w:val="24"/>
                <w:szCs w:val="24"/>
                <w:highlight w:val="none"/>
              </w:rPr>
            </w:pPr>
            <w:r>
              <w:rPr>
                <w:rFonts w:hint="eastAsia" w:ascii="宋体" w:hAnsi="宋体" w:cs="宋体"/>
                <w:color w:val="auto"/>
                <w:sz w:val="24"/>
                <w:szCs w:val="24"/>
                <w:highlight w:val="none"/>
              </w:rPr>
              <w:t>万元</w:t>
            </w:r>
          </w:p>
        </w:tc>
      </w:tr>
      <w:tr w14:paraId="30D2A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1" w:hRule="atLeast"/>
          <w:jc w:val="center"/>
        </w:trPr>
        <w:tc>
          <w:tcPr>
            <w:tcW w:w="1658" w:type="dxa"/>
            <w:vAlign w:val="center"/>
          </w:tcPr>
          <w:p w14:paraId="19C4F266">
            <w:pPr>
              <w:pStyle w:val="182"/>
              <w:spacing w:line="400" w:lineRule="exact"/>
              <w:jc w:val="both"/>
              <w:rPr>
                <w:rFonts w:ascii="宋体" w:hAnsi="宋体" w:cs="宋体"/>
                <w:color w:val="auto"/>
                <w:sz w:val="24"/>
                <w:szCs w:val="24"/>
                <w:highlight w:val="none"/>
              </w:rPr>
            </w:pPr>
            <w:r>
              <w:rPr>
                <w:rFonts w:hint="eastAsia" w:ascii="宋体" w:hAnsi="宋体" w:cs="宋体"/>
                <w:color w:val="auto"/>
                <w:sz w:val="24"/>
                <w:szCs w:val="24"/>
                <w:highlight w:val="none"/>
              </w:rPr>
              <w:t>流动资产</w:t>
            </w:r>
          </w:p>
        </w:tc>
        <w:tc>
          <w:tcPr>
            <w:tcW w:w="2522" w:type="dxa"/>
            <w:gridSpan w:val="2"/>
            <w:vAlign w:val="center"/>
          </w:tcPr>
          <w:p w14:paraId="75968B56">
            <w:pPr>
              <w:pStyle w:val="182"/>
              <w:numPr>
                <w:ilvl w:val="0"/>
                <w:numId w:val="9"/>
              </w:numPr>
              <w:spacing w:line="400" w:lineRule="exact"/>
              <w:ind w:left="0" w:leftChars="0" w:firstLine="511" w:firstLineChars="213"/>
              <w:rPr>
                <w:rFonts w:ascii="宋体" w:hAnsi="宋体" w:cs="宋体"/>
                <w:color w:val="auto"/>
                <w:sz w:val="24"/>
                <w:szCs w:val="24"/>
                <w:highlight w:val="none"/>
              </w:rPr>
            </w:pPr>
            <w:r>
              <w:rPr>
                <w:rFonts w:hint="eastAsia" w:ascii="宋体" w:hAnsi="宋体" w:cs="宋体"/>
                <w:color w:val="auto"/>
                <w:sz w:val="24"/>
                <w:szCs w:val="24"/>
                <w:highlight w:val="none"/>
              </w:rPr>
              <w:t>万元</w:t>
            </w:r>
          </w:p>
        </w:tc>
        <w:tc>
          <w:tcPr>
            <w:tcW w:w="2307" w:type="dxa"/>
            <w:gridSpan w:val="2"/>
            <w:vAlign w:val="center"/>
          </w:tcPr>
          <w:p w14:paraId="007814AC">
            <w:pPr>
              <w:pStyle w:val="182"/>
              <w:numPr>
                <w:ilvl w:val="0"/>
                <w:numId w:val="9"/>
              </w:numPr>
              <w:spacing w:line="400" w:lineRule="exact"/>
              <w:ind w:left="0" w:leftChars="0" w:firstLine="511" w:firstLineChars="213"/>
              <w:rPr>
                <w:rFonts w:ascii="宋体" w:hAnsi="宋体" w:cs="宋体"/>
                <w:color w:val="auto"/>
                <w:sz w:val="24"/>
                <w:szCs w:val="24"/>
                <w:highlight w:val="none"/>
              </w:rPr>
            </w:pPr>
          </w:p>
        </w:tc>
        <w:tc>
          <w:tcPr>
            <w:tcW w:w="2165" w:type="dxa"/>
            <w:gridSpan w:val="2"/>
            <w:vAlign w:val="center"/>
          </w:tcPr>
          <w:p w14:paraId="397E9A5C">
            <w:pPr>
              <w:pStyle w:val="182"/>
              <w:numPr>
                <w:ilvl w:val="0"/>
                <w:numId w:val="9"/>
              </w:numPr>
              <w:spacing w:line="400" w:lineRule="exact"/>
              <w:ind w:left="0" w:leftChars="0" w:firstLine="511" w:firstLineChars="213"/>
              <w:rPr>
                <w:rFonts w:ascii="宋体" w:hAnsi="宋体" w:cs="宋体"/>
                <w:color w:val="auto"/>
                <w:sz w:val="24"/>
                <w:szCs w:val="24"/>
                <w:highlight w:val="none"/>
              </w:rPr>
            </w:pPr>
          </w:p>
        </w:tc>
      </w:tr>
      <w:tr w14:paraId="40FD9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1" w:hRule="atLeast"/>
          <w:jc w:val="center"/>
        </w:trPr>
        <w:tc>
          <w:tcPr>
            <w:tcW w:w="1658" w:type="dxa"/>
            <w:vAlign w:val="center"/>
          </w:tcPr>
          <w:p w14:paraId="316683D0">
            <w:pPr>
              <w:pStyle w:val="182"/>
              <w:spacing w:line="400" w:lineRule="exact"/>
              <w:jc w:val="both"/>
              <w:rPr>
                <w:rFonts w:ascii="宋体" w:hAnsi="宋体" w:cs="宋体"/>
                <w:color w:val="auto"/>
                <w:sz w:val="24"/>
                <w:szCs w:val="24"/>
                <w:highlight w:val="none"/>
              </w:rPr>
            </w:pPr>
            <w:r>
              <w:rPr>
                <w:rFonts w:hint="eastAsia" w:ascii="宋体" w:hAnsi="宋体" w:cs="宋体"/>
                <w:color w:val="auto"/>
                <w:sz w:val="24"/>
                <w:szCs w:val="24"/>
                <w:highlight w:val="none"/>
              </w:rPr>
              <w:t>开户银行</w:t>
            </w:r>
          </w:p>
        </w:tc>
        <w:tc>
          <w:tcPr>
            <w:tcW w:w="2522" w:type="dxa"/>
            <w:gridSpan w:val="2"/>
            <w:vAlign w:val="center"/>
          </w:tcPr>
          <w:p w14:paraId="4DEEF110">
            <w:pPr>
              <w:pStyle w:val="182"/>
              <w:numPr>
                <w:ilvl w:val="0"/>
                <w:numId w:val="9"/>
              </w:numPr>
              <w:spacing w:line="400" w:lineRule="exact"/>
              <w:ind w:left="0" w:leftChars="0" w:firstLine="511" w:firstLineChars="213"/>
              <w:rPr>
                <w:rFonts w:ascii="宋体" w:hAnsi="宋体" w:cs="宋体"/>
                <w:color w:val="auto"/>
                <w:sz w:val="24"/>
                <w:szCs w:val="24"/>
                <w:highlight w:val="none"/>
              </w:rPr>
            </w:pPr>
          </w:p>
        </w:tc>
        <w:tc>
          <w:tcPr>
            <w:tcW w:w="2307" w:type="dxa"/>
            <w:gridSpan w:val="2"/>
            <w:vAlign w:val="center"/>
          </w:tcPr>
          <w:p w14:paraId="4955E171">
            <w:pPr>
              <w:pStyle w:val="182"/>
              <w:spacing w:line="400" w:lineRule="exact"/>
              <w:ind w:left="0" w:leftChars="0" w:firstLine="511" w:firstLineChars="213"/>
              <w:jc w:val="both"/>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账号</w:t>
            </w:r>
          </w:p>
        </w:tc>
        <w:tc>
          <w:tcPr>
            <w:tcW w:w="2165" w:type="dxa"/>
            <w:gridSpan w:val="2"/>
            <w:vAlign w:val="center"/>
          </w:tcPr>
          <w:p w14:paraId="13250B70">
            <w:pPr>
              <w:pStyle w:val="182"/>
              <w:numPr>
                <w:ilvl w:val="0"/>
                <w:numId w:val="9"/>
              </w:numPr>
              <w:spacing w:line="400" w:lineRule="exact"/>
              <w:ind w:left="0" w:leftChars="0" w:firstLine="511" w:firstLineChars="213"/>
              <w:rPr>
                <w:rFonts w:ascii="宋体" w:hAnsi="宋体" w:cs="宋体"/>
                <w:color w:val="auto"/>
                <w:sz w:val="24"/>
                <w:szCs w:val="24"/>
                <w:highlight w:val="none"/>
              </w:rPr>
            </w:pPr>
          </w:p>
        </w:tc>
      </w:tr>
      <w:tr w14:paraId="272B8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2" w:hRule="atLeast"/>
          <w:jc w:val="center"/>
        </w:trPr>
        <w:tc>
          <w:tcPr>
            <w:tcW w:w="8652" w:type="dxa"/>
            <w:gridSpan w:val="7"/>
            <w:vAlign w:val="center"/>
          </w:tcPr>
          <w:p w14:paraId="63688361">
            <w:pPr>
              <w:pStyle w:val="182"/>
              <w:spacing w:line="400" w:lineRule="exact"/>
              <w:ind w:left="0" w:leftChars="0" w:firstLine="511" w:firstLineChars="213"/>
              <w:rPr>
                <w:rFonts w:ascii="宋体" w:hAnsi="宋体" w:cs="宋体"/>
                <w:color w:val="auto"/>
                <w:sz w:val="24"/>
                <w:szCs w:val="24"/>
                <w:highlight w:val="none"/>
              </w:rPr>
            </w:pPr>
            <w:r>
              <w:rPr>
                <w:rFonts w:hint="eastAsia" w:ascii="宋体" w:hAnsi="宋体" w:cs="宋体"/>
                <w:color w:val="auto"/>
                <w:sz w:val="24"/>
                <w:szCs w:val="24"/>
                <w:highlight w:val="none"/>
              </w:rPr>
              <w:t>总人数人，其中：具有高级职称的人，中级职称的人。</w:t>
            </w:r>
          </w:p>
        </w:tc>
      </w:tr>
      <w:tr w14:paraId="1C945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1" w:hRule="atLeast"/>
          <w:jc w:val="center"/>
        </w:trPr>
        <w:tc>
          <w:tcPr>
            <w:tcW w:w="1658" w:type="dxa"/>
            <w:vAlign w:val="center"/>
          </w:tcPr>
          <w:p w14:paraId="015D6216">
            <w:pPr>
              <w:pStyle w:val="182"/>
              <w:spacing w:line="400" w:lineRule="exact"/>
              <w:jc w:val="both"/>
              <w:rPr>
                <w:rFonts w:ascii="宋体" w:hAnsi="宋体" w:cs="宋体"/>
                <w:color w:val="auto"/>
                <w:sz w:val="24"/>
                <w:szCs w:val="24"/>
                <w:highlight w:val="none"/>
              </w:rPr>
            </w:pPr>
            <w:r>
              <w:rPr>
                <w:rFonts w:hint="eastAsia" w:ascii="宋体" w:hAnsi="宋体" w:cs="宋体"/>
                <w:color w:val="auto"/>
                <w:sz w:val="24"/>
                <w:szCs w:val="24"/>
                <w:highlight w:val="none"/>
              </w:rPr>
              <w:t>经营范围</w:t>
            </w:r>
          </w:p>
        </w:tc>
        <w:tc>
          <w:tcPr>
            <w:tcW w:w="6994" w:type="dxa"/>
            <w:gridSpan w:val="6"/>
            <w:vAlign w:val="center"/>
          </w:tcPr>
          <w:p w14:paraId="44346FDE">
            <w:pPr>
              <w:pStyle w:val="182"/>
              <w:numPr>
                <w:ilvl w:val="0"/>
                <w:numId w:val="9"/>
              </w:numPr>
              <w:spacing w:line="400" w:lineRule="exact"/>
              <w:ind w:left="0" w:leftChars="0" w:firstLine="511" w:firstLineChars="213"/>
              <w:rPr>
                <w:rFonts w:ascii="宋体" w:hAnsi="宋体" w:cs="宋体"/>
                <w:color w:val="auto"/>
                <w:sz w:val="24"/>
                <w:szCs w:val="24"/>
                <w:highlight w:val="none"/>
              </w:rPr>
            </w:pPr>
          </w:p>
        </w:tc>
      </w:tr>
      <w:tr w14:paraId="48E8F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1658" w:type="dxa"/>
            <w:vAlign w:val="center"/>
          </w:tcPr>
          <w:p w14:paraId="25A8B5A9">
            <w:pPr>
              <w:pStyle w:val="182"/>
              <w:spacing w:line="400" w:lineRule="exact"/>
              <w:jc w:val="both"/>
              <w:rPr>
                <w:rFonts w:ascii="宋体" w:hAnsi="宋体" w:cs="宋体"/>
                <w:color w:val="auto"/>
                <w:sz w:val="24"/>
                <w:szCs w:val="24"/>
                <w:highlight w:val="none"/>
              </w:rPr>
            </w:pPr>
            <w:r>
              <w:rPr>
                <w:rFonts w:hint="eastAsia" w:ascii="宋体" w:hAnsi="宋体" w:cs="宋体"/>
                <w:color w:val="auto"/>
                <w:sz w:val="24"/>
                <w:szCs w:val="24"/>
                <w:highlight w:val="none"/>
              </w:rPr>
              <w:t>资质范围</w:t>
            </w:r>
          </w:p>
        </w:tc>
        <w:tc>
          <w:tcPr>
            <w:tcW w:w="6994" w:type="dxa"/>
            <w:gridSpan w:val="6"/>
            <w:vAlign w:val="center"/>
          </w:tcPr>
          <w:p w14:paraId="5808FD93">
            <w:pPr>
              <w:pStyle w:val="182"/>
              <w:numPr>
                <w:ilvl w:val="0"/>
                <w:numId w:val="9"/>
              </w:numPr>
              <w:spacing w:line="400" w:lineRule="exact"/>
              <w:ind w:left="0" w:leftChars="0" w:firstLine="511" w:firstLineChars="213"/>
              <w:rPr>
                <w:rFonts w:ascii="宋体" w:hAnsi="宋体" w:cs="宋体"/>
                <w:color w:val="auto"/>
                <w:sz w:val="24"/>
                <w:szCs w:val="24"/>
                <w:highlight w:val="none"/>
              </w:rPr>
            </w:pPr>
          </w:p>
        </w:tc>
      </w:tr>
      <w:tr w14:paraId="0C368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1658" w:type="dxa"/>
            <w:vAlign w:val="center"/>
          </w:tcPr>
          <w:p w14:paraId="4934D4B1">
            <w:pPr>
              <w:pStyle w:val="182"/>
              <w:spacing w:line="400" w:lineRule="exact"/>
              <w:jc w:val="both"/>
              <w:rPr>
                <w:rFonts w:ascii="宋体" w:hAnsi="宋体" w:cs="宋体"/>
                <w:color w:val="auto"/>
                <w:sz w:val="24"/>
                <w:szCs w:val="24"/>
                <w:highlight w:val="none"/>
              </w:rPr>
            </w:pPr>
            <w:r>
              <w:rPr>
                <w:rFonts w:hint="eastAsia" w:ascii="宋体" w:hAnsi="宋体" w:cs="宋体"/>
                <w:color w:val="auto"/>
                <w:sz w:val="24"/>
                <w:szCs w:val="24"/>
                <w:highlight w:val="none"/>
              </w:rPr>
              <w:t>备  注</w:t>
            </w:r>
          </w:p>
        </w:tc>
        <w:tc>
          <w:tcPr>
            <w:tcW w:w="6994" w:type="dxa"/>
            <w:gridSpan w:val="6"/>
            <w:vAlign w:val="center"/>
          </w:tcPr>
          <w:p w14:paraId="6BC79BFE">
            <w:pPr>
              <w:pStyle w:val="182"/>
              <w:numPr>
                <w:ilvl w:val="0"/>
                <w:numId w:val="9"/>
              </w:numPr>
              <w:spacing w:line="400" w:lineRule="exact"/>
              <w:ind w:left="0" w:leftChars="0" w:firstLine="511" w:firstLineChars="213"/>
              <w:rPr>
                <w:rFonts w:ascii="宋体" w:hAnsi="宋体" w:cs="宋体"/>
                <w:color w:val="auto"/>
                <w:sz w:val="24"/>
                <w:szCs w:val="24"/>
                <w:highlight w:val="none"/>
              </w:rPr>
            </w:pPr>
          </w:p>
        </w:tc>
      </w:tr>
    </w:tbl>
    <w:p w14:paraId="4B0E4F05">
      <w:pPr>
        <w:adjustRightInd w:val="0"/>
        <w:snapToGrid w:val="0"/>
        <w:spacing w:line="400" w:lineRule="exact"/>
        <w:ind w:left="0" w:leftChars="0" w:right="-817" w:rightChars="-389" w:firstLine="511" w:firstLineChars="213"/>
        <w:rPr>
          <w:rFonts w:ascii="宋体" w:hAnsi="宋体" w:cs="宋体"/>
          <w:color w:val="auto"/>
          <w:sz w:val="24"/>
          <w:szCs w:val="24"/>
          <w:highlight w:val="none"/>
        </w:rPr>
      </w:pPr>
      <w:r>
        <w:rPr>
          <w:rFonts w:hint="eastAsia" w:ascii="宋体" w:hAnsi="宋体" w:cs="宋体"/>
          <w:color w:val="auto"/>
          <w:sz w:val="24"/>
          <w:szCs w:val="24"/>
          <w:highlight w:val="none"/>
        </w:rPr>
        <w:t>投标人名称（盖章）：</w:t>
      </w:r>
    </w:p>
    <w:p w14:paraId="5178B36F">
      <w:pPr>
        <w:adjustRightInd w:val="0"/>
        <w:snapToGrid w:val="0"/>
        <w:spacing w:line="400" w:lineRule="exact"/>
        <w:ind w:left="0" w:leftChars="0" w:right="-817" w:rightChars="-389" w:firstLine="511" w:firstLineChars="213"/>
        <w:rPr>
          <w:rFonts w:ascii="宋体" w:hAnsi="宋体" w:cs="宋体"/>
          <w:color w:val="auto"/>
          <w:sz w:val="24"/>
          <w:szCs w:val="24"/>
          <w:highlight w:val="none"/>
        </w:rPr>
      </w:pPr>
      <w:r>
        <w:rPr>
          <w:rFonts w:hint="eastAsia" w:ascii="宋体" w:hAnsi="宋体" w:cs="宋体"/>
          <w:color w:val="auto"/>
          <w:sz w:val="24"/>
          <w:szCs w:val="24"/>
          <w:highlight w:val="none"/>
        </w:rPr>
        <w:t>法定代表人（负责人、自然人）或授权代表（签字）：</w:t>
      </w:r>
    </w:p>
    <w:p w14:paraId="46CF7C53">
      <w:pPr>
        <w:adjustRightInd w:val="0"/>
        <w:snapToGrid w:val="0"/>
        <w:spacing w:line="400" w:lineRule="exact"/>
        <w:ind w:left="0" w:leftChars="0" w:right="-817" w:rightChars="-389" w:firstLine="511" w:firstLineChars="213"/>
        <w:jc w:val="left"/>
        <w:rPr>
          <w:rFonts w:hint="eastAsia" w:ascii="宋体" w:hAnsi="宋体" w:cs="宋体"/>
          <w:b/>
          <w:sz w:val="24"/>
          <w:szCs w:val="24"/>
          <w:highlight w:val="none"/>
        </w:rPr>
      </w:pPr>
      <w:r>
        <w:rPr>
          <w:rFonts w:hint="eastAsia" w:ascii="宋体" w:hAnsi="宋体" w:cs="宋体"/>
          <w:color w:val="auto"/>
          <w:sz w:val="24"/>
          <w:szCs w:val="24"/>
          <w:highlight w:val="none"/>
        </w:rPr>
        <w:t>日期：    年   月   日</w:t>
      </w:r>
    </w:p>
    <w:p w14:paraId="00187A76">
      <w:pPr>
        <w:adjustRightInd w:val="0"/>
        <w:snapToGrid w:val="0"/>
        <w:spacing w:line="360" w:lineRule="auto"/>
        <w:ind w:left="0" w:leftChars="0" w:firstLine="513" w:firstLineChars="213"/>
        <w:jc w:val="left"/>
        <w:rPr>
          <w:rFonts w:ascii="宋体" w:hAnsi="宋体" w:cs="宋体"/>
          <w:b/>
          <w:sz w:val="24"/>
          <w:szCs w:val="24"/>
          <w:highlight w:val="none"/>
        </w:rPr>
      </w:pPr>
      <w:r>
        <w:rPr>
          <w:rFonts w:hint="eastAsia" w:ascii="宋体" w:hAnsi="宋体" w:cs="宋体"/>
          <w:b/>
          <w:sz w:val="24"/>
          <w:szCs w:val="24"/>
          <w:highlight w:val="none"/>
          <w:lang w:val="en-US" w:eastAsia="zh-CN"/>
        </w:rPr>
        <w:t>5</w:t>
      </w:r>
      <w:r>
        <w:rPr>
          <w:rFonts w:hint="eastAsia" w:ascii="宋体" w:hAnsi="宋体" w:cs="宋体"/>
          <w:b/>
          <w:sz w:val="24"/>
          <w:szCs w:val="24"/>
          <w:highlight w:val="none"/>
        </w:rPr>
        <w:t>、财务状况报告</w:t>
      </w:r>
    </w:p>
    <w:p w14:paraId="6588F4DD">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511" w:firstLineChars="213"/>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投标人是法人的，应提供本单位</w:t>
      </w:r>
      <w:r>
        <w:rPr>
          <w:rFonts w:hint="eastAsia" w:ascii="宋体" w:hAnsi="宋体" w:eastAsia="宋体" w:cs="宋体"/>
          <w:color w:val="auto"/>
          <w:sz w:val="24"/>
          <w:szCs w:val="24"/>
          <w:highlight w:val="none"/>
          <w:lang w:val="en-US" w:eastAsia="zh-CN"/>
        </w:rPr>
        <w:t>2022、2023</w:t>
      </w:r>
      <w:r>
        <w:rPr>
          <w:rFonts w:hint="eastAsia" w:ascii="宋体" w:hAnsi="宋体" w:eastAsia="宋体" w:cs="宋体"/>
          <w:color w:val="auto"/>
          <w:sz w:val="24"/>
          <w:szCs w:val="24"/>
          <w:highlight w:val="none"/>
        </w:rPr>
        <w:t>年度经会计师事务所出具的审计报告复印件（报告中须包括资产负债表、利润表、现金流量表及财务报表附注）</w:t>
      </w:r>
      <w:r>
        <w:rPr>
          <w:rFonts w:hint="eastAsia" w:ascii="宋体" w:hAnsi="宋体" w:eastAsia="宋体" w:cs="宋体"/>
          <w:color w:val="auto"/>
          <w:sz w:val="24"/>
          <w:szCs w:val="24"/>
          <w:highlight w:val="none"/>
          <w:lang w:eastAsia="zh-CN"/>
        </w:rPr>
        <w:t>。如供应商注册不满</w:t>
      </w:r>
      <w:r>
        <w:rPr>
          <w:rFonts w:hint="eastAsia" w:ascii="宋体" w:hAnsi="宋体" w:eastAsia="宋体" w:cs="宋体"/>
          <w:color w:val="auto"/>
          <w:sz w:val="24"/>
          <w:szCs w:val="24"/>
          <w:highlight w:val="none"/>
          <w:lang w:val="en-US" w:eastAsia="zh-CN"/>
        </w:rPr>
        <w:t>1年无需提供上述资料。</w:t>
      </w:r>
    </w:p>
    <w:p w14:paraId="2F29C2D4">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511" w:firstLineChars="213"/>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投标人是其他组织或自然人的，应提供银行出具的资信证明。</w:t>
      </w:r>
    </w:p>
    <w:p w14:paraId="7875FE02">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511" w:firstLineChars="213"/>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银行资信证明应能说明该投标人与银行之间业务往来正常，无不良记录，企业信誉良好等。</w:t>
      </w:r>
    </w:p>
    <w:p w14:paraId="268CB803">
      <w:pPr>
        <w:adjustRightInd w:val="0"/>
        <w:snapToGrid w:val="0"/>
        <w:spacing w:line="360" w:lineRule="auto"/>
        <w:ind w:left="0" w:leftChars="0" w:firstLine="513" w:firstLineChars="213"/>
        <w:jc w:val="left"/>
        <w:rPr>
          <w:rFonts w:ascii="宋体" w:hAnsi="宋体" w:cs="宋体"/>
          <w:b/>
          <w:sz w:val="24"/>
          <w:szCs w:val="24"/>
          <w:highlight w:val="none"/>
        </w:rPr>
      </w:pPr>
    </w:p>
    <w:p w14:paraId="23076E52">
      <w:pPr>
        <w:adjustRightInd w:val="0"/>
        <w:snapToGrid w:val="0"/>
        <w:spacing w:line="400" w:lineRule="exact"/>
        <w:ind w:left="0" w:leftChars="0" w:firstLine="513" w:firstLineChars="213"/>
        <w:jc w:val="left"/>
        <w:rPr>
          <w:rFonts w:ascii="宋体" w:hAnsi="宋体" w:cs="宋体"/>
          <w:b/>
          <w:color w:val="auto"/>
          <w:sz w:val="24"/>
          <w:szCs w:val="24"/>
          <w:highlight w:val="none"/>
        </w:rPr>
      </w:pPr>
      <w:r>
        <w:rPr>
          <w:rFonts w:hint="eastAsia" w:ascii="宋体" w:hAnsi="宋体" w:cs="宋体"/>
          <w:b/>
          <w:color w:val="auto"/>
          <w:sz w:val="24"/>
          <w:szCs w:val="24"/>
          <w:highlight w:val="none"/>
        </w:rPr>
        <w:t>6、投标人须具有履行合同所必需的设备和专业技术能力，须附相关证明材料或声明：</w:t>
      </w:r>
    </w:p>
    <w:p w14:paraId="7392EEE0">
      <w:pPr>
        <w:pStyle w:val="195"/>
        <w:autoSpaceDE w:val="0"/>
        <w:autoSpaceDN w:val="0"/>
        <w:adjustRightInd w:val="0"/>
        <w:snapToGrid w:val="0"/>
        <w:spacing w:line="400" w:lineRule="exact"/>
        <w:ind w:left="0" w:leftChars="0" w:firstLine="489" w:firstLineChars="213"/>
        <w:jc w:val="left"/>
        <w:rPr>
          <w:rFonts w:ascii="宋体" w:hAnsi="宋体" w:cs="宋体"/>
          <w:color w:val="auto"/>
          <w:kern w:val="0"/>
          <w:sz w:val="23"/>
          <w:szCs w:val="23"/>
          <w:highlight w:val="none"/>
        </w:rPr>
      </w:pPr>
      <w:r>
        <w:rPr>
          <w:rFonts w:hint="eastAsia" w:ascii="宋体" w:hAnsi="宋体" w:cs="宋体"/>
          <w:color w:val="auto"/>
          <w:kern w:val="0"/>
          <w:sz w:val="23"/>
          <w:szCs w:val="23"/>
          <w:highlight w:val="none"/>
        </w:rPr>
        <w:t>格式：</w:t>
      </w:r>
    </w:p>
    <w:p w14:paraId="042F1433">
      <w:pPr>
        <w:pStyle w:val="195"/>
        <w:autoSpaceDE w:val="0"/>
        <w:autoSpaceDN w:val="0"/>
        <w:adjustRightInd w:val="0"/>
        <w:snapToGrid w:val="0"/>
        <w:spacing w:line="400" w:lineRule="exact"/>
        <w:ind w:left="0" w:leftChars="0" w:firstLine="489" w:firstLineChars="213"/>
        <w:jc w:val="center"/>
        <w:rPr>
          <w:rFonts w:ascii="宋体" w:hAnsi="宋体" w:cs="宋体"/>
          <w:color w:val="auto"/>
          <w:kern w:val="0"/>
          <w:sz w:val="23"/>
          <w:szCs w:val="23"/>
          <w:highlight w:val="none"/>
        </w:rPr>
      </w:pPr>
      <w:r>
        <w:rPr>
          <w:rFonts w:hint="eastAsia" w:ascii="宋体" w:hAnsi="宋体" w:cs="宋体"/>
          <w:color w:val="auto"/>
          <w:kern w:val="0"/>
          <w:sz w:val="23"/>
          <w:szCs w:val="23"/>
          <w:highlight w:val="none"/>
        </w:rPr>
        <w:t>本投标人郑重声明：</w:t>
      </w:r>
    </w:p>
    <w:p w14:paraId="228F2DCA">
      <w:pPr>
        <w:pStyle w:val="195"/>
        <w:autoSpaceDE w:val="0"/>
        <w:autoSpaceDN w:val="0"/>
        <w:adjustRightInd w:val="0"/>
        <w:snapToGrid w:val="0"/>
        <w:spacing w:line="400" w:lineRule="exact"/>
        <w:ind w:left="0" w:leftChars="0" w:firstLine="489" w:firstLineChars="213"/>
        <w:jc w:val="left"/>
        <w:rPr>
          <w:rFonts w:ascii="宋体" w:hAnsi="宋体" w:cs="宋体"/>
          <w:color w:val="auto"/>
          <w:kern w:val="0"/>
          <w:sz w:val="23"/>
          <w:szCs w:val="23"/>
          <w:highlight w:val="none"/>
        </w:rPr>
      </w:pPr>
      <w:r>
        <w:rPr>
          <w:rFonts w:hint="eastAsia" w:ascii="宋体" w:hAnsi="宋体" w:cs="宋体"/>
          <w:color w:val="auto"/>
          <w:kern w:val="0"/>
          <w:sz w:val="23"/>
          <w:szCs w:val="23"/>
          <w:highlight w:val="none"/>
        </w:rPr>
        <w:t xml:space="preserve">本公司（或单位）具备本项目履行合同所必需的设备和专业技术能力，特此承诺。 </w:t>
      </w:r>
    </w:p>
    <w:p w14:paraId="28AD9B3C">
      <w:pPr>
        <w:pStyle w:val="195"/>
        <w:autoSpaceDE w:val="0"/>
        <w:autoSpaceDN w:val="0"/>
        <w:adjustRightInd w:val="0"/>
        <w:snapToGrid w:val="0"/>
        <w:spacing w:line="400" w:lineRule="exact"/>
        <w:ind w:left="0" w:leftChars="0" w:firstLine="489" w:firstLineChars="213"/>
        <w:jc w:val="left"/>
        <w:rPr>
          <w:rFonts w:ascii="宋体" w:hAnsi="宋体" w:cs="宋体"/>
          <w:color w:val="auto"/>
          <w:kern w:val="0"/>
          <w:sz w:val="23"/>
          <w:szCs w:val="23"/>
          <w:highlight w:val="none"/>
        </w:rPr>
      </w:pPr>
      <w:r>
        <w:rPr>
          <w:rFonts w:hint="eastAsia" w:ascii="宋体" w:hAnsi="宋体" w:cs="宋体"/>
          <w:color w:val="auto"/>
          <w:kern w:val="0"/>
          <w:sz w:val="23"/>
          <w:szCs w:val="23"/>
          <w:highlight w:val="none"/>
        </w:rPr>
        <w:t xml:space="preserve">被授权人签字： </w:t>
      </w:r>
    </w:p>
    <w:p w14:paraId="671FCFFC">
      <w:pPr>
        <w:pStyle w:val="195"/>
        <w:autoSpaceDE w:val="0"/>
        <w:autoSpaceDN w:val="0"/>
        <w:adjustRightInd w:val="0"/>
        <w:snapToGrid w:val="0"/>
        <w:spacing w:line="400" w:lineRule="exact"/>
        <w:ind w:left="0" w:leftChars="0" w:firstLine="489" w:firstLineChars="213"/>
        <w:jc w:val="left"/>
        <w:rPr>
          <w:rFonts w:ascii="宋体" w:hAnsi="宋体" w:cs="宋体"/>
          <w:color w:val="auto"/>
          <w:kern w:val="0"/>
          <w:sz w:val="23"/>
          <w:szCs w:val="23"/>
          <w:highlight w:val="none"/>
        </w:rPr>
      </w:pPr>
      <w:r>
        <w:rPr>
          <w:rFonts w:hint="eastAsia" w:ascii="宋体" w:hAnsi="宋体" w:cs="宋体"/>
          <w:color w:val="auto"/>
          <w:kern w:val="0"/>
          <w:sz w:val="23"/>
          <w:szCs w:val="23"/>
          <w:highlight w:val="none"/>
        </w:rPr>
        <w:t>投标人名称（加盖公章）：</w:t>
      </w:r>
    </w:p>
    <w:p w14:paraId="2AABCD75">
      <w:pPr>
        <w:pStyle w:val="195"/>
        <w:autoSpaceDE w:val="0"/>
        <w:autoSpaceDN w:val="0"/>
        <w:adjustRightInd w:val="0"/>
        <w:snapToGrid w:val="0"/>
        <w:spacing w:line="400" w:lineRule="exact"/>
        <w:ind w:left="0" w:leftChars="0" w:firstLine="489" w:firstLineChars="213"/>
        <w:rPr>
          <w:rFonts w:ascii="宋体" w:hAnsi="宋体" w:cs="宋体"/>
          <w:color w:val="auto"/>
          <w:kern w:val="0"/>
          <w:sz w:val="23"/>
          <w:szCs w:val="23"/>
          <w:highlight w:val="none"/>
        </w:rPr>
      </w:pPr>
      <w:r>
        <w:rPr>
          <w:rFonts w:hint="eastAsia" w:ascii="宋体" w:hAnsi="宋体" w:cs="宋体"/>
          <w:color w:val="auto"/>
          <w:kern w:val="0"/>
          <w:sz w:val="23"/>
          <w:szCs w:val="23"/>
          <w:highlight w:val="none"/>
        </w:rPr>
        <w:t xml:space="preserve">年 月 日 </w:t>
      </w:r>
    </w:p>
    <w:p w14:paraId="6091203B">
      <w:pPr>
        <w:adjustRightInd w:val="0"/>
        <w:snapToGrid w:val="0"/>
        <w:spacing w:line="400" w:lineRule="exact"/>
        <w:ind w:left="0" w:leftChars="0" w:firstLine="513" w:firstLineChars="213"/>
        <w:jc w:val="left"/>
        <w:rPr>
          <w:rFonts w:ascii="宋体" w:hAnsi="宋体" w:cs="宋体"/>
          <w:b/>
          <w:color w:val="auto"/>
          <w:sz w:val="24"/>
          <w:szCs w:val="24"/>
          <w:highlight w:val="none"/>
        </w:rPr>
      </w:pPr>
    </w:p>
    <w:p w14:paraId="41A5B940">
      <w:pPr>
        <w:adjustRightInd w:val="0"/>
        <w:snapToGrid w:val="0"/>
        <w:spacing w:line="400" w:lineRule="exact"/>
        <w:ind w:left="0" w:leftChars="0" w:firstLine="513" w:firstLineChars="213"/>
        <w:jc w:val="left"/>
        <w:rPr>
          <w:rFonts w:hint="eastAsia" w:ascii="宋体" w:hAnsi="宋体" w:cs="宋体"/>
          <w:b/>
          <w:color w:val="auto"/>
          <w:sz w:val="24"/>
          <w:szCs w:val="24"/>
          <w:highlight w:val="none"/>
        </w:rPr>
      </w:pPr>
      <w:r>
        <w:rPr>
          <w:rFonts w:hint="eastAsia" w:ascii="宋体" w:hAnsi="宋体" w:cs="宋体"/>
          <w:b/>
          <w:color w:val="auto"/>
          <w:sz w:val="24"/>
          <w:szCs w:val="24"/>
          <w:highlight w:val="none"/>
          <w:lang w:val="en-US" w:eastAsia="zh-CN"/>
        </w:rPr>
        <w:t>7</w:t>
      </w:r>
      <w:r>
        <w:rPr>
          <w:rFonts w:hint="eastAsia" w:ascii="宋体" w:hAnsi="宋体" w:cs="宋体"/>
          <w:b/>
          <w:color w:val="auto"/>
          <w:sz w:val="24"/>
          <w:szCs w:val="24"/>
          <w:highlight w:val="none"/>
        </w:rPr>
        <w:t>、依法缴纳税收和社会保障资金的良好记录</w:t>
      </w:r>
    </w:p>
    <w:p w14:paraId="0B6192E5">
      <w:pPr>
        <w:adjustRightInd w:val="0"/>
        <w:snapToGrid w:val="0"/>
        <w:spacing w:line="400" w:lineRule="exact"/>
        <w:ind w:left="0" w:leftChars="0" w:firstLine="511" w:firstLineChars="213"/>
        <w:rPr>
          <w:rFonts w:hint="eastAsia" w:ascii="宋体" w:hAnsi="宋体" w:cs="宋体"/>
          <w:color w:val="auto"/>
          <w:sz w:val="24"/>
          <w:szCs w:val="24"/>
          <w:highlight w:val="none"/>
        </w:rPr>
      </w:pPr>
      <w:r>
        <w:rPr>
          <w:rFonts w:hint="eastAsia" w:ascii="宋体" w:hAnsi="宋体" w:cs="宋体"/>
          <w:color w:val="auto"/>
          <w:sz w:val="24"/>
          <w:szCs w:val="24"/>
          <w:highlight w:val="none"/>
        </w:rPr>
        <w:t>缴纳税收的证明材料，指</w:t>
      </w:r>
      <w:r>
        <w:rPr>
          <w:rFonts w:hint="eastAsia" w:ascii="宋体" w:hAnsi="宋体" w:cs="宋体"/>
          <w:color w:val="auto"/>
          <w:sz w:val="24"/>
          <w:szCs w:val="24"/>
          <w:highlight w:val="none"/>
          <w:lang w:eastAsia="zh-CN"/>
        </w:rPr>
        <w:t>投标人</w:t>
      </w:r>
      <w:r>
        <w:rPr>
          <w:rFonts w:hint="eastAsia" w:ascii="宋体" w:hAnsi="宋体" w:cs="宋体"/>
          <w:color w:val="auto"/>
          <w:sz w:val="24"/>
          <w:szCs w:val="24"/>
          <w:highlight w:val="none"/>
        </w:rPr>
        <w:t>缴纳增值税和企业所得税两种缴纳凭据；本项目</w:t>
      </w:r>
      <w:r>
        <w:rPr>
          <w:rFonts w:hint="eastAsia" w:ascii="宋体" w:hAnsi="宋体" w:cs="宋体"/>
          <w:color w:val="auto"/>
          <w:sz w:val="24"/>
          <w:szCs w:val="24"/>
          <w:highlight w:val="none"/>
          <w:lang w:eastAsia="zh-CN"/>
        </w:rPr>
        <w:t>开标</w:t>
      </w:r>
      <w:r>
        <w:rPr>
          <w:rFonts w:hint="eastAsia" w:ascii="宋体" w:hAnsi="宋体" w:cs="宋体"/>
          <w:color w:val="auto"/>
          <w:sz w:val="24"/>
          <w:szCs w:val="24"/>
          <w:highlight w:val="none"/>
        </w:rPr>
        <w:t xml:space="preserve">前6个月内（至少提供1个月）缴纳税收的凭据（完税证、缴款书、印花税票、银行代扣（代缴）转账凭证等均可）； </w:t>
      </w:r>
    </w:p>
    <w:p w14:paraId="6BBB5513">
      <w:pPr>
        <w:adjustRightInd w:val="0"/>
        <w:snapToGrid w:val="0"/>
        <w:spacing w:line="400" w:lineRule="exact"/>
        <w:ind w:left="0" w:leftChars="0" w:firstLine="511" w:firstLineChars="213"/>
        <w:rPr>
          <w:rFonts w:hint="eastAsia" w:ascii="宋体" w:hAnsi="宋体" w:cs="宋体"/>
          <w:color w:val="auto"/>
          <w:sz w:val="24"/>
          <w:szCs w:val="24"/>
          <w:highlight w:val="none"/>
        </w:rPr>
      </w:pPr>
      <w:r>
        <w:rPr>
          <w:rFonts w:hint="eastAsia" w:ascii="宋体" w:hAnsi="宋体" w:cs="宋体"/>
          <w:color w:val="auto"/>
          <w:sz w:val="24"/>
          <w:szCs w:val="24"/>
          <w:highlight w:val="none"/>
          <w:lang w:eastAsia="zh-CN"/>
        </w:rPr>
        <w:t>投标人</w:t>
      </w:r>
      <w:r>
        <w:rPr>
          <w:rFonts w:hint="eastAsia" w:ascii="宋体" w:hAnsi="宋体" w:cs="宋体"/>
          <w:color w:val="auto"/>
          <w:sz w:val="24"/>
          <w:szCs w:val="24"/>
          <w:highlight w:val="none"/>
        </w:rPr>
        <w:t>依法缴纳社会保障资金的证明材料：本项目</w:t>
      </w:r>
      <w:r>
        <w:rPr>
          <w:rFonts w:hint="eastAsia" w:ascii="宋体" w:hAnsi="宋体" w:cs="宋体"/>
          <w:color w:val="auto"/>
          <w:sz w:val="24"/>
          <w:szCs w:val="24"/>
          <w:highlight w:val="none"/>
          <w:lang w:eastAsia="zh-CN"/>
        </w:rPr>
        <w:t>开标</w:t>
      </w:r>
      <w:r>
        <w:rPr>
          <w:rFonts w:hint="eastAsia" w:ascii="宋体" w:hAnsi="宋体" w:cs="宋体"/>
          <w:color w:val="auto"/>
          <w:sz w:val="24"/>
          <w:szCs w:val="24"/>
          <w:highlight w:val="none"/>
        </w:rPr>
        <w:t xml:space="preserve">前 6个月内（至少提供1个月）缴纳社会保险的凭据（专用收据或社会保险交纳清单）； </w:t>
      </w:r>
    </w:p>
    <w:p w14:paraId="0608D74F">
      <w:pPr>
        <w:adjustRightInd w:val="0"/>
        <w:snapToGrid w:val="0"/>
        <w:spacing w:line="400" w:lineRule="exact"/>
        <w:ind w:left="0" w:leftChars="0" w:firstLine="511" w:firstLineChars="213"/>
        <w:rPr>
          <w:rFonts w:hint="eastAsia" w:ascii="宋体" w:hAnsi="宋体" w:cs="宋体"/>
          <w:color w:val="auto"/>
          <w:sz w:val="24"/>
          <w:szCs w:val="24"/>
          <w:highlight w:val="none"/>
        </w:rPr>
      </w:pPr>
      <w:r>
        <w:rPr>
          <w:rFonts w:hint="eastAsia" w:ascii="宋体" w:hAnsi="宋体" w:cs="宋体"/>
          <w:color w:val="auto"/>
          <w:sz w:val="24"/>
          <w:szCs w:val="24"/>
          <w:highlight w:val="none"/>
          <w:lang w:eastAsia="zh-CN"/>
        </w:rPr>
        <w:t>投标人</w:t>
      </w:r>
      <w:r>
        <w:rPr>
          <w:rFonts w:hint="eastAsia" w:ascii="宋体" w:hAnsi="宋体" w:cs="宋体"/>
          <w:color w:val="auto"/>
          <w:sz w:val="24"/>
          <w:szCs w:val="24"/>
          <w:highlight w:val="none"/>
        </w:rPr>
        <w:t>为其他组织或自然人的，也需要按此项规定提供缴纳税收的凭据和交纳社会保险的凭据。如</w:t>
      </w:r>
      <w:r>
        <w:rPr>
          <w:rFonts w:hint="eastAsia" w:ascii="宋体" w:hAnsi="宋体" w:cs="宋体"/>
          <w:color w:val="auto"/>
          <w:sz w:val="24"/>
          <w:szCs w:val="24"/>
          <w:highlight w:val="none"/>
          <w:lang w:eastAsia="zh-CN"/>
        </w:rPr>
        <w:t>投标人</w:t>
      </w:r>
      <w:r>
        <w:rPr>
          <w:rFonts w:hint="eastAsia" w:ascii="宋体" w:hAnsi="宋体" w:cs="宋体"/>
          <w:color w:val="auto"/>
          <w:sz w:val="24"/>
          <w:szCs w:val="24"/>
          <w:highlight w:val="none"/>
        </w:rPr>
        <w:t>的社会保险为委托第三方代缴，还需同时提供</w:t>
      </w:r>
      <w:r>
        <w:rPr>
          <w:rFonts w:hint="eastAsia" w:ascii="宋体" w:hAnsi="宋体" w:cs="宋体"/>
          <w:color w:val="auto"/>
          <w:sz w:val="24"/>
          <w:szCs w:val="24"/>
          <w:highlight w:val="none"/>
          <w:lang w:eastAsia="zh-CN"/>
        </w:rPr>
        <w:t>投标人</w:t>
      </w:r>
      <w:r>
        <w:rPr>
          <w:rFonts w:hint="eastAsia" w:ascii="宋体" w:hAnsi="宋体" w:cs="宋体"/>
          <w:color w:val="auto"/>
          <w:sz w:val="24"/>
          <w:szCs w:val="24"/>
          <w:highlight w:val="none"/>
        </w:rPr>
        <w:t>与第三方服务机构签署的服务合同（合同中应明确写明第三方为</w:t>
      </w:r>
      <w:r>
        <w:rPr>
          <w:rFonts w:hint="eastAsia" w:ascii="宋体" w:hAnsi="宋体" w:cs="宋体"/>
          <w:color w:val="auto"/>
          <w:sz w:val="24"/>
          <w:szCs w:val="24"/>
          <w:highlight w:val="none"/>
          <w:lang w:eastAsia="zh-CN"/>
        </w:rPr>
        <w:t>投标人</w:t>
      </w:r>
      <w:r>
        <w:rPr>
          <w:rFonts w:hint="eastAsia" w:ascii="宋体" w:hAnsi="宋体" w:cs="宋体"/>
          <w:color w:val="auto"/>
          <w:sz w:val="24"/>
          <w:szCs w:val="24"/>
          <w:highlight w:val="none"/>
        </w:rPr>
        <w:t>代缴其社会保险）。</w:t>
      </w:r>
    </w:p>
    <w:p w14:paraId="04B2C68D">
      <w:pPr>
        <w:pStyle w:val="29"/>
        <w:ind w:left="0" w:leftChars="0" w:firstLine="383" w:firstLineChars="213"/>
        <w:rPr>
          <w:color w:val="auto"/>
          <w:highlight w:val="none"/>
        </w:rPr>
      </w:pPr>
    </w:p>
    <w:p w14:paraId="406CC592">
      <w:pPr>
        <w:ind w:left="0" w:leftChars="0" w:firstLine="513" w:firstLineChars="213"/>
        <w:rPr>
          <w:rFonts w:ascii="宋体" w:hAnsi="宋体" w:cs="宋体"/>
          <w:b/>
          <w:color w:val="auto"/>
          <w:sz w:val="24"/>
          <w:szCs w:val="24"/>
          <w:highlight w:val="none"/>
        </w:rPr>
      </w:pPr>
      <w:r>
        <w:rPr>
          <w:rFonts w:hint="eastAsia" w:ascii="宋体" w:hAnsi="宋体" w:cs="宋体"/>
          <w:b/>
          <w:color w:val="auto"/>
          <w:sz w:val="24"/>
          <w:szCs w:val="24"/>
          <w:highlight w:val="none"/>
        </w:rPr>
        <w:br w:type="page"/>
      </w:r>
    </w:p>
    <w:p w14:paraId="73087E39">
      <w:pPr>
        <w:adjustRightInd w:val="0"/>
        <w:snapToGrid w:val="0"/>
        <w:spacing w:line="400" w:lineRule="exact"/>
        <w:ind w:left="0" w:leftChars="0" w:firstLine="513" w:firstLineChars="213"/>
        <w:jc w:val="left"/>
        <w:rPr>
          <w:rFonts w:ascii="宋体" w:hAnsi="宋体" w:cs="宋体"/>
          <w:b/>
          <w:color w:val="auto"/>
          <w:sz w:val="24"/>
          <w:szCs w:val="24"/>
          <w:highlight w:val="none"/>
        </w:rPr>
      </w:pPr>
      <w:r>
        <w:rPr>
          <w:rFonts w:hint="eastAsia" w:ascii="宋体" w:hAnsi="宋体" w:cs="宋体"/>
          <w:b/>
          <w:color w:val="auto"/>
          <w:sz w:val="24"/>
          <w:szCs w:val="24"/>
          <w:highlight w:val="none"/>
          <w:lang w:val="en-US" w:eastAsia="zh-CN"/>
        </w:rPr>
        <w:t>8</w:t>
      </w:r>
      <w:r>
        <w:rPr>
          <w:rFonts w:hint="eastAsia" w:ascii="宋体" w:hAnsi="宋体" w:cs="宋体"/>
          <w:b/>
          <w:color w:val="auto"/>
          <w:sz w:val="24"/>
          <w:szCs w:val="24"/>
          <w:highlight w:val="none"/>
        </w:rPr>
        <w:t>、前三年内在经营活动中没有重大违法记录的书面声明：</w:t>
      </w:r>
    </w:p>
    <w:p w14:paraId="02DC85A0">
      <w:pPr>
        <w:pStyle w:val="195"/>
        <w:adjustRightInd w:val="0"/>
        <w:snapToGrid w:val="0"/>
        <w:spacing w:line="400" w:lineRule="exact"/>
        <w:ind w:left="0" w:leftChars="0" w:firstLine="511" w:firstLineChars="213"/>
        <w:rPr>
          <w:rFonts w:ascii="宋体" w:hAnsi="宋体" w:cs="宋体"/>
          <w:color w:val="auto"/>
          <w:sz w:val="24"/>
          <w:szCs w:val="24"/>
          <w:highlight w:val="none"/>
          <w:u w:val="single"/>
        </w:rPr>
      </w:pPr>
      <w:r>
        <w:rPr>
          <w:rFonts w:hint="eastAsia" w:ascii="宋体" w:hAnsi="宋体" w:cs="宋体"/>
          <w:color w:val="auto"/>
          <w:sz w:val="24"/>
          <w:szCs w:val="24"/>
          <w:highlight w:val="none"/>
          <w:u w:val="single"/>
        </w:rPr>
        <w:t>格式：</w:t>
      </w:r>
    </w:p>
    <w:p w14:paraId="7DF1D81F">
      <w:pPr>
        <w:pStyle w:val="195"/>
        <w:adjustRightInd w:val="0"/>
        <w:snapToGrid w:val="0"/>
        <w:spacing w:line="400" w:lineRule="exact"/>
        <w:ind w:left="0" w:leftChars="0" w:firstLine="511" w:firstLineChars="213"/>
        <w:rPr>
          <w:rFonts w:ascii="宋体" w:hAnsi="宋体" w:cs="宋体"/>
          <w:color w:val="auto"/>
          <w:sz w:val="24"/>
          <w:szCs w:val="24"/>
          <w:highlight w:val="none"/>
        </w:rPr>
      </w:pPr>
      <w:r>
        <w:rPr>
          <w:rFonts w:hint="eastAsia" w:ascii="宋体" w:hAnsi="宋体" w:cs="宋体"/>
          <w:color w:val="auto"/>
          <w:sz w:val="24"/>
          <w:szCs w:val="24"/>
          <w:highlight w:val="none"/>
          <w:u w:val="single"/>
        </w:rPr>
        <w:t xml:space="preserve">（采购人）         </w:t>
      </w:r>
      <w:r>
        <w:rPr>
          <w:rFonts w:hint="eastAsia" w:ascii="宋体" w:hAnsi="宋体" w:cs="宋体"/>
          <w:color w:val="auto"/>
          <w:sz w:val="24"/>
          <w:szCs w:val="24"/>
          <w:highlight w:val="none"/>
        </w:rPr>
        <w:t>：</w:t>
      </w:r>
    </w:p>
    <w:p w14:paraId="4E76D79F">
      <w:pPr>
        <w:pStyle w:val="195"/>
        <w:adjustRightInd w:val="0"/>
        <w:snapToGrid w:val="0"/>
        <w:spacing w:line="400" w:lineRule="exact"/>
        <w:ind w:left="0" w:leftChars="0" w:firstLine="511" w:firstLineChars="213"/>
        <w:rPr>
          <w:rFonts w:ascii="宋体" w:hAnsi="宋体" w:cs="宋体"/>
          <w:color w:val="auto"/>
          <w:sz w:val="24"/>
          <w:szCs w:val="24"/>
          <w:highlight w:val="none"/>
        </w:rPr>
      </w:pPr>
      <w:r>
        <w:rPr>
          <w:rFonts w:hint="eastAsia" w:ascii="宋体" w:hAnsi="宋体" w:cs="宋体"/>
          <w:color w:val="auto"/>
          <w:sz w:val="24"/>
          <w:szCs w:val="24"/>
          <w:highlight w:val="none"/>
        </w:rPr>
        <w:t>我单位参与</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项目名称、编号）投标，并郑重声明，我方参加本项目政府采购活动前三年内无重大违法记录，符合《中华人民共和国政府采购法》规定的投标人条件。若贵方在本项目采购过程中发现我方政府采购活动前三年内有重大违法记录，我方将无条件退出本项目的投标，并承担因此引起的一切后果。我方对此声明负全部法律责任。</w:t>
      </w:r>
    </w:p>
    <w:p w14:paraId="57183BAF">
      <w:pPr>
        <w:pStyle w:val="195"/>
        <w:adjustRightInd w:val="0"/>
        <w:snapToGrid w:val="0"/>
        <w:spacing w:line="400" w:lineRule="exact"/>
        <w:ind w:left="0" w:leftChars="0" w:firstLine="511" w:firstLineChars="213"/>
        <w:rPr>
          <w:rFonts w:ascii="宋体" w:hAnsi="宋体" w:cs="宋体"/>
          <w:color w:val="auto"/>
          <w:sz w:val="24"/>
          <w:szCs w:val="24"/>
          <w:highlight w:val="none"/>
        </w:rPr>
      </w:pPr>
      <w:r>
        <w:rPr>
          <w:rFonts w:hint="eastAsia" w:ascii="宋体" w:hAnsi="宋体" w:cs="宋体"/>
          <w:color w:val="auto"/>
          <w:sz w:val="24"/>
          <w:szCs w:val="24"/>
          <w:highlight w:val="none"/>
        </w:rPr>
        <w:t xml:space="preserve">特此声明  </w:t>
      </w:r>
    </w:p>
    <w:p w14:paraId="064CE378">
      <w:pPr>
        <w:pStyle w:val="195"/>
        <w:adjustRightInd w:val="0"/>
        <w:snapToGrid w:val="0"/>
        <w:spacing w:line="400" w:lineRule="exact"/>
        <w:ind w:left="0" w:leftChars="0" w:firstLine="511" w:firstLineChars="213"/>
        <w:rPr>
          <w:rFonts w:ascii="宋体" w:hAnsi="宋体" w:cs="宋体"/>
          <w:color w:val="auto"/>
          <w:sz w:val="24"/>
          <w:szCs w:val="24"/>
          <w:highlight w:val="none"/>
        </w:rPr>
      </w:pPr>
      <w:r>
        <w:rPr>
          <w:rFonts w:hint="eastAsia" w:ascii="宋体" w:hAnsi="宋体" w:cs="宋体"/>
          <w:color w:val="auto"/>
          <w:sz w:val="24"/>
          <w:szCs w:val="24"/>
          <w:highlight w:val="none"/>
        </w:rPr>
        <w:t>投标人（盖单位章）：</w:t>
      </w:r>
    </w:p>
    <w:p w14:paraId="782BBC6D">
      <w:pPr>
        <w:pStyle w:val="195"/>
        <w:adjustRightInd w:val="0"/>
        <w:snapToGrid w:val="0"/>
        <w:spacing w:line="400" w:lineRule="exact"/>
        <w:ind w:left="0" w:leftChars="0" w:firstLine="511" w:firstLineChars="213"/>
        <w:rPr>
          <w:rFonts w:ascii="宋体" w:hAnsi="宋体" w:cs="宋体"/>
          <w:color w:val="auto"/>
          <w:sz w:val="24"/>
          <w:szCs w:val="24"/>
          <w:highlight w:val="none"/>
        </w:rPr>
      </w:pPr>
      <w:r>
        <w:rPr>
          <w:rFonts w:hint="eastAsia" w:ascii="宋体" w:hAnsi="宋体" w:cs="宋体"/>
          <w:color w:val="auto"/>
          <w:sz w:val="24"/>
          <w:szCs w:val="24"/>
          <w:highlight w:val="none"/>
        </w:rPr>
        <w:t>法定代表人（负责人、自然人）或其委托代理人签字：</w:t>
      </w:r>
    </w:p>
    <w:p w14:paraId="124D07E5">
      <w:pPr>
        <w:adjustRightInd w:val="0"/>
        <w:snapToGrid w:val="0"/>
        <w:spacing w:line="400" w:lineRule="exact"/>
        <w:ind w:left="0" w:leftChars="0" w:firstLine="513" w:firstLineChars="213"/>
        <w:jc w:val="left"/>
        <w:rPr>
          <w:rFonts w:ascii="宋体" w:hAnsi="宋体" w:cs="宋体"/>
          <w:b/>
          <w:color w:val="auto"/>
          <w:sz w:val="24"/>
          <w:szCs w:val="24"/>
          <w:highlight w:val="none"/>
        </w:rPr>
      </w:pPr>
    </w:p>
    <w:p w14:paraId="272FABFE">
      <w:pPr>
        <w:adjustRightInd w:val="0"/>
        <w:snapToGrid w:val="0"/>
        <w:spacing w:line="400" w:lineRule="exact"/>
        <w:ind w:left="0" w:leftChars="0" w:firstLine="513" w:firstLineChars="213"/>
        <w:jc w:val="left"/>
        <w:rPr>
          <w:rFonts w:ascii="宋体" w:hAnsi="宋体" w:cs="宋体"/>
          <w:b/>
          <w:color w:val="auto"/>
          <w:sz w:val="24"/>
          <w:szCs w:val="24"/>
          <w:highlight w:val="none"/>
        </w:rPr>
      </w:pPr>
      <w:r>
        <w:rPr>
          <w:rFonts w:hint="eastAsia" w:ascii="宋体" w:hAnsi="宋体" w:cs="宋体"/>
          <w:b/>
          <w:color w:val="auto"/>
          <w:sz w:val="24"/>
          <w:szCs w:val="24"/>
          <w:highlight w:val="none"/>
        </w:rPr>
        <w:t>9、拒绝列入失信被执行人、重大税收违法案件当事人名单、政府采购严重违法失信行为记录名单及及其他不符合规定条件的投标人；投标人未被列入“信用中国”网站(www.creditchina.gov.cn)“记录失信被执行人或重大 税收违法案件当事人名单或政府采购严重违法失信行为”记录名单；未处于中国政府采购网(www.ccgp.gov.cn)“政府采购严重违法失信行为信息记录”中的禁止参加政府采购活动 期间（以采购代理机构于开标当天在“信用中国”网站（www.creditchina.gov.cn）及中国政府采购网(www.ccgp.gov.cn)查询结果为准，如相关失信记录已失效，投标人需提供相关证明资料）。</w:t>
      </w:r>
    </w:p>
    <w:p w14:paraId="2ECA7E0B">
      <w:pPr>
        <w:adjustRightInd w:val="0"/>
        <w:snapToGrid w:val="0"/>
        <w:spacing w:line="400" w:lineRule="exact"/>
        <w:ind w:left="0" w:leftChars="0" w:firstLine="513" w:firstLineChars="213"/>
        <w:jc w:val="left"/>
        <w:rPr>
          <w:rFonts w:hint="eastAsia" w:ascii="宋体" w:hAnsi="宋体" w:cs="宋体"/>
          <w:b/>
          <w:color w:val="auto"/>
          <w:sz w:val="24"/>
          <w:szCs w:val="24"/>
          <w:highlight w:val="none"/>
        </w:rPr>
      </w:pPr>
    </w:p>
    <w:p w14:paraId="3ED6B026">
      <w:pPr>
        <w:adjustRightInd w:val="0"/>
        <w:snapToGrid w:val="0"/>
        <w:spacing w:line="400" w:lineRule="exact"/>
        <w:ind w:left="0" w:leftChars="0" w:firstLine="513" w:firstLineChars="213"/>
        <w:jc w:val="left"/>
        <w:rPr>
          <w:rFonts w:ascii="宋体" w:hAnsi="宋体" w:cs="宋体"/>
          <w:b/>
          <w:color w:val="auto"/>
          <w:sz w:val="24"/>
          <w:szCs w:val="24"/>
          <w:highlight w:val="none"/>
        </w:rPr>
      </w:pPr>
      <w:r>
        <w:rPr>
          <w:rFonts w:hint="eastAsia" w:ascii="宋体" w:hAnsi="宋体" w:cs="宋体"/>
          <w:b/>
          <w:color w:val="auto"/>
          <w:sz w:val="24"/>
          <w:szCs w:val="24"/>
          <w:highlight w:val="none"/>
          <w:lang w:val="en-US" w:eastAsia="zh-CN"/>
        </w:rPr>
        <w:t>10</w:t>
      </w:r>
      <w:r>
        <w:rPr>
          <w:rFonts w:hint="eastAsia" w:ascii="宋体" w:hAnsi="宋体" w:cs="宋体"/>
          <w:b/>
          <w:color w:val="auto"/>
          <w:sz w:val="24"/>
          <w:szCs w:val="24"/>
          <w:highlight w:val="none"/>
        </w:rPr>
        <w:t>、投标人已取得的各种有效认证证书、政府部门（企业）或第三方权威鉴定机构出具的信用等级证书或证明复印件 (如有)。</w:t>
      </w:r>
    </w:p>
    <w:p w14:paraId="543DBF29">
      <w:pPr>
        <w:adjustRightInd w:val="0"/>
        <w:snapToGrid w:val="0"/>
        <w:spacing w:line="400" w:lineRule="exact"/>
        <w:ind w:left="0" w:leftChars="0" w:firstLine="513" w:firstLineChars="213"/>
        <w:jc w:val="left"/>
        <w:rPr>
          <w:rFonts w:ascii="宋体" w:hAnsi="宋体" w:cs="宋体"/>
          <w:b/>
          <w:color w:val="auto"/>
          <w:sz w:val="24"/>
          <w:szCs w:val="24"/>
          <w:highlight w:val="none"/>
        </w:rPr>
      </w:pPr>
    </w:p>
    <w:p w14:paraId="64CE6A98">
      <w:pPr>
        <w:widowControl/>
        <w:snapToGrid w:val="0"/>
        <w:spacing w:line="400" w:lineRule="exact"/>
        <w:ind w:left="0" w:leftChars="0" w:firstLine="513" w:firstLineChars="213"/>
        <w:jc w:val="left"/>
        <w:rPr>
          <w:rFonts w:ascii="宋体" w:hAnsi="宋体" w:cs="宋体"/>
          <w:b/>
          <w:bCs/>
          <w:color w:val="auto"/>
          <w:sz w:val="24"/>
          <w:szCs w:val="24"/>
          <w:highlight w:val="none"/>
        </w:rPr>
      </w:pPr>
    </w:p>
    <w:p w14:paraId="78A67B27">
      <w:pPr>
        <w:adjustRightInd w:val="0"/>
        <w:snapToGrid w:val="0"/>
        <w:spacing w:line="400" w:lineRule="exact"/>
        <w:ind w:left="0" w:leftChars="0" w:firstLine="513" w:firstLineChars="213"/>
        <w:jc w:val="left"/>
        <w:rPr>
          <w:rFonts w:hint="eastAsia" w:ascii="宋体" w:hAnsi="宋体" w:cs="宋体"/>
          <w:b/>
          <w:color w:val="auto"/>
          <w:sz w:val="24"/>
          <w:szCs w:val="24"/>
          <w:highlight w:val="none"/>
        </w:rPr>
      </w:pPr>
      <w:r>
        <w:rPr>
          <w:rFonts w:hint="eastAsia" w:ascii="宋体" w:hAnsi="宋体" w:cs="宋体"/>
          <w:b/>
          <w:color w:val="auto"/>
          <w:sz w:val="24"/>
          <w:szCs w:val="24"/>
          <w:highlight w:val="none"/>
          <w:lang w:val="en-US" w:eastAsia="zh-CN"/>
        </w:rPr>
        <w:t>11</w:t>
      </w:r>
      <w:r>
        <w:rPr>
          <w:rFonts w:hint="eastAsia" w:ascii="宋体" w:hAnsi="宋体" w:cs="宋体"/>
          <w:b/>
          <w:color w:val="auto"/>
          <w:sz w:val="24"/>
          <w:szCs w:val="24"/>
          <w:highlight w:val="none"/>
        </w:rPr>
        <w:t>、</w:t>
      </w:r>
      <w:r>
        <w:rPr>
          <w:rFonts w:hint="eastAsia" w:ascii="宋体" w:hAnsi="宋体" w:eastAsia="宋体" w:cs="宋体"/>
          <w:b/>
          <w:color w:val="auto"/>
          <w:sz w:val="24"/>
          <w:szCs w:val="24"/>
          <w:highlight w:val="none"/>
          <w:lang w:val="en-US" w:eastAsia="zh-CN"/>
        </w:rPr>
        <w:t>202</w:t>
      </w:r>
      <w:r>
        <w:rPr>
          <w:rFonts w:hint="eastAsia" w:ascii="宋体" w:hAnsi="宋体" w:cs="宋体"/>
          <w:b/>
          <w:color w:val="auto"/>
          <w:sz w:val="24"/>
          <w:szCs w:val="24"/>
          <w:highlight w:val="none"/>
          <w:lang w:val="en-US" w:eastAsia="zh-CN"/>
        </w:rPr>
        <w:t>2</w:t>
      </w:r>
      <w:r>
        <w:rPr>
          <w:rFonts w:hint="eastAsia" w:ascii="宋体" w:hAnsi="宋体" w:eastAsia="宋体" w:cs="宋体"/>
          <w:b/>
          <w:color w:val="auto"/>
          <w:sz w:val="24"/>
          <w:szCs w:val="24"/>
          <w:highlight w:val="none"/>
          <w:lang w:val="en-US" w:eastAsia="zh-CN"/>
        </w:rPr>
        <w:t>年0</w:t>
      </w:r>
      <w:r>
        <w:rPr>
          <w:rFonts w:hint="eastAsia" w:ascii="宋体" w:hAnsi="宋体" w:cs="宋体"/>
          <w:b/>
          <w:color w:val="auto"/>
          <w:sz w:val="24"/>
          <w:szCs w:val="24"/>
          <w:highlight w:val="none"/>
          <w:lang w:val="en-US" w:eastAsia="zh-CN"/>
        </w:rPr>
        <w:t>1</w:t>
      </w:r>
      <w:r>
        <w:rPr>
          <w:rFonts w:hint="eastAsia" w:ascii="宋体" w:hAnsi="宋体" w:eastAsia="宋体" w:cs="宋体"/>
          <w:b/>
          <w:color w:val="auto"/>
          <w:sz w:val="24"/>
          <w:szCs w:val="24"/>
          <w:highlight w:val="none"/>
          <w:lang w:eastAsia="zh-CN"/>
        </w:rPr>
        <w:t>月</w:t>
      </w:r>
      <w:r>
        <w:rPr>
          <w:rFonts w:hint="eastAsia" w:ascii="宋体" w:hAnsi="宋体" w:eastAsia="宋体" w:cs="宋体"/>
          <w:b/>
          <w:color w:val="auto"/>
          <w:sz w:val="24"/>
          <w:szCs w:val="24"/>
          <w:highlight w:val="none"/>
          <w:lang w:val="en-US" w:eastAsia="zh-CN"/>
        </w:rPr>
        <w:t>01</w:t>
      </w:r>
      <w:r>
        <w:rPr>
          <w:rFonts w:hint="eastAsia" w:ascii="宋体" w:hAnsi="宋体" w:eastAsia="宋体" w:cs="宋体"/>
          <w:b/>
          <w:color w:val="auto"/>
          <w:sz w:val="24"/>
          <w:szCs w:val="24"/>
          <w:highlight w:val="none"/>
        </w:rPr>
        <w:t>日以</w:t>
      </w:r>
      <w:r>
        <w:rPr>
          <w:rFonts w:hint="eastAsia" w:ascii="宋体" w:hAnsi="宋体" w:cs="宋体"/>
          <w:b/>
          <w:color w:val="auto"/>
          <w:sz w:val="24"/>
          <w:szCs w:val="24"/>
          <w:highlight w:val="none"/>
        </w:rPr>
        <w:t>来</w:t>
      </w:r>
      <w:r>
        <w:rPr>
          <w:rFonts w:hint="eastAsia" w:ascii="宋体" w:hAnsi="宋体" w:cs="宋体"/>
          <w:b/>
          <w:color w:val="auto"/>
          <w:sz w:val="24"/>
          <w:szCs w:val="24"/>
          <w:highlight w:val="none"/>
          <w:lang w:val="en-US" w:eastAsia="zh-CN"/>
        </w:rPr>
        <w:t>同类</w:t>
      </w:r>
      <w:r>
        <w:rPr>
          <w:rFonts w:hint="eastAsia" w:ascii="宋体" w:hAnsi="宋体" w:cs="宋体"/>
          <w:b/>
          <w:color w:val="auto"/>
          <w:sz w:val="24"/>
          <w:szCs w:val="24"/>
          <w:highlight w:val="none"/>
        </w:rPr>
        <w:t>成功业绩</w:t>
      </w:r>
    </w:p>
    <w:p w14:paraId="38660B59">
      <w:pPr>
        <w:adjustRightInd w:val="0"/>
        <w:snapToGrid w:val="0"/>
        <w:spacing w:line="400" w:lineRule="exact"/>
        <w:ind w:left="0" w:leftChars="0" w:firstLine="511" w:firstLineChars="213"/>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以签订合同时间为准，需提供</w:t>
      </w:r>
      <w:r>
        <w:rPr>
          <w:rFonts w:hint="eastAsia" w:ascii="宋体" w:hAnsi="宋体" w:cs="宋体"/>
          <w:color w:val="auto"/>
          <w:sz w:val="24"/>
          <w:szCs w:val="24"/>
          <w:highlight w:val="none"/>
          <w:lang w:eastAsia="zh-CN"/>
        </w:rPr>
        <w:t>中标（成交）通知书、</w:t>
      </w:r>
      <w:r>
        <w:rPr>
          <w:rFonts w:hint="eastAsia" w:ascii="宋体" w:hAnsi="宋体" w:cs="宋体"/>
          <w:color w:val="auto"/>
          <w:sz w:val="24"/>
          <w:szCs w:val="24"/>
          <w:highlight w:val="none"/>
        </w:rPr>
        <w:t>与最终用户合同复印件，复印件并加盖公章，如出现与事实不符等情况，将根据有关规定以“提供虚假材料谋取中标”予以处罚。</w:t>
      </w:r>
    </w:p>
    <w:p w14:paraId="149BA4DD">
      <w:pPr>
        <w:pStyle w:val="29"/>
        <w:ind w:left="0" w:leftChars="0" w:firstLine="513" w:firstLineChars="213"/>
        <w:rPr>
          <w:rFonts w:ascii="宋体" w:hAnsi="宋体" w:cs="宋体"/>
          <w:b/>
          <w:bCs/>
          <w:color w:val="auto"/>
          <w:sz w:val="24"/>
          <w:szCs w:val="24"/>
          <w:highlight w:val="none"/>
        </w:rPr>
      </w:pPr>
    </w:p>
    <w:p w14:paraId="32BBD5DD">
      <w:pPr>
        <w:pStyle w:val="29"/>
        <w:ind w:left="0" w:leftChars="0" w:firstLine="513" w:firstLineChars="213"/>
        <w:rPr>
          <w:rFonts w:ascii="宋体" w:hAnsi="宋体" w:cs="宋体"/>
          <w:b/>
          <w:bCs/>
          <w:color w:val="auto"/>
          <w:sz w:val="24"/>
          <w:szCs w:val="24"/>
          <w:highlight w:val="none"/>
        </w:rPr>
      </w:pPr>
    </w:p>
    <w:p w14:paraId="458CC1EB">
      <w:pPr>
        <w:pStyle w:val="29"/>
        <w:ind w:left="0" w:leftChars="0" w:firstLine="513" w:firstLineChars="213"/>
        <w:rPr>
          <w:rFonts w:ascii="宋体" w:hAnsi="宋体" w:cs="宋体"/>
          <w:b/>
          <w:bCs/>
          <w:color w:val="auto"/>
          <w:sz w:val="24"/>
          <w:szCs w:val="24"/>
          <w:highlight w:val="none"/>
        </w:rPr>
      </w:pPr>
    </w:p>
    <w:p w14:paraId="54636BE7">
      <w:pPr>
        <w:pStyle w:val="29"/>
        <w:ind w:left="0" w:leftChars="0" w:firstLine="513" w:firstLineChars="213"/>
        <w:rPr>
          <w:rFonts w:ascii="宋体" w:hAnsi="宋体" w:cs="宋体"/>
          <w:b/>
          <w:bCs/>
          <w:color w:val="auto"/>
          <w:sz w:val="24"/>
          <w:szCs w:val="24"/>
          <w:highlight w:val="none"/>
        </w:rPr>
      </w:pPr>
    </w:p>
    <w:p w14:paraId="5EF27400">
      <w:pPr>
        <w:pStyle w:val="29"/>
        <w:ind w:left="0" w:leftChars="0" w:firstLine="513" w:firstLineChars="213"/>
        <w:rPr>
          <w:rFonts w:ascii="宋体" w:hAnsi="宋体" w:cs="宋体"/>
          <w:b/>
          <w:bCs/>
          <w:color w:val="auto"/>
          <w:sz w:val="24"/>
          <w:szCs w:val="24"/>
          <w:highlight w:val="none"/>
        </w:rPr>
      </w:pPr>
    </w:p>
    <w:p w14:paraId="4AEE9330">
      <w:pPr>
        <w:pStyle w:val="29"/>
        <w:ind w:left="0" w:leftChars="0" w:firstLine="513" w:firstLineChars="213"/>
        <w:rPr>
          <w:rFonts w:ascii="宋体" w:hAnsi="宋体" w:cs="宋体"/>
          <w:b/>
          <w:bCs/>
          <w:color w:val="auto"/>
          <w:sz w:val="24"/>
          <w:szCs w:val="24"/>
          <w:highlight w:val="none"/>
        </w:rPr>
      </w:pPr>
    </w:p>
    <w:p w14:paraId="6FF82BFD">
      <w:pPr>
        <w:pStyle w:val="29"/>
        <w:ind w:left="0" w:leftChars="0" w:firstLine="513" w:firstLineChars="213"/>
        <w:rPr>
          <w:rFonts w:ascii="宋体" w:hAnsi="宋体" w:cs="宋体"/>
          <w:b/>
          <w:bCs/>
          <w:color w:val="auto"/>
          <w:sz w:val="24"/>
          <w:szCs w:val="24"/>
          <w:highlight w:val="none"/>
        </w:rPr>
      </w:pPr>
    </w:p>
    <w:p w14:paraId="5C5C2CE1">
      <w:pPr>
        <w:snapToGrid w:val="0"/>
        <w:spacing w:line="400" w:lineRule="exact"/>
        <w:ind w:left="0" w:leftChars="0" w:firstLine="513" w:firstLineChars="213"/>
        <w:rPr>
          <w:rFonts w:ascii="宋体" w:hAnsi="宋体" w:cs="宋体"/>
          <w:color w:val="auto"/>
          <w:sz w:val="24"/>
          <w:szCs w:val="24"/>
          <w:highlight w:val="none"/>
        </w:rPr>
      </w:pPr>
      <w:r>
        <w:rPr>
          <w:rFonts w:hint="eastAsia" w:ascii="宋体" w:hAnsi="宋体" w:cs="宋体"/>
          <w:b/>
          <w:color w:val="auto"/>
          <w:sz w:val="24"/>
          <w:szCs w:val="24"/>
          <w:highlight w:val="none"/>
        </w:rPr>
        <w:t>1</w:t>
      </w:r>
      <w:r>
        <w:rPr>
          <w:rFonts w:hint="eastAsia" w:ascii="宋体" w:hAnsi="宋体" w:cs="宋体"/>
          <w:b/>
          <w:color w:val="auto"/>
          <w:sz w:val="24"/>
          <w:szCs w:val="24"/>
          <w:highlight w:val="none"/>
          <w:lang w:val="en-US" w:eastAsia="zh-CN"/>
        </w:rPr>
        <w:t>2</w:t>
      </w:r>
      <w:r>
        <w:rPr>
          <w:rFonts w:hint="eastAsia" w:ascii="宋体" w:hAnsi="宋体" w:cs="宋体"/>
          <w:b/>
          <w:color w:val="auto"/>
          <w:sz w:val="24"/>
          <w:szCs w:val="24"/>
          <w:highlight w:val="none"/>
        </w:rPr>
        <w:t>、政府采购政策扶持证明材料</w:t>
      </w:r>
    </w:p>
    <w:p w14:paraId="6395ED4E">
      <w:pPr>
        <w:widowControl/>
        <w:snapToGrid w:val="0"/>
        <w:spacing w:before="240" w:after="240" w:line="400" w:lineRule="exact"/>
        <w:ind w:left="0" w:leftChars="0" w:firstLine="684" w:firstLineChars="213"/>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中小企业声明函（货物）</w:t>
      </w:r>
    </w:p>
    <w:p w14:paraId="24325DCC">
      <w:pPr>
        <w:widowControl/>
        <w:snapToGrid w:val="0"/>
        <w:spacing w:before="75" w:after="75" w:line="400" w:lineRule="exact"/>
        <w:ind w:left="0" w:leftChars="0" w:firstLine="511" w:firstLineChars="213"/>
        <w:rPr>
          <w:rFonts w:ascii="宋体" w:hAnsi="宋体" w:cs="宋体"/>
          <w:color w:val="auto"/>
          <w:kern w:val="0"/>
          <w:sz w:val="24"/>
          <w:szCs w:val="24"/>
          <w:highlight w:val="none"/>
        </w:rPr>
      </w:pPr>
      <w:r>
        <w:rPr>
          <w:rFonts w:hint="eastAsia" w:ascii="宋体" w:hAnsi="宋体" w:cs="宋体"/>
          <w:color w:val="auto"/>
          <w:kern w:val="0"/>
          <w:sz w:val="24"/>
          <w:szCs w:val="24"/>
          <w:highlight w:val="none"/>
        </w:rPr>
        <w:t>本公司（联合体）郑重声明，根据关于《政府采购促进中小企业发展管理办法》的通知（财库〔2020〕46号）的规定，本公司（联合体）参加</w:t>
      </w:r>
      <w:r>
        <w:rPr>
          <w:rFonts w:hint="eastAsia" w:ascii="宋体" w:hAnsi="宋体" w:cs="宋体"/>
          <w:color w:val="auto"/>
          <w:kern w:val="0"/>
          <w:sz w:val="24"/>
          <w:szCs w:val="24"/>
          <w:highlight w:val="none"/>
          <w:u w:val="single"/>
        </w:rPr>
        <w:t>（单位名称）</w:t>
      </w:r>
      <w:r>
        <w:rPr>
          <w:rFonts w:hint="eastAsia" w:ascii="宋体" w:hAnsi="宋体" w:cs="宋体"/>
          <w:color w:val="auto"/>
          <w:kern w:val="0"/>
          <w:sz w:val="24"/>
          <w:szCs w:val="24"/>
          <w:highlight w:val="none"/>
        </w:rPr>
        <w:t>的</w:t>
      </w:r>
      <w:r>
        <w:rPr>
          <w:rFonts w:hint="eastAsia" w:ascii="宋体" w:hAnsi="宋体" w:cs="宋体"/>
          <w:color w:val="auto"/>
          <w:kern w:val="0"/>
          <w:sz w:val="24"/>
          <w:szCs w:val="24"/>
          <w:highlight w:val="none"/>
          <w:u w:val="single"/>
        </w:rPr>
        <w:t>（项目名称）</w:t>
      </w:r>
      <w:r>
        <w:rPr>
          <w:rFonts w:hint="eastAsia" w:ascii="宋体" w:hAnsi="宋体" w:cs="宋体"/>
          <w:color w:val="auto"/>
          <w:kern w:val="0"/>
          <w:sz w:val="24"/>
          <w:szCs w:val="24"/>
          <w:highlight w:val="none"/>
        </w:rPr>
        <w:t>采购活动，提供的货物全部由符合政策要求的中小企业制造。相关企业（含联合体中的中小企业、签订分包意向协议的中小企业）的具体情况如下：</w:t>
      </w:r>
    </w:p>
    <w:p w14:paraId="00D53E5C">
      <w:pPr>
        <w:widowControl/>
        <w:snapToGrid w:val="0"/>
        <w:spacing w:before="75" w:after="75" w:line="400" w:lineRule="exact"/>
        <w:ind w:left="0" w:leftChars="0" w:firstLine="511" w:firstLineChars="213"/>
        <w:rPr>
          <w:rFonts w:ascii="宋体" w:hAnsi="宋体" w:cs="宋体"/>
          <w:color w:val="auto"/>
          <w:kern w:val="0"/>
          <w:sz w:val="24"/>
          <w:szCs w:val="24"/>
          <w:highlight w:val="none"/>
        </w:rPr>
      </w:pPr>
      <w:r>
        <w:rPr>
          <w:rFonts w:hint="eastAsia" w:ascii="宋体" w:hAnsi="宋体" w:cs="宋体"/>
          <w:color w:val="auto"/>
          <w:kern w:val="0"/>
          <w:sz w:val="24"/>
          <w:szCs w:val="24"/>
          <w:highlight w:val="none"/>
        </w:rPr>
        <w:t>1.</w:t>
      </w:r>
      <w:r>
        <w:rPr>
          <w:rFonts w:hint="eastAsia" w:ascii="宋体" w:hAnsi="宋体" w:cs="宋体"/>
          <w:color w:val="auto"/>
          <w:kern w:val="0"/>
          <w:sz w:val="24"/>
          <w:szCs w:val="24"/>
          <w:highlight w:val="none"/>
          <w:u w:val="single"/>
        </w:rPr>
        <w:t>（标的名称）</w:t>
      </w:r>
      <w:r>
        <w:rPr>
          <w:rFonts w:hint="eastAsia" w:ascii="宋体" w:hAnsi="宋体" w:cs="宋体"/>
          <w:color w:val="auto"/>
          <w:kern w:val="0"/>
          <w:sz w:val="24"/>
          <w:szCs w:val="24"/>
          <w:highlight w:val="none"/>
        </w:rPr>
        <w:t>，属于</w:t>
      </w:r>
      <w:r>
        <w:rPr>
          <w:rFonts w:hint="eastAsia" w:ascii="宋体" w:hAnsi="宋体" w:cs="宋体"/>
          <w:color w:val="auto"/>
          <w:kern w:val="0"/>
          <w:sz w:val="24"/>
          <w:szCs w:val="24"/>
          <w:highlight w:val="none"/>
          <w:u w:val="single"/>
        </w:rPr>
        <w:t>（</w:t>
      </w:r>
      <w:r>
        <w:rPr>
          <w:rFonts w:hint="eastAsia" w:ascii="宋体" w:hAnsi="宋体" w:cs="宋体"/>
          <w:color w:val="auto"/>
          <w:kern w:val="0"/>
          <w:sz w:val="24"/>
          <w:szCs w:val="24"/>
          <w:highlight w:val="none"/>
          <w:u w:val="single"/>
          <w:lang w:eastAsia="zh-CN"/>
        </w:rPr>
        <w:t>磋商文件</w:t>
      </w:r>
      <w:r>
        <w:rPr>
          <w:rFonts w:hint="eastAsia" w:ascii="宋体" w:hAnsi="宋体" w:cs="宋体"/>
          <w:color w:val="auto"/>
          <w:kern w:val="0"/>
          <w:sz w:val="24"/>
          <w:szCs w:val="24"/>
          <w:highlight w:val="none"/>
          <w:u w:val="single"/>
        </w:rPr>
        <w:t>中明确的所属行业）</w:t>
      </w:r>
      <w:r>
        <w:rPr>
          <w:rFonts w:hint="eastAsia" w:ascii="宋体" w:hAnsi="宋体" w:cs="宋体"/>
          <w:color w:val="auto"/>
          <w:kern w:val="0"/>
          <w:sz w:val="24"/>
          <w:szCs w:val="24"/>
          <w:highlight w:val="none"/>
        </w:rPr>
        <w:t>；制造商为</w:t>
      </w:r>
      <w:r>
        <w:rPr>
          <w:rFonts w:hint="eastAsia" w:ascii="宋体" w:hAnsi="宋体" w:cs="宋体"/>
          <w:color w:val="auto"/>
          <w:kern w:val="0"/>
          <w:sz w:val="24"/>
          <w:szCs w:val="24"/>
          <w:highlight w:val="none"/>
          <w:u w:val="single"/>
        </w:rPr>
        <w:t>（企业名称）</w:t>
      </w:r>
      <w:r>
        <w:rPr>
          <w:rFonts w:hint="eastAsia" w:ascii="宋体" w:hAnsi="宋体" w:cs="宋体"/>
          <w:color w:val="auto"/>
          <w:kern w:val="0"/>
          <w:sz w:val="24"/>
          <w:szCs w:val="24"/>
          <w:highlight w:val="none"/>
        </w:rPr>
        <w:t>，从业人员人，营业收入为万元，资产总额为万元，属于</w:t>
      </w:r>
      <w:r>
        <w:rPr>
          <w:rFonts w:hint="eastAsia" w:ascii="宋体" w:hAnsi="宋体" w:cs="宋体"/>
          <w:color w:val="auto"/>
          <w:kern w:val="0"/>
          <w:sz w:val="24"/>
          <w:szCs w:val="24"/>
          <w:highlight w:val="none"/>
          <w:u w:val="single"/>
        </w:rPr>
        <w:t>（中型企业、小型企业、微型企业）</w:t>
      </w:r>
      <w:r>
        <w:rPr>
          <w:rFonts w:hint="eastAsia" w:ascii="宋体" w:hAnsi="宋体" w:cs="宋体"/>
          <w:color w:val="auto"/>
          <w:kern w:val="0"/>
          <w:sz w:val="24"/>
          <w:szCs w:val="24"/>
          <w:highlight w:val="none"/>
        </w:rPr>
        <w:t>；</w:t>
      </w:r>
    </w:p>
    <w:p w14:paraId="348F94AD">
      <w:pPr>
        <w:widowControl/>
        <w:snapToGrid w:val="0"/>
        <w:spacing w:before="75" w:after="75" w:line="400" w:lineRule="exact"/>
        <w:ind w:left="0" w:leftChars="0" w:firstLine="511" w:firstLineChars="213"/>
        <w:rPr>
          <w:rFonts w:ascii="宋体" w:hAnsi="宋体" w:cs="宋体"/>
          <w:color w:val="auto"/>
          <w:kern w:val="0"/>
          <w:sz w:val="24"/>
          <w:szCs w:val="24"/>
          <w:highlight w:val="none"/>
        </w:rPr>
      </w:pPr>
      <w:r>
        <w:rPr>
          <w:rFonts w:hint="eastAsia" w:ascii="宋体" w:hAnsi="宋体" w:cs="宋体"/>
          <w:color w:val="auto"/>
          <w:kern w:val="0"/>
          <w:sz w:val="24"/>
          <w:szCs w:val="24"/>
          <w:highlight w:val="none"/>
        </w:rPr>
        <w:t>2.</w:t>
      </w:r>
      <w:r>
        <w:rPr>
          <w:rFonts w:hint="eastAsia" w:ascii="宋体" w:hAnsi="宋体" w:cs="宋体"/>
          <w:color w:val="auto"/>
          <w:kern w:val="0"/>
          <w:sz w:val="24"/>
          <w:szCs w:val="24"/>
          <w:highlight w:val="none"/>
          <w:u w:val="single"/>
        </w:rPr>
        <w:t>（标的名称）</w:t>
      </w:r>
      <w:r>
        <w:rPr>
          <w:rFonts w:hint="eastAsia" w:ascii="宋体" w:hAnsi="宋体" w:cs="宋体"/>
          <w:color w:val="auto"/>
          <w:kern w:val="0"/>
          <w:sz w:val="24"/>
          <w:szCs w:val="24"/>
          <w:highlight w:val="none"/>
        </w:rPr>
        <w:t>，属于</w:t>
      </w:r>
      <w:r>
        <w:rPr>
          <w:rFonts w:hint="eastAsia" w:ascii="宋体" w:hAnsi="宋体" w:cs="宋体"/>
          <w:color w:val="auto"/>
          <w:kern w:val="0"/>
          <w:sz w:val="24"/>
          <w:szCs w:val="24"/>
          <w:highlight w:val="none"/>
          <w:u w:val="single"/>
        </w:rPr>
        <w:t>（</w:t>
      </w:r>
      <w:r>
        <w:rPr>
          <w:rFonts w:hint="eastAsia" w:ascii="宋体" w:hAnsi="宋体" w:cs="宋体"/>
          <w:color w:val="auto"/>
          <w:kern w:val="0"/>
          <w:sz w:val="24"/>
          <w:szCs w:val="24"/>
          <w:highlight w:val="none"/>
          <w:u w:val="single"/>
          <w:lang w:eastAsia="zh-CN"/>
        </w:rPr>
        <w:t>磋商文件</w:t>
      </w:r>
      <w:r>
        <w:rPr>
          <w:rFonts w:hint="eastAsia" w:ascii="宋体" w:hAnsi="宋体" w:cs="宋体"/>
          <w:color w:val="auto"/>
          <w:kern w:val="0"/>
          <w:sz w:val="24"/>
          <w:szCs w:val="24"/>
          <w:highlight w:val="none"/>
          <w:u w:val="single"/>
        </w:rPr>
        <w:t>中明确的所属行业）</w:t>
      </w:r>
      <w:r>
        <w:rPr>
          <w:rFonts w:hint="eastAsia" w:ascii="宋体" w:hAnsi="宋体" w:cs="宋体"/>
          <w:color w:val="auto"/>
          <w:kern w:val="0"/>
          <w:sz w:val="24"/>
          <w:szCs w:val="24"/>
          <w:highlight w:val="none"/>
        </w:rPr>
        <w:t>；制造商为</w:t>
      </w:r>
      <w:r>
        <w:rPr>
          <w:rFonts w:hint="eastAsia" w:ascii="宋体" w:hAnsi="宋体" w:cs="宋体"/>
          <w:color w:val="auto"/>
          <w:kern w:val="0"/>
          <w:sz w:val="24"/>
          <w:szCs w:val="24"/>
          <w:highlight w:val="none"/>
          <w:u w:val="single"/>
        </w:rPr>
        <w:t>（企业名称）</w:t>
      </w:r>
      <w:r>
        <w:rPr>
          <w:rFonts w:hint="eastAsia" w:ascii="宋体" w:hAnsi="宋体" w:cs="宋体"/>
          <w:color w:val="auto"/>
          <w:kern w:val="0"/>
          <w:sz w:val="24"/>
          <w:szCs w:val="24"/>
          <w:highlight w:val="none"/>
        </w:rPr>
        <w:t>，从业人员人，营业收入为万元，资产总额为万元，属于</w:t>
      </w:r>
      <w:r>
        <w:rPr>
          <w:rFonts w:hint="eastAsia" w:ascii="宋体" w:hAnsi="宋体" w:cs="宋体"/>
          <w:color w:val="auto"/>
          <w:kern w:val="0"/>
          <w:sz w:val="24"/>
          <w:szCs w:val="24"/>
          <w:highlight w:val="none"/>
          <w:u w:val="single"/>
        </w:rPr>
        <w:t>（中型企业、小型企业、微型企业）</w:t>
      </w:r>
      <w:r>
        <w:rPr>
          <w:rFonts w:hint="eastAsia" w:ascii="宋体" w:hAnsi="宋体" w:cs="宋体"/>
          <w:color w:val="auto"/>
          <w:kern w:val="0"/>
          <w:sz w:val="24"/>
          <w:szCs w:val="24"/>
          <w:highlight w:val="none"/>
        </w:rPr>
        <w:t>；</w:t>
      </w:r>
    </w:p>
    <w:p w14:paraId="04235EE7">
      <w:pPr>
        <w:widowControl/>
        <w:snapToGrid w:val="0"/>
        <w:spacing w:before="75" w:after="75" w:line="400" w:lineRule="exact"/>
        <w:ind w:left="0" w:leftChars="0" w:firstLine="511" w:firstLineChars="213"/>
        <w:rPr>
          <w:rFonts w:ascii="宋体" w:hAnsi="宋体" w:cs="宋体"/>
          <w:color w:val="auto"/>
          <w:kern w:val="0"/>
          <w:sz w:val="24"/>
          <w:szCs w:val="24"/>
          <w:highlight w:val="none"/>
        </w:rPr>
      </w:pPr>
      <w:r>
        <w:rPr>
          <w:rFonts w:hint="eastAsia" w:ascii="宋体" w:hAnsi="宋体" w:cs="宋体"/>
          <w:color w:val="auto"/>
          <w:kern w:val="0"/>
          <w:sz w:val="24"/>
          <w:szCs w:val="24"/>
          <w:highlight w:val="none"/>
        </w:rPr>
        <w:t>……</w:t>
      </w:r>
    </w:p>
    <w:p w14:paraId="06D325D3">
      <w:pPr>
        <w:widowControl/>
        <w:snapToGrid w:val="0"/>
        <w:spacing w:before="75" w:after="75" w:line="400" w:lineRule="exact"/>
        <w:ind w:left="0" w:leftChars="0" w:firstLine="511" w:firstLineChars="213"/>
        <w:rPr>
          <w:rFonts w:ascii="宋体" w:hAnsi="宋体" w:cs="宋体"/>
          <w:color w:val="auto"/>
          <w:kern w:val="0"/>
          <w:sz w:val="24"/>
          <w:szCs w:val="24"/>
          <w:highlight w:val="none"/>
        </w:rPr>
      </w:pPr>
      <w:r>
        <w:rPr>
          <w:rFonts w:hint="eastAsia" w:ascii="宋体" w:hAnsi="宋体" w:cs="宋体"/>
          <w:color w:val="auto"/>
          <w:kern w:val="0"/>
          <w:sz w:val="24"/>
          <w:szCs w:val="24"/>
          <w:highlight w:val="none"/>
        </w:rPr>
        <w:t>以上企业，不属于大企业的分支机构，不存在控股股东为大企业的情形，也不存在与大企业的负责人为同一人的情形。</w:t>
      </w:r>
    </w:p>
    <w:p w14:paraId="5DC1BDDD">
      <w:pPr>
        <w:widowControl/>
        <w:snapToGrid w:val="0"/>
        <w:spacing w:before="75" w:after="75" w:line="400" w:lineRule="exact"/>
        <w:ind w:left="0" w:leftChars="0" w:firstLine="511" w:firstLineChars="213"/>
        <w:rPr>
          <w:rFonts w:ascii="宋体" w:hAnsi="宋体" w:cs="宋体"/>
          <w:color w:val="auto"/>
          <w:kern w:val="0"/>
          <w:sz w:val="24"/>
          <w:szCs w:val="24"/>
          <w:highlight w:val="none"/>
        </w:rPr>
      </w:pPr>
      <w:r>
        <w:rPr>
          <w:rFonts w:hint="eastAsia" w:ascii="宋体" w:hAnsi="宋体" w:cs="宋体"/>
          <w:color w:val="auto"/>
          <w:kern w:val="0"/>
          <w:sz w:val="24"/>
          <w:szCs w:val="24"/>
          <w:highlight w:val="none"/>
        </w:rPr>
        <w:t>本企业对上述声明内容的真实性负责。如有虚假，将依法承担相应责任。</w:t>
      </w:r>
    </w:p>
    <w:p w14:paraId="3A4D2E4D">
      <w:pPr>
        <w:widowControl/>
        <w:snapToGrid w:val="0"/>
        <w:spacing w:before="75" w:after="75" w:line="400" w:lineRule="exact"/>
        <w:ind w:left="0" w:leftChars="0" w:firstLine="511" w:firstLineChars="213"/>
        <w:rPr>
          <w:rFonts w:ascii="宋体" w:hAnsi="宋体" w:cs="宋体"/>
          <w:color w:val="auto"/>
          <w:kern w:val="0"/>
          <w:sz w:val="24"/>
          <w:szCs w:val="24"/>
          <w:highlight w:val="none"/>
        </w:rPr>
      </w:pPr>
    </w:p>
    <w:p w14:paraId="0377B3D7">
      <w:pPr>
        <w:widowControl/>
        <w:snapToGrid w:val="0"/>
        <w:spacing w:before="75" w:after="75" w:line="400" w:lineRule="exact"/>
        <w:ind w:left="0" w:leftChars="0" w:firstLine="511" w:firstLineChars="213"/>
        <w:rPr>
          <w:rFonts w:ascii="宋体" w:hAnsi="宋体" w:cs="宋体"/>
          <w:color w:val="auto"/>
          <w:kern w:val="0"/>
          <w:sz w:val="24"/>
          <w:szCs w:val="24"/>
          <w:highlight w:val="none"/>
        </w:rPr>
      </w:pPr>
    </w:p>
    <w:p w14:paraId="2AE8F8B7">
      <w:pPr>
        <w:widowControl/>
        <w:snapToGrid w:val="0"/>
        <w:spacing w:before="75" w:after="75" w:line="400" w:lineRule="exact"/>
        <w:ind w:left="0" w:leftChars="0" w:firstLine="511" w:firstLineChars="213"/>
        <w:rPr>
          <w:rFonts w:ascii="宋体" w:hAnsi="宋体" w:cs="宋体"/>
          <w:color w:val="auto"/>
          <w:kern w:val="0"/>
          <w:sz w:val="24"/>
          <w:szCs w:val="24"/>
          <w:highlight w:val="none"/>
        </w:rPr>
      </w:pPr>
      <w:r>
        <w:rPr>
          <w:rFonts w:hint="eastAsia" w:ascii="宋体" w:hAnsi="宋体" w:cs="宋体"/>
          <w:color w:val="auto"/>
          <w:kern w:val="0"/>
          <w:sz w:val="24"/>
          <w:szCs w:val="24"/>
          <w:highlight w:val="none"/>
        </w:rPr>
        <w:t>企业名称（盖章）：</w:t>
      </w:r>
    </w:p>
    <w:p w14:paraId="53F8F37D">
      <w:pPr>
        <w:pStyle w:val="21"/>
        <w:snapToGrid w:val="0"/>
        <w:spacing w:before="156" w:after="156"/>
        <w:ind w:left="0" w:leftChars="0" w:firstLine="447" w:firstLineChars="213"/>
        <w:rPr>
          <w:rFonts w:hAnsi="宋体" w:cs="宋体"/>
          <w:color w:val="auto"/>
          <w:highlight w:val="none"/>
        </w:rPr>
      </w:pPr>
      <w:r>
        <w:rPr>
          <w:rFonts w:hint="eastAsia" w:hAnsi="宋体" w:cs="宋体"/>
          <w:color w:val="auto"/>
          <w:kern w:val="0"/>
          <w:highlight w:val="none"/>
        </w:rPr>
        <w:t>日期：</w:t>
      </w:r>
    </w:p>
    <w:p w14:paraId="6E0F66F9">
      <w:pPr>
        <w:snapToGrid w:val="0"/>
        <w:spacing w:line="400" w:lineRule="exact"/>
        <w:ind w:left="0" w:leftChars="0" w:firstLine="511" w:firstLineChars="213"/>
        <w:rPr>
          <w:rFonts w:hint="eastAsia" w:ascii="宋体" w:hAnsi="宋体" w:cs="宋体"/>
          <w:color w:val="auto"/>
          <w:sz w:val="24"/>
          <w:highlight w:val="none"/>
        </w:rPr>
      </w:pPr>
    </w:p>
    <w:p w14:paraId="302DD2F3">
      <w:pPr>
        <w:snapToGrid w:val="0"/>
        <w:spacing w:line="400" w:lineRule="exact"/>
        <w:ind w:left="0" w:leftChars="0" w:firstLine="511" w:firstLineChars="213"/>
        <w:rPr>
          <w:rFonts w:hint="eastAsia" w:ascii="宋体" w:hAnsi="宋体" w:eastAsia="宋体" w:cs="宋体"/>
          <w:color w:val="auto"/>
          <w:sz w:val="24"/>
          <w:highlight w:val="none"/>
          <w:lang w:eastAsia="zh-CN"/>
        </w:rPr>
      </w:pPr>
      <w:r>
        <w:rPr>
          <w:rFonts w:hint="eastAsia" w:ascii="宋体" w:hAnsi="宋体" w:cs="宋体"/>
          <w:color w:val="auto"/>
          <w:sz w:val="24"/>
          <w:highlight w:val="none"/>
        </w:rPr>
        <w:t>中小企业参加政府采购活动，应当出具本办法规定的《中小企业声明函》，须提供制造商属于小微企业的声明函,否则不得享受相关中小企业扶持政策。任何单位和个人不得要求供应商提供《中小企业声明函》之外的中小企业身份证明文件。</w:t>
      </w:r>
    </w:p>
    <w:p w14:paraId="1FB79E98">
      <w:pPr>
        <w:tabs>
          <w:tab w:val="left" w:pos="3777"/>
          <w:tab w:val="center" w:pos="4819"/>
        </w:tabs>
        <w:snapToGrid w:val="0"/>
        <w:spacing w:line="400" w:lineRule="exact"/>
        <w:ind w:left="0" w:leftChars="0" w:firstLine="513" w:firstLineChars="213"/>
        <w:rPr>
          <w:rFonts w:ascii="宋体" w:hAnsi="宋体" w:cs="宋体"/>
          <w:b/>
          <w:color w:val="auto"/>
          <w:sz w:val="24"/>
          <w:szCs w:val="24"/>
          <w:highlight w:val="none"/>
        </w:rPr>
      </w:pPr>
    </w:p>
    <w:p w14:paraId="5199067A">
      <w:pPr>
        <w:tabs>
          <w:tab w:val="left" w:pos="3777"/>
          <w:tab w:val="center" w:pos="4819"/>
        </w:tabs>
        <w:snapToGrid w:val="0"/>
        <w:spacing w:line="400" w:lineRule="exact"/>
        <w:ind w:left="0" w:leftChars="0" w:firstLine="513" w:firstLineChars="213"/>
        <w:rPr>
          <w:rFonts w:ascii="宋体" w:hAnsi="宋体" w:cs="宋体"/>
          <w:b/>
          <w:color w:val="auto"/>
          <w:sz w:val="24"/>
          <w:szCs w:val="24"/>
          <w:highlight w:val="none"/>
        </w:rPr>
      </w:pPr>
    </w:p>
    <w:p w14:paraId="44FA6B55">
      <w:pPr>
        <w:tabs>
          <w:tab w:val="left" w:pos="3777"/>
          <w:tab w:val="center" w:pos="4819"/>
        </w:tabs>
        <w:snapToGrid w:val="0"/>
        <w:spacing w:line="400" w:lineRule="exact"/>
        <w:ind w:left="0" w:leftChars="0" w:firstLine="513" w:firstLineChars="213"/>
        <w:rPr>
          <w:rFonts w:ascii="宋体" w:hAnsi="宋体" w:cs="宋体"/>
          <w:b/>
          <w:color w:val="auto"/>
          <w:sz w:val="24"/>
          <w:szCs w:val="24"/>
          <w:highlight w:val="none"/>
        </w:rPr>
      </w:pPr>
    </w:p>
    <w:p w14:paraId="412C4561">
      <w:pPr>
        <w:tabs>
          <w:tab w:val="left" w:pos="3777"/>
          <w:tab w:val="center" w:pos="4819"/>
        </w:tabs>
        <w:snapToGrid w:val="0"/>
        <w:spacing w:line="400" w:lineRule="exact"/>
        <w:ind w:left="0" w:leftChars="0" w:firstLine="513" w:firstLineChars="213"/>
        <w:rPr>
          <w:rFonts w:ascii="宋体" w:hAnsi="宋体" w:cs="宋体"/>
          <w:b/>
          <w:color w:val="auto"/>
          <w:sz w:val="24"/>
          <w:szCs w:val="24"/>
          <w:highlight w:val="none"/>
        </w:rPr>
      </w:pPr>
    </w:p>
    <w:p w14:paraId="55AF0F91">
      <w:pPr>
        <w:tabs>
          <w:tab w:val="left" w:pos="3777"/>
          <w:tab w:val="center" w:pos="4819"/>
        </w:tabs>
        <w:snapToGrid w:val="0"/>
        <w:spacing w:line="400" w:lineRule="exact"/>
        <w:ind w:left="0" w:leftChars="0" w:firstLine="513" w:firstLineChars="213"/>
        <w:rPr>
          <w:rFonts w:ascii="宋体" w:hAnsi="宋体" w:cs="宋体"/>
          <w:b/>
          <w:color w:val="auto"/>
          <w:sz w:val="24"/>
          <w:szCs w:val="24"/>
          <w:highlight w:val="none"/>
        </w:rPr>
      </w:pPr>
    </w:p>
    <w:p w14:paraId="5FBC8CBE">
      <w:pPr>
        <w:ind w:left="0" w:leftChars="0" w:firstLine="513" w:firstLineChars="213"/>
        <w:rPr>
          <w:rFonts w:ascii="宋体" w:hAnsi="宋体" w:cs="宋体"/>
          <w:b/>
          <w:color w:val="auto"/>
          <w:sz w:val="24"/>
          <w:szCs w:val="24"/>
          <w:highlight w:val="none"/>
        </w:rPr>
      </w:pPr>
    </w:p>
    <w:p w14:paraId="54FC7AD9">
      <w:pPr>
        <w:tabs>
          <w:tab w:val="left" w:pos="3777"/>
          <w:tab w:val="center" w:pos="4819"/>
        </w:tabs>
        <w:snapToGrid w:val="0"/>
        <w:spacing w:line="400" w:lineRule="exact"/>
        <w:ind w:left="0" w:leftChars="0" w:firstLine="513" w:firstLineChars="213"/>
        <w:jc w:val="center"/>
        <w:rPr>
          <w:rFonts w:ascii="宋体" w:hAnsi="宋体" w:cs="宋体"/>
          <w:b/>
          <w:color w:val="auto"/>
          <w:sz w:val="24"/>
          <w:szCs w:val="24"/>
          <w:highlight w:val="none"/>
        </w:rPr>
      </w:pPr>
      <w:r>
        <w:rPr>
          <w:rFonts w:hint="eastAsia" w:ascii="宋体" w:hAnsi="宋体" w:cs="宋体"/>
          <w:b/>
          <w:color w:val="auto"/>
          <w:sz w:val="24"/>
          <w:szCs w:val="24"/>
          <w:highlight w:val="none"/>
        </w:rPr>
        <w:t>监狱企业声明函</w:t>
      </w:r>
    </w:p>
    <w:p w14:paraId="183937E9">
      <w:pPr>
        <w:snapToGrid w:val="0"/>
        <w:spacing w:line="400" w:lineRule="exact"/>
        <w:ind w:left="0" w:leftChars="0" w:firstLine="511" w:firstLineChars="213"/>
        <w:jc w:val="center"/>
        <w:rPr>
          <w:rFonts w:ascii="宋体" w:hAnsi="宋体" w:cs="宋体"/>
          <w:color w:val="auto"/>
          <w:sz w:val="24"/>
          <w:highlight w:val="none"/>
        </w:rPr>
      </w:pPr>
      <w:r>
        <w:rPr>
          <w:rFonts w:hint="eastAsia" w:ascii="宋体" w:hAnsi="宋体" w:cs="宋体"/>
          <w:color w:val="auto"/>
          <w:sz w:val="24"/>
          <w:highlight w:val="none"/>
        </w:rPr>
        <w:t>（监狱企业适用）</w:t>
      </w:r>
    </w:p>
    <w:p w14:paraId="6BB6E08A">
      <w:pPr>
        <w:snapToGrid w:val="0"/>
        <w:spacing w:line="400" w:lineRule="exact"/>
        <w:ind w:left="0" w:leftChars="0" w:firstLine="511" w:firstLineChars="213"/>
        <w:rPr>
          <w:rFonts w:ascii="宋体" w:hAnsi="宋体" w:cs="宋体"/>
          <w:color w:val="auto"/>
          <w:sz w:val="24"/>
          <w:highlight w:val="none"/>
        </w:rPr>
      </w:pPr>
      <w:r>
        <w:rPr>
          <w:rFonts w:hint="eastAsia" w:ascii="宋体" w:hAnsi="宋体" w:cs="宋体"/>
          <w:color w:val="auto"/>
          <w:sz w:val="24"/>
          <w:highlight w:val="none"/>
        </w:rPr>
        <w:t>本公司郑重声明，根据《财政部、司法部关于政府采购支持监狱企业发展有关问题的通知》（财库[2014]68号）的规定，本公司为监狱企业。</w:t>
      </w:r>
    </w:p>
    <w:p w14:paraId="17D9885E">
      <w:pPr>
        <w:snapToGrid w:val="0"/>
        <w:spacing w:line="400" w:lineRule="exact"/>
        <w:ind w:left="0" w:leftChars="0" w:firstLine="511" w:firstLineChars="213"/>
        <w:rPr>
          <w:rFonts w:ascii="宋体" w:hAnsi="宋体" w:cs="宋体"/>
          <w:color w:val="auto"/>
          <w:sz w:val="24"/>
          <w:highlight w:val="none"/>
        </w:rPr>
      </w:pPr>
      <w:r>
        <w:rPr>
          <w:rFonts w:hint="eastAsia" w:ascii="宋体" w:hAnsi="宋体" w:cs="宋体"/>
          <w:color w:val="auto"/>
          <w:sz w:val="24"/>
          <w:highlight w:val="none"/>
        </w:rPr>
        <w:t>本公司参加______单位的______项目采购活动，采购活动提供本企业（填写制造的货物，由本企业承担工程、提供服务）。</w:t>
      </w:r>
    </w:p>
    <w:p w14:paraId="4074964E">
      <w:pPr>
        <w:snapToGrid w:val="0"/>
        <w:spacing w:line="400" w:lineRule="exact"/>
        <w:ind w:left="0" w:leftChars="0" w:firstLine="511" w:firstLineChars="213"/>
        <w:rPr>
          <w:rFonts w:ascii="宋体" w:hAnsi="宋体" w:cs="宋体"/>
          <w:color w:val="auto"/>
          <w:sz w:val="24"/>
          <w:highlight w:val="none"/>
        </w:rPr>
      </w:pPr>
      <w:r>
        <w:rPr>
          <w:rFonts w:hint="eastAsia" w:ascii="宋体" w:hAnsi="宋体" w:cs="宋体"/>
          <w:color w:val="auto"/>
          <w:sz w:val="24"/>
          <w:highlight w:val="none"/>
        </w:rPr>
        <w:t>本条所称货物不包括使用大型企业注册商标的货物和服务。</w:t>
      </w:r>
    </w:p>
    <w:p w14:paraId="710DC832">
      <w:pPr>
        <w:snapToGrid w:val="0"/>
        <w:spacing w:line="400" w:lineRule="exact"/>
        <w:ind w:left="0" w:leftChars="0" w:firstLine="511" w:firstLineChars="213"/>
        <w:rPr>
          <w:rFonts w:ascii="宋体" w:hAnsi="宋体" w:cs="宋体"/>
          <w:color w:val="auto"/>
          <w:sz w:val="24"/>
          <w:highlight w:val="none"/>
        </w:rPr>
      </w:pPr>
      <w:r>
        <w:rPr>
          <w:rFonts w:hint="eastAsia" w:ascii="宋体" w:hAnsi="宋体" w:cs="宋体"/>
          <w:color w:val="auto"/>
          <w:sz w:val="24"/>
          <w:highlight w:val="none"/>
        </w:rPr>
        <w:t>本公司对上述声明的真实性负责。如有虚假，将依法承担相应责任。</w:t>
      </w:r>
    </w:p>
    <w:p w14:paraId="43093CE0">
      <w:pPr>
        <w:snapToGrid w:val="0"/>
        <w:spacing w:line="400" w:lineRule="exact"/>
        <w:ind w:left="0" w:leftChars="0" w:firstLine="511" w:firstLineChars="213"/>
        <w:rPr>
          <w:rFonts w:ascii="宋体" w:hAnsi="宋体" w:cs="宋体"/>
          <w:color w:val="auto"/>
          <w:sz w:val="24"/>
          <w:highlight w:val="none"/>
        </w:rPr>
      </w:pPr>
    </w:p>
    <w:p w14:paraId="70ABD5EF">
      <w:pPr>
        <w:pStyle w:val="21"/>
        <w:snapToGrid w:val="0"/>
        <w:spacing w:before="156" w:after="156"/>
        <w:ind w:left="0" w:leftChars="0" w:firstLine="511" w:firstLineChars="213"/>
        <w:rPr>
          <w:rFonts w:hAnsi="宋体" w:cs="宋体"/>
          <w:color w:val="auto"/>
          <w:sz w:val="24"/>
          <w:szCs w:val="24"/>
          <w:highlight w:val="none"/>
        </w:rPr>
      </w:pPr>
      <w:r>
        <w:rPr>
          <w:rFonts w:hint="eastAsia" w:hAnsi="宋体" w:cs="宋体"/>
          <w:color w:val="auto"/>
          <w:sz w:val="24"/>
          <w:szCs w:val="24"/>
          <w:highlight w:val="none"/>
        </w:rPr>
        <w:t>供应商名称(公章)：____________</w:t>
      </w:r>
      <w:r>
        <w:rPr>
          <w:rFonts w:hint="eastAsia" w:hAnsi="宋体" w:cs="宋体"/>
          <w:color w:val="auto"/>
          <w:sz w:val="24"/>
          <w:szCs w:val="24"/>
          <w:highlight w:val="none"/>
        </w:rPr>
        <w:tab/>
      </w:r>
      <w:r>
        <w:rPr>
          <w:rFonts w:hint="eastAsia" w:hAnsi="宋体" w:cs="宋体"/>
          <w:color w:val="auto"/>
          <w:sz w:val="24"/>
          <w:szCs w:val="24"/>
          <w:highlight w:val="none"/>
        </w:rPr>
        <w:tab/>
      </w:r>
    </w:p>
    <w:p w14:paraId="6BAB8E95">
      <w:pPr>
        <w:pStyle w:val="21"/>
        <w:snapToGrid w:val="0"/>
        <w:spacing w:before="156" w:after="156"/>
        <w:ind w:left="0" w:leftChars="0" w:firstLine="511" w:firstLineChars="213"/>
        <w:rPr>
          <w:rFonts w:hAnsi="宋体" w:cs="宋体"/>
          <w:b/>
          <w:color w:val="auto"/>
          <w:sz w:val="24"/>
          <w:szCs w:val="24"/>
          <w:highlight w:val="none"/>
          <w:lang w:val="zh-CN"/>
        </w:rPr>
      </w:pPr>
      <w:r>
        <w:rPr>
          <w:rFonts w:hint="eastAsia" w:hAnsi="宋体" w:cs="宋体"/>
          <w:color w:val="auto"/>
          <w:sz w:val="24"/>
          <w:szCs w:val="24"/>
          <w:highlight w:val="none"/>
        </w:rPr>
        <w:t>日期：________________________</w:t>
      </w:r>
    </w:p>
    <w:p w14:paraId="768F92BF">
      <w:pPr>
        <w:pStyle w:val="21"/>
        <w:snapToGrid w:val="0"/>
        <w:spacing w:before="156" w:after="156"/>
        <w:ind w:left="0" w:leftChars="0" w:firstLine="599" w:firstLineChars="213"/>
        <w:jc w:val="left"/>
        <w:rPr>
          <w:rFonts w:hAnsi="宋体" w:cs="宋体"/>
          <w:b/>
          <w:color w:val="auto"/>
          <w:sz w:val="28"/>
          <w:szCs w:val="28"/>
          <w:highlight w:val="none"/>
          <w:lang w:val="zh-CN"/>
        </w:rPr>
      </w:pPr>
    </w:p>
    <w:p w14:paraId="4FD07086">
      <w:pPr>
        <w:pStyle w:val="21"/>
        <w:snapToGrid w:val="0"/>
        <w:spacing w:before="156" w:after="156"/>
        <w:ind w:left="0" w:leftChars="0" w:firstLine="449" w:firstLineChars="213"/>
        <w:jc w:val="left"/>
        <w:rPr>
          <w:rFonts w:hAnsi="宋体" w:cs="宋体"/>
          <w:b/>
          <w:color w:val="auto"/>
          <w:highlight w:val="none"/>
          <w:lang w:val="zh-CN"/>
        </w:rPr>
      </w:pPr>
      <w:r>
        <w:rPr>
          <w:rFonts w:hint="eastAsia" w:hAnsi="宋体" w:cs="宋体"/>
          <w:b/>
          <w:color w:val="auto"/>
          <w:highlight w:val="none"/>
          <w:lang w:val="zh-CN"/>
        </w:rPr>
        <w:t>注：应当提供由省级以上监狱管理局、戒毒管理局（含新疆生产建设兵团）出具的属于监狱企业的证明文件。</w:t>
      </w:r>
    </w:p>
    <w:p w14:paraId="5FDC2085">
      <w:pPr>
        <w:pStyle w:val="21"/>
        <w:snapToGrid w:val="0"/>
        <w:spacing w:before="156" w:after="156"/>
        <w:ind w:left="0" w:leftChars="0" w:firstLine="449" w:firstLineChars="213"/>
        <w:jc w:val="center"/>
        <w:rPr>
          <w:rFonts w:hAnsi="宋体" w:cs="宋体"/>
          <w:b/>
          <w:color w:val="auto"/>
          <w:highlight w:val="none"/>
          <w:lang w:val="zh-CN"/>
        </w:rPr>
      </w:pPr>
    </w:p>
    <w:p w14:paraId="57F07572">
      <w:pPr>
        <w:pStyle w:val="21"/>
        <w:snapToGrid w:val="0"/>
        <w:spacing w:before="156" w:after="156"/>
        <w:ind w:left="0" w:leftChars="0" w:firstLine="599" w:firstLineChars="213"/>
        <w:jc w:val="center"/>
        <w:rPr>
          <w:rFonts w:hAnsi="宋体" w:cs="宋体"/>
          <w:b/>
          <w:color w:val="auto"/>
          <w:sz w:val="28"/>
          <w:szCs w:val="28"/>
          <w:highlight w:val="none"/>
          <w:lang w:val="zh-CN"/>
        </w:rPr>
      </w:pPr>
    </w:p>
    <w:p w14:paraId="461C0954">
      <w:pPr>
        <w:pStyle w:val="21"/>
        <w:snapToGrid w:val="0"/>
        <w:spacing w:before="156" w:after="156"/>
        <w:ind w:left="0" w:leftChars="0" w:firstLine="599" w:firstLineChars="213"/>
        <w:jc w:val="center"/>
        <w:rPr>
          <w:rFonts w:hAnsi="宋体" w:cs="宋体"/>
          <w:b/>
          <w:color w:val="auto"/>
          <w:sz w:val="28"/>
          <w:szCs w:val="28"/>
          <w:highlight w:val="none"/>
          <w:lang w:val="zh-CN"/>
        </w:rPr>
      </w:pPr>
    </w:p>
    <w:p w14:paraId="0640DF9A">
      <w:pPr>
        <w:pStyle w:val="21"/>
        <w:snapToGrid w:val="0"/>
        <w:spacing w:before="156" w:after="156"/>
        <w:ind w:left="0" w:leftChars="0" w:firstLine="599" w:firstLineChars="213"/>
        <w:jc w:val="center"/>
        <w:rPr>
          <w:rFonts w:hAnsi="宋体" w:cs="宋体"/>
          <w:b/>
          <w:color w:val="auto"/>
          <w:sz w:val="28"/>
          <w:szCs w:val="28"/>
          <w:highlight w:val="none"/>
          <w:lang w:val="zh-CN"/>
        </w:rPr>
      </w:pPr>
    </w:p>
    <w:p w14:paraId="0234F1B6">
      <w:pPr>
        <w:pStyle w:val="21"/>
        <w:snapToGrid w:val="0"/>
        <w:spacing w:before="156" w:after="156"/>
        <w:ind w:left="0" w:leftChars="0" w:firstLine="599" w:firstLineChars="213"/>
        <w:jc w:val="center"/>
        <w:rPr>
          <w:rFonts w:hAnsi="宋体" w:cs="宋体"/>
          <w:b/>
          <w:color w:val="auto"/>
          <w:sz w:val="28"/>
          <w:szCs w:val="28"/>
          <w:highlight w:val="none"/>
          <w:lang w:val="zh-CN"/>
        </w:rPr>
      </w:pPr>
    </w:p>
    <w:p w14:paraId="7914AAC4">
      <w:pPr>
        <w:pStyle w:val="21"/>
        <w:snapToGrid w:val="0"/>
        <w:spacing w:before="156" w:after="156"/>
        <w:ind w:left="0" w:leftChars="0" w:firstLine="599" w:firstLineChars="213"/>
        <w:jc w:val="center"/>
        <w:rPr>
          <w:rFonts w:hAnsi="宋体" w:cs="宋体"/>
          <w:b/>
          <w:color w:val="auto"/>
          <w:sz w:val="28"/>
          <w:szCs w:val="28"/>
          <w:highlight w:val="none"/>
          <w:lang w:val="zh-CN"/>
        </w:rPr>
      </w:pPr>
    </w:p>
    <w:p w14:paraId="26912497">
      <w:pPr>
        <w:pStyle w:val="21"/>
        <w:snapToGrid w:val="0"/>
        <w:spacing w:before="156" w:after="156"/>
        <w:ind w:left="0" w:leftChars="0" w:firstLine="599" w:firstLineChars="213"/>
        <w:jc w:val="center"/>
        <w:rPr>
          <w:rFonts w:hAnsi="宋体" w:cs="宋体"/>
          <w:b/>
          <w:color w:val="auto"/>
          <w:sz w:val="28"/>
          <w:szCs w:val="28"/>
          <w:highlight w:val="none"/>
          <w:lang w:val="zh-CN"/>
        </w:rPr>
      </w:pPr>
    </w:p>
    <w:p w14:paraId="34B5A628">
      <w:pPr>
        <w:pStyle w:val="21"/>
        <w:snapToGrid w:val="0"/>
        <w:spacing w:before="156" w:after="156"/>
        <w:ind w:left="0" w:leftChars="0" w:firstLine="599" w:firstLineChars="213"/>
        <w:jc w:val="center"/>
        <w:rPr>
          <w:rFonts w:hAnsi="宋体" w:cs="宋体"/>
          <w:b/>
          <w:color w:val="auto"/>
          <w:sz w:val="28"/>
          <w:szCs w:val="28"/>
          <w:highlight w:val="none"/>
          <w:lang w:val="zh-CN"/>
        </w:rPr>
      </w:pPr>
    </w:p>
    <w:p w14:paraId="06317AEA">
      <w:pPr>
        <w:pStyle w:val="21"/>
        <w:snapToGrid w:val="0"/>
        <w:spacing w:before="156" w:after="156"/>
        <w:ind w:left="0" w:leftChars="0" w:firstLine="599" w:firstLineChars="213"/>
        <w:jc w:val="center"/>
        <w:rPr>
          <w:rFonts w:hAnsi="宋体" w:cs="宋体"/>
          <w:b/>
          <w:color w:val="auto"/>
          <w:sz w:val="28"/>
          <w:szCs w:val="28"/>
          <w:highlight w:val="none"/>
          <w:lang w:val="zh-CN"/>
        </w:rPr>
      </w:pPr>
    </w:p>
    <w:p w14:paraId="700A63EE">
      <w:pPr>
        <w:pStyle w:val="21"/>
        <w:snapToGrid w:val="0"/>
        <w:spacing w:before="156" w:after="156"/>
        <w:ind w:left="0" w:leftChars="0" w:firstLine="599" w:firstLineChars="213"/>
        <w:jc w:val="center"/>
        <w:rPr>
          <w:rFonts w:hAnsi="宋体" w:cs="宋体"/>
          <w:b/>
          <w:color w:val="auto"/>
          <w:sz w:val="28"/>
          <w:szCs w:val="28"/>
          <w:highlight w:val="none"/>
          <w:lang w:val="zh-CN"/>
        </w:rPr>
      </w:pPr>
    </w:p>
    <w:p w14:paraId="281AF7A6">
      <w:pPr>
        <w:pStyle w:val="21"/>
        <w:snapToGrid w:val="0"/>
        <w:spacing w:before="156" w:after="156"/>
        <w:ind w:left="0" w:leftChars="0" w:firstLine="599" w:firstLineChars="213"/>
        <w:jc w:val="left"/>
        <w:rPr>
          <w:rFonts w:hAnsi="宋体" w:cs="宋体"/>
          <w:b/>
          <w:color w:val="auto"/>
          <w:sz w:val="28"/>
          <w:szCs w:val="28"/>
          <w:highlight w:val="none"/>
          <w:lang w:val="zh-CN"/>
        </w:rPr>
      </w:pPr>
    </w:p>
    <w:p w14:paraId="6FE84566">
      <w:pPr>
        <w:widowControl/>
        <w:snapToGrid w:val="0"/>
        <w:spacing w:line="400" w:lineRule="exact"/>
        <w:ind w:left="0" w:leftChars="0" w:firstLine="513" w:firstLineChars="213"/>
        <w:jc w:val="center"/>
        <w:rPr>
          <w:rFonts w:ascii="宋体" w:hAnsi="宋体" w:cs="宋体"/>
          <w:b/>
          <w:color w:val="auto"/>
          <w:spacing w:val="6"/>
          <w:sz w:val="32"/>
          <w:szCs w:val="32"/>
          <w:highlight w:val="none"/>
        </w:rPr>
      </w:pPr>
      <w:r>
        <w:rPr>
          <w:rFonts w:hint="eastAsia" w:ascii="宋体" w:hAnsi="宋体" w:cs="宋体"/>
          <w:b/>
          <w:color w:val="auto"/>
          <w:sz w:val="24"/>
          <w:szCs w:val="24"/>
          <w:highlight w:val="none"/>
        </w:rPr>
        <w:br w:type="page"/>
      </w:r>
      <w:r>
        <w:rPr>
          <w:rFonts w:hint="eastAsia" w:ascii="宋体" w:hAnsi="宋体" w:cs="宋体"/>
          <w:b/>
          <w:color w:val="auto"/>
          <w:sz w:val="24"/>
          <w:szCs w:val="24"/>
          <w:highlight w:val="none"/>
        </w:rPr>
        <w:t>残疾人福利性单位声明函</w:t>
      </w:r>
    </w:p>
    <w:p w14:paraId="3CE708D9">
      <w:pPr>
        <w:snapToGrid w:val="0"/>
        <w:spacing w:line="400" w:lineRule="exact"/>
        <w:ind w:left="0" w:leftChars="0" w:firstLine="536" w:firstLineChars="213"/>
        <w:jc w:val="center"/>
        <w:rPr>
          <w:rFonts w:ascii="宋体" w:hAnsi="宋体" w:cs="宋体"/>
          <w:color w:val="auto"/>
          <w:spacing w:val="6"/>
          <w:sz w:val="24"/>
          <w:szCs w:val="24"/>
          <w:highlight w:val="none"/>
        </w:rPr>
      </w:pPr>
      <w:r>
        <w:rPr>
          <w:rFonts w:hint="eastAsia" w:ascii="宋体" w:hAnsi="宋体" w:cs="宋体"/>
          <w:color w:val="auto"/>
          <w:spacing w:val="6"/>
          <w:sz w:val="24"/>
          <w:szCs w:val="24"/>
          <w:highlight w:val="none"/>
        </w:rPr>
        <w:t>（</w:t>
      </w:r>
      <w:r>
        <w:rPr>
          <w:rFonts w:hint="eastAsia" w:ascii="宋体" w:hAnsi="宋体" w:cs="宋体"/>
          <w:color w:val="auto"/>
          <w:sz w:val="24"/>
          <w:highlight w:val="none"/>
        </w:rPr>
        <w:t>残疾人福利性单位适用</w:t>
      </w:r>
      <w:r>
        <w:rPr>
          <w:rFonts w:hint="eastAsia" w:ascii="宋体" w:hAnsi="宋体" w:cs="宋体"/>
          <w:color w:val="auto"/>
          <w:spacing w:val="6"/>
          <w:sz w:val="24"/>
          <w:szCs w:val="24"/>
          <w:highlight w:val="none"/>
        </w:rPr>
        <w:t>）</w:t>
      </w:r>
    </w:p>
    <w:p w14:paraId="5323E040">
      <w:pPr>
        <w:snapToGrid w:val="0"/>
        <w:spacing w:line="400" w:lineRule="exact"/>
        <w:ind w:left="0" w:leftChars="0" w:firstLine="536" w:firstLineChars="213"/>
        <w:rPr>
          <w:rFonts w:ascii="宋体" w:hAnsi="宋体" w:cs="宋体"/>
          <w:color w:val="auto"/>
          <w:spacing w:val="6"/>
          <w:sz w:val="24"/>
          <w:szCs w:val="24"/>
          <w:highlight w:val="none"/>
        </w:rPr>
      </w:pPr>
      <w:r>
        <w:rPr>
          <w:rFonts w:hint="eastAsia" w:ascii="宋体" w:hAnsi="宋体" w:cs="宋体"/>
          <w:color w:val="auto"/>
          <w:spacing w:val="6"/>
          <w:sz w:val="24"/>
          <w:szCs w:val="24"/>
          <w:highlight w:val="none"/>
        </w:rPr>
        <w:t>本单位郑重声明，根据《关于促进残疾人就业政府采购政策的通知》（财库</w:t>
      </w:r>
      <w:r>
        <w:rPr>
          <w:rFonts w:hint="eastAsia" w:ascii="宋体" w:hAnsi="宋体" w:cs="宋体"/>
          <w:color w:val="auto"/>
          <w:sz w:val="24"/>
          <w:szCs w:val="24"/>
          <w:highlight w:val="none"/>
        </w:rPr>
        <w:t>〔2017〕 141</w:t>
      </w:r>
      <w:r>
        <w:rPr>
          <w:rFonts w:hint="eastAsia" w:ascii="宋体" w:hAnsi="宋体" w:cs="宋体"/>
          <w:color w:val="auto"/>
          <w:spacing w:val="6"/>
          <w:sz w:val="24"/>
          <w:szCs w:val="24"/>
          <w:highlight w:val="non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31CAF926">
      <w:pPr>
        <w:pStyle w:val="21"/>
        <w:snapToGrid w:val="0"/>
        <w:spacing w:before="156" w:after="156"/>
        <w:ind w:left="0" w:leftChars="0" w:firstLine="536" w:firstLineChars="213"/>
        <w:jc w:val="center"/>
        <w:rPr>
          <w:rFonts w:hAnsi="宋体" w:cs="宋体"/>
          <w:color w:val="auto"/>
          <w:spacing w:val="6"/>
          <w:sz w:val="24"/>
          <w:szCs w:val="24"/>
          <w:highlight w:val="none"/>
        </w:rPr>
      </w:pPr>
      <w:r>
        <w:rPr>
          <w:rFonts w:hint="eastAsia" w:hAnsi="宋体" w:cs="宋体"/>
          <w:color w:val="auto"/>
          <w:spacing w:val="6"/>
          <w:sz w:val="24"/>
          <w:szCs w:val="24"/>
          <w:highlight w:val="none"/>
        </w:rPr>
        <w:t>本单位对上述声明的真实性负责。如有虚假，将依法承担相应责任。</w:t>
      </w:r>
    </w:p>
    <w:p w14:paraId="0FF0DCB1">
      <w:pPr>
        <w:pStyle w:val="21"/>
        <w:snapToGrid w:val="0"/>
        <w:spacing w:before="156" w:after="156"/>
        <w:ind w:left="0" w:leftChars="0" w:firstLine="472" w:firstLineChars="213"/>
        <w:jc w:val="center"/>
        <w:rPr>
          <w:rFonts w:hAnsi="宋体" w:cs="宋体"/>
          <w:color w:val="auto"/>
          <w:spacing w:val="6"/>
          <w:highlight w:val="none"/>
        </w:rPr>
      </w:pPr>
    </w:p>
    <w:p w14:paraId="749BE12C">
      <w:pPr>
        <w:pStyle w:val="21"/>
        <w:snapToGrid w:val="0"/>
        <w:spacing w:before="156" w:after="156"/>
        <w:ind w:left="0" w:leftChars="0" w:firstLine="511" w:firstLineChars="213"/>
        <w:rPr>
          <w:rFonts w:hAnsi="宋体" w:cs="宋体"/>
          <w:color w:val="auto"/>
          <w:sz w:val="24"/>
          <w:szCs w:val="24"/>
          <w:highlight w:val="none"/>
        </w:rPr>
      </w:pPr>
      <w:r>
        <w:rPr>
          <w:rFonts w:hint="eastAsia" w:hAnsi="宋体" w:cs="宋体"/>
          <w:color w:val="auto"/>
          <w:sz w:val="24"/>
          <w:szCs w:val="24"/>
          <w:highlight w:val="none"/>
        </w:rPr>
        <w:t>供应商名称(公章)：____________</w:t>
      </w:r>
      <w:r>
        <w:rPr>
          <w:rFonts w:hint="eastAsia" w:hAnsi="宋体" w:cs="宋体"/>
          <w:color w:val="auto"/>
          <w:sz w:val="24"/>
          <w:szCs w:val="24"/>
          <w:highlight w:val="none"/>
        </w:rPr>
        <w:tab/>
      </w:r>
      <w:r>
        <w:rPr>
          <w:rFonts w:hint="eastAsia" w:hAnsi="宋体" w:cs="宋体"/>
          <w:color w:val="auto"/>
          <w:sz w:val="24"/>
          <w:szCs w:val="24"/>
          <w:highlight w:val="none"/>
        </w:rPr>
        <w:tab/>
      </w:r>
    </w:p>
    <w:p w14:paraId="54AA89AF">
      <w:pPr>
        <w:pStyle w:val="21"/>
        <w:snapToGrid w:val="0"/>
        <w:spacing w:before="156" w:after="156"/>
        <w:ind w:left="0" w:leftChars="0" w:firstLine="511" w:firstLineChars="213"/>
        <w:rPr>
          <w:rFonts w:hAnsi="宋体" w:cs="宋体"/>
          <w:color w:val="auto"/>
          <w:sz w:val="24"/>
          <w:szCs w:val="24"/>
          <w:highlight w:val="none"/>
        </w:rPr>
      </w:pPr>
      <w:r>
        <w:rPr>
          <w:rFonts w:hint="eastAsia" w:hAnsi="宋体" w:cs="宋体"/>
          <w:color w:val="auto"/>
          <w:sz w:val="24"/>
          <w:szCs w:val="24"/>
          <w:highlight w:val="none"/>
        </w:rPr>
        <w:t>日期：________________________</w:t>
      </w:r>
    </w:p>
    <w:p w14:paraId="3164AB2B">
      <w:pPr>
        <w:adjustRightInd w:val="0"/>
        <w:snapToGrid w:val="0"/>
        <w:spacing w:line="360" w:lineRule="auto"/>
        <w:ind w:left="0" w:leftChars="0" w:firstLine="511" w:firstLineChars="213"/>
        <w:jc w:val="left"/>
        <w:rPr>
          <w:rFonts w:ascii="宋体" w:hAnsi="宋体" w:cs="宋体"/>
          <w:sz w:val="24"/>
          <w:szCs w:val="24"/>
          <w:highlight w:val="none"/>
        </w:rPr>
      </w:pPr>
    </w:p>
    <w:p w14:paraId="6FBA500E">
      <w:pPr>
        <w:spacing w:line="360" w:lineRule="auto"/>
        <w:ind w:left="0" w:leftChars="0" w:firstLine="511" w:firstLineChars="213"/>
        <w:rPr>
          <w:rFonts w:ascii="宋体" w:hAnsi="宋体" w:cs="宋体"/>
          <w:sz w:val="24"/>
          <w:szCs w:val="24"/>
          <w:highlight w:val="none"/>
        </w:rPr>
      </w:pPr>
      <w:r>
        <w:rPr>
          <w:rFonts w:hint="eastAsia" w:ascii="宋体" w:hAnsi="宋体" w:cs="宋体"/>
          <w:sz w:val="24"/>
          <w:szCs w:val="24"/>
          <w:highlight w:val="none"/>
        </w:rPr>
        <w:br w:type="page"/>
      </w:r>
    </w:p>
    <w:p w14:paraId="09C33049">
      <w:pPr>
        <w:adjustRightInd w:val="0"/>
        <w:snapToGrid w:val="0"/>
        <w:spacing w:line="360" w:lineRule="auto"/>
        <w:ind w:left="0" w:leftChars="0" w:firstLine="513" w:firstLineChars="213"/>
        <w:jc w:val="left"/>
        <w:rPr>
          <w:rFonts w:hint="default" w:ascii="宋体" w:hAnsi="宋体" w:eastAsia="宋体" w:cs="宋体"/>
          <w:b/>
          <w:sz w:val="24"/>
          <w:szCs w:val="24"/>
          <w:highlight w:val="none"/>
          <w:lang w:val="en-US" w:eastAsia="zh-CN"/>
        </w:rPr>
      </w:pPr>
      <w:r>
        <w:rPr>
          <w:rFonts w:hint="eastAsia" w:ascii="宋体" w:hAnsi="宋体" w:eastAsia="宋体" w:cs="宋体"/>
          <w:b/>
          <w:sz w:val="24"/>
          <w:szCs w:val="24"/>
          <w:highlight w:val="none"/>
          <w:lang w:val="en-US" w:eastAsia="zh-CN"/>
        </w:rPr>
        <w:t>13、人员配备情况（格式自拟）</w:t>
      </w:r>
    </w:p>
    <w:p w14:paraId="589856A9">
      <w:pPr>
        <w:pStyle w:val="21"/>
        <w:snapToGrid w:val="0"/>
        <w:spacing w:before="156" w:after="156"/>
        <w:ind w:left="0" w:leftChars="0" w:firstLine="536" w:firstLineChars="213"/>
        <w:jc w:val="both"/>
        <w:rPr>
          <w:rFonts w:hint="default" w:ascii="宋体" w:hAnsi="宋体" w:eastAsia="宋体" w:cs="宋体"/>
          <w:color w:val="auto"/>
          <w:spacing w:val="6"/>
          <w:sz w:val="24"/>
          <w:szCs w:val="24"/>
          <w:highlight w:val="none"/>
          <w:lang w:val="en-US"/>
        </w:rPr>
      </w:pPr>
      <w:r>
        <w:rPr>
          <w:rFonts w:hint="eastAsia" w:ascii="宋体" w:hAnsi="宋体" w:eastAsia="宋体" w:cs="宋体"/>
          <w:color w:val="auto"/>
          <w:spacing w:val="6"/>
          <w:sz w:val="24"/>
          <w:szCs w:val="24"/>
          <w:highlight w:val="none"/>
          <w:lang w:val="en-US" w:eastAsia="zh-CN"/>
        </w:rPr>
        <w:t>对照“</w:t>
      </w:r>
      <w:r>
        <w:rPr>
          <w:rFonts w:hint="eastAsia" w:ascii="宋体" w:hAnsi="宋体" w:eastAsia="宋体" w:cs="宋体"/>
          <w:color w:val="auto"/>
          <w:spacing w:val="6"/>
          <w:sz w:val="24"/>
          <w:szCs w:val="24"/>
          <w:highlight w:val="none"/>
        </w:rPr>
        <w:t>第三章 评分办法及评分标准</w:t>
      </w:r>
      <w:r>
        <w:rPr>
          <w:rFonts w:hint="eastAsia" w:ascii="宋体" w:hAnsi="宋体" w:eastAsia="宋体" w:cs="宋体"/>
          <w:color w:val="auto"/>
          <w:spacing w:val="6"/>
          <w:sz w:val="24"/>
          <w:szCs w:val="24"/>
          <w:highlight w:val="none"/>
          <w:lang w:val="en-US" w:eastAsia="zh-CN"/>
        </w:rPr>
        <w:t>--三、评分标准和细则--（二）评分细则”</w:t>
      </w:r>
      <w:r>
        <w:rPr>
          <w:rFonts w:hint="eastAsia" w:hAnsi="宋体" w:cs="宋体"/>
          <w:color w:val="auto"/>
          <w:spacing w:val="6"/>
          <w:sz w:val="24"/>
          <w:szCs w:val="24"/>
          <w:highlight w:val="none"/>
          <w:lang w:val="en-US" w:eastAsia="zh-CN"/>
        </w:rPr>
        <w:t>,结合“第六章 项目需求”</w:t>
      </w:r>
      <w:r>
        <w:rPr>
          <w:rFonts w:hint="eastAsia" w:ascii="宋体" w:hAnsi="宋体" w:eastAsia="宋体" w:cs="宋体"/>
          <w:color w:val="auto"/>
          <w:spacing w:val="6"/>
          <w:sz w:val="24"/>
          <w:szCs w:val="24"/>
          <w:highlight w:val="none"/>
          <w:lang w:val="en-US" w:eastAsia="zh-CN"/>
        </w:rPr>
        <w:t>提供证明性材料</w:t>
      </w:r>
    </w:p>
    <w:p w14:paraId="436ADAD4">
      <w:pPr>
        <w:adjustRightInd w:val="0"/>
        <w:snapToGrid w:val="0"/>
        <w:spacing w:line="360" w:lineRule="auto"/>
        <w:ind w:left="0" w:leftChars="0" w:firstLine="513" w:firstLineChars="213"/>
        <w:jc w:val="left"/>
        <w:rPr>
          <w:rFonts w:hint="default" w:ascii="宋体" w:hAnsi="宋体" w:eastAsia="宋体" w:cs="宋体"/>
          <w:b/>
          <w:sz w:val="24"/>
          <w:szCs w:val="24"/>
          <w:highlight w:val="none"/>
          <w:lang w:val="en-US" w:eastAsia="zh-CN"/>
        </w:rPr>
      </w:pPr>
      <w:r>
        <w:rPr>
          <w:rFonts w:hint="eastAsia" w:ascii="宋体" w:hAnsi="宋体" w:eastAsia="宋体" w:cs="宋体"/>
          <w:b/>
          <w:sz w:val="24"/>
          <w:szCs w:val="24"/>
          <w:highlight w:val="none"/>
          <w:lang w:val="en-US" w:eastAsia="zh-CN"/>
        </w:rPr>
        <w:t>14、车辆配备情况（格式自拟）</w:t>
      </w:r>
    </w:p>
    <w:p w14:paraId="1357CC85">
      <w:pPr>
        <w:pStyle w:val="21"/>
        <w:snapToGrid w:val="0"/>
        <w:spacing w:before="156" w:after="156"/>
        <w:ind w:left="0" w:leftChars="0" w:firstLine="536" w:firstLineChars="213"/>
        <w:jc w:val="both"/>
        <w:rPr>
          <w:rFonts w:hint="default" w:ascii="宋体" w:hAnsi="宋体" w:eastAsia="宋体" w:cs="宋体"/>
          <w:color w:val="auto"/>
          <w:spacing w:val="6"/>
          <w:sz w:val="24"/>
          <w:szCs w:val="24"/>
          <w:highlight w:val="none"/>
          <w:lang w:val="en-US" w:eastAsia="zh-CN"/>
        </w:rPr>
      </w:pPr>
      <w:r>
        <w:rPr>
          <w:rFonts w:hint="eastAsia" w:ascii="宋体" w:hAnsi="宋体" w:eastAsia="宋体" w:cs="宋体"/>
          <w:color w:val="auto"/>
          <w:spacing w:val="6"/>
          <w:sz w:val="24"/>
          <w:szCs w:val="24"/>
          <w:highlight w:val="none"/>
          <w:lang w:val="en-US" w:eastAsia="zh-CN"/>
        </w:rPr>
        <w:t>对照“第三章 评分办法及评分标准--三、评分标准和细则--（二）评分细则”</w:t>
      </w:r>
      <w:r>
        <w:rPr>
          <w:rFonts w:hint="eastAsia" w:hAnsi="宋体" w:cs="宋体"/>
          <w:color w:val="auto"/>
          <w:spacing w:val="6"/>
          <w:sz w:val="24"/>
          <w:szCs w:val="24"/>
          <w:highlight w:val="none"/>
          <w:lang w:val="en-US" w:eastAsia="zh-CN"/>
        </w:rPr>
        <w:t>,结合“第六章 项目需求”</w:t>
      </w:r>
      <w:r>
        <w:rPr>
          <w:rFonts w:hint="eastAsia" w:ascii="宋体" w:hAnsi="宋体" w:eastAsia="宋体" w:cs="宋体"/>
          <w:color w:val="auto"/>
          <w:spacing w:val="6"/>
          <w:sz w:val="24"/>
          <w:szCs w:val="24"/>
          <w:highlight w:val="none"/>
          <w:lang w:val="en-US" w:eastAsia="zh-CN"/>
        </w:rPr>
        <w:t>提供证明性材料</w:t>
      </w:r>
    </w:p>
    <w:p w14:paraId="0ABF896C">
      <w:pPr>
        <w:adjustRightInd w:val="0"/>
        <w:snapToGrid w:val="0"/>
        <w:spacing w:line="360" w:lineRule="auto"/>
        <w:ind w:left="0" w:leftChars="0" w:firstLine="513" w:firstLineChars="213"/>
        <w:jc w:val="left"/>
        <w:rPr>
          <w:rFonts w:hint="eastAsia" w:ascii="宋体" w:hAnsi="宋体" w:cs="宋体"/>
          <w:b/>
          <w:sz w:val="24"/>
          <w:szCs w:val="24"/>
          <w:highlight w:val="none"/>
          <w:lang w:val="en-US" w:eastAsia="zh-CN"/>
        </w:rPr>
      </w:pPr>
      <w:r>
        <w:rPr>
          <w:rFonts w:hint="eastAsia" w:ascii="宋体" w:hAnsi="宋体" w:cs="宋体"/>
          <w:b/>
          <w:sz w:val="24"/>
          <w:szCs w:val="24"/>
          <w:highlight w:val="none"/>
          <w:lang w:val="en-US" w:eastAsia="zh-CN"/>
        </w:rPr>
        <w:t>15、需求响应偏离表</w:t>
      </w:r>
    </w:p>
    <w:p w14:paraId="36F6415D">
      <w:pPr>
        <w:adjustRightInd w:val="0"/>
        <w:snapToGrid w:val="0"/>
        <w:spacing w:line="360" w:lineRule="auto"/>
        <w:ind w:left="0" w:leftChars="0" w:firstLine="513" w:firstLineChars="213"/>
        <w:jc w:val="center"/>
        <w:rPr>
          <w:rFonts w:hint="default" w:ascii="宋体" w:hAnsi="宋体" w:cs="宋体"/>
          <w:b/>
          <w:bCs/>
          <w:sz w:val="24"/>
          <w:szCs w:val="24"/>
          <w:highlight w:val="none"/>
          <w:lang w:val="en-US" w:eastAsia="zh-CN"/>
        </w:rPr>
      </w:pPr>
      <w:r>
        <w:rPr>
          <w:rFonts w:hint="eastAsia" w:ascii="宋体" w:hAnsi="宋体" w:cs="宋体"/>
          <w:b/>
          <w:bCs/>
          <w:sz w:val="24"/>
          <w:szCs w:val="24"/>
          <w:highlight w:val="none"/>
          <w:lang w:val="en-US" w:eastAsia="zh-CN"/>
        </w:rPr>
        <w:t>需求响应偏离表</w:t>
      </w:r>
    </w:p>
    <w:p w14:paraId="6DA409E1">
      <w:pPr>
        <w:adjustRightInd w:val="0"/>
        <w:snapToGrid w:val="0"/>
        <w:spacing w:line="360" w:lineRule="auto"/>
        <w:ind w:left="0" w:leftChars="0" w:firstLine="511" w:firstLineChars="213"/>
        <w:jc w:val="left"/>
        <w:rPr>
          <w:rFonts w:ascii="宋体" w:hAnsi="宋体" w:cs="宋体"/>
          <w:b/>
          <w:sz w:val="24"/>
          <w:szCs w:val="24"/>
          <w:highlight w:val="none"/>
        </w:rPr>
      </w:pPr>
      <w:r>
        <w:rPr>
          <w:rFonts w:hint="eastAsia" w:ascii="宋体" w:hAnsi="宋体" w:cs="宋体"/>
          <w:sz w:val="24"/>
          <w:szCs w:val="24"/>
          <w:highlight w:val="none"/>
        </w:rPr>
        <w:t>项目名称：</w:t>
      </w:r>
    </w:p>
    <w:p w14:paraId="2EA79156">
      <w:pPr>
        <w:adjustRightInd w:val="0"/>
        <w:snapToGrid w:val="0"/>
        <w:spacing w:line="360" w:lineRule="auto"/>
        <w:ind w:left="0" w:leftChars="0" w:firstLine="511" w:firstLineChars="213"/>
        <w:jc w:val="left"/>
        <w:rPr>
          <w:rFonts w:ascii="宋体" w:hAnsi="宋体" w:cs="宋体"/>
          <w:sz w:val="24"/>
          <w:szCs w:val="24"/>
          <w:highlight w:val="none"/>
          <w:u w:val="single"/>
        </w:rPr>
      </w:pPr>
      <w:r>
        <w:rPr>
          <w:rFonts w:hint="eastAsia" w:ascii="宋体" w:hAnsi="宋体" w:cs="宋体"/>
          <w:sz w:val="24"/>
          <w:szCs w:val="24"/>
          <w:highlight w:val="none"/>
          <w:lang w:eastAsia="zh-CN"/>
        </w:rPr>
        <w:t>标包</w:t>
      </w:r>
      <w:r>
        <w:rPr>
          <w:rFonts w:hint="eastAsia" w:ascii="宋体" w:hAnsi="宋体" w:cs="宋体"/>
          <w:sz w:val="24"/>
          <w:szCs w:val="24"/>
          <w:highlight w:val="none"/>
        </w:rPr>
        <w:t>编号</w:t>
      </w:r>
      <w:r>
        <w:rPr>
          <w:rFonts w:hint="eastAsia" w:ascii="宋体" w:hAnsi="宋体" w:cs="宋体"/>
          <w:sz w:val="24"/>
          <w:szCs w:val="24"/>
          <w:highlight w:val="none"/>
          <w:lang w:val="en-US" w:eastAsia="zh-CN"/>
        </w:rPr>
        <w:t>及</w:t>
      </w:r>
      <w:r>
        <w:rPr>
          <w:rFonts w:hint="eastAsia" w:ascii="宋体" w:hAnsi="宋体" w:cs="宋体"/>
          <w:sz w:val="24"/>
          <w:szCs w:val="24"/>
          <w:highlight w:val="none"/>
        </w:rPr>
        <w:t xml:space="preserve">内容： </w:t>
      </w:r>
    </w:p>
    <w:tbl>
      <w:tblPr>
        <w:tblStyle w:val="37"/>
        <w:tblW w:w="829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52"/>
        <w:gridCol w:w="2453"/>
        <w:gridCol w:w="1263"/>
        <w:gridCol w:w="3028"/>
      </w:tblGrid>
      <w:tr w14:paraId="36C092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3" w:hRule="atLeast"/>
          <w:jc w:val="center"/>
        </w:trPr>
        <w:tc>
          <w:tcPr>
            <w:tcW w:w="1552" w:type="dxa"/>
            <w:tcBorders>
              <w:top w:val="single" w:color="auto" w:sz="4" w:space="0"/>
              <w:left w:val="single" w:color="auto" w:sz="4" w:space="0"/>
              <w:bottom w:val="single" w:color="auto" w:sz="4" w:space="0"/>
              <w:right w:val="single" w:color="auto" w:sz="4" w:space="0"/>
            </w:tcBorders>
            <w:vAlign w:val="center"/>
          </w:tcPr>
          <w:p w14:paraId="23BAC55E">
            <w:pPr>
              <w:adjustRightInd w:val="0"/>
              <w:snapToGrid w:val="0"/>
              <w:spacing w:line="360" w:lineRule="auto"/>
              <w:ind w:left="0" w:leftChars="0" w:firstLine="511" w:firstLineChars="213"/>
              <w:jc w:val="center"/>
              <w:rPr>
                <w:rFonts w:ascii="宋体" w:hAnsi="宋体" w:cs="宋体"/>
                <w:sz w:val="24"/>
                <w:szCs w:val="24"/>
                <w:highlight w:val="none"/>
              </w:rPr>
            </w:pPr>
            <w:r>
              <w:rPr>
                <w:rFonts w:hint="eastAsia" w:ascii="宋体" w:hAnsi="宋体" w:cs="宋体"/>
                <w:sz w:val="24"/>
                <w:szCs w:val="24"/>
                <w:highlight w:val="none"/>
              </w:rPr>
              <w:t>项目</w:t>
            </w:r>
          </w:p>
        </w:tc>
        <w:tc>
          <w:tcPr>
            <w:tcW w:w="2453" w:type="dxa"/>
            <w:tcBorders>
              <w:top w:val="single" w:color="auto" w:sz="4" w:space="0"/>
              <w:left w:val="single" w:color="auto" w:sz="4" w:space="0"/>
              <w:bottom w:val="single" w:color="auto" w:sz="4" w:space="0"/>
              <w:right w:val="single" w:color="auto" w:sz="4" w:space="0"/>
            </w:tcBorders>
            <w:vAlign w:val="center"/>
          </w:tcPr>
          <w:p w14:paraId="1C7A44AD">
            <w:pPr>
              <w:adjustRightInd w:val="0"/>
              <w:snapToGrid w:val="0"/>
              <w:spacing w:line="360" w:lineRule="auto"/>
              <w:ind w:left="0" w:leftChars="0" w:firstLine="511" w:firstLineChars="213"/>
              <w:jc w:val="center"/>
              <w:rPr>
                <w:rFonts w:ascii="宋体" w:hAnsi="宋体" w:cs="宋体"/>
                <w:sz w:val="24"/>
                <w:szCs w:val="24"/>
                <w:highlight w:val="none"/>
              </w:rPr>
            </w:pPr>
            <w:r>
              <w:rPr>
                <w:rFonts w:hint="eastAsia" w:ascii="宋体" w:hAnsi="宋体" w:cs="宋体"/>
                <w:sz w:val="24"/>
                <w:szCs w:val="24"/>
                <w:highlight w:val="none"/>
                <w:lang w:eastAsia="zh-CN"/>
              </w:rPr>
              <w:t>磋商文件</w:t>
            </w:r>
            <w:r>
              <w:rPr>
                <w:rFonts w:hint="eastAsia" w:ascii="宋体" w:hAnsi="宋体" w:cs="宋体"/>
                <w:sz w:val="24"/>
                <w:szCs w:val="24"/>
                <w:highlight w:val="none"/>
              </w:rPr>
              <w:t>要求</w:t>
            </w:r>
          </w:p>
        </w:tc>
        <w:tc>
          <w:tcPr>
            <w:tcW w:w="1263" w:type="dxa"/>
            <w:tcBorders>
              <w:top w:val="single" w:color="auto" w:sz="4" w:space="0"/>
              <w:left w:val="single" w:color="auto" w:sz="4" w:space="0"/>
              <w:bottom w:val="single" w:color="auto" w:sz="4" w:space="0"/>
              <w:right w:val="single" w:color="auto" w:sz="4" w:space="0"/>
            </w:tcBorders>
            <w:vAlign w:val="center"/>
          </w:tcPr>
          <w:p w14:paraId="4316A6A7">
            <w:pPr>
              <w:adjustRightInd w:val="0"/>
              <w:snapToGrid w:val="0"/>
              <w:spacing w:line="360" w:lineRule="auto"/>
              <w:ind w:left="0" w:leftChars="0" w:firstLine="511" w:firstLineChars="213"/>
              <w:jc w:val="center"/>
              <w:rPr>
                <w:rFonts w:ascii="宋体" w:hAnsi="宋体" w:cs="宋体"/>
                <w:sz w:val="24"/>
                <w:szCs w:val="24"/>
                <w:highlight w:val="none"/>
              </w:rPr>
            </w:pPr>
            <w:r>
              <w:rPr>
                <w:rFonts w:hint="eastAsia" w:ascii="宋体" w:hAnsi="宋体" w:cs="宋体"/>
                <w:sz w:val="24"/>
                <w:szCs w:val="24"/>
                <w:highlight w:val="none"/>
              </w:rPr>
              <w:t>是否响应</w:t>
            </w:r>
          </w:p>
        </w:tc>
        <w:tc>
          <w:tcPr>
            <w:tcW w:w="3028" w:type="dxa"/>
            <w:tcBorders>
              <w:top w:val="single" w:color="auto" w:sz="4" w:space="0"/>
              <w:left w:val="single" w:color="auto" w:sz="4" w:space="0"/>
              <w:bottom w:val="single" w:color="auto" w:sz="4" w:space="0"/>
              <w:right w:val="single" w:color="auto" w:sz="4" w:space="0"/>
            </w:tcBorders>
            <w:vAlign w:val="center"/>
          </w:tcPr>
          <w:p w14:paraId="3A79D0E6">
            <w:pPr>
              <w:adjustRightInd w:val="0"/>
              <w:snapToGrid w:val="0"/>
              <w:spacing w:line="360" w:lineRule="auto"/>
              <w:ind w:left="0" w:leftChars="0" w:firstLine="511" w:firstLineChars="213"/>
              <w:jc w:val="center"/>
              <w:rPr>
                <w:rFonts w:ascii="宋体" w:hAnsi="宋体" w:cs="宋体"/>
                <w:sz w:val="24"/>
                <w:szCs w:val="24"/>
                <w:highlight w:val="none"/>
              </w:rPr>
            </w:pPr>
            <w:r>
              <w:rPr>
                <w:rFonts w:hint="eastAsia" w:ascii="宋体" w:hAnsi="宋体" w:cs="宋体"/>
                <w:sz w:val="24"/>
                <w:szCs w:val="24"/>
                <w:highlight w:val="none"/>
              </w:rPr>
              <w:t>投标人的承诺或说明</w:t>
            </w:r>
          </w:p>
        </w:tc>
      </w:tr>
      <w:tr w14:paraId="59D2FE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3" w:hRule="atLeast"/>
          <w:jc w:val="center"/>
        </w:trPr>
        <w:tc>
          <w:tcPr>
            <w:tcW w:w="1552" w:type="dxa"/>
            <w:tcBorders>
              <w:top w:val="single" w:color="auto" w:sz="4" w:space="0"/>
              <w:left w:val="single" w:color="auto" w:sz="4" w:space="0"/>
              <w:bottom w:val="single" w:color="auto" w:sz="4" w:space="0"/>
              <w:right w:val="single" w:color="auto" w:sz="4" w:space="0"/>
            </w:tcBorders>
          </w:tcPr>
          <w:p w14:paraId="77CF2A38">
            <w:pPr>
              <w:adjustRightInd w:val="0"/>
              <w:snapToGrid w:val="0"/>
              <w:spacing w:line="360" w:lineRule="auto"/>
              <w:ind w:left="0" w:leftChars="0" w:firstLine="511" w:firstLineChars="213"/>
              <w:jc w:val="left"/>
              <w:rPr>
                <w:rFonts w:ascii="宋体" w:hAnsi="宋体" w:cs="宋体"/>
                <w:sz w:val="24"/>
                <w:szCs w:val="24"/>
                <w:highlight w:val="none"/>
              </w:rPr>
            </w:pPr>
          </w:p>
        </w:tc>
        <w:tc>
          <w:tcPr>
            <w:tcW w:w="2453" w:type="dxa"/>
            <w:tcBorders>
              <w:top w:val="single" w:color="auto" w:sz="4" w:space="0"/>
              <w:left w:val="single" w:color="auto" w:sz="4" w:space="0"/>
              <w:bottom w:val="single" w:color="auto" w:sz="4" w:space="0"/>
              <w:right w:val="single" w:color="auto" w:sz="4" w:space="0"/>
            </w:tcBorders>
          </w:tcPr>
          <w:p w14:paraId="5D0A5677">
            <w:pPr>
              <w:adjustRightInd w:val="0"/>
              <w:snapToGrid w:val="0"/>
              <w:spacing w:line="360" w:lineRule="auto"/>
              <w:ind w:left="0" w:leftChars="0" w:firstLine="511" w:firstLineChars="213"/>
              <w:jc w:val="left"/>
              <w:rPr>
                <w:rFonts w:ascii="宋体" w:hAnsi="宋体" w:cs="宋体"/>
                <w:sz w:val="24"/>
                <w:szCs w:val="24"/>
                <w:highlight w:val="none"/>
              </w:rPr>
            </w:pPr>
          </w:p>
        </w:tc>
        <w:tc>
          <w:tcPr>
            <w:tcW w:w="1263" w:type="dxa"/>
            <w:tcBorders>
              <w:top w:val="single" w:color="auto" w:sz="4" w:space="0"/>
              <w:left w:val="single" w:color="auto" w:sz="4" w:space="0"/>
              <w:bottom w:val="single" w:color="auto" w:sz="4" w:space="0"/>
              <w:right w:val="single" w:color="auto" w:sz="4" w:space="0"/>
            </w:tcBorders>
          </w:tcPr>
          <w:p w14:paraId="15574658">
            <w:pPr>
              <w:adjustRightInd w:val="0"/>
              <w:snapToGrid w:val="0"/>
              <w:spacing w:line="360" w:lineRule="auto"/>
              <w:ind w:left="0" w:leftChars="0" w:firstLine="511" w:firstLineChars="213"/>
              <w:jc w:val="left"/>
              <w:rPr>
                <w:rFonts w:ascii="宋体" w:hAnsi="宋体" w:cs="宋体"/>
                <w:sz w:val="24"/>
                <w:szCs w:val="24"/>
                <w:highlight w:val="none"/>
              </w:rPr>
            </w:pPr>
          </w:p>
        </w:tc>
        <w:tc>
          <w:tcPr>
            <w:tcW w:w="3028" w:type="dxa"/>
            <w:tcBorders>
              <w:top w:val="single" w:color="auto" w:sz="4" w:space="0"/>
              <w:left w:val="single" w:color="auto" w:sz="4" w:space="0"/>
              <w:bottom w:val="single" w:color="auto" w:sz="4" w:space="0"/>
              <w:right w:val="single" w:color="auto" w:sz="4" w:space="0"/>
            </w:tcBorders>
          </w:tcPr>
          <w:p w14:paraId="6EA06277">
            <w:pPr>
              <w:adjustRightInd w:val="0"/>
              <w:snapToGrid w:val="0"/>
              <w:spacing w:line="360" w:lineRule="auto"/>
              <w:ind w:left="0" w:leftChars="0" w:firstLine="511" w:firstLineChars="213"/>
              <w:jc w:val="left"/>
              <w:rPr>
                <w:rFonts w:ascii="宋体" w:hAnsi="宋体" w:cs="宋体"/>
                <w:sz w:val="24"/>
                <w:szCs w:val="24"/>
                <w:highlight w:val="none"/>
              </w:rPr>
            </w:pPr>
          </w:p>
        </w:tc>
      </w:tr>
      <w:tr w14:paraId="2900F3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1552" w:type="dxa"/>
            <w:tcBorders>
              <w:top w:val="single" w:color="auto" w:sz="4" w:space="0"/>
              <w:left w:val="single" w:color="auto" w:sz="4" w:space="0"/>
              <w:bottom w:val="single" w:color="auto" w:sz="4" w:space="0"/>
              <w:right w:val="single" w:color="auto" w:sz="4" w:space="0"/>
            </w:tcBorders>
          </w:tcPr>
          <w:p w14:paraId="023CFAD9">
            <w:pPr>
              <w:adjustRightInd w:val="0"/>
              <w:snapToGrid w:val="0"/>
              <w:spacing w:line="360" w:lineRule="auto"/>
              <w:ind w:left="0" w:leftChars="0" w:firstLine="511" w:firstLineChars="213"/>
              <w:jc w:val="left"/>
              <w:rPr>
                <w:rFonts w:ascii="宋体" w:hAnsi="宋体" w:cs="宋体"/>
                <w:sz w:val="24"/>
                <w:szCs w:val="24"/>
                <w:highlight w:val="none"/>
              </w:rPr>
            </w:pPr>
          </w:p>
        </w:tc>
        <w:tc>
          <w:tcPr>
            <w:tcW w:w="2453" w:type="dxa"/>
            <w:tcBorders>
              <w:top w:val="single" w:color="auto" w:sz="4" w:space="0"/>
              <w:left w:val="single" w:color="auto" w:sz="4" w:space="0"/>
              <w:bottom w:val="single" w:color="auto" w:sz="4" w:space="0"/>
              <w:right w:val="single" w:color="auto" w:sz="4" w:space="0"/>
            </w:tcBorders>
          </w:tcPr>
          <w:p w14:paraId="59C7D3C5">
            <w:pPr>
              <w:adjustRightInd w:val="0"/>
              <w:snapToGrid w:val="0"/>
              <w:spacing w:line="360" w:lineRule="auto"/>
              <w:ind w:left="0" w:leftChars="0" w:firstLine="511" w:firstLineChars="213"/>
              <w:jc w:val="left"/>
              <w:rPr>
                <w:rFonts w:ascii="宋体" w:hAnsi="宋体" w:cs="宋体"/>
                <w:sz w:val="24"/>
                <w:szCs w:val="24"/>
                <w:highlight w:val="none"/>
              </w:rPr>
            </w:pPr>
          </w:p>
        </w:tc>
        <w:tc>
          <w:tcPr>
            <w:tcW w:w="1263" w:type="dxa"/>
            <w:tcBorders>
              <w:top w:val="single" w:color="auto" w:sz="4" w:space="0"/>
              <w:left w:val="single" w:color="auto" w:sz="4" w:space="0"/>
              <w:bottom w:val="single" w:color="auto" w:sz="4" w:space="0"/>
              <w:right w:val="single" w:color="auto" w:sz="4" w:space="0"/>
            </w:tcBorders>
          </w:tcPr>
          <w:p w14:paraId="3A852964">
            <w:pPr>
              <w:adjustRightInd w:val="0"/>
              <w:snapToGrid w:val="0"/>
              <w:spacing w:line="360" w:lineRule="auto"/>
              <w:ind w:left="0" w:leftChars="0" w:firstLine="511" w:firstLineChars="213"/>
              <w:jc w:val="left"/>
              <w:rPr>
                <w:rFonts w:ascii="宋体" w:hAnsi="宋体" w:cs="宋体"/>
                <w:sz w:val="24"/>
                <w:szCs w:val="24"/>
                <w:highlight w:val="none"/>
              </w:rPr>
            </w:pPr>
          </w:p>
        </w:tc>
        <w:tc>
          <w:tcPr>
            <w:tcW w:w="3028" w:type="dxa"/>
            <w:tcBorders>
              <w:top w:val="single" w:color="auto" w:sz="4" w:space="0"/>
              <w:left w:val="single" w:color="auto" w:sz="4" w:space="0"/>
              <w:bottom w:val="single" w:color="auto" w:sz="4" w:space="0"/>
              <w:right w:val="single" w:color="auto" w:sz="4" w:space="0"/>
            </w:tcBorders>
          </w:tcPr>
          <w:p w14:paraId="47563442">
            <w:pPr>
              <w:adjustRightInd w:val="0"/>
              <w:snapToGrid w:val="0"/>
              <w:spacing w:line="360" w:lineRule="auto"/>
              <w:ind w:left="0" w:leftChars="0" w:firstLine="511" w:firstLineChars="213"/>
              <w:jc w:val="left"/>
              <w:rPr>
                <w:rFonts w:ascii="宋体" w:hAnsi="宋体" w:cs="宋体"/>
                <w:sz w:val="24"/>
                <w:szCs w:val="24"/>
                <w:highlight w:val="none"/>
              </w:rPr>
            </w:pPr>
          </w:p>
        </w:tc>
      </w:tr>
      <w:tr w14:paraId="434D26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1552" w:type="dxa"/>
            <w:tcBorders>
              <w:top w:val="single" w:color="auto" w:sz="4" w:space="0"/>
              <w:left w:val="single" w:color="auto" w:sz="4" w:space="0"/>
              <w:bottom w:val="single" w:color="auto" w:sz="4" w:space="0"/>
              <w:right w:val="single" w:color="auto" w:sz="4" w:space="0"/>
            </w:tcBorders>
          </w:tcPr>
          <w:p w14:paraId="09959B80">
            <w:pPr>
              <w:adjustRightInd w:val="0"/>
              <w:snapToGrid w:val="0"/>
              <w:spacing w:line="360" w:lineRule="auto"/>
              <w:ind w:left="0" w:leftChars="0" w:firstLine="511" w:firstLineChars="213"/>
              <w:jc w:val="left"/>
              <w:rPr>
                <w:rFonts w:ascii="宋体" w:hAnsi="宋体" w:cs="宋体"/>
                <w:sz w:val="24"/>
                <w:szCs w:val="24"/>
                <w:highlight w:val="none"/>
              </w:rPr>
            </w:pPr>
          </w:p>
        </w:tc>
        <w:tc>
          <w:tcPr>
            <w:tcW w:w="2453" w:type="dxa"/>
            <w:tcBorders>
              <w:top w:val="single" w:color="auto" w:sz="4" w:space="0"/>
              <w:left w:val="single" w:color="auto" w:sz="4" w:space="0"/>
              <w:bottom w:val="single" w:color="auto" w:sz="4" w:space="0"/>
              <w:right w:val="single" w:color="auto" w:sz="4" w:space="0"/>
            </w:tcBorders>
          </w:tcPr>
          <w:p w14:paraId="57425F3A">
            <w:pPr>
              <w:adjustRightInd w:val="0"/>
              <w:snapToGrid w:val="0"/>
              <w:spacing w:line="360" w:lineRule="auto"/>
              <w:ind w:left="0" w:leftChars="0" w:firstLine="511" w:firstLineChars="213"/>
              <w:jc w:val="left"/>
              <w:rPr>
                <w:rFonts w:ascii="宋体" w:hAnsi="宋体" w:cs="宋体"/>
                <w:sz w:val="24"/>
                <w:szCs w:val="24"/>
                <w:highlight w:val="none"/>
              </w:rPr>
            </w:pPr>
          </w:p>
        </w:tc>
        <w:tc>
          <w:tcPr>
            <w:tcW w:w="1263" w:type="dxa"/>
            <w:tcBorders>
              <w:top w:val="single" w:color="auto" w:sz="4" w:space="0"/>
              <w:left w:val="single" w:color="auto" w:sz="4" w:space="0"/>
              <w:bottom w:val="single" w:color="auto" w:sz="4" w:space="0"/>
              <w:right w:val="single" w:color="auto" w:sz="4" w:space="0"/>
            </w:tcBorders>
          </w:tcPr>
          <w:p w14:paraId="1F436EA7">
            <w:pPr>
              <w:adjustRightInd w:val="0"/>
              <w:snapToGrid w:val="0"/>
              <w:spacing w:line="360" w:lineRule="auto"/>
              <w:ind w:left="0" w:leftChars="0" w:firstLine="511" w:firstLineChars="213"/>
              <w:jc w:val="left"/>
              <w:rPr>
                <w:rFonts w:ascii="宋体" w:hAnsi="宋体" w:cs="宋体"/>
                <w:sz w:val="24"/>
                <w:szCs w:val="24"/>
                <w:highlight w:val="none"/>
              </w:rPr>
            </w:pPr>
          </w:p>
        </w:tc>
        <w:tc>
          <w:tcPr>
            <w:tcW w:w="3028" w:type="dxa"/>
            <w:tcBorders>
              <w:top w:val="single" w:color="auto" w:sz="4" w:space="0"/>
              <w:left w:val="single" w:color="auto" w:sz="4" w:space="0"/>
              <w:bottom w:val="single" w:color="auto" w:sz="4" w:space="0"/>
              <w:right w:val="single" w:color="auto" w:sz="4" w:space="0"/>
            </w:tcBorders>
          </w:tcPr>
          <w:p w14:paraId="1490B1A3">
            <w:pPr>
              <w:adjustRightInd w:val="0"/>
              <w:snapToGrid w:val="0"/>
              <w:spacing w:line="360" w:lineRule="auto"/>
              <w:ind w:left="0" w:leftChars="0" w:firstLine="511" w:firstLineChars="213"/>
              <w:jc w:val="left"/>
              <w:rPr>
                <w:rFonts w:ascii="宋体" w:hAnsi="宋体" w:cs="宋体"/>
                <w:sz w:val="24"/>
                <w:szCs w:val="24"/>
                <w:highlight w:val="none"/>
              </w:rPr>
            </w:pPr>
          </w:p>
        </w:tc>
      </w:tr>
      <w:tr w14:paraId="3EB1FA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1552" w:type="dxa"/>
            <w:tcBorders>
              <w:top w:val="single" w:color="auto" w:sz="4" w:space="0"/>
              <w:left w:val="single" w:color="auto" w:sz="4" w:space="0"/>
              <w:bottom w:val="single" w:color="auto" w:sz="4" w:space="0"/>
              <w:right w:val="single" w:color="auto" w:sz="4" w:space="0"/>
            </w:tcBorders>
          </w:tcPr>
          <w:p w14:paraId="3AC36AB9">
            <w:pPr>
              <w:adjustRightInd w:val="0"/>
              <w:snapToGrid w:val="0"/>
              <w:spacing w:line="360" w:lineRule="auto"/>
              <w:ind w:left="0" w:leftChars="0" w:firstLine="511" w:firstLineChars="213"/>
              <w:jc w:val="left"/>
              <w:rPr>
                <w:rFonts w:ascii="宋体" w:hAnsi="宋体" w:cs="宋体"/>
                <w:sz w:val="24"/>
                <w:szCs w:val="24"/>
                <w:highlight w:val="none"/>
              </w:rPr>
            </w:pPr>
          </w:p>
        </w:tc>
        <w:tc>
          <w:tcPr>
            <w:tcW w:w="2453" w:type="dxa"/>
            <w:tcBorders>
              <w:top w:val="single" w:color="auto" w:sz="4" w:space="0"/>
              <w:left w:val="single" w:color="auto" w:sz="4" w:space="0"/>
              <w:bottom w:val="single" w:color="auto" w:sz="4" w:space="0"/>
              <w:right w:val="single" w:color="auto" w:sz="4" w:space="0"/>
            </w:tcBorders>
          </w:tcPr>
          <w:p w14:paraId="215FB71F">
            <w:pPr>
              <w:adjustRightInd w:val="0"/>
              <w:snapToGrid w:val="0"/>
              <w:spacing w:line="360" w:lineRule="auto"/>
              <w:ind w:left="0" w:leftChars="0" w:firstLine="511" w:firstLineChars="213"/>
              <w:jc w:val="left"/>
              <w:rPr>
                <w:rFonts w:ascii="宋体" w:hAnsi="宋体" w:cs="宋体"/>
                <w:sz w:val="24"/>
                <w:szCs w:val="24"/>
                <w:highlight w:val="none"/>
              </w:rPr>
            </w:pPr>
          </w:p>
        </w:tc>
        <w:tc>
          <w:tcPr>
            <w:tcW w:w="1263" w:type="dxa"/>
            <w:tcBorders>
              <w:top w:val="single" w:color="auto" w:sz="4" w:space="0"/>
              <w:left w:val="single" w:color="auto" w:sz="4" w:space="0"/>
              <w:bottom w:val="single" w:color="auto" w:sz="4" w:space="0"/>
              <w:right w:val="single" w:color="auto" w:sz="4" w:space="0"/>
            </w:tcBorders>
          </w:tcPr>
          <w:p w14:paraId="4EFB2130">
            <w:pPr>
              <w:adjustRightInd w:val="0"/>
              <w:snapToGrid w:val="0"/>
              <w:spacing w:line="360" w:lineRule="auto"/>
              <w:ind w:left="0" w:leftChars="0" w:firstLine="511" w:firstLineChars="213"/>
              <w:jc w:val="left"/>
              <w:rPr>
                <w:rFonts w:ascii="宋体" w:hAnsi="宋体" w:cs="宋体"/>
                <w:sz w:val="24"/>
                <w:szCs w:val="24"/>
                <w:highlight w:val="none"/>
              </w:rPr>
            </w:pPr>
          </w:p>
        </w:tc>
        <w:tc>
          <w:tcPr>
            <w:tcW w:w="3028" w:type="dxa"/>
            <w:tcBorders>
              <w:top w:val="single" w:color="auto" w:sz="4" w:space="0"/>
              <w:left w:val="single" w:color="auto" w:sz="4" w:space="0"/>
              <w:bottom w:val="single" w:color="auto" w:sz="4" w:space="0"/>
              <w:right w:val="single" w:color="auto" w:sz="4" w:space="0"/>
            </w:tcBorders>
          </w:tcPr>
          <w:p w14:paraId="578235B1">
            <w:pPr>
              <w:adjustRightInd w:val="0"/>
              <w:snapToGrid w:val="0"/>
              <w:spacing w:line="360" w:lineRule="auto"/>
              <w:ind w:left="0" w:leftChars="0" w:firstLine="511" w:firstLineChars="213"/>
              <w:jc w:val="left"/>
              <w:rPr>
                <w:rFonts w:ascii="宋体" w:hAnsi="宋体" w:cs="宋体"/>
                <w:sz w:val="24"/>
                <w:szCs w:val="24"/>
                <w:highlight w:val="none"/>
              </w:rPr>
            </w:pPr>
          </w:p>
        </w:tc>
      </w:tr>
      <w:tr w14:paraId="3FCEE8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1552" w:type="dxa"/>
            <w:tcBorders>
              <w:top w:val="single" w:color="auto" w:sz="4" w:space="0"/>
              <w:left w:val="single" w:color="auto" w:sz="4" w:space="0"/>
              <w:bottom w:val="single" w:color="auto" w:sz="4" w:space="0"/>
              <w:right w:val="single" w:color="auto" w:sz="4" w:space="0"/>
            </w:tcBorders>
          </w:tcPr>
          <w:p w14:paraId="4AAC36EA">
            <w:pPr>
              <w:adjustRightInd w:val="0"/>
              <w:snapToGrid w:val="0"/>
              <w:spacing w:line="360" w:lineRule="auto"/>
              <w:ind w:left="0" w:leftChars="0" w:firstLine="511" w:firstLineChars="213"/>
              <w:jc w:val="left"/>
              <w:rPr>
                <w:rFonts w:ascii="宋体" w:hAnsi="宋体" w:cs="宋体"/>
                <w:sz w:val="24"/>
                <w:szCs w:val="24"/>
                <w:highlight w:val="none"/>
              </w:rPr>
            </w:pPr>
          </w:p>
        </w:tc>
        <w:tc>
          <w:tcPr>
            <w:tcW w:w="2453" w:type="dxa"/>
            <w:tcBorders>
              <w:top w:val="single" w:color="auto" w:sz="4" w:space="0"/>
              <w:left w:val="single" w:color="auto" w:sz="4" w:space="0"/>
              <w:bottom w:val="single" w:color="auto" w:sz="4" w:space="0"/>
              <w:right w:val="single" w:color="auto" w:sz="4" w:space="0"/>
            </w:tcBorders>
          </w:tcPr>
          <w:p w14:paraId="2B44BB38">
            <w:pPr>
              <w:adjustRightInd w:val="0"/>
              <w:snapToGrid w:val="0"/>
              <w:spacing w:line="360" w:lineRule="auto"/>
              <w:ind w:left="0" w:leftChars="0" w:firstLine="511" w:firstLineChars="213"/>
              <w:jc w:val="left"/>
              <w:rPr>
                <w:rFonts w:ascii="宋体" w:hAnsi="宋体" w:cs="宋体"/>
                <w:sz w:val="24"/>
                <w:szCs w:val="24"/>
                <w:highlight w:val="none"/>
              </w:rPr>
            </w:pPr>
          </w:p>
        </w:tc>
        <w:tc>
          <w:tcPr>
            <w:tcW w:w="1263" w:type="dxa"/>
            <w:tcBorders>
              <w:top w:val="single" w:color="auto" w:sz="4" w:space="0"/>
              <w:left w:val="single" w:color="auto" w:sz="4" w:space="0"/>
              <w:bottom w:val="single" w:color="auto" w:sz="4" w:space="0"/>
              <w:right w:val="single" w:color="auto" w:sz="4" w:space="0"/>
            </w:tcBorders>
          </w:tcPr>
          <w:p w14:paraId="7B5A3842">
            <w:pPr>
              <w:adjustRightInd w:val="0"/>
              <w:snapToGrid w:val="0"/>
              <w:spacing w:line="360" w:lineRule="auto"/>
              <w:ind w:left="0" w:leftChars="0" w:firstLine="511" w:firstLineChars="213"/>
              <w:jc w:val="left"/>
              <w:rPr>
                <w:rFonts w:ascii="宋体" w:hAnsi="宋体" w:cs="宋体"/>
                <w:sz w:val="24"/>
                <w:szCs w:val="24"/>
                <w:highlight w:val="none"/>
              </w:rPr>
            </w:pPr>
          </w:p>
        </w:tc>
        <w:tc>
          <w:tcPr>
            <w:tcW w:w="3028" w:type="dxa"/>
            <w:tcBorders>
              <w:top w:val="single" w:color="auto" w:sz="4" w:space="0"/>
              <w:left w:val="single" w:color="auto" w:sz="4" w:space="0"/>
              <w:bottom w:val="single" w:color="auto" w:sz="4" w:space="0"/>
              <w:right w:val="single" w:color="auto" w:sz="4" w:space="0"/>
            </w:tcBorders>
          </w:tcPr>
          <w:p w14:paraId="5FF89A0E">
            <w:pPr>
              <w:adjustRightInd w:val="0"/>
              <w:snapToGrid w:val="0"/>
              <w:spacing w:line="360" w:lineRule="auto"/>
              <w:ind w:left="0" w:leftChars="0" w:firstLine="511" w:firstLineChars="213"/>
              <w:jc w:val="left"/>
              <w:rPr>
                <w:rFonts w:ascii="宋体" w:hAnsi="宋体" w:cs="宋体"/>
                <w:sz w:val="24"/>
                <w:szCs w:val="24"/>
                <w:highlight w:val="none"/>
              </w:rPr>
            </w:pPr>
          </w:p>
        </w:tc>
      </w:tr>
      <w:tr w14:paraId="5A33F0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3" w:hRule="atLeast"/>
          <w:jc w:val="center"/>
        </w:trPr>
        <w:tc>
          <w:tcPr>
            <w:tcW w:w="1552" w:type="dxa"/>
            <w:tcBorders>
              <w:top w:val="single" w:color="auto" w:sz="4" w:space="0"/>
              <w:left w:val="single" w:color="auto" w:sz="4" w:space="0"/>
              <w:bottom w:val="single" w:color="auto" w:sz="4" w:space="0"/>
              <w:right w:val="single" w:color="auto" w:sz="4" w:space="0"/>
            </w:tcBorders>
          </w:tcPr>
          <w:p w14:paraId="1F80B823">
            <w:pPr>
              <w:adjustRightInd w:val="0"/>
              <w:snapToGrid w:val="0"/>
              <w:spacing w:line="360" w:lineRule="auto"/>
              <w:ind w:left="0" w:leftChars="0" w:firstLine="511" w:firstLineChars="213"/>
              <w:jc w:val="left"/>
              <w:rPr>
                <w:rFonts w:ascii="宋体" w:hAnsi="宋体" w:cs="宋体"/>
                <w:sz w:val="24"/>
                <w:szCs w:val="24"/>
                <w:highlight w:val="none"/>
              </w:rPr>
            </w:pPr>
            <w:r>
              <w:rPr>
                <w:rFonts w:hint="eastAsia" w:ascii="宋体" w:hAnsi="宋体" w:cs="宋体"/>
                <w:sz w:val="24"/>
                <w:szCs w:val="24"/>
                <w:highlight w:val="none"/>
              </w:rPr>
              <w:t>…</w:t>
            </w:r>
          </w:p>
        </w:tc>
        <w:tc>
          <w:tcPr>
            <w:tcW w:w="2453" w:type="dxa"/>
            <w:tcBorders>
              <w:top w:val="single" w:color="auto" w:sz="4" w:space="0"/>
              <w:left w:val="single" w:color="auto" w:sz="4" w:space="0"/>
              <w:bottom w:val="single" w:color="auto" w:sz="4" w:space="0"/>
              <w:right w:val="single" w:color="auto" w:sz="4" w:space="0"/>
            </w:tcBorders>
          </w:tcPr>
          <w:p w14:paraId="57E63E5A">
            <w:pPr>
              <w:adjustRightInd w:val="0"/>
              <w:snapToGrid w:val="0"/>
              <w:spacing w:line="360" w:lineRule="auto"/>
              <w:ind w:left="0" w:leftChars="0" w:firstLine="511" w:firstLineChars="213"/>
              <w:jc w:val="left"/>
              <w:rPr>
                <w:rFonts w:ascii="宋体" w:hAnsi="宋体" w:cs="宋体"/>
                <w:sz w:val="24"/>
                <w:szCs w:val="24"/>
                <w:highlight w:val="none"/>
              </w:rPr>
            </w:pPr>
          </w:p>
        </w:tc>
        <w:tc>
          <w:tcPr>
            <w:tcW w:w="1263" w:type="dxa"/>
            <w:tcBorders>
              <w:top w:val="single" w:color="auto" w:sz="4" w:space="0"/>
              <w:left w:val="single" w:color="auto" w:sz="4" w:space="0"/>
              <w:bottom w:val="single" w:color="auto" w:sz="4" w:space="0"/>
              <w:right w:val="single" w:color="auto" w:sz="4" w:space="0"/>
            </w:tcBorders>
          </w:tcPr>
          <w:p w14:paraId="21ED3029">
            <w:pPr>
              <w:adjustRightInd w:val="0"/>
              <w:snapToGrid w:val="0"/>
              <w:spacing w:line="360" w:lineRule="auto"/>
              <w:ind w:left="0" w:leftChars="0" w:firstLine="511" w:firstLineChars="213"/>
              <w:jc w:val="left"/>
              <w:rPr>
                <w:rFonts w:ascii="宋体" w:hAnsi="宋体" w:cs="宋体"/>
                <w:sz w:val="24"/>
                <w:szCs w:val="24"/>
                <w:highlight w:val="none"/>
              </w:rPr>
            </w:pPr>
          </w:p>
        </w:tc>
        <w:tc>
          <w:tcPr>
            <w:tcW w:w="3028" w:type="dxa"/>
            <w:tcBorders>
              <w:top w:val="single" w:color="auto" w:sz="4" w:space="0"/>
              <w:left w:val="single" w:color="auto" w:sz="4" w:space="0"/>
              <w:bottom w:val="single" w:color="auto" w:sz="4" w:space="0"/>
              <w:right w:val="single" w:color="auto" w:sz="4" w:space="0"/>
            </w:tcBorders>
          </w:tcPr>
          <w:p w14:paraId="238FF642">
            <w:pPr>
              <w:adjustRightInd w:val="0"/>
              <w:snapToGrid w:val="0"/>
              <w:spacing w:line="360" w:lineRule="auto"/>
              <w:ind w:left="0" w:leftChars="0" w:firstLine="511" w:firstLineChars="213"/>
              <w:jc w:val="left"/>
              <w:rPr>
                <w:rFonts w:ascii="宋体" w:hAnsi="宋体" w:cs="宋体"/>
                <w:sz w:val="24"/>
                <w:szCs w:val="24"/>
                <w:highlight w:val="none"/>
              </w:rPr>
            </w:pPr>
          </w:p>
        </w:tc>
      </w:tr>
    </w:tbl>
    <w:p w14:paraId="56AEAB21">
      <w:pPr>
        <w:adjustRightInd w:val="0"/>
        <w:snapToGrid w:val="0"/>
        <w:spacing w:line="360" w:lineRule="auto"/>
        <w:ind w:left="0" w:leftChars="0" w:right="-817" w:rightChars="-389" w:firstLine="513" w:firstLineChars="213"/>
        <w:rPr>
          <w:rFonts w:ascii="宋体" w:hAnsi="宋体" w:cs="宋体"/>
          <w:sz w:val="24"/>
          <w:szCs w:val="24"/>
          <w:highlight w:val="none"/>
        </w:rPr>
      </w:pPr>
      <w:r>
        <w:rPr>
          <w:rFonts w:hint="eastAsia" w:ascii="宋体" w:hAnsi="宋体" w:cs="宋体"/>
          <w:b/>
          <w:bCs/>
          <w:sz w:val="24"/>
          <w:szCs w:val="24"/>
          <w:highlight w:val="none"/>
        </w:rPr>
        <w:t>注：如有偏离，则必须注明“偏离”；未注明偏离的，视为完全响应。</w:t>
      </w:r>
    </w:p>
    <w:p w14:paraId="6C87B05C">
      <w:pPr>
        <w:adjustRightInd w:val="0"/>
        <w:snapToGrid w:val="0"/>
        <w:spacing w:line="360" w:lineRule="auto"/>
        <w:ind w:left="0" w:leftChars="0" w:right="-817" w:rightChars="-389" w:firstLine="511" w:firstLineChars="213"/>
        <w:rPr>
          <w:rFonts w:ascii="宋体" w:hAnsi="宋体" w:cs="宋体"/>
          <w:sz w:val="24"/>
          <w:szCs w:val="24"/>
          <w:highlight w:val="none"/>
        </w:rPr>
      </w:pPr>
      <w:r>
        <w:rPr>
          <w:rFonts w:hint="eastAsia" w:ascii="宋体" w:hAnsi="宋体" w:cs="宋体"/>
          <w:sz w:val="24"/>
          <w:szCs w:val="24"/>
          <w:highlight w:val="none"/>
        </w:rPr>
        <w:t>投标人名称（盖章）：</w:t>
      </w:r>
    </w:p>
    <w:p w14:paraId="122D7B3A">
      <w:pPr>
        <w:adjustRightInd w:val="0"/>
        <w:snapToGrid w:val="0"/>
        <w:spacing w:line="360" w:lineRule="auto"/>
        <w:ind w:left="0" w:leftChars="0" w:right="-817" w:rightChars="-389" w:firstLine="511" w:firstLineChars="213"/>
        <w:rPr>
          <w:rFonts w:ascii="宋体" w:hAnsi="宋体" w:cs="宋体"/>
          <w:sz w:val="24"/>
          <w:szCs w:val="24"/>
          <w:highlight w:val="none"/>
        </w:rPr>
      </w:pPr>
      <w:r>
        <w:rPr>
          <w:rFonts w:hint="eastAsia" w:ascii="宋体" w:hAnsi="宋体" w:cs="宋体"/>
          <w:sz w:val="24"/>
          <w:szCs w:val="24"/>
          <w:highlight w:val="none"/>
        </w:rPr>
        <w:t>法定代表人（负责人、自然人）或被授权人（签字）：</w:t>
      </w:r>
    </w:p>
    <w:p w14:paraId="1F3A66B7">
      <w:pPr>
        <w:adjustRightInd w:val="0"/>
        <w:snapToGrid w:val="0"/>
        <w:spacing w:line="360" w:lineRule="auto"/>
        <w:ind w:left="0" w:leftChars="0" w:right="-817" w:rightChars="-389" w:firstLine="511" w:firstLineChars="213"/>
        <w:jc w:val="left"/>
        <w:rPr>
          <w:rFonts w:ascii="宋体" w:hAnsi="宋体" w:cs="宋体"/>
          <w:sz w:val="24"/>
          <w:szCs w:val="24"/>
          <w:highlight w:val="none"/>
        </w:rPr>
      </w:pPr>
      <w:r>
        <w:rPr>
          <w:rFonts w:hint="eastAsia" w:ascii="宋体" w:hAnsi="宋体" w:cs="宋体"/>
          <w:sz w:val="24"/>
          <w:szCs w:val="24"/>
          <w:highlight w:val="none"/>
        </w:rPr>
        <w:t>日期：    年   月   日</w:t>
      </w:r>
    </w:p>
    <w:p w14:paraId="0E06F782">
      <w:pPr>
        <w:adjustRightInd w:val="0"/>
        <w:snapToGrid w:val="0"/>
        <w:spacing w:line="360" w:lineRule="auto"/>
        <w:ind w:left="0" w:leftChars="0" w:firstLine="513" w:firstLineChars="213"/>
        <w:jc w:val="left"/>
        <w:rPr>
          <w:rFonts w:hint="eastAsia" w:ascii="宋体" w:hAnsi="宋体" w:eastAsia="宋体" w:cs="宋体"/>
          <w:b/>
          <w:sz w:val="24"/>
          <w:szCs w:val="24"/>
          <w:highlight w:val="none"/>
          <w:lang w:val="en-US" w:eastAsia="zh-CN"/>
        </w:rPr>
      </w:pPr>
    </w:p>
    <w:p w14:paraId="61F1859E">
      <w:pPr>
        <w:adjustRightInd w:val="0"/>
        <w:snapToGrid w:val="0"/>
        <w:spacing w:line="360" w:lineRule="auto"/>
        <w:ind w:left="0" w:leftChars="0" w:firstLine="513" w:firstLineChars="213"/>
        <w:jc w:val="left"/>
        <w:rPr>
          <w:rFonts w:hint="default" w:ascii="宋体" w:hAnsi="宋体" w:eastAsia="宋体" w:cs="宋体"/>
          <w:b/>
          <w:sz w:val="24"/>
          <w:szCs w:val="24"/>
          <w:highlight w:val="none"/>
          <w:lang w:val="en-US" w:eastAsia="zh-CN"/>
        </w:rPr>
      </w:pPr>
      <w:r>
        <w:rPr>
          <w:rFonts w:hint="eastAsia" w:ascii="宋体" w:hAnsi="宋体" w:eastAsia="宋体" w:cs="宋体"/>
          <w:b/>
          <w:sz w:val="24"/>
          <w:szCs w:val="24"/>
          <w:highlight w:val="none"/>
          <w:lang w:val="en-US" w:eastAsia="zh-CN"/>
        </w:rPr>
        <w:t>16、仓储能力证明性材料（格式自拟）</w:t>
      </w:r>
    </w:p>
    <w:p w14:paraId="431AF34F">
      <w:pPr>
        <w:pStyle w:val="29"/>
        <w:spacing w:line="360" w:lineRule="auto"/>
        <w:ind w:left="0" w:leftChars="0" w:firstLine="536" w:firstLineChars="213"/>
        <w:rPr>
          <w:highlight w:val="none"/>
        </w:rPr>
      </w:pPr>
      <w:r>
        <w:rPr>
          <w:rFonts w:hint="eastAsia" w:ascii="宋体" w:hAnsi="宋体" w:eastAsia="宋体" w:cs="宋体"/>
          <w:color w:val="auto"/>
          <w:spacing w:val="6"/>
          <w:sz w:val="24"/>
          <w:szCs w:val="24"/>
          <w:highlight w:val="none"/>
          <w:lang w:val="en-US" w:eastAsia="zh-CN"/>
        </w:rPr>
        <w:t>对照“</w:t>
      </w:r>
      <w:r>
        <w:rPr>
          <w:rFonts w:hint="eastAsia" w:ascii="宋体" w:hAnsi="宋体" w:eastAsia="宋体" w:cs="宋体"/>
          <w:color w:val="auto"/>
          <w:spacing w:val="6"/>
          <w:sz w:val="24"/>
          <w:szCs w:val="24"/>
          <w:highlight w:val="none"/>
        </w:rPr>
        <w:t>第三章 评分办法及评分标准</w:t>
      </w:r>
      <w:r>
        <w:rPr>
          <w:rFonts w:hint="eastAsia" w:ascii="宋体" w:hAnsi="宋体" w:eastAsia="宋体" w:cs="宋体"/>
          <w:color w:val="auto"/>
          <w:spacing w:val="6"/>
          <w:sz w:val="24"/>
          <w:szCs w:val="24"/>
          <w:highlight w:val="none"/>
          <w:lang w:val="en-US" w:eastAsia="zh-CN"/>
        </w:rPr>
        <w:t>--三、评分标准和细则--（二）评分细则”</w:t>
      </w:r>
      <w:r>
        <w:rPr>
          <w:rFonts w:hint="eastAsia" w:hAnsi="宋体" w:cs="宋体"/>
          <w:color w:val="auto"/>
          <w:spacing w:val="6"/>
          <w:sz w:val="24"/>
          <w:szCs w:val="24"/>
          <w:highlight w:val="none"/>
          <w:lang w:val="en-US" w:eastAsia="zh-CN"/>
        </w:rPr>
        <w:t>,结合“第六章 项目需求”</w:t>
      </w:r>
      <w:r>
        <w:rPr>
          <w:rFonts w:hint="eastAsia" w:ascii="宋体" w:hAnsi="宋体" w:eastAsia="宋体" w:cs="宋体"/>
          <w:color w:val="auto"/>
          <w:spacing w:val="6"/>
          <w:sz w:val="24"/>
          <w:szCs w:val="24"/>
          <w:highlight w:val="none"/>
          <w:lang w:val="en-US" w:eastAsia="zh-CN"/>
        </w:rPr>
        <w:t>提供证明性材料</w:t>
      </w:r>
    </w:p>
    <w:p w14:paraId="65C00F6F">
      <w:pPr>
        <w:adjustRightInd w:val="0"/>
        <w:snapToGrid w:val="0"/>
        <w:spacing w:line="360" w:lineRule="auto"/>
        <w:ind w:left="0" w:leftChars="0" w:firstLine="513" w:firstLineChars="213"/>
        <w:jc w:val="left"/>
        <w:rPr>
          <w:rFonts w:hint="eastAsia" w:ascii="宋体" w:hAnsi="宋体" w:eastAsia="宋体" w:cs="宋体"/>
          <w:b/>
          <w:sz w:val="24"/>
          <w:szCs w:val="24"/>
          <w:highlight w:val="none"/>
          <w:lang w:val="en-US" w:eastAsia="zh-CN"/>
        </w:rPr>
      </w:pPr>
    </w:p>
    <w:p w14:paraId="538F366E">
      <w:pPr>
        <w:adjustRightInd w:val="0"/>
        <w:snapToGrid w:val="0"/>
        <w:spacing w:line="360" w:lineRule="auto"/>
        <w:ind w:left="0" w:leftChars="0" w:firstLine="513" w:firstLineChars="213"/>
        <w:jc w:val="left"/>
        <w:rPr>
          <w:rFonts w:hint="default" w:ascii="宋体" w:hAnsi="宋体" w:eastAsia="宋体" w:cs="宋体"/>
          <w:b/>
          <w:sz w:val="24"/>
          <w:szCs w:val="24"/>
          <w:highlight w:val="none"/>
          <w:lang w:val="en-US" w:eastAsia="zh-CN"/>
        </w:rPr>
      </w:pPr>
      <w:r>
        <w:rPr>
          <w:rFonts w:hint="eastAsia" w:ascii="宋体" w:hAnsi="宋体" w:eastAsia="宋体" w:cs="宋体"/>
          <w:b/>
          <w:sz w:val="24"/>
          <w:szCs w:val="24"/>
          <w:highlight w:val="none"/>
          <w:lang w:val="en-US" w:eastAsia="zh-CN"/>
        </w:rPr>
        <w:t>17、配送方案（格式自拟）</w:t>
      </w:r>
    </w:p>
    <w:p w14:paraId="74900268">
      <w:pPr>
        <w:pStyle w:val="29"/>
        <w:spacing w:line="360" w:lineRule="auto"/>
        <w:ind w:left="0" w:leftChars="0" w:firstLine="536" w:firstLineChars="213"/>
        <w:rPr>
          <w:highlight w:val="none"/>
        </w:rPr>
      </w:pPr>
      <w:r>
        <w:rPr>
          <w:rFonts w:hint="eastAsia" w:ascii="宋体" w:hAnsi="宋体" w:eastAsia="宋体" w:cs="宋体"/>
          <w:color w:val="auto"/>
          <w:spacing w:val="6"/>
          <w:sz w:val="24"/>
          <w:szCs w:val="24"/>
          <w:highlight w:val="none"/>
          <w:lang w:val="en-US" w:eastAsia="zh-CN"/>
        </w:rPr>
        <w:t>对照“</w:t>
      </w:r>
      <w:r>
        <w:rPr>
          <w:rFonts w:hint="eastAsia" w:ascii="宋体" w:hAnsi="宋体" w:eastAsia="宋体" w:cs="宋体"/>
          <w:color w:val="auto"/>
          <w:spacing w:val="6"/>
          <w:sz w:val="24"/>
          <w:szCs w:val="24"/>
          <w:highlight w:val="none"/>
        </w:rPr>
        <w:t>第三章 评分办法及评分标准</w:t>
      </w:r>
      <w:r>
        <w:rPr>
          <w:rFonts w:hint="eastAsia" w:ascii="宋体" w:hAnsi="宋体" w:eastAsia="宋体" w:cs="宋体"/>
          <w:color w:val="auto"/>
          <w:spacing w:val="6"/>
          <w:sz w:val="24"/>
          <w:szCs w:val="24"/>
          <w:highlight w:val="none"/>
          <w:lang w:val="en-US" w:eastAsia="zh-CN"/>
        </w:rPr>
        <w:t>--三、评分标准和细则--（二）评分细则”</w:t>
      </w:r>
      <w:r>
        <w:rPr>
          <w:rFonts w:hint="eastAsia" w:hAnsi="宋体" w:cs="宋体"/>
          <w:color w:val="auto"/>
          <w:spacing w:val="6"/>
          <w:sz w:val="24"/>
          <w:szCs w:val="24"/>
          <w:highlight w:val="none"/>
          <w:lang w:val="en-US" w:eastAsia="zh-CN"/>
        </w:rPr>
        <w:t>,结合“第六章 项目需求”</w:t>
      </w:r>
      <w:r>
        <w:rPr>
          <w:rFonts w:hint="eastAsia" w:ascii="宋体" w:hAnsi="宋体" w:eastAsia="宋体" w:cs="宋体"/>
          <w:color w:val="auto"/>
          <w:spacing w:val="6"/>
          <w:sz w:val="24"/>
          <w:szCs w:val="24"/>
          <w:highlight w:val="none"/>
          <w:lang w:val="en-US" w:eastAsia="zh-CN"/>
        </w:rPr>
        <w:t>提供证明性材料</w:t>
      </w:r>
    </w:p>
    <w:p w14:paraId="46F19C64">
      <w:pPr>
        <w:adjustRightInd w:val="0"/>
        <w:snapToGrid w:val="0"/>
        <w:spacing w:line="360" w:lineRule="auto"/>
        <w:ind w:left="0" w:leftChars="0" w:firstLine="513" w:firstLineChars="213"/>
        <w:jc w:val="left"/>
        <w:rPr>
          <w:rFonts w:hint="default" w:ascii="宋体" w:hAnsi="宋体" w:eastAsia="宋体" w:cs="宋体"/>
          <w:b/>
          <w:sz w:val="24"/>
          <w:szCs w:val="24"/>
          <w:highlight w:val="none"/>
          <w:lang w:val="en-US" w:eastAsia="zh-CN"/>
        </w:rPr>
      </w:pPr>
      <w:r>
        <w:rPr>
          <w:rFonts w:hint="eastAsia" w:ascii="宋体" w:hAnsi="宋体" w:cs="宋体"/>
          <w:b/>
          <w:sz w:val="24"/>
          <w:szCs w:val="24"/>
          <w:highlight w:val="none"/>
          <w:lang w:val="en-US" w:eastAsia="zh-CN"/>
        </w:rPr>
        <w:t>18、应急处置措施</w:t>
      </w:r>
      <w:r>
        <w:rPr>
          <w:rFonts w:hint="eastAsia" w:ascii="宋体" w:hAnsi="宋体" w:eastAsia="宋体" w:cs="宋体"/>
          <w:b/>
          <w:sz w:val="24"/>
          <w:szCs w:val="24"/>
          <w:highlight w:val="none"/>
          <w:lang w:val="en-US" w:eastAsia="zh-CN"/>
        </w:rPr>
        <w:t>（格式自拟）</w:t>
      </w:r>
    </w:p>
    <w:p w14:paraId="71849FCE">
      <w:pPr>
        <w:pStyle w:val="29"/>
        <w:spacing w:line="360" w:lineRule="auto"/>
        <w:ind w:left="0" w:leftChars="0" w:firstLine="536" w:firstLineChars="213"/>
        <w:rPr>
          <w:highlight w:val="none"/>
        </w:rPr>
      </w:pPr>
      <w:r>
        <w:rPr>
          <w:rFonts w:hint="eastAsia" w:ascii="宋体" w:hAnsi="宋体" w:eastAsia="宋体" w:cs="宋体"/>
          <w:color w:val="auto"/>
          <w:spacing w:val="6"/>
          <w:sz w:val="24"/>
          <w:szCs w:val="24"/>
          <w:highlight w:val="none"/>
          <w:lang w:val="en-US" w:eastAsia="zh-CN"/>
        </w:rPr>
        <w:t>对照“</w:t>
      </w:r>
      <w:r>
        <w:rPr>
          <w:rFonts w:hint="eastAsia" w:ascii="宋体" w:hAnsi="宋体" w:eastAsia="宋体" w:cs="宋体"/>
          <w:color w:val="auto"/>
          <w:spacing w:val="6"/>
          <w:sz w:val="24"/>
          <w:szCs w:val="24"/>
          <w:highlight w:val="none"/>
        </w:rPr>
        <w:t>第三章 评分办法及评分标准</w:t>
      </w:r>
      <w:r>
        <w:rPr>
          <w:rFonts w:hint="eastAsia" w:ascii="宋体" w:hAnsi="宋体" w:eastAsia="宋体" w:cs="宋体"/>
          <w:color w:val="auto"/>
          <w:spacing w:val="6"/>
          <w:sz w:val="24"/>
          <w:szCs w:val="24"/>
          <w:highlight w:val="none"/>
          <w:lang w:val="en-US" w:eastAsia="zh-CN"/>
        </w:rPr>
        <w:t>--三、评分标准和细则--（二）评分细则”</w:t>
      </w:r>
      <w:r>
        <w:rPr>
          <w:rFonts w:hint="eastAsia" w:hAnsi="宋体" w:cs="宋体"/>
          <w:color w:val="auto"/>
          <w:spacing w:val="6"/>
          <w:sz w:val="24"/>
          <w:szCs w:val="24"/>
          <w:highlight w:val="none"/>
          <w:lang w:val="en-US" w:eastAsia="zh-CN"/>
        </w:rPr>
        <w:t>,结合“第六章 项目需求”</w:t>
      </w:r>
      <w:r>
        <w:rPr>
          <w:rFonts w:hint="eastAsia" w:ascii="宋体" w:hAnsi="宋体" w:eastAsia="宋体" w:cs="宋体"/>
          <w:color w:val="auto"/>
          <w:spacing w:val="6"/>
          <w:sz w:val="24"/>
          <w:szCs w:val="24"/>
          <w:highlight w:val="none"/>
          <w:lang w:val="en-US" w:eastAsia="zh-CN"/>
        </w:rPr>
        <w:t>提供证明性材料</w:t>
      </w:r>
    </w:p>
    <w:p w14:paraId="79F87120">
      <w:pPr>
        <w:adjustRightInd w:val="0"/>
        <w:snapToGrid w:val="0"/>
        <w:spacing w:line="360" w:lineRule="auto"/>
        <w:ind w:left="0" w:leftChars="0" w:firstLine="513" w:firstLineChars="213"/>
        <w:jc w:val="left"/>
        <w:rPr>
          <w:rFonts w:hint="eastAsia" w:ascii="宋体" w:hAnsi="宋体" w:eastAsia="宋体" w:cs="宋体"/>
          <w:b/>
          <w:sz w:val="24"/>
          <w:szCs w:val="24"/>
          <w:highlight w:val="none"/>
          <w:lang w:val="en-US" w:eastAsia="zh-CN"/>
        </w:rPr>
      </w:pPr>
    </w:p>
    <w:p w14:paraId="0A36630E">
      <w:pPr>
        <w:adjustRightInd w:val="0"/>
        <w:snapToGrid w:val="0"/>
        <w:spacing w:line="360" w:lineRule="auto"/>
        <w:ind w:left="0" w:leftChars="0" w:firstLine="513" w:firstLineChars="213"/>
        <w:jc w:val="left"/>
        <w:rPr>
          <w:rFonts w:hint="default" w:ascii="宋体" w:hAnsi="宋体" w:eastAsia="宋体" w:cs="宋体"/>
          <w:b/>
          <w:sz w:val="24"/>
          <w:szCs w:val="24"/>
          <w:highlight w:val="none"/>
          <w:lang w:val="en-US" w:eastAsia="zh-CN"/>
        </w:rPr>
      </w:pPr>
      <w:r>
        <w:rPr>
          <w:rFonts w:hint="eastAsia" w:ascii="宋体" w:hAnsi="宋体" w:eastAsia="宋体" w:cs="宋体"/>
          <w:b/>
          <w:sz w:val="24"/>
          <w:szCs w:val="24"/>
          <w:highlight w:val="none"/>
          <w:lang w:val="en-US" w:eastAsia="zh-CN"/>
        </w:rPr>
        <w:t>19、售后服务证明性材料（格式自拟）</w:t>
      </w:r>
    </w:p>
    <w:p w14:paraId="4A041C24">
      <w:pPr>
        <w:pStyle w:val="29"/>
        <w:spacing w:line="360" w:lineRule="auto"/>
        <w:ind w:left="0" w:leftChars="0" w:firstLine="536" w:firstLineChars="213"/>
        <w:rPr>
          <w:highlight w:val="none"/>
        </w:rPr>
      </w:pPr>
      <w:r>
        <w:rPr>
          <w:rFonts w:hint="eastAsia" w:ascii="宋体" w:hAnsi="宋体" w:eastAsia="宋体" w:cs="宋体"/>
          <w:color w:val="auto"/>
          <w:spacing w:val="6"/>
          <w:sz w:val="24"/>
          <w:szCs w:val="24"/>
          <w:highlight w:val="none"/>
          <w:lang w:val="en-US" w:eastAsia="zh-CN"/>
        </w:rPr>
        <w:t>对照“</w:t>
      </w:r>
      <w:r>
        <w:rPr>
          <w:rFonts w:hint="eastAsia" w:ascii="宋体" w:hAnsi="宋体" w:eastAsia="宋体" w:cs="宋体"/>
          <w:color w:val="auto"/>
          <w:spacing w:val="6"/>
          <w:sz w:val="24"/>
          <w:szCs w:val="24"/>
          <w:highlight w:val="none"/>
        </w:rPr>
        <w:t>第三章 评分办法及评分标准</w:t>
      </w:r>
      <w:r>
        <w:rPr>
          <w:rFonts w:hint="eastAsia" w:ascii="宋体" w:hAnsi="宋体" w:eastAsia="宋体" w:cs="宋体"/>
          <w:color w:val="auto"/>
          <w:spacing w:val="6"/>
          <w:sz w:val="24"/>
          <w:szCs w:val="24"/>
          <w:highlight w:val="none"/>
          <w:lang w:val="en-US" w:eastAsia="zh-CN"/>
        </w:rPr>
        <w:t>--三、评分标准和细则--（二）评分细则”</w:t>
      </w:r>
      <w:r>
        <w:rPr>
          <w:rFonts w:hint="eastAsia" w:hAnsi="宋体" w:cs="宋体"/>
          <w:color w:val="auto"/>
          <w:spacing w:val="6"/>
          <w:sz w:val="24"/>
          <w:szCs w:val="24"/>
          <w:highlight w:val="none"/>
          <w:lang w:val="en-US" w:eastAsia="zh-CN"/>
        </w:rPr>
        <w:t>,结合“第六章 项目需求”</w:t>
      </w:r>
      <w:r>
        <w:rPr>
          <w:rFonts w:hint="eastAsia" w:ascii="宋体" w:hAnsi="宋体" w:eastAsia="宋体" w:cs="宋体"/>
          <w:color w:val="auto"/>
          <w:spacing w:val="6"/>
          <w:sz w:val="24"/>
          <w:szCs w:val="24"/>
          <w:highlight w:val="none"/>
          <w:lang w:val="en-US" w:eastAsia="zh-CN"/>
        </w:rPr>
        <w:t>提供证明性材料</w:t>
      </w:r>
    </w:p>
    <w:p w14:paraId="6CBE21B5">
      <w:pPr>
        <w:adjustRightInd w:val="0"/>
        <w:snapToGrid w:val="0"/>
        <w:spacing w:line="360" w:lineRule="auto"/>
        <w:ind w:left="0" w:leftChars="0" w:firstLine="513" w:firstLineChars="213"/>
        <w:jc w:val="left"/>
        <w:rPr>
          <w:rFonts w:ascii="宋体" w:hAnsi="宋体" w:cs="宋体"/>
          <w:b/>
          <w:sz w:val="24"/>
          <w:szCs w:val="24"/>
          <w:highlight w:val="none"/>
        </w:rPr>
      </w:pPr>
    </w:p>
    <w:p w14:paraId="1CF73204">
      <w:pPr>
        <w:adjustRightInd w:val="0"/>
        <w:snapToGrid w:val="0"/>
        <w:spacing w:line="360" w:lineRule="auto"/>
        <w:ind w:left="0" w:leftChars="0" w:firstLine="513" w:firstLineChars="213"/>
        <w:jc w:val="left"/>
        <w:rPr>
          <w:rFonts w:ascii="宋体" w:hAnsi="宋体" w:cs="宋体"/>
          <w:b/>
          <w:sz w:val="24"/>
          <w:szCs w:val="24"/>
          <w:highlight w:val="none"/>
        </w:rPr>
      </w:pPr>
      <w:r>
        <w:rPr>
          <w:rFonts w:hint="eastAsia" w:ascii="宋体" w:hAnsi="宋体" w:cs="宋体"/>
          <w:b/>
          <w:sz w:val="24"/>
          <w:szCs w:val="24"/>
          <w:highlight w:val="none"/>
          <w:lang w:val="en-US" w:eastAsia="zh-CN"/>
        </w:rPr>
        <w:t>20</w:t>
      </w:r>
      <w:r>
        <w:rPr>
          <w:rFonts w:hint="eastAsia" w:ascii="宋体" w:hAnsi="宋体" w:cs="宋体"/>
          <w:b/>
          <w:sz w:val="24"/>
          <w:szCs w:val="24"/>
          <w:highlight w:val="none"/>
        </w:rPr>
        <w:t>、投标人</w:t>
      </w:r>
      <w:r>
        <w:rPr>
          <w:rFonts w:hint="eastAsia" w:ascii="宋体" w:hAnsi="宋体" w:cs="宋体"/>
          <w:b/>
          <w:sz w:val="24"/>
          <w:szCs w:val="24"/>
          <w:highlight w:val="none"/>
          <w:lang w:val="en-US" w:eastAsia="zh-CN"/>
        </w:rPr>
        <w:t>认为</w:t>
      </w:r>
      <w:r>
        <w:rPr>
          <w:rFonts w:hint="eastAsia" w:ascii="宋体" w:hAnsi="宋体" w:cs="宋体"/>
          <w:b/>
          <w:sz w:val="24"/>
          <w:szCs w:val="24"/>
          <w:highlight w:val="none"/>
        </w:rPr>
        <w:t>需要提供的其他文件或资料（如有）</w:t>
      </w:r>
    </w:p>
    <w:p w14:paraId="0F2060BC">
      <w:pPr>
        <w:adjustRightInd w:val="0"/>
        <w:snapToGrid w:val="0"/>
        <w:spacing w:line="360" w:lineRule="auto"/>
        <w:ind w:left="0" w:leftChars="0" w:firstLine="513" w:firstLineChars="213"/>
        <w:jc w:val="left"/>
        <w:rPr>
          <w:rFonts w:ascii="宋体" w:hAnsi="宋体" w:cs="宋体"/>
          <w:b/>
          <w:sz w:val="24"/>
          <w:szCs w:val="24"/>
          <w:highlight w:val="none"/>
        </w:rPr>
      </w:pPr>
    </w:p>
    <w:p w14:paraId="0C470E30">
      <w:pPr>
        <w:adjustRightInd w:val="0"/>
        <w:snapToGrid w:val="0"/>
        <w:spacing w:line="360" w:lineRule="auto"/>
        <w:ind w:left="0" w:leftChars="0" w:firstLine="513" w:firstLineChars="213"/>
        <w:jc w:val="left"/>
        <w:rPr>
          <w:rFonts w:ascii="宋体" w:hAnsi="宋体" w:cs="宋体"/>
          <w:b/>
          <w:sz w:val="24"/>
          <w:szCs w:val="24"/>
          <w:highlight w:val="none"/>
        </w:rPr>
      </w:pPr>
      <w:r>
        <w:rPr>
          <w:rFonts w:ascii="宋体" w:hAnsi="宋体" w:cs="宋体"/>
          <w:b/>
          <w:sz w:val="24"/>
          <w:szCs w:val="24"/>
          <w:highlight w:val="none"/>
        </w:rPr>
        <w:t>2</w:t>
      </w:r>
      <w:r>
        <w:rPr>
          <w:rFonts w:hint="eastAsia" w:ascii="宋体" w:hAnsi="宋体" w:cs="宋体"/>
          <w:b/>
          <w:sz w:val="24"/>
          <w:szCs w:val="24"/>
          <w:highlight w:val="none"/>
          <w:lang w:val="en-US" w:eastAsia="zh-CN"/>
        </w:rPr>
        <w:t>1</w:t>
      </w:r>
      <w:r>
        <w:rPr>
          <w:rFonts w:hint="eastAsia" w:ascii="宋体" w:hAnsi="宋体" w:cs="宋体"/>
          <w:b/>
          <w:sz w:val="24"/>
          <w:szCs w:val="24"/>
          <w:highlight w:val="none"/>
        </w:rPr>
        <w:t>、其他优惠条件（如有）</w:t>
      </w:r>
    </w:p>
    <w:p w14:paraId="358F38E0">
      <w:pPr>
        <w:adjustRightInd w:val="0"/>
        <w:snapToGrid w:val="0"/>
        <w:spacing w:line="360" w:lineRule="auto"/>
        <w:ind w:left="0" w:leftChars="0" w:firstLine="511" w:firstLineChars="213"/>
        <w:jc w:val="left"/>
        <w:rPr>
          <w:rFonts w:ascii="宋体" w:hAnsi="宋体" w:cs="宋体"/>
          <w:sz w:val="24"/>
          <w:szCs w:val="24"/>
          <w:highlight w:val="none"/>
        </w:rPr>
      </w:pPr>
      <w:r>
        <w:rPr>
          <w:rFonts w:hint="eastAsia" w:ascii="宋体" w:hAnsi="宋体" w:cs="宋体"/>
          <w:sz w:val="24"/>
          <w:szCs w:val="24"/>
          <w:highlight w:val="none"/>
        </w:rPr>
        <w:t>投标人承诺给予</w:t>
      </w:r>
      <w:r>
        <w:rPr>
          <w:rFonts w:hint="eastAsia" w:ascii="宋体" w:hAnsi="宋体" w:cs="宋体"/>
          <w:b/>
          <w:sz w:val="24"/>
          <w:szCs w:val="24"/>
          <w:highlight w:val="none"/>
        </w:rPr>
        <w:t>采购人</w:t>
      </w:r>
      <w:r>
        <w:rPr>
          <w:rFonts w:hint="eastAsia" w:ascii="宋体" w:hAnsi="宋体" w:cs="宋体"/>
          <w:sz w:val="24"/>
          <w:szCs w:val="24"/>
          <w:highlight w:val="none"/>
        </w:rPr>
        <w:t>的各种优惠条件。</w:t>
      </w:r>
    </w:p>
    <w:p w14:paraId="750C6E04">
      <w:pPr>
        <w:spacing w:line="360" w:lineRule="auto"/>
        <w:ind w:left="0" w:leftChars="0" w:firstLine="511" w:firstLineChars="213"/>
        <w:rPr>
          <w:sz w:val="24"/>
          <w:highlight w:val="none"/>
          <w:u w:val="single"/>
        </w:rPr>
      </w:pPr>
      <w:r>
        <w:rPr>
          <w:sz w:val="24"/>
          <w:highlight w:val="none"/>
          <w:u w:val="single"/>
        </w:rPr>
        <w:br w:type="page"/>
      </w:r>
    </w:p>
    <w:p w14:paraId="3DEC94C2">
      <w:pPr>
        <w:pStyle w:val="36"/>
        <w:ind w:left="0" w:leftChars="0" w:firstLine="511" w:firstLineChars="213"/>
        <w:rPr>
          <w:sz w:val="24"/>
          <w:szCs w:val="22"/>
          <w:highlight w:val="none"/>
        </w:rPr>
      </w:pPr>
      <w:r>
        <w:rPr>
          <w:rFonts w:hint="eastAsia"/>
          <w:sz w:val="24"/>
          <w:szCs w:val="22"/>
          <w:highlight w:val="none"/>
        </w:rPr>
        <w:t>附：</w:t>
      </w:r>
    </w:p>
    <w:p w14:paraId="153CFD3E">
      <w:pPr>
        <w:pStyle w:val="36"/>
        <w:ind w:left="0" w:leftChars="0" w:firstLine="511" w:firstLineChars="213"/>
        <w:jc w:val="center"/>
        <w:rPr>
          <w:sz w:val="24"/>
          <w:szCs w:val="22"/>
          <w:highlight w:val="none"/>
        </w:rPr>
      </w:pPr>
      <w:r>
        <w:rPr>
          <w:rFonts w:hint="eastAsia"/>
          <w:sz w:val="24"/>
          <w:szCs w:val="22"/>
          <w:highlight w:val="none"/>
        </w:rPr>
        <w:t>质疑函范本</w:t>
      </w:r>
    </w:p>
    <w:p w14:paraId="6CBE813C">
      <w:pPr>
        <w:pStyle w:val="36"/>
        <w:ind w:left="0" w:leftChars="0" w:firstLine="511" w:firstLineChars="213"/>
        <w:rPr>
          <w:sz w:val="24"/>
          <w:szCs w:val="22"/>
          <w:highlight w:val="none"/>
        </w:rPr>
      </w:pPr>
      <w:r>
        <w:rPr>
          <w:rFonts w:hint="eastAsia"/>
          <w:sz w:val="24"/>
          <w:szCs w:val="22"/>
          <w:highlight w:val="none"/>
        </w:rPr>
        <w:t>一、质疑投标人基本信息</w:t>
      </w:r>
    </w:p>
    <w:p w14:paraId="6552F37C">
      <w:pPr>
        <w:pStyle w:val="36"/>
        <w:ind w:left="0" w:leftChars="0" w:firstLine="511" w:firstLineChars="213"/>
        <w:rPr>
          <w:sz w:val="24"/>
          <w:szCs w:val="22"/>
          <w:highlight w:val="none"/>
          <w:u w:val="single"/>
        </w:rPr>
      </w:pPr>
      <w:r>
        <w:rPr>
          <w:rFonts w:hint="eastAsia"/>
          <w:sz w:val="24"/>
          <w:szCs w:val="22"/>
          <w:highlight w:val="none"/>
        </w:rPr>
        <w:t xml:space="preserve">质疑投标人：  </w:t>
      </w:r>
      <w:r>
        <w:rPr>
          <w:rFonts w:hint="eastAsia"/>
          <w:sz w:val="24"/>
          <w:szCs w:val="22"/>
          <w:highlight w:val="none"/>
          <w:u w:val="single"/>
        </w:rPr>
        <w:t xml:space="preserve">                                      </w:t>
      </w:r>
    </w:p>
    <w:p w14:paraId="49BFE924">
      <w:pPr>
        <w:pStyle w:val="36"/>
        <w:ind w:left="0" w:leftChars="0" w:firstLine="511" w:firstLineChars="213"/>
        <w:rPr>
          <w:sz w:val="24"/>
          <w:szCs w:val="22"/>
          <w:highlight w:val="none"/>
        </w:rPr>
      </w:pPr>
      <w:r>
        <w:rPr>
          <w:rFonts w:hint="eastAsia"/>
          <w:sz w:val="24"/>
          <w:szCs w:val="22"/>
          <w:highlight w:val="none"/>
        </w:rPr>
        <w:t xml:space="preserve">地址：                          邮编：                  </w:t>
      </w:r>
    </w:p>
    <w:p w14:paraId="071F877E">
      <w:pPr>
        <w:pStyle w:val="36"/>
        <w:ind w:left="0" w:leftChars="0" w:firstLine="511" w:firstLineChars="213"/>
        <w:rPr>
          <w:sz w:val="24"/>
          <w:szCs w:val="22"/>
          <w:highlight w:val="none"/>
        </w:rPr>
      </w:pPr>
      <w:r>
        <w:rPr>
          <w:rFonts w:hint="eastAsia"/>
          <w:sz w:val="24"/>
          <w:szCs w:val="22"/>
          <w:highlight w:val="none"/>
        </w:rPr>
        <w:t xml:space="preserve">联系人：                      联系电话：                 </w:t>
      </w:r>
    </w:p>
    <w:p w14:paraId="048BB614">
      <w:pPr>
        <w:pStyle w:val="36"/>
        <w:ind w:left="0" w:leftChars="0" w:firstLine="511" w:firstLineChars="213"/>
        <w:rPr>
          <w:sz w:val="24"/>
          <w:szCs w:val="22"/>
          <w:highlight w:val="none"/>
        </w:rPr>
      </w:pPr>
      <w:r>
        <w:rPr>
          <w:rFonts w:hint="eastAsia"/>
          <w:sz w:val="24"/>
          <w:szCs w:val="22"/>
          <w:highlight w:val="none"/>
        </w:rPr>
        <w:t xml:space="preserve">被授权人：                                          </w:t>
      </w:r>
    </w:p>
    <w:p w14:paraId="5B61CFC1">
      <w:pPr>
        <w:pStyle w:val="36"/>
        <w:ind w:left="0" w:leftChars="0" w:firstLine="511" w:firstLineChars="213"/>
        <w:rPr>
          <w:sz w:val="24"/>
          <w:szCs w:val="22"/>
          <w:highlight w:val="none"/>
        </w:rPr>
      </w:pPr>
      <w:r>
        <w:rPr>
          <w:rFonts w:hint="eastAsia"/>
          <w:sz w:val="24"/>
          <w:szCs w:val="22"/>
          <w:highlight w:val="none"/>
        </w:rPr>
        <w:t xml:space="preserve">联系电话：                                            </w:t>
      </w:r>
    </w:p>
    <w:p w14:paraId="6ECFDDC6">
      <w:pPr>
        <w:pStyle w:val="36"/>
        <w:ind w:left="0" w:leftChars="0" w:firstLine="511" w:firstLineChars="213"/>
        <w:rPr>
          <w:sz w:val="24"/>
          <w:szCs w:val="22"/>
          <w:highlight w:val="none"/>
        </w:rPr>
      </w:pPr>
      <w:r>
        <w:rPr>
          <w:rFonts w:hint="eastAsia"/>
          <w:sz w:val="24"/>
          <w:szCs w:val="22"/>
          <w:highlight w:val="none"/>
        </w:rPr>
        <w:t xml:space="preserve">地址：                         邮编：                    </w:t>
      </w:r>
    </w:p>
    <w:p w14:paraId="21F57171">
      <w:pPr>
        <w:pStyle w:val="36"/>
        <w:ind w:left="0" w:leftChars="0" w:firstLine="511" w:firstLineChars="213"/>
        <w:rPr>
          <w:sz w:val="24"/>
          <w:szCs w:val="22"/>
          <w:highlight w:val="none"/>
        </w:rPr>
      </w:pPr>
      <w:r>
        <w:rPr>
          <w:rFonts w:hint="eastAsia"/>
          <w:sz w:val="24"/>
          <w:szCs w:val="22"/>
          <w:highlight w:val="none"/>
        </w:rPr>
        <w:t>二、质疑项目基本情况</w:t>
      </w:r>
    </w:p>
    <w:p w14:paraId="6B9500F7">
      <w:pPr>
        <w:pStyle w:val="36"/>
        <w:ind w:left="0" w:leftChars="0" w:firstLine="511" w:firstLineChars="213"/>
        <w:rPr>
          <w:sz w:val="24"/>
          <w:szCs w:val="22"/>
          <w:highlight w:val="none"/>
        </w:rPr>
      </w:pPr>
      <w:r>
        <w:rPr>
          <w:rFonts w:hint="eastAsia"/>
          <w:sz w:val="24"/>
          <w:szCs w:val="22"/>
          <w:highlight w:val="none"/>
        </w:rPr>
        <w:t xml:space="preserve">质疑项目的名称：                                      </w:t>
      </w:r>
    </w:p>
    <w:p w14:paraId="3FDEB75D">
      <w:pPr>
        <w:pStyle w:val="36"/>
        <w:ind w:left="0" w:leftChars="0" w:firstLine="511" w:firstLineChars="213"/>
        <w:rPr>
          <w:sz w:val="24"/>
          <w:szCs w:val="22"/>
          <w:highlight w:val="none"/>
        </w:rPr>
      </w:pPr>
      <w:r>
        <w:rPr>
          <w:rFonts w:hint="eastAsia"/>
          <w:sz w:val="24"/>
          <w:szCs w:val="22"/>
          <w:highlight w:val="none"/>
        </w:rPr>
        <w:t xml:space="preserve">质疑项目的编号：               包号：                 </w:t>
      </w:r>
    </w:p>
    <w:p w14:paraId="6A50FDDE">
      <w:pPr>
        <w:pStyle w:val="36"/>
        <w:ind w:left="0" w:leftChars="0" w:firstLine="511" w:firstLineChars="213"/>
        <w:rPr>
          <w:sz w:val="24"/>
          <w:szCs w:val="22"/>
          <w:highlight w:val="none"/>
        </w:rPr>
      </w:pPr>
      <w:r>
        <w:rPr>
          <w:rFonts w:hint="eastAsia"/>
          <w:sz w:val="24"/>
          <w:szCs w:val="22"/>
          <w:highlight w:val="none"/>
        </w:rPr>
        <w:t xml:space="preserve">采购人名称：                                         </w:t>
      </w:r>
    </w:p>
    <w:p w14:paraId="76B9E925">
      <w:pPr>
        <w:pStyle w:val="36"/>
        <w:ind w:left="0" w:leftChars="0" w:firstLine="511" w:firstLineChars="213"/>
        <w:rPr>
          <w:sz w:val="24"/>
          <w:szCs w:val="22"/>
          <w:highlight w:val="none"/>
        </w:rPr>
      </w:pPr>
      <w:r>
        <w:rPr>
          <w:rFonts w:hint="eastAsia"/>
          <w:sz w:val="24"/>
          <w:szCs w:val="22"/>
          <w:highlight w:val="none"/>
          <w:lang w:eastAsia="zh-CN"/>
        </w:rPr>
        <w:t>磋商文件</w:t>
      </w:r>
      <w:r>
        <w:rPr>
          <w:rFonts w:hint="eastAsia"/>
          <w:sz w:val="24"/>
          <w:szCs w:val="22"/>
          <w:highlight w:val="none"/>
        </w:rPr>
        <w:t xml:space="preserve">获取日期：                                           </w:t>
      </w:r>
    </w:p>
    <w:p w14:paraId="6D0C53F8">
      <w:pPr>
        <w:pStyle w:val="36"/>
        <w:ind w:left="0" w:leftChars="0" w:firstLine="511" w:firstLineChars="213"/>
        <w:rPr>
          <w:sz w:val="24"/>
          <w:szCs w:val="22"/>
          <w:highlight w:val="none"/>
        </w:rPr>
      </w:pPr>
      <w:r>
        <w:rPr>
          <w:rFonts w:hint="eastAsia"/>
          <w:sz w:val="24"/>
          <w:szCs w:val="22"/>
          <w:highlight w:val="none"/>
        </w:rPr>
        <w:t>三、质疑事项具体内容</w:t>
      </w:r>
    </w:p>
    <w:p w14:paraId="5375B778">
      <w:pPr>
        <w:pStyle w:val="36"/>
        <w:ind w:left="0" w:leftChars="0" w:firstLine="511" w:firstLineChars="213"/>
        <w:rPr>
          <w:sz w:val="24"/>
          <w:szCs w:val="22"/>
          <w:highlight w:val="none"/>
        </w:rPr>
      </w:pPr>
      <w:r>
        <w:rPr>
          <w:rFonts w:hint="eastAsia"/>
          <w:sz w:val="24"/>
          <w:szCs w:val="22"/>
          <w:highlight w:val="none"/>
        </w:rPr>
        <w:t xml:space="preserve">质疑事项1：                                         </w:t>
      </w:r>
    </w:p>
    <w:p w14:paraId="4E628878">
      <w:pPr>
        <w:pStyle w:val="36"/>
        <w:ind w:left="0" w:leftChars="0" w:firstLine="511" w:firstLineChars="213"/>
        <w:rPr>
          <w:sz w:val="24"/>
          <w:szCs w:val="22"/>
          <w:highlight w:val="none"/>
        </w:rPr>
      </w:pPr>
      <w:r>
        <w:rPr>
          <w:rFonts w:hint="eastAsia"/>
          <w:sz w:val="24"/>
          <w:szCs w:val="22"/>
          <w:highlight w:val="none"/>
        </w:rPr>
        <w:t xml:space="preserve">事实依据：                                          </w:t>
      </w:r>
    </w:p>
    <w:p w14:paraId="0F11FB63">
      <w:pPr>
        <w:pStyle w:val="36"/>
        <w:ind w:left="0" w:leftChars="0" w:firstLine="511" w:firstLineChars="213"/>
        <w:rPr>
          <w:sz w:val="24"/>
          <w:szCs w:val="22"/>
          <w:highlight w:val="none"/>
        </w:rPr>
      </w:pPr>
      <w:r>
        <w:rPr>
          <w:rFonts w:hint="eastAsia"/>
          <w:sz w:val="24"/>
          <w:szCs w:val="22"/>
          <w:highlight w:val="none"/>
        </w:rPr>
        <w:t xml:space="preserve">                                                       </w:t>
      </w:r>
    </w:p>
    <w:p w14:paraId="5C21E452">
      <w:pPr>
        <w:pStyle w:val="36"/>
        <w:ind w:left="0" w:leftChars="0" w:firstLine="511" w:firstLineChars="213"/>
        <w:rPr>
          <w:sz w:val="24"/>
          <w:szCs w:val="22"/>
          <w:highlight w:val="none"/>
        </w:rPr>
      </w:pPr>
      <w:r>
        <w:rPr>
          <w:rFonts w:hint="eastAsia"/>
          <w:sz w:val="24"/>
          <w:szCs w:val="22"/>
          <w:highlight w:val="none"/>
        </w:rPr>
        <w:t xml:space="preserve">法律依据：                                          </w:t>
      </w:r>
    </w:p>
    <w:p w14:paraId="0FAC7DF2">
      <w:pPr>
        <w:pStyle w:val="36"/>
        <w:ind w:left="0" w:leftChars="0" w:firstLine="511" w:firstLineChars="213"/>
        <w:rPr>
          <w:sz w:val="24"/>
          <w:szCs w:val="22"/>
          <w:highlight w:val="none"/>
        </w:rPr>
      </w:pPr>
      <w:r>
        <w:rPr>
          <w:rFonts w:hint="eastAsia"/>
          <w:sz w:val="24"/>
          <w:szCs w:val="22"/>
          <w:highlight w:val="none"/>
        </w:rPr>
        <w:t xml:space="preserve">                                                     </w:t>
      </w:r>
    </w:p>
    <w:p w14:paraId="63922803">
      <w:pPr>
        <w:pStyle w:val="36"/>
        <w:ind w:left="0" w:leftChars="0" w:firstLine="511" w:firstLineChars="213"/>
        <w:rPr>
          <w:sz w:val="24"/>
          <w:szCs w:val="22"/>
          <w:highlight w:val="none"/>
        </w:rPr>
      </w:pPr>
      <w:r>
        <w:rPr>
          <w:rFonts w:hint="eastAsia"/>
          <w:sz w:val="24"/>
          <w:szCs w:val="22"/>
          <w:highlight w:val="none"/>
        </w:rPr>
        <w:t>质疑事项2</w:t>
      </w:r>
    </w:p>
    <w:p w14:paraId="18758FEC">
      <w:pPr>
        <w:pStyle w:val="36"/>
        <w:ind w:left="0" w:leftChars="0" w:firstLine="511" w:firstLineChars="213"/>
        <w:rPr>
          <w:sz w:val="24"/>
          <w:szCs w:val="22"/>
          <w:highlight w:val="none"/>
        </w:rPr>
      </w:pPr>
      <w:r>
        <w:rPr>
          <w:rFonts w:hint="eastAsia"/>
          <w:sz w:val="24"/>
          <w:szCs w:val="22"/>
          <w:highlight w:val="none"/>
        </w:rPr>
        <w:t>……</w:t>
      </w:r>
    </w:p>
    <w:p w14:paraId="25DF119D">
      <w:pPr>
        <w:pStyle w:val="36"/>
        <w:ind w:left="0" w:leftChars="0" w:firstLine="511" w:firstLineChars="213"/>
        <w:rPr>
          <w:sz w:val="24"/>
          <w:szCs w:val="22"/>
          <w:highlight w:val="none"/>
        </w:rPr>
      </w:pPr>
      <w:r>
        <w:rPr>
          <w:rFonts w:hint="eastAsia"/>
          <w:sz w:val="24"/>
          <w:szCs w:val="22"/>
          <w:highlight w:val="none"/>
        </w:rPr>
        <w:t>四、与质疑事项相关的质疑请求</w:t>
      </w:r>
    </w:p>
    <w:p w14:paraId="18F00793">
      <w:pPr>
        <w:pStyle w:val="36"/>
        <w:ind w:left="0" w:leftChars="0" w:firstLine="511" w:firstLineChars="213"/>
        <w:rPr>
          <w:sz w:val="24"/>
          <w:szCs w:val="22"/>
          <w:highlight w:val="none"/>
        </w:rPr>
      </w:pPr>
      <w:r>
        <w:rPr>
          <w:rFonts w:hint="eastAsia"/>
          <w:sz w:val="24"/>
          <w:szCs w:val="22"/>
          <w:highlight w:val="none"/>
        </w:rPr>
        <w:t xml:space="preserve">请求：                                               </w:t>
      </w:r>
    </w:p>
    <w:p w14:paraId="450A05A6">
      <w:pPr>
        <w:pStyle w:val="36"/>
        <w:ind w:left="0" w:leftChars="0" w:firstLine="511" w:firstLineChars="213"/>
        <w:rPr>
          <w:sz w:val="24"/>
          <w:szCs w:val="22"/>
          <w:highlight w:val="none"/>
        </w:rPr>
      </w:pPr>
      <w:r>
        <w:rPr>
          <w:rFonts w:hint="eastAsia"/>
          <w:sz w:val="24"/>
          <w:szCs w:val="22"/>
          <w:highlight w:val="none"/>
        </w:rPr>
        <w:t xml:space="preserve">签字(签章)：                   公章：                      </w:t>
      </w:r>
    </w:p>
    <w:p w14:paraId="6328F4CB">
      <w:pPr>
        <w:pStyle w:val="36"/>
        <w:ind w:left="0" w:leftChars="0" w:firstLine="511" w:firstLineChars="213"/>
        <w:rPr>
          <w:sz w:val="24"/>
          <w:szCs w:val="22"/>
          <w:highlight w:val="none"/>
        </w:rPr>
      </w:pPr>
      <w:r>
        <w:rPr>
          <w:rFonts w:hint="eastAsia"/>
          <w:sz w:val="24"/>
          <w:szCs w:val="22"/>
          <w:highlight w:val="none"/>
        </w:rPr>
        <w:t xml:space="preserve">日期：    </w:t>
      </w:r>
    </w:p>
    <w:p w14:paraId="7F2D1CC3">
      <w:pPr>
        <w:spacing w:line="360" w:lineRule="auto"/>
        <w:ind w:left="0" w:leftChars="0" w:firstLine="511" w:firstLineChars="213"/>
        <w:rPr>
          <w:sz w:val="24"/>
          <w:szCs w:val="22"/>
          <w:highlight w:val="none"/>
        </w:rPr>
      </w:pPr>
      <w:r>
        <w:rPr>
          <w:rFonts w:hint="eastAsia"/>
          <w:sz w:val="24"/>
          <w:szCs w:val="22"/>
          <w:highlight w:val="none"/>
        </w:rPr>
        <w:br w:type="page"/>
      </w:r>
    </w:p>
    <w:p w14:paraId="5A3F895E">
      <w:pPr>
        <w:pStyle w:val="36"/>
        <w:ind w:left="0" w:leftChars="0" w:firstLine="511" w:firstLineChars="213"/>
        <w:rPr>
          <w:sz w:val="24"/>
          <w:szCs w:val="22"/>
          <w:highlight w:val="none"/>
        </w:rPr>
      </w:pPr>
      <w:r>
        <w:rPr>
          <w:rFonts w:hint="eastAsia"/>
          <w:sz w:val="24"/>
          <w:szCs w:val="22"/>
          <w:highlight w:val="none"/>
        </w:rPr>
        <w:t>质疑函制作说明：</w:t>
      </w:r>
    </w:p>
    <w:p w14:paraId="716E6E8B">
      <w:pPr>
        <w:pStyle w:val="36"/>
        <w:ind w:left="0" w:leftChars="0" w:firstLine="511" w:firstLineChars="213"/>
        <w:rPr>
          <w:sz w:val="24"/>
          <w:szCs w:val="22"/>
          <w:highlight w:val="none"/>
        </w:rPr>
      </w:pPr>
      <w:r>
        <w:rPr>
          <w:rFonts w:hint="eastAsia"/>
          <w:sz w:val="24"/>
          <w:szCs w:val="22"/>
          <w:highlight w:val="none"/>
        </w:rPr>
        <w:t>1.投标人提出质疑时，应提交质疑函和必要的证明材料。</w:t>
      </w:r>
    </w:p>
    <w:p w14:paraId="2515916F">
      <w:pPr>
        <w:pStyle w:val="36"/>
        <w:ind w:left="0" w:leftChars="0" w:firstLine="511" w:firstLineChars="213"/>
        <w:rPr>
          <w:sz w:val="24"/>
          <w:szCs w:val="22"/>
          <w:highlight w:val="none"/>
        </w:rPr>
      </w:pPr>
      <w:r>
        <w:rPr>
          <w:rFonts w:hint="eastAsia"/>
          <w:sz w:val="24"/>
          <w:szCs w:val="22"/>
          <w:highlight w:val="none"/>
        </w:rPr>
        <w:t>2.质疑投标人若委托代理人进行质疑的，质疑函应按要求列明“被授权人”的有关内容，并在附件中提交由质疑投标人签署的授权委托书。授权委托书应载明代理人的姓名或者名称、代理事项、具体权限、期限和相关事项。</w:t>
      </w:r>
    </w:p>
    <w:p w14:paraId="5969665D">
      <w:pPr>
        <w:pStyle w:val="36"/>
        <w:ind w:left="0" w:leftChars="0" w:firstLine="511" w:firstLineChars="213"/>
        <w:rPr>
          <w:sz w:val="24"/>
          <w:szCs w:val="22"/>
          <w:highlight w:val="none"/>
        </w:rPr>
      </w:pPr>
      <w:r>
        <w:rPr>
          <w:rFonts w:hint="eastAsia"/>
          <w:sz w:val="24"/>
          <w:szCs w:val="22"/>
          <w:highlight w:val="none"/>
        </w:rPr>
        <w:t>3.质疑投标人若对项目的某一分包进行质疑，质疑函中应列明具体分包号。</w:t>
      </w:r>
    </w:p>
    <w:p w14:paraId="3745FA7C">
      <w:pPr>
        <w:pStyle w:val="36"/>
        <w:ind w:left="0" w:leftChars="0" w:firstLine="511" w:firstLineChars="213"/>
        <w:rPr>
          <w:sz w:val="24"/>
          <w:szCs w:val="22"/>
          <w:highlight w:val="none"/>
        </w:rPr>
      </w:pPr>
      <w:r>
        <w:rPr>
          <w:rFonts w:hint="eastAsia"/>
          <w:sz w:val="24"/>
          <w:szCs w:val="22"/>
          <w:highlight w:val="none"/>
        </w:rPr>
        <w:t>4.质疑函的质疑事项应具体、明确，并有必要的事实依据和法律依据。</w:t>
      </w:r>
    </w:p>
    <w:p w14:paraId="7BF23427">
      <w:pPr>
        <w:pStyle w:val="36"/>
        <w:ind w:left="0" w:leftChars="0" w:firstLine="511" w:firstLineChars="213"/>
        <w:rPr>
          <w:sz w:val="24"/>
          <w:szCs w:val="22"/>
          <w:highlight w:val="none"/>
        </w:rPr>
      </w:pPr>
      <w:r>
        <w:rPr>
          <w:rFonts w:hint="eastAsia"/>
          <w:sz w:val="24"/>
          <w:szCs w:val="22"/>
          <w:highlight w:val="none"/>
        </w:rPr>
        <w:t>5.质疑函的质疑请求应与质疑事项相关。</w:t>
      </w:r>
    </w:p>
    <w:p w14:paraId="0FB3B2CD">
      <w:pPr>
        <w:pStyle w:val="36"/>
        <w:ind w:left="0" w:leftChars="0" w:firstLine="511" w:firstLineChars="213"/>
        <w:rPr>
          <w:sz w:val="24"/>
          <w:szCs w:val="22"/>
          <w:highlight w:val="none"/>
        </w:rPr>
      </w:pPr>
      <w:r>
        <w:rPr>
          <w:rFonts w:hint="eastAsia"/>
          <w:sz w:val="24"/>
          <w:szCs w:val="22"/>
          <w:highlight w:val="none"/>
        </w:rPr>
        <w:t>6.质疑投标人为自然人的，质疑函应由本人签字；质疑投标人为法人或者其他组织的，质疑函应由法定代表人、主要负责人，或者其被授权人签字或者盖章，并加盖公章。</w:t>
      </w:r>
    </w:p>
    <w:p w14:paraId="1D644896">
      <w:pPr>
        <w:spacing w:line="360" w:lineRule="auto"/>
        <w:ind w:left="0" w:leftChars="0" w:firstLine="511" w:firstLineChars="213"/>
        <w:rPr>
          <w:sz w:val="24"/>
          <w:szCs w:val="22"/>
          <w:highlight w:val="none"/>
        </w:rPr>
      </w:pPr>
      <w:r>
        <w:rPr>
          <w:rFonts w:hint="eastAsia"/>
          <w:sz w:val="24"/>
          <w:szCs w:val="22"/>
          <w:highlight w:val="none"/>
        </w:rPr>
        <w:br w:type="page"/>
      </w:r>
    </w:p>
    <w:p w14:paraId="3429687A">
      <w:pPr>
        <w:pStyle w:val="2"/>
        <w:spacing w:line="360" w:lineRule="auto"/>
        <w:ind w:left="0" w:leftChars="0" w:firstLine="684" w:firstLineChars="213"/>
        <w:rPr>
          <w:highlight w:val="none"/>
        </w:rPr>
      </w:pPr>
      <w:bookmarkStart w:id="79" w:name="_Toc24870"/>
      <w:r>
        <w:rPr>
          <w:rFonts w:hint="eastAsia"/>
          <w:highlight w:val="none"/>
        </w:rPr>
        <w:t>第六章 项目需求</w:t>
      </w:r>
      <w:bookmarkEnd w:id="79"/>
    </w:p>
    <w:p w14:paraId="41EB13D6">
      <w:pPr>
        <w:spacing w:line="360" w:lineRule="auto"/>
        <w:ind w:left="0" w:leftChars="0" w:firstLine="541" w:firstLineChars="213"/>
        <w:outlineLvl w:val="1"/>
        <w:rPr>
          <w:rFonts w:ascii="宋体" w:hAnsi="宋体" w:cs="仿宋"/>
          <w:sz w:val="24"/>
          <w:szCs w:val="24"/>
          <w:highlight w:val="none"/>
        </w:rPr>
      </w:pPr>
      <w:r>
        <w:rPr>
          <w:rFonts w:ascii="宋体" w:hAnsi="宋体" w:cs="仿宋"/>
          <w:spacing w:val="7"/>
          <w:position w:val="3"/>
          <w:sz w:val="24"/>
          <w:szCs w:val="24"/>
          <w:highlight w:val="none"/>
          <w14:textOutline w14:w="4356" w14:cap="sq" w14:cmpd="sng" w14:algn="ctr">
            <w14:solidFill>
              <w14:srgbClr w14:val="000000"/>
            </w14:solidFill>
            <w14:prstDash w14:val="solid"/>
            <w14:bevel/>
          </w14:textOutline>
        </w:rPr>
        <w:t>一、项目概述</w:t>
      </w:r>
    </w:p>
    <w:p w14:paraId="5FE85AE1">
      <w:pPr>
        <w:spacing w:line="360" w:lineRule="auto"/>
        <w:ind w:left="0" w:leftChars="0" w:firstLine="536" w:firstLineChars="213"/>
        <w:outlineLvl w:val="1"/>
        <w:rPr>
          <w:rFonts w:ascii="宋体" w:hAnsi="宋体" w:cs="仿宋"/>
          <w:spacing w:val="1"/>
          <w:sz w:val="24"/>
          <w:szCs w:val="24"/>
          <w:highlight w:val="none"/>
          <w14:textOutline w14:w="4356" w14:cap="sq" w14:cmpd="sng" w14:algn="ctr">
            <w14:solidFill>
              <w14:srgbClr w14:val="000000"/>
            </w14:solidFill>
            <w14:prstDash w14:val="solid"/>
            <w14:bevel/>
          </w14:textOutline>
        </w:rPr>
      </w:pPr>
      <w:r>
        <w:rPr>
          <w:rFonts w:ascii="宋体" w:hAnsi="宋体" w:cs="仿宋"/>
          <w:spacing w:val="6"/>
          <w:position w:val="2"/>
          <w:sz w:val="24"/>
          <w:szCs w:val="24"/>
          <w:highlight w:val="none"/>
          <w14:textOutline w14:w="4356" w14:cap="sq" w14:cmpd="sng" w14:algn="ctr">
            <w14:solidFill>
              <w14:srgbClr w14:val="000000"/>
            </w14:solidFill>
            <w14:prstDash w14:val="solid"/>
            <w14:bevel/>
          </w14:textOutline>
        </w:rPr>
        <w:t>1</w:t>
      </w:r>
      <w:r>
        <w:rPr>
          <w:rFonts w:ascii="宋体" w:hAnsi="宋体" w:cs="仿宋"/>
          <w:spacing w:val="5"/>
          <w:position w:val="2"/>
          <w:sz w:val="24"/>
          <w:szCs w:val="24"/>
          <w:highlight w:val="none"/>
          <w14:textOutline w14:w="4356" w14:cap="sq" w14:cmpd="sng" w14:algn="ctr">
            <w14:solidFill>
              <w14:srgbClr w14:val="000000"/>
            </w14:solidFill>
            <w14:prstDash w14:val="solid"/>
            <w14:bevel/>
          </w14:textOutline>
        </w:rPr>
        <w:t>.</w:t>
      </w:r>
      <w:r>
        <w:rPr>
          <w:rFonts w:ascii="宋体" w:hAnsi="宋体" w:cs="仿宋"/>
          <w:spacing w:val="2"/>
          <w:sz w:val="24"/>
          <w:szCs w:val="24"/>
          <w:highlight w:val="none"/>
          <w14:textOutline w14:w="4356" w14:cap="sq" w14:cmpd="sng" w14:algn="ctr">
            <w14:solidFill>
              <w14:srgbClr w14:val="000000"/>
            </w14:solidFill>
            <w14:prstDash w14:val="solid"/>
            <w14:bevel/>
          </w14:textOutline>
        </w:rPr>
        <w:t>标的名称及所属行业：本项目共</w:t>
      </w:r>
      <w:r>
        <w:rPr>
          <w:rFonts w:hint="eastAsia" w:ascii="宋体" w:hAnsi="宋体" w:cs="仿宋"/>
          <w:spacing w:val="1"/>
          <w:sz w:val="24"/>
          <w:szCs w:val="24"/>
          <w:highlight w:val="none"/>
          <w:lang w:val="en-US" w:eastAsia="zh-CN"/>
          <w14:textOutline w14:w="4356" w14:cap="sq" w14:cmpd="sng" w14:algn="ctr">
            <w14:solidFill>
              <w14:srgbClr w14:val="000000"/>
            </w14:solidFill>
            <w14:prstDash w14:val="solid"/>
            <w14:bevel/>
          </w14:textOutline>
        </w:rPr>
        <w:t>2</w:t>
      </w:r>
      <w:r>
        <w:rPr>
          <w:rFonts w:ascii="宋体" w:hAnsi="宋体" w:cs="仿宋"/>
          <w:spacing w:val="1"/>
          <w:sz w:val="24"/>
          <w:szCs w:val="24"/>
          <w:highlight w:val="none"/>
          <w14:textOutline w14:w="4356" w14:cap="sq" w14:cmpd="sng" w14:algn="ctr">
            <w14:solidFill>
              <w14:srgbClr w14:val="000000"/>
            </w14:solidFill>
            <w14:prstDash w14:val="solid"/>
            <w14:bevel/>
          </w14:textOutline>
        </w:rPr>
        <w:t>个包，采购清单内容如下：</w:t>
      </w:r>
    </w:p>
    <w:tbl>
      <w:tblPr>
        <w:tblStyle w:val="37"/>
        <w:tblW w:w="8495" w:type="dxa"/>
        <w:tblInd w:w="-92" w:type="dxa"/>
        <w:tblLayout w:type="fixed"/>
        <w:tblCellMar>
          <w:top w:w="0" w:type="dxa"/>
          <w:left w:w="0" w:type="dxa"/>
          <w:bottom w:w="0" w:type="dxa"/>
          <w:right w:w="0" w:type="dxa"/>
        </w:tblCellMar>
      </w:tblPr>
      <w:tblGrid>
        <w:gridCol w:w="827"/>
        <w:gridCol w:w="1484"/>
        <w:gridCol w:w="2526"/>
        <w:gridCol w:w="1117"/>
        <w:gridCol w:w="2541"/>
      </w:tblGrid>
      <w:tr w14:paraId="50782AD6">
        <w:tblPrEx>
          <w:tblCellMar>
            <w:top w:w="0" w:type="dxa"/>
            <w:left w:w="0" w:type="dxa"/>
            <w:bottom w:w="0" w:type="dxa"/>
            <w:right w:w="0" w:type="dxa"/>
          </w:tblCellMar>
        </w:tblPrEx>
        <w:trPr>
          <w:trHeight w:val="501"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53F1B2D">
            <w:pPr>
              <w:pStyle w:val="3"/>
              <w:spacing w:line="360" w:lineRule="auto"/>
              <w:ind w:left="0" w:leftChars="0" w:firstLine="511" w:firstLineChars="213"/>
              <w:jc w:val="center"/>
              <w:rPr>
                <w:rFonts w:ascii="宋体" w:hAnsi="宋体" w:cs="宋体"/>
                <w:sz w:val="24"/>
                <w:szCs w:val="24"/>
                <w:highlight w:val="none"/>
              </w:rPr>
            </w:pPr>
            <w:r>
              <w:rPr>
                <w:rFonts w:hint="eastAsia" w:ascii="宋体" w:hAnsi="宋体" w:cs="宋体"/>
                <w:sz w:val="24"/>
                <w:szCs w:val="24"/>
                <w:highlight w:val="none"/>
                <w:lang w:eastAsia="zh-CN"/>
              </w:rPr>
              <w:t>包</w:t>
            </w:r>
            <w:r>
              <w:rPr>
                <w:rFonts w:hint="eastAsia" w:ascii="宋体" w:hAnsi="宋体" w:cs="宋体"/>
                <w:sz w:val="24"/>
                <w:szCs w:val="24"/>
                <w:highlight w:val="none"/>
              </w:rPr>
              <w:t>号</w:t>
            </w:r>
          </w:p>
        </w:tc>
        <w:tc>
          <w:tcPr>
            <w:tcW w:w="1484" w:type="dxa"/>
            <w:tcBorders>
              <w:top w:val="single" w:color="000000" w:sz="4" w:space="0"/>
              <w:left w:val="single" w:color="000000" w:sz="4" w:space="0"/>
              <w:bottom w:val="single" w:color="000000" w:sz="4" w:space="0"/>
              <w:right w:val="single" w:color="auto" w:sz="4" w:space="0"/>
            </w:tcBorders>
            <w:shd w:val="clear" w:color="auto" w:fill="auto"/>
            <w:noWrap/>
            <w:tcMar>
              <w:top w:w="12" w:type="dxa"/>
              <w:left w:w="12" w:type="dxa"/>
              <w:right w:w="12" w:type="dxa"/>
            </w:tcMar>
            <w:vAlign w:val="center"/>
          </w:tcPr>
          <w:p w14:paraId="4304BB0F">
            <w:pPr>
              <w:pStyle w:val="3"/>
              <w:keepNext w:val="0"/>
              <w:keepLines w:val="0"/>
              <w:pageBreakBefore w:val="0"/>
              <w:widowControl w:val="0"/>
              <w:kinsoku/>
              <w:wordWrap/>
              <w:overflowPunct/>
              <w:topLinePunct w:val="0"/>
              <w:autoSpaceDE/>
              <w:autoSpaceDN/>
              <w:bidi w:val="0"/>
              <w:adjustRightInd/>
              <w:snapToGrid/>
              <w:spacing w:line="240" w:lineRule="auto"/>
              <w:ind w:left="0" w:leftChars="0" w:firstLine="511" w:firstLineChars="213"/>
              <w:jc w:val="center"/>
              <w:textAlignment w:val="auto"/>
              <w:rPr>
                <w:rFonts w:hint="eastAsia" w:ascii="宋体" w:hAnsi="宋体" w:cs="宋体"/>
                <w:sz w:val="24"/>
                <w:szCs w:val="24"/>
                <w:highlight w:val="none"/>
                <w:lang w:eastAsia="zh-CN"/>
              </w:rPr>
            </w:pPr>
            <w:r>
              <w:rPr>
                <w:rFonts w:hint="eastAsia" w:ascii="宋体" w:hAnsi="宋体" w:cs="宋体"/>
                <w:sz w:val="24"/>
                <w:szCs w:val="24"/>
                <w:highlight w:val="none"/>
                <w:lang w:eastAsia="zh-CN"/>
              </w:rPr>
              <w:t>预算金额</w:t>
            </w:r>
          </w:p>
          <w:p w14:paraId="0455A5DD">
            <w:pPr>
              <w:pStyle w:val="3"/>
              <w:keepNext w:val="0"/>
              <w:keepLines w:val="0"/>
              <w:pageBreakBefore w:val="0"/>
              <w:widowControl w:val="0"/>
              <w:kinsoku/>
              <w:wordWrap/>
              <w:overflowPunct/>
              <w:topLinePunct w:val="0"/>
              <w:autoSpaceDE/>
              <w:autoSpaceDN/>
              <w:bidi w:val="0"/>
              <w:adjustRightInd/>
              <w:snapToGrid/>
              <w:spacing w:line="240" w:lineRule="auto"/>
              <w:ind w:left="0" w:leftChars="0" w:firstLine="511" w:firstLineChars="213"/>
              <w:jc w:val="center"/>
              <w:textAlignment w:val="auto"/>
              <w:rPr>
                <w:rFonts w:hint="eastAsia" w:ascii="宋体" w:hAnsi="宋体" w:eastAsia="宋体" w:cs="宋体"/>
                <w:sz w:val="24"/>
                <w:szCs w:val="24"/>
                <w:highlight w:val="none"/>
                <w:lang w:eastAsia="zh-CN"/>
              </w:rPr>
            </w:pPr>
            <w:r>
              <w:rPr>
                <w:rFonts w:hint="eastAsia" w:ascii="宋体" w:hAnsi="宋体" w:cs="宋体"/>
                <w:sz w:val="24"/>
                <w:szCs w:val="24"/>
                <w:highlight w:val="none"/>
                <w:lang w:eastAsia="zh-CN"/>
              </w:rPr>
              <w:t>（万元）</w:t>
            </w:r>
          </w:p>
        </w:tc>
        <w:tc>
          <w:tcPr>
            <w:tcW w:w="2526" w:type="dxa"/>
            <w:tcBorders>
              <w:top w:val="single" w:color="000000" w:sz="4" w:space="0"/>
              <w:left w:val="single" w:color="auto" w:sz="4" w:space="0"/>
              <w:bottom w:val="single" w:color="000000" w:sz="4" w:space="0"/>
              <w:right w:val="single" w:color="000000" w:sz="4" w:space="0"/>
            </w:tcBorders>
            <w:shd w:val="clear" w:color="auto" w:fill="auto"/>
            <w:noWrap/>
            <w:tcMar>
              <w:top w:w="12" w:type="dxa"/>
              <w:left w:w="12" w:type="dxa"/>
              <w:right w:w="12" w:type="dxa"/>
            </w:tcMar>
            <w:vAlign w:val="center"/>
          </w:tcPr>
          <w:p w14:paraId="6057699F">
            <w:pPr>
              <w:pStyle w:val="3"/>
              <w:spacing w:line="360" w:lineRule="auto"/>
              <w:ind w:left="0" w:leftChars="0" w:firstLine="511" w:firstLineChars="213"/>
              <w:jc w:val="center"/>
              <w:rPr>
                <w:rFonts w:hint="eastAsia" w:ascii="宋体" w:hAnsi="宋体" w:cs="宋体"/>
                <w:sz w:val="24"/>
                <w:szCs w:val="24"/>
                <w:highlight w:val="none"/>
              </w:rPr>
            </w:pPr>
            <w:r>
              <w:rPr>
                <w:rFonts w:hint="eastAsia" w:ascii="宋体" w:hAnsi="宋体" w:cs="宋体"/>
                <w:sz w:val="24"/>
                <w:szCs w:val="24"/>
                <w:highlight w:val="none"/>
              </w:rPr>
              <w:t>货物名称(标的名称)</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43F9886">
            <w:pPr>
              <w:pStyle w:val="3"/>
              <w:spacing w:line="360" w:lineRule="auto"/>
              <w:ind w:left="0" w:leftChars="0" w:firstLine="511" w:firstLineChars="213"/>
              <w:jc w:val="center"/>
              <w:rPr>
                <w:rFonts w:ascii="宋体" w:hAnsi="宋体" w:cs="宋体"/>
                <w:sz w:val="24"/>
                <w:szCs w:val="24"/>
                <w:highlight w:val="none"/>
              </w:rPr>
            </w:pPr>
            <w:r>
              <w:rPr>
                <w:rFonts w:hint="eastAsia" w:ascii="宋体" w:hAnsi="宋体" w:cs="宋体"/>
                <w:sz w:val="24"/>
                <w:szCs w:val="24"/>
                <w:highlight w:val="none"/>
              </w:rPr>
              <w:t>数量</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2715DC1">
            <w:pPr>
              <w:pStyle w:val="3"/>
              <w:spacing w:line="360" w:lineRule="auto"/>
              <w:ind w:left="0" w:leftChars="0" w:firstLine="511" w:firstLineChars="213"/>
              <w:jc w:val="center"/>
              <w:rPr>
                <w:rFonts w:ascii="宋体" w:hAnsi="宋体" w:cs="宋体"/>
                <w:sz w:val="24"/>
                <w:szCs w:val="24"/>
                <w:highlight w:val="none"/>
              </w:rPr>
            </w:pPr>
            <w:r>
              <w:rPr>
                <w:rFonts w:hint="eastAsia" w:ascii="宋体" w:hAnsi="宋体" w:cs="宋体"/>
                <w:sz w:val="24"/>
                <w:szCs w:val="24"/>
                <w:highlight w:val="none"/>
              </w:rPr>
              <w:t>所属行业</w:t>
            </w:r>
          </w:p>
        </w:tc>
      </w:tr>
      <w:tr w14:paraId="70285402">
        <w:tblPrEx>
          <w:tblCellMar>
            <w:top w:w="0" w:type="dxa"/>
            <w:left w:w="0" w:type="dxa"/>
            <w:bottom w:w="0" w:type="dxa"/>
            <w:right w:w="0" w:type="dxa"/>
          </w:tblCellMar>
        </w:tblPrEx>
        <w:trPr>
          <w:trHeight w:val="380" w:hRule="atLeast"/>
        </w:trPr>
        <w:tc>
          <w:tcPr>
            <w:tcW w:w="827" w:type="dxa"/>
            <w:vMerge w:val="restart"/>
            <w:tcBorders>
              <w:top w:val="single" w:color="000000" w:sz="4" w:space="0"/>
              <w:left w:val="single" w:color="000000" w:sz="4" w:space="0"/>
              <w:right w:val="single" w:color="000000" w:sz="4" w:space="0"/>
            </w:tcBorders>
            <w:shd w:val="clear" w:color="auto" w:fill="auto"/>
            <w:noWrap/>
            <w:tcMar>
              <w:top w:w="12" w:type="dxa"/>
              <w:left w:w="12" w:type="dxa"/>
              <w:right w:w="12" w:type="dxa"/>
            </w:tcMar>
            <w:vAlign w:val="center"/>
          </w:tcPr>
          <w:p w14:paraId="47F3964F">
            <w:pPr>
              <w:pStyle w:val="3"/>
              <w:spacing w:line="360" w:lineRule="auto"/>
              <w:ind w:left="0" w:leftChars="0" w:firstLine="511" w:firstLineChars="213"/>
              <w:jc w:val="center"/>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w:t>
            </w:r>
          </w:p>
        </w:tc>
        <w:tc>
          <w:tcPr>
            <w:tcW w:w="1484" w:type="dxa"/>
            <w:vMerge w:val="restart"/>
            <w:tcBorders>
              <w:top w:val="single" w:color="000000" w:sz="4" w:space="0"/>
              <w:left w:val="single" w:color="000000" w:sz="4" w:space="0"/>
              <w:right w:val="single" w:color="auto" w:sz="4" w:space="0"/>
            </w:tcBorders>
            <w:shd w:val="clear" w:color="auto" w:fill="auto"/>
            <w:noWrap/>
            <w:tcMar>
              <w:top w:w="12" w:type="dxa"/>
              <w:left w:w="12" w:type="dxa"/>
              <w:right w:w="12" w:type="dxa"/>
            </w:tcMar>
            <w:vAlign w:val="center"/>
          </w:tcPr>
          <w:p w14:paraId="22D814AA">
            <w:pPr>
              <w:pStyle w:val="3"/>
              <w:spacing w:line="360" w:lineRule="auto"/>
              <w:ind w:left="0" w:leftChars="0" w:firstLine="511" w:firstLineChars="213"/>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48</w:t>
            </w:r>
          </w:p>
        </w:tc>
        <w:tc>
          <w:tcPr>
            <w:tcW w:w="2526" w:type="dxa"/>
            <w:tcBorders>
              <w:top w:val="single" w:color="000000" w:sz="4" w:space="0"/>
              <w:left w:val="single" w:color="auto" w:sz="4" w:space="0"/>
              <w:bottom w:val="single" w:color="000000" w:sz="4" w:space="0"/>
              <w:right w:val="single" w:color="000000" w:sz="4" w:space="0"/>
            </w:tcBorders>
            <w:shd w:val="clear" w:color="auto" w:fill="auto"/>
            <w:noWrap/>
            <w:tcMar>
              <w:top w:w="12" w:type="dxa"/>
              <w:left w:w="12" w:type="dxa"/>
              <w:right w:w="12" w:type="dxa"/>
            </w:tcMar>
            <w:vAlign w:val="center"/>
          </w:tcPr>
          <w:p w14:paraId="76B6F269">
            <w:pPr>
              <w:pStyle w:val="3"/>
              <w:spacing w:line="360" w:lineRule="auto"/>
              <w:ind w:left="0" w:leftChars="0" w:firstLine="511" w:firstLineChars="213"/>
              <w:jc w:val="center"/>
              <w:rPr>
                <w:rFonts w:hint="eastAsia" w:ascii="宋体" w:hAnsi="宋体" w:cs="宋体"/>
                <w:sz w:val="24"/>
                <w:szCs w:val="24"/>
                <w:highlight w:val="none"/>
              </w:rPr>
            </w:pPr>
            <w:r>
              <w:rPr>
                <w:rFonts w:hint="eastAsia" w:ascii="宋体" w:hAnsi="宋体" w:cs="宋体"/>
                <w:sz w:val="24"/>
                <w:szCs w:val="24"/>
                <w:highlight w:val="none"/>
              </w:rPr>
              <w:t>蔬菜类</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54446D8">
            <w:pPr>
              <w:pStyle w:val="3"/>
              <w:spacing w:line="360" w:lineRule="auto"/>
              <w:ind w:left="0" w:leftChars="0" w:firstLine="511" w:firstLineChars="213"/>
              <w:jc w:val="center"/>
              <w:rPr>
                <w:rFonts w:ascii="宋体" w:hAnsi="宋体" w:cs="宋体"/>
                <w:sz w:val="24"/>
                <w:szCs w:val="24"/>
                <w:highlight w:val="none"/>
              </w:rPr>
            </w:pPr>
            <w:r>
              <w:rPr>
                <w:rFonts w:hint="eastAsia" w:ascii="宋体" w:hAnsi="宋体" w:cs="宋体"/>
                <w:sz w:val="24"/>
                <w:szCs w:val="24"/>
                <w:highlight w:val="none"/>
              </w:rPr>
              <w:t>据实</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A97C135">
            <w:pPr>
              <w:pStyle w:val="3"/>
              <w:spacing w:line="360" w:lineRule="auto"/>
              <w:ind w:left="0" w:leftChars="0" w:firstLine="511" w:firstLineChars="213"/>
              <w:jc w:val="center"/>
              <w:rPr>
                <w:rFonts w:ascii="宋体" w:hAnsi="宋体" w:cs="宋体"/>
                <w:sz w:val="24"/>
                <w:szCs w:val="24"/>
                <w:highlight w:val="none"/>
              </w:rPr>
            </w:pPr>
            <w:r>
              <w:rPr>
                <w:rFonts w:hint="eastAsia" w:ascii="宋体" w:hAnsi="宋体" w:cs="宋体"/>
                <w:sz w:val="24"/>
                <w:szCs w:val="24"/>
                <w:highlight w:val="none"/>
              </w:rPr>
              <w:t>农、林、牧、渔业</w:t>
            </w:r>
          </w:p>
        </w:tc>
      </w:tr>
      <w:tr w14:paraId="5BB500F6">
        <w:tblPrEx>
          <w:tblCellMar>
            <w:top w:w="0" w:type="dxa"/>
            <w:left w:w="0" w:type="dxa"/>
            <w:bottom w:w="0" w:type="dxa"/>
            <w:right w:w="0" w:type="dxa"/>
          </w:tblCellMar>
        </w:tblPrEx>
        <w:trPr>
          <w:trHeight w:val="380" w:hRule="atLeast"/>
        </w:trPr>
        <w:tc>
          <w:tcPr>
            <w:tcW w:w="827" w:type="dxa"/>
            <w:vMerge w:val="continue"/>
            <w:tcBorders>
              <w:left w:val="single" w:color="000000" w:sz="4" w:space="0"/>
              <w:right w:val="single" w:color="000000" w:sz="4" w:space="0"/>
            </w:tcBorders>
            <w:shd w:val="clear" w:color="auto" w:fill="auto"/>
            <w:noWrap/>
            <w:tcMar>
              <w:top w:w="12" w:type="dxa"/>
              <w:left w:w="12" w:type="dxa"/>
              <w:right w:w="12" w:type="dxa"/>
            </w:tcMar>
            <w:vAlign w:val="center"/>
          </w:tcPr>
          <w:p w14:paraId="19D3DBDF">
            <w:pPr>
              <w:pStyle w:val="3"/>
              <w:spacing w:line="360" w:lineRule="auto"/>
              <w:ind w:left="0" w:leftChars="0" w:firstLine="511" w:firstLineChars="213"/>
              <w:jc w:val="center"/>
              <w:rPr>
                <w:rFonts w:ascii="宋体" w:hAnsi="宋体" w:cs="宋体"/>
                <w:sz w:val="24"/>
                <w:szCs w:val="24"/>
                <w:highlight w:val="none"/>
              </w:rPr>
            </w:pPr>
          </w:p>
        </w:tc>
        <w:tc>
          <w:tcPr>
            <w:tcW w:w="1484" w:type="dxa"/>
            <w:vMerge w:val="continue"/>
            <w:tcBorders>
              <w:left w:val="single" w:color="000000" w:sz="4" w:space="0"/>
              <w:right w:val="single" w:color="auto" w:sz="4" w:space="0"/>
            </w:tcBorders>
            <w:shd w:val="clear" w:color="auto" w:fill="auto"/>
            <w:noWrap/>
            <w:tcMar>
              <w:top w:w="12" w:type="dxa"/>
              <w:left w:w="12" w:type="dxa"/>
              <w:right w:w="12" w:type="dxa"/>
            </w:tcMar>
            <w:vAlign w:val="center"/>
          </w:tcPr>
          <w:p w14:paraId="13CACEA0">
            <w:pPr>
              <w:pStyle w:val="3"/>
              <w:spacing w:line="360" w:lineRule="auto"/>
              <w:ind w:left="0" w:leftChars="0" w:firstLine="511" w:firstLineChars="213"/>
              <w:jc w:val="center"/>
              <w:rPr>
                <w:rFonts w:ascii="宋体" w:hAnsi="宋体" w:cs="宋体"/>
                <w:sz w:val="24"/>
                <w:szCs w:val="24"/>
                <w:highlight w:val="none"/>
              </w:rPr>
            </w:pPr>
          </w:p>
        </w:tc>
        <w:tc>
          <w:tcPr>
            <w:tcW w:w="2526" w:type="dxa"/>
            <w:tcBorders>
              <w:top w:val="single" w:color="000000" w:sz="4" w:space="0"/>
              <w:left w:val="single" w:color="auto" w:sz="4" w:space="0"/>
              <w:bottom w:val="single" w:color="000000" w:sz="4" w:space="0"/>
              <w:right w:val="single" w:color="000000" w:sz="4" w:space="0"/>
            </w:tcBorders>
            <w:shd w:val="clear" w:color="auto" w:fill="auto"/>
            <w:noWrap/>
            <w:tcMar>
              <w:top w:w="12" w:type="dxa"/>
              <w:left w:w="12" w:type="dxa"/>
              <w:right w:w="12" w:type="dxa"/>
            </w:tcMar>
            <w:vAlign w:val="center"/>
          </w:tcPr>
          <w:p w14:paraId="130E108B">
            <w:pPr>
              <w:pStyle w:val="3"/>
              <w:spacing w:line="360" w:lineRule="auto"/>
              <w:ind w:left="0" w:leftChars="0" w:firstLine="511" w:firstLineChars="213"/>
              <w:jc w:val="center"/>
              <w:rPr>
                <w:rFonts w:hint="eastAsia" w:ascii="宋体" w:hAnsi="宋体" w:cs="宋体"/>
                <w:sz w:val="24"/>
                <w:szCs w:val="24"/>
                <w:highlight w:val="none"/>
              </w:rPr>
            </w:pPr>
            <w:r>
              <w:rPr>
                <w:rFonts w:hint="eastAsia" w:ascii="宋体" w:hAnsi="宋体" w:cs="宋体"/>
                <w:sz w:val="24"/>
                <w:szCs w:val="24"/>
                <w:highlight w:val="none"/>
              </w:rPr>
              <w:t>水果类</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F479E86">
            <w:pPr>
              <w:pStyle w:val="3"/>
              <w:spacing w:line="360" w:lineRule="auto"/>
              <w:ind w:left="0" w:leftChars="0" w:firstLine="511" w:firstLineChars="213"/>
              <w:jc w:val="center"/>
              <w:rPr>
                <w:rFonts w:ascii="宋体" w:hAnsi="宋体" w:cs="宋体"/>
                <w:sz w:val="24"/>
                <w:szCs w:val="24"/>
                <w:highlight w:val="none"/>
              </w:rPr>
            </w:pPr>
            <w:r>
              <w:rPr>
                <w:rFonts w:hint="eastAsia" w:ascii="宋体" w:hAnsi="宋体" w:cs="宋体"/>
                <w:sz w:val="24"/>
                <w:szCs w:val="24"/>
                <w:highlight w:val="none"/>
              </w:rPr>
              <w:t>据实</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48F4913">
            <w:pPr>
              <w:pStyle w:val="3"/>
              <w:spacing w:line="360" w:lineRule="auto"/>
              <w:ind w:left="0" w:leftChars="0" w:firstLine="511" w:firstLineChars="213"/>
              <w:jc w:val="center"/>
              <w:rPr>
                <w:rFonts w:ascii="宋体" w:hAnsi="宋体" w:cs="宋体"/>
                <w:sz w:val="24"/>
                <w:szCs w:val="24"/>
                <w:highlight w:val="none"/>
              </w:rPr>
            </w:pPr>
            <w:r>
              <w:rPr>
                <w:rFonts w:hint="eastAsia" w:ascii="宋体" w:hAnsi="宋体" w:cs="宋体"/>
                <w:sz w:val="24"/>
                <w:szCs w:val="24"/>
                <w:highlight w:val="none"/>
              </w:rPr>
              <w:t>农、林、牧、渔业</w:t>
            </w:r>
          </w:p>
        </w:tc>
      </w:tr>
      <w:tr w14:paraId="29D26372">
        <w:tblPrEx>
          <w:tblCellMar>
            <w:top w:w="0" w:type="dxa"/>
            <w:left w:w="0" w:type="dxa"/>
            <w:bottom w:w="0" w:type="dxa"/>
            <w:right w:w="0" w:type="dxa"/>
          </w:tblCellMar>
        </w:tblPrEx>
        <w:trPr>
          <w:trHeight w:val="380" w:hRule="atLeast"/>
        </w:trPr>
        <w:tc>
          <w:tcPr>
            <w:tcW w:w="827" w:type="dxa"/>
            <w:vMerge w:val="continue"/>
            <w:tcBorders>
              <w:left w:val="single" w:color="000000" w:sz="4" w:space="0"/>
              <w:right w:val="single" w:color="000000" w:sz="4" w:space="0"/>
            </w:tcBorders>
            <w:shd w:val="clear" w:color="auto" w:fill="auto"/>
            <w:noWrap/>
            <w:tcMar>
              <w:top w:w="12" w:type="dxa"/>
              <w:left w:w="12" w:type="dxa"/>
              <w:right w:w="12" w:type="dxa"/>
            </w:tcMar>
            <w:vAlign w:val="center"/>
          </w:tcPr>
          <w:p w14:paraId="18F41005">
            <w:pPr>
              <w:pStyle w:val="3"/>
              <w:spacing w:line="360" w:lineRule="auto"/>
              <w:ind w:left="0" w:leftChars="0" w:firstLine="511" w:firstLineChars="213"/>
              <w:jc w:val="center"/>
              <w:rPr>
                <w:rFonts w:ascii="宋体" w:hAnsi="宋体" w:cs="宋体"/>
                <w:sz w:val="24"/>
                <w:szCs w:val="24"/>
                <w:highlight w:val="none"/>
              </w:rPr>
            </w:pPr>
          </w:p>
        </w:tc>
        <w:tc>
          <w:tcPr>
            <w:tcW w:w="1484" w:type="dxa"/>
            <w:vMerge w:val="continue"/>
            <w:tcBorders>
              <w:left w:val="single" w:color="000000" w:sz="4" w:space="0"/>
              <w:right w:val="single" w:color="auto" w:sz="4" w:space="0"/>
            </w:tcBorders>
            <w:shd w:val="clear" w:color="auto" w:fill="auto"/>
            <w:noWrap/>
            <w:tcMar>
              <w:top w:w="12" w:type="dxa"/>
              <w:left w:w="12" w:type="dxa"/>
              <w:right w:w="12" w:type="dxa"/>
            </w:tcMar>
            <w:vAlign w:val="center"/>
          </w:tcPr>
          <w:p w14:paraId="6F486638">
            <w:pPr>
              <w:pStyle w:val="3"/>
              <w:spacing w:line="360" w:lineRule="auto"/>
              <w:ind w:left="0" w:leftChars="0" w:firstLine="511" w:firstLineChars="213"/>
              <w:jc w:val="center"/>
              <w:rPr>
                <w:rFonts w:ascii="宋体" w:hAnsi="宋体" w:cs="宋体"/>
                <w:sz w:val="24"/>
                <w:szCs w:val="24"/>
                <w:highlight w:val="none"/>
              </w:rPr>
            </w:pPr>
          </w:p>
        </w:tc>
        <w:tc>
          <w:tcPr>
            <w:tcW w:w="2526" w:type="dxa"/>
            <w:tcBorders>
              <w:top w:val="single" w:color="000000" w:sz="4" w:space="0"/>
              <w:left w:val="single" w:color="auto" w:sz="4" w:space="0"/>
              <w:bottom w:val="single" w:color="000000" w:sz="4" w:space="0"/>
              <w:right w:val="single" w:color="000000" w:sz="4" w:space="0"/>
            </w:tcBorders>
            <w:shd w:val="clear" w:color="auto" w:fill="auto"/>
            <w:noWrap/>
            <w:tcMar>
              <w:top w:w="12" w:type="dxa"/>
              <w:left w:w="12" w:type="dxa"/>
              <w:right w:w="12" w:type="dxa"/>
            </w:tcMar>
            <w:vAlign w:val="center"/>
          </w:tcPr>
          <w:p w14:paraId="3025077D">
            <w:pPr>
              <w:pStyle w:val="3"/>
              <w:spacing w:line="360" w:lineRule="auto"/>
              <w:ind w:left="0" w:leftChars="0" w:firstLine="511" w:firstLineChars="213"/>
              <w:jc w:val="center"/>
              <w:rPr>
                <w:rFonts w:hint="eastAsia" w:ascii="宋体" w:hAnsi="宋体" w:cs="宋体"/>
                <w:sz w:val="24"/>
                <w:szCs w:val="24"/>
                <w:highlight w:val="none"/>
              </w:rPr>
            </w:pPr>
            <w:r>
              <w:rPr>
                <w:rFonts w:hint="eastAsia" w:ascii="宋体" w:hAnsi="宋体" w:cs="宋体"/>
                <w:sz w:val="24"/>
                <w:szCs w:val="24"/>
                <w:highlight w:val="none"/>
              </w:rPr>
              <w:t>干果类</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6A240D0">
            <w:pPr>
              <w:pStyle w:val="3"/>
              <w:spacing w:line="360" w:lineRule="auto"/>
              <w:ind w:left="0" w:leftChars="0" w:firstLine="511" w:firstLineChars="213"/>
              <w:jc w:val="center"/>
              <w:rPr>
                <w:rFonts w:ascii="宋体" w:hAnsi="宋体" w:cs="宋体"/>
                <w:sz w:val="24"/>
                <w:szCs w:val="24"/>
                <w:highlight w:val="none"/>
              </w:rPr>
            </w:pPr>
            <w:r>
              <w:rPr>
                <w:rFonts w:hint="eastAsia" w:ascii="宋体" w:hAnsi="宋体" w:cs="宋体"/>
                <w:sz w:val="24"/>
                <w:szCs w:val="24"/>
                <w:highlight w:val="none"/>
              </w:rPr>
              <w:t>据实</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117DE92">
            <w:pPr>
              <w:pStyle w:val="3"/>
              <w:spacing w:line="360" w:lineRule="auto"/>
              <w:ind w:left="0" w:leftChars="0" w:firstLine="511" w:firstLineChars="213"/>
              <w:jc w:val="center"/>
              <w:rPr>
                <w:rFonts w:ascii="宋体" w:hAnsi="宋体" w:cs="宋体"/>
                <w:sz w:val="24"/>
                <w:szCs w:val="24"/>
                <w:highlight w:val="none"/>
              </w:rPr>
            </w:pPr>
            <w:r>
              <w:rPr>
                <w:rFonts w:hint="eastAsia" w:ascii="宋体" w:hAnsi="宋体" w:cs="宋体"/>
                <w:sz w:val="24"/>
                <w:szCs w:val="24"/>
                <w:highlight w:val="none"/>
              </w:rPr>
              <w:t>农、林、牧、渔业</w:t>
            </w:r>
          </w:p>
        </w:tc>
      </w:tr>
      <w:tr w14:paraId="40D27188">
        <w:tblPrEx>
          <w:tblCellMar>
            <w:top w:w="0" w:type="dxa"/>
            <w:left w:w="0" w:type="dxa"/>
            <w:bottom w:w="0" w:type="dxa"/>
            <w:right w:w="0" w:type="dxa"/>
          </w:tblCellMar>
        </w:tblPrEx>
        <w:trPr>
          <w:trHeight w:val="380" w:hRule="atLeast"/>
        </w:trPr>
        <w:tc>
          <w:tcPr>
            <w:tcW w:w="827" w:type="dxa"/>
            <w:vMerge w:val="continue"/>
            <w:tcBorders>
              <w:left w:val="single" w:color="000000" w:sz="4" w:space="0"/>
              <w:right w:val="single" w:color="000000" w:sz="4" w:space="0"/>
            </w:tcBorders>
            <w:shd w:val="clear" w:color="auto" w:fill="auto"/>
            <w:noWrap/>
            <w:tcMar>
              <w:top w:w="12" w:type="dxa"/>
              <w:left w:w="12" w:type="dxa"/>
              <w:right w:w="12" w:type="dxa"/>
            </w:tcMar>
            <w:vAlign w:val="center"/>
          </w:tcPr>
          <w:p w14:paraId="4764BDC8">
            <w:pPr>
              <w:pStyle w:val="3"/>
              <w:spacing w:line="360" w:lineRule="auto"/>
              <w:ind w:left="0" w:leftChars="0" w:firstLine="511" w:firstLineChars="213"/>
              <w:jc w:val="center"/>
              <w:rPr>
                <w:rFonts w:hint="eastAsia" w:ascii="宋体" w:hAnsi="宋体" w:cs="宋体"/>
                <w:sz w:val="24"/>
                <w:szCs w:val="24"/>
                <w:highlight w:val="none"/>
              </w:rPr>
            </w:pPr>
          </w:p>
        </w:tc>
        <w:tc>
          <w:tcPr>
            <w:tcW w:w="1484" w:type="dxa"/>
            <w:vMerge w:val="continue"/>
            <w:tcBorders>
              <w:left w:val="single" w:color="000000" w:sz="4" w:space="0"/>
              <w:right w:val="single" w:color="auto" w:sz="4" w:space="0"/>
            </w:tcBorders>
            <w:shd w:val="clear" w:color="auto" w:fill="auto"/>
            <w:noWrap/>
            <w:tcMar>
              <w:top w:w="12" w:type="dxa"/>
              <w:left w:w="12" w:type="dxa"/>
              <w:right w:w="12" w:type="dxa"/>
            </w:tcMar>
            <w:vAlign w:val="center"/>
          </w:tcPr>
          <w:p w14:paraId="614E2A06">
            <w:pPr>
              <w:pStyle w:val="3"/>
              <w:spacing w:line="360" w:lineRule="auto"/>
              <w:ind w:left="0" w:leftChars="0" w:firstLine="511" w:firstLineChars="213"/>
              <w:jc w:val="center"/>
              <w:rPr>
                <w:rFonts w:hint="eastAsia" w:ascii="宋体" w:hAnsi="宋体" w:cs="宋体"/>
                <w:sz w:val="24"/>
                <w:szCs w:val="24"/>
                <w:highlight w:val="none"/>
              </w:rPr>
            </w:pPr>
          </w:p>
        </w:tc>
        <w:tc>
          <w:tcPr>
            <w:tcW w:w="2526" w:type="dxa"/>
            <w:tcBorders>
              <w:top w:val="single" w:color="000000" w:sz="4" w:space="0"/>
              <w:left w:val="single" w:color="auto" w:sz="4" w:space="0"/>
              <w:bottom w:val="single" w:color="000000" w:sz="4" w:space="0"/>
              <w:right w:val="single" w:color="000000" w:sz="4" w:space="0"/>
            </w:tcBorders>
            <w:shd w:val="clear" w:color="auto" w:fill="auto"/>
            <w:noWrap/>
            <w:tcMar>
              <w:top w:w="12" w:type="dxa"/>
              <w:left w:w="12" w:type="dxa"/>
              <w:right w:w="12" w:type="dxa"/>
            </w:tcMar>
            <w:vAlign w:val="center"/>
          </w:tcPr>
          <w:p w14:paraId="3959984F">
            <w:pPr>
              <w:pStyle w:val="3"/>
              <w:spacing w:line="360" w:lineRule="auto"/>
              <w:ind w:left="0" w:leftChars="0" w:firstLine="511" w:firstLineChars="213"/>
              <w:jc w:val="center"/>
              <w:rPr>
                <w:rFonts w:hint="eastAsia" w:ascii="宋体" w:hAnsi="宋体" w:cs="宋体"/>
                <w:sz w:val="24"/>
                <w:szCs w:val="24"/>
                <w:highlight w:val="none"/>
              </w:rPr>
            </w:pPr>
            <w:r>
              <w:rPr>
                <w:rFonts w:hint="eastAsia" w:ascii="宋体" w:hAnsi="宋体" w:cs="宋体"/>
                <w:sz w:val="24"/>
                <w:szCs w:val="24"/>
                <w:highlight w:val="none"/>
              </w:rPr>
              <w:t>干货</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2C1419D">
            <w:pPr>
              <w:pStyle w:val="3"/>
              <w:spacing w:line="360" w:lineRule="auto"/>
              <w:ind w:left="0" w:leftChars="0" w:firstLine="511" w:firstLineChars="213"/>
              <w:jc w:val="center"/>
              <w:rPr>
                <w:rFonts w:hint="eastAsia" w:ascii="宋体" w:hAnsi="宋体" w:cs="宋体"/>
                <w:sz w:val="24"/>
                <w:szCs w:val="24"/>
                <w:highlight w:val="none"/>
              </w:rPr>
            </w:pPr>
            <w:r>
              <w:rPr>
                <w:rFonts w:hint="eastAsia" w:ascii="宋体" w:hAnsi="宋体" w:cs="宋体"/>
                <w:sz w:val="24"/>
                <w:szCs w:val="24"/>
                <w:highlight w:val="none"/>
              </w:rPr>
              <w:t>据实</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C633DFE">
            <w:pPr>
              <w:pStyle w:val="3"/>
              <w:spacing w:line="360" w:lineRule="auto"/>
              <w:ind w:left="0" w:leftChars="0" w:firstLine="511" w:firstLineChars="213"/>
              <w:jc w:val="center"/>
              <w:rPr>
                <w:rFonts w:hint="eastAsia" w:ascii="宋体" w:hAnsi="宋体" w:cs="宋体"/>
                <w:sz w:val="24"/>
                <w:szCs w:val="24"/>
                <w:highlight w:val="none"/>
              </w:rPr>
            </w:pPr>
            <w:r>
              <w:rPr>
                <w:rFonts w:hint="eastAsia" w:ascii="宋体" w:hAnsi="宋体" w:cs="宋体"/>
                <w:sz w:val="24"/>
                <w:szCs w:val="24"/>
                <w:highlight w:val="none"/>
              </w:rPr>
              <w:t>工业</w:t>
            </w:r>
          </w:p>
        </w:tc>
      </w:tr>
      <w:tr w14:paraId="0026949C">
        <w:tblPrEx>
          <w:tblCellMar>
            <w:top w:w="0" w:type="dxa"/>
            <w:left w:w="0" w:type="dxa"/>
            <w:bottom w:w="0" w:type="dxa"/>
            <w:right w:w="0" w:type="dxa"/>
          </w:tblCellMar>
        </w:tblPrEx>
        <w:trPr>
          <w:trHeight w:val="380" w:hRule="atLeast"/>
        </w:trPr>
        <w:tc>
          <w:tcPr>
            <w:tcW w:w="827" w:type="dxa"/>
            <w:vMerge w:val="continue"/>
            <w:tcBorders>
              <w:left w:val="single" w:color="000000" w:sz="4" w:space="0"/>
              <w:right w:val="single" w:color="000000" w:sz="4" w:space="0"/>
            </w:tcBorders>
            <w:shd w:val="clear" w:color="auto" w:fill="auto"/>
            <w:noWrap/>
            <w:tcMar>
              <w:top w:w="12" w:type="dxa"/>
              <w:left w:w="12" w:type="dxa"/>
              <w:right w:w="12" w:type="dxa"/>
            </w:tcMar>
            <w:vAlign w:val="center"/>
          </w:tcPr>
          <w:p w14:paraId="0B8C543A">
            <w:pPr>
              <w:pStyle w:val="3"/>
              <w:spacing w:line="360" w:lineRule="auto"/>
              <w:ind w:left="0" w:leftChars="0" w:firstLine="511" w:firstLineChars="213"/>
              <w:jc w:val="center"/>
              <w:rPr>
                <w:rFonts w:hint="eastAsia" w:ascii="宋体" w:hAnsi="宋体" w:cs="宋体"/>
                <w:sz w:val="24"/>
                <w:szCs w:val="24"/>
                <w:highlight w:val="none"/>
              </w:rPr>
            </w:pPr>
          </w:p>
        </w:tc>
        <w:tc>
          <w:tcPr>
            <w:tcW w:w="1484" w:type="dxa"/>
            <w:vMerge w:val="continue"/>
            <w:tcBorders>
              <w:left w:val="single" w:color="000000" w:sz="4" w:space="0"/>
              <w:right w:val="single" w:color="auto" w:sz="4" w:space="0"/>
            </w:tcBorders>
            <w:shd w:val="clear" w:color="auto" w:fill="auto"/>
            <w:noWrap/>
            <w:tcMar>
              <w:top w:w="12" w:type="dxa"/>
              <w:left w:w="12" w:type="dxa"/>
              <w:right w:w="12" w:type="dxa"/>
            </w:tcMar>
            <w:vAlign w:val="center"/>
          </w:tcPr>
          <w:p w14:paraId="55AE45DA">
            <w:pPr>
              <w:pStyle w:val="3"/>
              <w:spacing w:line="360" w:lineRule="auto"/>
              <w:ind w:left="0" w:leftChars="0" w:firstLine="511" w:firstLineChars="213"/>
              <w:jc w:val="center"/>
              <w:rPr>
                <w:rFonts w:hint="eastAsia" w:ascii="宋体" w:hAnsi="宋体" w:cs="宋体"/>
                <w:sz w:val="24"/>
                <w:szCs w:val="24"/>
                <w:highlight w:val="none"/>
              </w:rPr>
            </w:pPr>
          </w:p>
        </w:tc>
        <w:tc>
          <w:tcPr>
            <w:tcW w:w="2526" w:type="dxa"/>
            <w:tcBorders>
              <w:top w:val="single" w:color="000000" w:sz="4" w:space="0"/>
              <w:left w:val="single" w:color="auto" w:sz="4" w:space="0"/>
              <w:bottom w:val="single" w:color="000000" w:sz="4" w:space="0"/>
              <w:right w:val="single" w:color="000000" w:sz="4" w:space="0"/>
            </w:tcBorders>
            <w:shd w:val="clear" w:color="auto" w:fill="auto"/>
            <w:noWrap/>
            <w:tcMar>
              <w:top w:w="12" w:type="dxa"/>
              <w:left w:w="12" w:type="dxa"/>
              <w:right w:w="12" w:type="dxa"/>
            </w:tcMar>
            <w:vAlign w:val="center"/>
          </w:tcPr>
          <w:p w14:paraId="0FD3645B">
            <w:pPr>
              <w:pStyle w:val="3"/>
              <w:spacing w:line="360" w:lineRule="auto"/>
              <w:ind w:left="0" w:leftChars="0" w:firstLine="511" w:firstLineChars="213"/>
              <w:jc w:val="center"/>
              <w:rPr>
                <w:rFonts w:hint="eastAsia" w:ascii="宋体" w:hAnsi="宋体" w:cs="宋体"/>
                <w:sz w:val="24"/>
                <w:szCs w:val="24"/>
                <w:highlight w:val="none"/>
              </w:rPr>
            </w:pPr>
            <w:r>
              <w:rPr>
                <w:rFonts w:hint="eastAsia" w:ascii="宋体" w:hAnsi="宋体" w:cs="宋体"/>
                <w:sz w:val="24"/>
                <w:szCs w:val="24"/>
                <w:highlight w:val="none"/>
              </w:rPr>
              <w:t>调料(不包含食用盐)</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CF23314">
            <w:pPr>
              <w:pStyle w:val="3"/>
              <w:spacing w:line="360" w:lineRule="auto"/>
              <w:ind w:left="0" w:leftChars="0" w:firstLine="511" w:firstLineChars="213"/>
              <w:jc w:val="center"/>
              <w:rPr>
                <w:rFonts w:hint="eastAsia" w:ascii="宋体" w:hAnsi="宋体" w:cs="宋体"/>
                <w:sz w:val="24"/>
                <w:szCs w:val="24"/>
                <w:highlight w:val="none"/>
              </w:rPr>
            </w:pPr>
            <w:r>
              <w:rPr>
                <w:rFonts w:hint="eastAsia" w:ascii="宋体" w:hAnsi="宋体" w:cs="宋体"/>
                <w:sz w:val="24"/>
                <w:szCs w:val="24"/>
                <w:highlight w:val="none"/>
              </w:rPr>
              <w:t>据实</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FB0D6FE">
            <w:pPr>
              <w:pStyle w:val="3"/>
              <w:spacing w:line="360" w:lineRule="auto"/>
              <w:ind w:left="0" w:leftChars="0" w:firstLine="511" w:firstLineChars="213"/>
              <w:jc w:val="center"/>
              <w:rPr>
                <w:rFonts w:hint="eastAsia" w:ascii="宋体" w:hAnsi="宋体" w:cs="宋体"/>
                <w:sz w:val="24"/>
                <w:szCs w:val="24"/>
                <w:highlight w:val="none"/>
              </w:rPr>
            </w:pPr>
            <w:r>
              <w:rPr>
                <w:rFonts w:hint="eastAsia" w:ascii="宋体" w:hAnsi="宋体" w:cs="宋体"/>
                <w:sz w:val="24"/>
                <w:szCs w:val="24"/>
                <w:highlight w:val="none"/>
              </w:rPr>
              <w:t>工业</w:t>
            </w:r>
          </w:p>
        </w:tc>
      </w:tr>
      <w:tr w14:paraId="436A30CA">
        <w:tblPrEx>
          <w:tblCellMar>
            <w:top w:w="0" w:type="dxa"/>
            <w:left w:w="0" w:type="dxa"/>
            <w:bottom w:w="0" w:type="dxa"/>
            <w:right w:w="0" w:type="dxa"/>
          </w:tblCellMar>
        </w:tblPrEx>
        <w:trPr>
          <w:trHeight w:val="380" w:hRule="atLeast"/>
        </w:trPr>
        <w:tc>
          <w:tcPr>
            <w:tcW w:w="827" w:type="dxa"/>
            <w:vMerge w:val="continue"/>
            <w:tcBorders>
              <w:left w:val="single" w:color="000000" w:sz="4" w:space="0"/>
              <w:right w:val="single" w:color="000000" w:sz="4" w:space="0"/>
            </w:tcBorders>
            <w:shd w:val="clear" w:color="auto" w:fill="auto"/>
            <w:noWrap/>
            <w:tcMar>
              <w:top w:w="12" w:type="dxa"/>
              <w:left w:w="12" w:type="dxa"/>
              <w:right w:w="12" w:type="dxa"/>
            </w:tcMar>
            <w:vAlign w:val="center"/>
          </w:tcPr>
          <w:p w14:paraId="54EC2417">
            <w:pPr>
              <w:pStyle w:val="3"/>
              <w:spacing w:line="360" w:lineRule="auto"/>
              <w:ind w:left="0" w:leftChars="0" w:firstLine="511" w:firstLineChars="213"/>
              <w:jc w:val="center"/>
              <w:rPr>
                <w:rFonts w:hint="eastAsia" w:ascii="宋体" w:hAnsi="宋体" w:cs="宋体"/>
                <w:sz w:val="24"/>
                <w:szCs w:val="24"/>
                <w:highlight w:val="none"/>
              </w:rPr>
            </w:pPr>
          </w:p>
        </w:tc>
        <w:tc>
          <w:tcPr>
            <w:tcW w:w="1484" w:type="dxa"/>
            <w:vMerge w:val="continue"/>
            <w:tcBorders>
              <w:left w:val="single" w:color="000000" w:sz="4" w:space="0"/>
              <w:right w:val="single" w:color="auto" w:sz="4" w:space="0"/>
            </w:tcBorders>
            <w:shd w:val="clear" w:color="auto" w:fill="auto"/>
            <w:noWrap/>
            <w:tcMar>
              <w:top w:w="12" w:type="dxa"/>
              <w:left w:w="12" w:type="dxa"/>
              <w:right w:w="12" w:type="dxa"/>
            </w:tcMar>
            <w:vAlign w:val="center"/>
          </w:tcPr>
          <w:p w14:paraId="56D60D0B">
            <w:pPr>
              <w:pStyle w:val="3"/>
              <w:spacing w:line="360" w:lineRule="auto"/>
              <w:ind w:left="0" w:leftChars="0" w:firstLine="511" w:firstLineChars="213"/>
              <w:jc w:val="center"/>
              <w:rPr>
                <w:rFonts w:hint="eastAsia" w:ascii="宋体" w:hAnsi="宋体" w:cs="宋体"/>
                <w:sz w:val="24"/>
                <w:szCs w:val="24"/>
                <w:highlight w:val="none"/>
              </w:rPr>
            </w:pPr>
          </w:p>
        </w:tc>
        <w:tc>
          <w:tcPr>
            <w:tcW w:w="2526" w:type="dxa"/>
            <w:tcBorders>
              <w:top w:val="single" w:color="000000" w:sz="4" w:space="0"/>
              <w:left w:val="single" w:color="auto" w:sz="4" w:space="0"/>
              <w:bottom w:val="single" w:color="000000" w:sz="4" w:space="0"/>
              <w:right w:val="single" w:color="000000" w:sz="4" w:space="0"/>
            </w:tcBorders>
            <w:shd w:val="clear" w:color="auto" w:fill="auto"/>
            <w:noWrap/>
            <w:tcMar>
              <w:top w:w="12" w:type="dxa"/>
              <w:left w:w="12" w:type="dxa"/>
              <w:right w:w="12" w:type="dxa"/>
            </w:tcMar>
            <w:vAlign w:val="center"/>
          </w:tcPr>
          <w:p w14:paraId="4C077442">
            <w:pPr>
              <w:pStyle w:val="3"/>
              <w:spacing w:line="360" w:lineRule="auto"/>
              <w:ind w:left="0" w:leftChars="0" w:firstLine="511" w:firstLineChars="213"/>
              <w:jc w:val="center"/>
              <w:rPr>
                <w:rFonts w:hint="eastAsia" w:ascii="宋体" w:hAnsi="宋体" w:eastAsia="宋体" w:cs="宋体"/>
                <w:kern w:val="2"/>
                <w:sz w:val="24"/>
                <w:szCs w:val="24"/>
                <w:highlight w:val="none"/>
                <w:lang w:val="en-US" w:eastAsia="zh-CN" w:bidi="ar-SA"/>
              </w:rPr>
            </w:pPr>
            <w:r>
              <w:rPr>
                <w:rFonts w:hint="eastAsia" w:ascii="宋体" w:hAnsi="宋体" w:cs="宋体"/>
                <w:sz w:val="24"/>
                <w:szCs w:val="24"/>
                <w:highlight w:val="none"/>
              </w:rPr>
              <w:t>米</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680F0FC">
            <w:pPr>
              <w:pStyle w:val="3"/>
              <w:spacing w:line="360" w:lineRule="auto"/>
              <w:ind w:left="0" w:leftChars="0" w:firstLine="511" w:firstLineChars="213"/>
              <w:jc w:val="center"/>
              <w:rPr>
                <w:rFonts w:hint="eastAsia" w:ascii="宋体" w:hAnsi="宋体" w:eastAsia="宋体" w:cs="宋体"/>
                <w:kern w:val="2"/>
                <w:sz w:val="24"/>
                <w:szCs w:val="24"/>
                <w:highlight w:val="none"/>
                <w:lang w:val="en-US" w:eastAsia="zh-CN" w:bidi="ar-SA"/>
              </w:rPr>
            </w:pPr>
            <w:r>
              <w:rPr>
                <w:rFonts w:hint="eastAsia" w:ascii="宋体" w:hAnsi="宋体" w:cs="宋体"/>
                <w:sz w:val="24"/>
                <w:szCs w:val="24"/>
                <w:highlight w:val="none"/>
              </w:rPr>
              <w:t>据实</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96388D0">
            <w:pPr>
              <w:pStyle w:val="3"/>
              <w:spacing w:line="360" w:lineRule="auto"/>
              <w:ind w:left="0" w:leftChars="0" w:firstLine="511" w:firstLineChars="213"/>
              <w:jc w:val="center"/>
              <w:rPr>
                <w:rFonts w:hint="eastAsia" w:ascii="宋体" w:hAnsi="宋体" w:eastAsia="宋体" w:cs="宋体"/>
                <w:kern w:val="2"/>
                <w:sz w:val="24"/>
                <w:szCs w:val="24"/>
                <w:highlight w:val="none"/>
                <w:lang w:val="en-US" w:eastAsia="zh-CN" w:bidi="ar-SA"/>
              </w:rPr>
            </w:pPr>
            <w:r>
              <w:rPr>
                <w:rFonts w:hint="eastAsia" w:ascii="宋体" w:hAnsi="宋体" w:cs="宋体"/>
                <w:sz w:val="24"/>
                <w:szCs w:val="24"/>
                <w:highlight w:val="none"/>
              </w:rPr>
              <w:t>工业</w:t>
            </w:r>
          </w:p>
        </w:tc>
      </w:tr>
      <w:tr w14:paraId="5454A0BE">
        <w:tblPrEx>
          <w:tblCellMar>
            <w:top w:w="0" w:type="dxa"/>
            <w:left w:w="0" w:type="dxa"/>
            <w:bottom w:w="0" w:type="dxa"/>
            <w:right w:w="0" w:type="dxa"/>
          </w:tblCellMar>
        </w:tblPrEx>
        <w:trPr>
          <w:trHeight w:val="380" w:hRule="atLeast"/>
        </w:trPr>
        <w:tc>
          <w:tcPr>
            <w:tcW w:w="827" w:type="dxa"/>
            <w:vMerge w:val="continue"/>
            <w:tcBorders>
              <w:left w:val="single" w:color="000000" w:sz="4" w:space="0"/>
              <w:right w:val="single" w:color="000000" w:sz="4" w:space="0"/>
            </w:tcBorders>
            <w:shd w:val="clear" w:color="auto" w:fill="auto"/>
            <w:noWrap/>
            <w:tcMar>
              <w:top w:w="12" w:type="dxa"/>
              <w:left w:w="12" w:type="dxa"/>
              <w:right w:w="12" w:type="dxa"/>
            </w:tcMar>
            <w:vAlign w:val="center"/>
          </w:tcPr>
          <w:p w14:paraId="612E45A2">
            <w:pPr>
              <w:pStyle w:val="3"/>
              <w:spacing w:line="360" w:lineRule="auto"/>
              <w:ind w:left="0" w:leftChars="0" w:firstLine="511" w:firstLineChars="213"/>
              <w:jc w:val="center"/>
              <w:rPr>
                <w:rFonts w:hint="eastAsia" w:ascii="宋体" w:hAnsi="宋体" w:cs="宋体"/>
                <w:sz w:val="24"/>
                <w:szCs w:val="24"/>
                <w:highlight w:val="none"/>
              </w:rPr>
            </w:pPr>
          </w:p>
        </w:tc>
        <w:tc>
          <w:tcPr>
            <w:tcW w:w="1484" w:type="dxa"/>
            <w:vMerge w:val="continue"/>
            <w:tcBorders>
              <w:left w:val="single" w:color="000000" w:sz="4" w:space="0"/>
              <w:right w:val="single" w:color="auto" w:sz="4" w:space="0"/>
            </w:tcBorders>
            <w:shd w:val="clear" w:color="auto" w:fill="auto"/>
            <w:noWrap/>
            <w:tcMar>
              <w:top w:w="12" w:type="dxa"/>
              <w:left w:w="12" w:type="dxa"/>
              <w:right w:w="12" w:type="dxa"/>
            </w:tcMar>
            <w:vAlign w:val="center"/>
          </w:tcPr>
          <w:p w14:paraId="47AB3833">
            <w:pPr>
              <w:pStyle w:val="3"/>
              <w:spacing w:line="360" w:lineRule="auto"/>
              <w:ind w:left="0" w:leftChars="0" w:firstLine="511" w:firstLineChars="213"/>
              <w:jc w:val="center"/>
              <w:rPr>
                <w:rFonts w:hint="eastAsia" w:ascii="宋体" w:hAnsi="宋体" w:cs="宋体"/>
                <w:sz w:val="24"/>
                <w:szCs w:val="24"/>
                <w:highlight w:val="none"/>
              </w:rPr>
            </w:pPr>
          </w:p>
        </w:tc>
        <w:tc>
          <w:tcPr>
            <w:tcW w:w="2526" w:type="dxa"/>
            <w:tcBorders>
              <w:top w:val="single" w:color="000000" w:sz="4" w:space="0"/>
              <w:left w:val="single" w:color="auto" w:sz="4" w:space="0"/>
              <w:bottom w:val="single" w:color="000000" w:sz="4" w:space="0"/>
              <w:right w:val="single" w:color="000000" w:sz="4" w:space="0"/>
            </w:tcBorders>
            <w:shd w:val="clear" w:color="auto" w:fill="auto"/>
            <w:noWrap/>
            <w:tcMar>
              <w:top w:w="12" w:type="dxa"/>
              <w:left w:w="12" w:type="dxa"/>
              <w:right w:w="12" w:type="dxa"/>
            </w:tcMar>
            <w:vAlign w:val="center"/>
          </w:tcPr>
          <w:p w14:paraId="2E9901A5">
            <w:pPr>
              <w:pStyle w:val="3"/>
              <w:spacing w:line="360" w:lineRule="auto"/>
              <w:ind w:left="0" w:leftChars="0" w:firstLine="511" w:firstLineChars="213"/>
              <w:jc w:val="center"/>
              <w:rPr>
                <w:rFonts w:hint="eastAsia" w:ascii="宋体" w:hAnsi="宋体" w:eastAsia="宋体" w:cs="宋体"/>
                <w:kern w:val="2"/>
                <w:sz w:val="24"/>
                <w:szCs w:val="24"/>
                <w:highlight w:val="none"/>
                <w:lang w:val="en-US" w:eastAsia="zh-CN" w:bidi="ar-SA"/>
              </w:rPr>
            </w:pPr>
            <w:r>
              <w:rPr>
                <w:rFonts w:hint="eastAsia" w:ascii="宋体" w:hAnsi="宋体" w:cs="宋体"/>
                <w:sz w:val="24"/>
                <w:szCs w:val="24"/>
                <w:highlight w:val="none"/>
              </w:rPr>
              <w:t>面粉</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8702B55">
            <w:pPr>
              <w:pStyle w:val="3"/>
              <w:spacing w:line="360" w:lineRule="auto"/>
              <w:ind w:left="0" w:leftChars="0" w:firstLine="511" w:firstLineChars="213"/>
              <w:jc w:val="center"/>
              <w:rPr>
                <w:rFonts w:hint="eastAsia" w:ascii="宋体" w:hAnsi="宋体" w:eastAsia="宋体" w:cs="宋体"/>
                <w:kern w:val="2"/>
                <w:sz w:val="24"/>
                <w:szCs w:val="24"/>
                <w:highlight w:val="none"/>
                <w:lang w:val="en-US" w:eastAsia="zh-CN" w:bidi="ar-SA"/>
              </w:rPr>
            </w:pPr>
            <w:r>
              <w:rPr>
                <w:rFonts w:hint="eastAsia" w:ascii="宋体" w:hAnsi="宋体" w:cs="宋体"/>
                <w:sz w:val="24"/>
                <w:szCs w:val="24"/>
                <w:highlight w:val="none"/>
              </w:rPr>
              <w:t>据实</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62DC4B3">
            <w:pPr>
              <w:pStyle w:val="3"/>
              <w:spacing w:line="360" w:lineRule="auto"/>
              <w:ind w:left="0" w:leftChars="0" w:firstLine="511" w:firstLineChars="213"/>
              <w:jc w:val="center"/>
              <w:rPr>
                <w:rFonts w:hint="eastAsia" w:ascii="宋体" w:hAnsi="宋体" w:eastAsia="宋体" w:cs="宋体"/>
                <w:kern w:val="2"/>
                <w:sz w:val="24"/>
                <w:szCs w:val="24"/>
                <w:highlight w:val="none"/>
                <w:lang w:val="en-US" w:eastAsia="zh-CN" w:bidi="ar-SA"/>
              </w:rPr>
            </w:pPr>
            <w:r>
              <w:rPr>
                <w:rFonts w:hint="eastAsia" w:ascii="宋体" w:hAnsi="宋体" w:cs="宋体"/>
                <w:sz w:val="24"/>
                <w:szCs w:val="24"/>
                <w:highlight w:val="none"/>
              </w:rPr>
              <w:t>工业</w:t>
            </w:r>
          </w:p>
        </w:tc>
      </w:tr>
      <w:tr w14:paraId="67046557">
        <w:tblPrEx>
          <w:tblCellMar>
            <w:top w:w="0" w:type="dxa"/>
            <w:left w:w="0" w:type="dxa"/>
            <w:bottom w:w="0" w:type="dxa"/>
            <w:right w:w="0" w:type="dxa"/>
          </w:tblCellMar>
        </w:tblPrEx>
        <w:trPr>
          <w:trHeight w:val="380" w:hRule="atLeast"/>
        </w:trPr>
        <w:tc>
          <w:tcPr>
            <w:tcW w:w="827" w:type="dxa"/>
            <w:vMerge w:val="continue"/>
            <w:tcBorders>
              <w:left w:val="single" w:color="000000" w:sz="4" w:space="0"/>
              <w:right w:val="single" w:color="000000" w:sz="4" w:space="0"/>
            </w:tcBorders>
            <w:shd w:val="clear" w:color="auto" w:fill="auto"/>
            <w:noWrap/>
            <w:tcMar>
              <w:top w:w="12" w:type="dxa"/>
              <w:left w:w="12" w:type="dxa"/>
              <w:right w:w="12" w:type="dxa"/>
            </w:tcMar>
            <w:vAlign w:val="center"/>
          </w:tcPr>
          <w:p w14:paraId="21B52A0C">
            <w:pPr>
              <w:pStyle w:val="3"/>
              <w:spacing w:line="360" w:lineRule="auto"/>
              <w:ind w:left="0" w:leftChars="0" w:firstLine="511" w:firstLineChars="213"/>
              <w:jc w:val="center"/>
              <w:rPr>
                <w:rFonts w:hint="eastAsia" w:ascii="宋体" w:hAnsi="宋体" w:cs="宋体"/>
                <w:sz w:val="24"/>
                <w:szCs w:val="24"/>
                <w:highlight w:val="none"/>
              </w:rPr>
            </w:pPr>
          </w:p>
        </w:tc>
        <w:tc>
          <w:tcPr>
            <w:tcW w:w="1484" w:type="dxa"/>
            <w:vMerge w:val="continue"/>
            <w:tcBorders>
              <w:left w:val="single" w:color="000000" w:sz="4" w:space="0"/>
              <w:right w:val="single" w:color="auto" w:sz="4" w:space="0"/>
            </w:tcBorders>
            <w:shd w:val="clear" w:color="auto" w:fill="auto"/>
            <w:noWrap/>
            <w:tcMar>
              <w:top w:w="12" w:type="dxa"/>
              <w:left w:w="12" w:type="dxa"/>
              <w:right w:w="12" w:type="dxa"/>
            </w:tcMar>
            <w:vAlign w:val="center"/>
          </w:tcPr>
          <w:p w14:paraId="4A1D58FE">
            <w:pPr>
              <w:pStyle w:val="3"/>
              <w:spacing w:line="360" w:lineRule="auto"/>
              <w:ind w:left="0" w:leftChars="0" w:firstLine="511" w:firstLineChars="213"/>
              <w:jc w:val="center"/>
              <w:rPr>
                <w:rFonts w:hint="eastAsia" w:ascii="宋体" w:hAnsi="宋体" w:cs="宋体"/>
                <w:sz w:val="24"/>
                <w:szCs w:val="24"/>
                <w:highlight w:val="none"/>
              </w:rPr>
            </w:pPr>
          </w:p>
        </w:tc>
        <w:tc>
          <w:tcPr>
            <w:tcW w:w="2526" w:type="dxa"/>
            <w:tcBorders>
              <w:top w:val="single" w:color="000000" w:sz="4" w:space="0"/>
              <w:left w:val="single" w:color="auto" w:sz="4" w:space="0"/>
              <w:bottom w:val="single" w:color="000000" w:sz="4" w:space="0"/>
              <w:right w:val="single" w:color="000000" w:sz="4" w:space="0"/>
            </w:tcBorders>
            <w:shd w:val="clear" w:color="auto" w:fill="auto"/>
            <w:noWrap/>
            <w:tcMar>
              <w:top w:w="12" w:type="dxa"/>
              <w:left w:w="12" w:type="dxa"/>
              <w:right w:w="12" w:type="dxa"/>
            </w:tcMar>
            <w:vAlign w:val="center"/>
          </w:tcPr>
          <w:p w14:paraId="26F13DDD">
            <w:pPr>
              <w:pStyle w:val="3"/>
              <w:spacing w:line="360" w:lineRule="auto"/>
              <w:ind w:left="0" w:leftChars="0" w:firstLine="511" w:firstLineChars="213"/>
              <w:jc w:val="center"/>
              <w:rPr>
                <w:rFonts w:hint="eastAsia" w:ascii="宋体" w:hAnsi="宋体" w:eastAsia="宋体" w:cs="宋体"/>
                <w:kern w:val="2"/>
                <w:sz w:val="24"/>
                <w:szCs w:val="24"/>
                <w:highlight w:val="none"/>
                <w:lang w:val="en-US" w:eastAsia="zh-CN" w:bidi="ar-SA"/>
              </w:rPr>
            </w:pPr>
            <w:r>
              <w:rPr>
                <w:rFonts w:hint="eastAsia" w:ascii="宋体" w:hAnsi="宋体" w:cs="宋体"/>
                <w:sz w:val="24"/>
                <w:szCs w:val="24"/>
                <w:highlight w:val="none"/>
              </w:rPr>
              <w:t>油</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86C1DD6">
            <w:pPr>
              <w:pStyle w:val="3"/>
              <w:spacing w:line="360" w:lineRule="auto"/>
              <w:ind w:left="0" w:leftChars="0" w:firstLine="511" w:firstLineChars="213"/>
              <w:jc w:val="center"/>
              <w:rPr>
                <w:rFonts w:hint="eastAsia" w:ascii="宋体" w:hAnsi="宋体" w:eastAsia="宋体" w:cs="宋体"/>
                <w:kern w:val="2"/>
                <w:sz w:val="24"/>
                <w:szCs w:val="24"/>
                <w:highlight w:val="none"/>
                <w:lang w:val="en-US" w:eastAsia="zh-CN" w:bidi="ar-SA"/>
              </w:rPr>
            </w:pPr>
            <w:r>
              <w:rPr>
                <w:rFonts w:hint="eastAsia" w:ascii="宋体" w:hAnsi="宋体" w:cs="宋体"/>
                <w:sz w:val="24"/>
                <w:szCs w:val="24"/>
                <w:highlight w:val="none"/>
              </w:rPr>
              <w:t>据实</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5EA8B74">
            <w:pPr>
              <w:pStyle w:val="3"/>
              <w:spacing w:line="360" w:lineRule="auto"/>
              <w:ind w:left="0" w:leftChars="0" w:firstLine="511" w:firstLineChars="213"/>
              <w:jc w:val="center"/>
              <w:rPr>
                <w:rFonts w:hint="eastAsia" w:ascii="宋体" w:hAnsi="宋体" w:eastAsia="宋体" w:cs="宋体"/>
                <w:kern w:val="2"/>
                <w:sz w:val="24"/>
                <w:szCs w:val="24"/>
                <w:highlight w:val="none"/>
                <w:lang w:val="en-US" w:eastAsia="zh-CN" w:bidi="ar-SA"/>
              </w:rPr>
            </w:pPr>
            <w:r>
              <w:rPr>
                <w:rFonts w:hint="eastAsia" w:ascii="宋体" w:hAnsi="宋体" w:cs="宋体"/>
                <w:sz w:val="24"/>
                <w:szCs w:val="24"/>
                <w:highlight w:val="none"/>
              </w:rPr>
              <w:t>工业</w:t>
            </w:r>
          </w:p>
        </w:tc>
      </w:tr>
      <w:tr w14:paraId="7882642A">
        <w:tblPrEx>
          <w:tblCellMar>
            <w:top w:w="0" w:type="dxa"/>
            <w:left w:w="0" w:type="dxa"/>
            <w:bottom w:w="0" w:type="dxa"/>
            <w:right w:w="0" w:type="dxa"/>
          </w:tblCellMar>
        </w:tblPrEx>
        <w:trPr>
          <w:trHeight w:val="380" w:hRule="atLeast"/>
        </w:trPr>
        <w:tc>
          <w:tcPr>
            <w:tcW w:w="827" w:type="dxa"/>
            <w:vMerge w:val="continue"/>
            <w:tcBorders>
              <w:left w:val="single" w:color="000000" w:sz="4" w:space="0"/>
              <w:right w:val="single" w:color="000000" w:sz="4" w:space="0"/>
            </w:tcBorders>
            <w:shd w:val="clear" w:color="auto" w:fill="auto"/>
            <w:noWrap/>
            <w:tcMar>
              <w:top w:w="12" w:type="dxa"/>
              <w:left w:w="12" w:type="dxa"/>
              <w:right w:w="12" w:type="dxa"/>
            </w:tcMar>
            <w:vAlign w:val="center"/>
          </w:tcPr>
          <w:p w14:paraId="63F74260">
            <w:pPr>
              <w:pStyle w:val="3"/>
              <w:spacing w:line="360" w:lineRule="auto"/>
              <w:ind w:left="0" w:leftChars="0" w:firstLine="511" w:firstLineChars="213"/>
              <w:jc w:val="center"/>
              <w:rPr>
                <w:rFonts w:hint="eastAsia" w:ascii="宋体" w:hAnsi="宋体" w:cs="宋体"/>
                <w:sz w:val="24"/>
                <w:szCs w:val="24"/>
                <w:highlight w:val="none"/>
              </w:rPr>
            </w:pPr>
          </w:p>
        </w:tc>
        <w:tc>
          <w:tcPr>
            <w:tcW w:w="1484" w:type="dxa"/>
            <w:vMerge w:val="continue"/>
            <w:tcBorders>
              <w:left w:val="single" w:color="000000" w:sz="4" w:space="0"/>
              <w:right w:val="single" w:color="auto" w:sz="4" w:space="0"/>
            </w:tcBorders>
            <w:shd w:val="clear" w:color="auto" w:fill="auto"/>
            <w:noWrap/>
            <w:tcMar>
              <w:top w:w="12" w:type="dxa"/>
              <w:left w:w="12" w:type="dxa"/>
              <w:right w:w="12" w:type="dxa"/>
            </w:tcMar>
            <w:vAlign w:val="center"/>
          </w:tcPr>
          <w:p w14:paraId="05ACC337">
            <w:pPr>
              <w:pStyle w:val="3"/>
              <w:spacing w:line="360" w:lineRule="auto"/>
              <w:ind w:left="0" w:leftChars="0" w:firstLine="511" w:firstLineChars="213"/>
              <w:jc w:val="center"/>
              <w:rPr>
                <w:rFonts w:hint="eastAsia" w:ascii="宋体" w:hAnsi="宋体" w:cs="宋体"/>
                <w:sz w:val="24"/>
                <w:szCs w:val="24"/>
                <w:highlight w:val="none"/>
              </w:rPr>
            </w:pPr>
          </w:p>
        </w:tc>
        <w:tc>
          <w:tcPr>
            <w:tcW w:w="2526" w:type="dxa"/>
            <w:tcBorders>
              <w:top w:val="single" w:color="000000" w:sz="4" w:space="0"/>
              <w:left w:val="single" w:color="auto" w:sz="4" w:space="0"/>
              <w:bottom w:val="single" w:color="000000" w:sz="4" w:space="0"/>
              <w:right w:val="single" w:color="000000" w:sz="4" w:space="0"/>
            </w:tcBorders>
            <w:shd w:val="clear" w:color="auto" w:fill="auto"/>
            <w:noWrap/>
            <w:tcMar>
              <w:top w:w="12" w:type="dxa"/>
              <w:left w:w="12" w:type="dxa"/>
              <w:right w:w="12" w:type="dxa"/>
            </w:tcMar>
            <w:vAlign w:val="center"/>
          </w:tcPr>
          <w:p w14:paraId="71D3596F">
            <w:pPr>
              <w:pStyle w:val="3"/>
              <w:spacing w:line="360" w:lineRule="auto"/>
              <w:ind w:left="0" w:leftChars="0" w:firstLine="511" w:firstLineChars="213"/>
              <w:jc w:val="center"/>
              <w:rPr>
                <w:rFonts w:hint="eastAsia" w:ascii="宋体" w:hAnsi="宋体" w:eastAsia="宋体" w:cs="宋体"/>
                <w:kern w:val="2"/>
                <w:sz w:val="24"/>
                <w:szCs w:val="24"/>
                <w:highlight w:val="none"/>
                <w:lang w:val="en-US" w:eastAsia="zh-CN" w:bidi="ar-SA"/>
              </w:rPr>
            </w:pPr>
            <w:r>
              <w:rPr>
                <w:rFonts w:hint="eastAsia" w:ascii="宋体" w:hAnsi="宋体" w:cs="宋体"/>
                <w:sz w:val="24"/>
                <w:szCs w:val="24"/>
                <w:highlight w:val="none"/>
              </w:rPr>
              <w:t>奶制品</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03A5D84">
            <w:pPr>
              <w:pStyle w:val="3"/>
              <w:spacing w:line="360" w:lineRule="auto"/>
              <w:ind w:left="0" w:leftChars="0" w:firstLine="511" w:firstLineChars="213"/>
              <w:jc w:val="center"/>
              <w:rPr>
                <w:rFonts w:hint="eastAsia" w:ascii="宋体" w:hAnsi="宋体" w:eastAsia="宋体" w:cs="宋体"/>
                <w:kern w:val="2"/>
                <w:sz w:val="24"/>
                <w:szCs w:val="24"/>
                <w:highlight w:val="none"/>
                <w:lang w:val="en-US" w:eastAsia="zh-CN" w:bidi="ar-SA"/>
              </w:rPr>
            </w:pPr>
            <w:r>
              <w:rPr>
                <w:rFonts w:hint="eastAsia" w:ascii="宋体" w:hAnsi="宋体" w:cs="宋体"/>
                <w:sz w:val="24"/>
                <w:szCs w:val="24"/>
                <w:highlight w:val="none"/>
              </w:rPr>
              <w:t>据实</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766AC67">
            <w:pPr>
              <w:pStyle w:val="3"/>
              <w:spacing w:line="360" w:lineRule="auto"/>
              <w:ind w:left="0" w:leftChars="0" w:firstLine="511" w:firstLineChars="213"/>
              <w:jc w:val="center"/>
              <w:rPr>
                <w:rFonts w:hint="eastAsia" w:ascii="宋体" w:hAnsi="宋体" w:eastAsia="宋体" w:cs="宋体"/>
                <w:kern w:val="2"/>
                <w:sz w:val="24"/>
                <w:szCs w:val="24"/>
                <w:highlight w:val="none"/>
                <w:lang w:val="en-US" w:eastAsia="zh-CN" w:bidi="ar-SA"/>
              </w:rPr>
            </w:pPr>
            <w:r>
              <w:rPr>
                <w:rFonts w:hint="eastAsia" w:ascii="宋体" w:hAnsi="宋体" w:cs="宋体"/>
                <w:sz w:val="24"/>
                <w:szCs w:val="24"/>
                <w:highlight w:val="none"/>
              </w:rPr>
              <w:t>工业</w:t>
            </w:r>
          </w:p>
        </w:tc>
      </w:tr>
      <w:tr w14:paraId="08FC6882">
        <w:tblPrEx>
          <w:tblCellMar>
            <w:top w:w="0" w:type="dxa"/>
            <w:left w:w="0" w:type="dxa"/>
            <w:bottom w:w="0" w:type="dxa"/>
            <w:right w:w="0" w:type="dxa"/>
          </w:tblCellMar>
        </w:tblPrEx>
        <w:trPr>
          <w:trHeight w:val="380" w:hRule="atLeast"/>
        </w:trPr>
        <w:tc>
          <w:tcPr>
            <w:tcW w:w="827" w:type="dxa"/>
            <w:vMerge w:val="continue"/>
            <w:tcBorders>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19B5276">
            <w:pPr>
              <w:pStyle w:val="3"/>
              <w:spacing w:line="360" w:lineRule="auto"/>
              <w:ind w:left="0" w:leftChars="0" w:firstLine="511" w:firstLineChars="213"/>
              <w:jc w:val="center"/>
              <w:rPr>
                <w:rFonts w:hint="eastAsia" w:ascii="宋体" w:hAnsi="宋体" w:cs="宋体"/>
                <w:sz w:val="24"/>
                <w:szCs w:val="24"/>
                <w:highlight w:val="none"/>
              </w:rPr>
            </w:pPr>
          </w:p>
        </w:tc>
        <w:tc>
          <w:tcPr>
            <w:tcW w:w="1484" w:type="dxa"/>
            <w:vMerge w:val="continue"/>
            <w:tcBorders>
              <w:left w:val="single" w:color="000000" w:sz="4" w:space="0"/>
              <w:bottom w:val="single" w:color="000000" w:sz="4" w:space="0"/>
              <w:right w:val="single" w:color="auto" w:sz="4" w:space="0"/>
            </w:tcBorders>
            <w:shd w:val="clear" w:color="auto" w:fill="auto"/>
            <w:noWrap/>
            <w:tcMar>
              <w:top w:w="12" w:type="dxa"/>
              <w:left w:w="12" w:type="dxa"/>
              <w:right w:w="12" w:type="dxa"/>
            </w:tcMar>
            <w:vAlign w:val="center"/>
          </w:tcPr>
          <w:p w14:paraId="34E6DF32">
            <w:pPr>
              <w:pStyle w:val="3"/>
              <w:spacing w:line="360" w:lineRule="auto"/>
              <w:ind w:left="0" w:leftChars="0" w:firstLine="511" w:firstLineChars="213"/>
              <w:jc w:val="center"/>
              <w:rPr>
                <w:rFonts w:hint="eastAsia" w:ascii="宋体" w:hAnsi="宋体" w:cs="宋体"/>
                <w:sz w:val="24"/>
                <w:szCs w:val="24"/>
                <w:highlight w:val="none"/>
              </w:rPr>
            </w:pPr>
          </w:p>
        </w:tc>
        <w:tc>
          <w:tcPr>
            <w:tcW w:w="2526" w:type="dxa"/>
            <w:tcBorders>
              <w:top w:val="single" w:color="000000" w:sz="4" w:space="0"/>
              <w:left w:val="single" w:color="auto" w:sz="4" w:space="0"/>
              <w:bottom w:val="single" w:color="000000" w:sz="4" w:space="0"/>
              <w:right w:val="single" w:color="000000" w:sz="4" w:space="0"/>
            </w:tcBorders>
            <w:shd w:val="clear" w:color="auto" w:fill="auto"/>
            <w:noWrap/>
            <w:tcMar>
              <w:top w:w="12" w:type="dxa"/>
              <w:left w:w="12" w:type="dxa"/>
              <w:right w:w="12" w:type="dxa"/>
            </w:tcMar>
            <w:vAlign w:val="center"/>
          </w:tcPr>
          <w:p w14:paraId="4A3E78E9">
            <w:pPr>
              <w:pStyle w:val="3"/>
              <w:spacing w:line="360" w:lineRule="auto"/>
              <w:ind w:left="0" w:leftChars="0" w:firstLine="511" w:firstLineChars="213"/>
              <w:jc w:val="center"/>
              <w:rPr>
                <w:rFonts w:hint="eastAsia" w:ascii="宋体" w:hAnsi="宋体" w:eastAsia="宋体" w:cs="宋体"/>
                <w:kern w:val="2"/>
                <w:sz w:val="24"/>
                <w:szCs w:val="24"/>
                <w:highlight w:val="none"/>
                <w:lang w:val="en-US" w:eastAsia="zh-CN" w:bidi="ar-SA"/>
              </w:rPr>
            </w:pPr>
            <w:r>
              <w:rPr>
                <w:rFonts w:hint="eastAsia" w:ascii="宋体" w:hAnsi="宋体" w:cs="宋体"/>
                <w:sz w:val="24"/>
                <w:szCs w:val="24"/>
                <w:highlight w:val="none"/>
              </w:rPr>
              <w:t>豆制品</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D04FC99">
            <w:pPr>
              <w:pStyle w:val="3"/>
              <w:spacing w:line="360" w:lineRule="auto"/>
              <w:ind w:left="0" w:leftChars="0" w:firstLine="511" w:firstLineChars="213"/>
              <w:jc w:val="center"/>
              <w:rPr>
                <w:rFonts w:hint="eastAsia" w:ascii="宋体" w:hAnsi="宋体" w:eastAsia="宋体" w:cs="宋体"/>
                <w:kern w:val="2"/>
                <w:sz w:val="24"/>
                <w:szCs w:val="24"/>
                <w:highlight w:val="none"/>
                <w:lang w:val="en-US" w:eastAsia="zh-CN" w:bidi="ar-SA"/>
              </w:rPr>
            </w:pPr>
            <w:r>
              <w:rPr>
                <w:rFonts w:hint="eastAsia" w:ascii="宋体" w:hAnsi="宋体" w:cs="宋体"/>
                <w:sz w:val="24"/>
                <w:szCs w:val="24"/>
                <w:highlight w:val="none"/>
              </w:rPr>
              <w:t>据实</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B5BD06A">
            <w:pPr>
              <w:pStyle w:val="3"/>
              <w:spacing w:line="360" w:lineRule="auto"/>
              <w:ind w:left="0" w:leftChars="0" w:firstLine="511" w:firstLineChars="213"/>
              <w:jc w:val="center"/>
              <w:rPr>
                <w:rFonts w:hint="eastAsia" w:ascii="宋体" w:hAnsi="宋体" w:eastAsia="宋体" w:cs="宋体"/>
                <w:kern w:val="2"/>
                <w:sz w:val="24"/>
                <w:szCs w:val="24"/>
                <w:highlight w:val="none"/>
                <w:lang w:val="en-US" w:eastAsia="zh-CN" w:bidi="ar-SA"/>
              </w:rPr>
            </w:pPr>
            <w:r>
              <w:rPr>
                <w:rFonts w:hint="eastAsia" w:ascii="宋体" w:hAnsi="宋体" w:cs="宋体"/>
                <w:sz w:val="24"/>
                <w:szCs w:val="24"/>
                <w:highlight w:val="none"/>
              </w:rPr>
              <w:t>工业</w:t>
            </w:r>
          </w:p>
        </w:tc>
      </w:tr>
      <w:tr w14:paraId="6235782A">
        <w:tblPrEx>
          <w:tblCellMar>
            <w:top w:w="0" w:type="dxa"/>
            <w:left w:w="0" w:type="dxa"/>
            <w:bottom w:w="0" w:type="dxa"/>
            <w:right w:w="0" w:type="dxa"/>
          </w:tblCellMar>
        </w:tblPrEx>
        <w:trPr>
          <w:trHeight w:val="380" w:hRule="atLeast"/>
        </w:trPr>
        <w:tc>
          <w:tcPr>
            <w:tcW w:w="827" w:type="dxa"/>
            <w:vMerge w:val="restart"/>
            <w:tcBorders>
              <w:top w:val="single" w:color="000000" w:sz="4" w:space="0"/>
              <w:left w:val="single" w:color="000000" w:sz="4" w:space="0"/>
              <w:right w:val="single" w:color="000000" w:sz="4" w:space="0"/>
            </w:tcBorders>
            <w:shd w:val="clear" w:color="auto" w:fill="auto"/>
            <w:noWrap/>
            <w:tcMar>
              <w:top w:w="12" w:type="dxa"/>
              <w:left w:w="12" w:type="dxa"/>
              <w:right w:w="12" w:type="dxa"/>
            </w:tcMar>
            <w:vAlign w:val="center"/>
          </w:tcPr>
          <w:p w14:paraId="4C9ACB16">
            <w:pPr>
              <w:pStyle w:val="3"/>
              <w:spacing w:line="360" w:lineRule="auto"/>
              <w:ind w:left="0" w:leftChars="0" w:firstLine="511" w:firstLineChars="213"/>
              <w:jc w:val="center"/>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2</w:t>
            </w:r>
          </w:p>
        </w:tc>
        <w:tc>
          <w:tcPr>
            <w:tcW w:w="1484" w:type="dxa"/>
            <w:vMerge w:val="restart"/>
            <w:tcBorders>
              <w:top w:val="single" w:color="000000" w:sz="4" w:space="0"/>
              <w:left w:val="single" w:color="000000" w:sz="4" w:space="0"/>
              <w:right w:val="single" w:color="auto" w:sz="4" w:space="0"/>
            </w:tcBorders>
            <w:shd w:val="clear" w:color="auto" w:fill="auto"/>
            <w:noWrap/>
            <w:tcMar>
              <w:top w:w="12" w:type="dxa"/>
              <w:left w:w="12" w:type="dxa"/>
              <w:right w:w="12" w:type="dxa"/>
            </w:tcMar>
            <w:vAlign w:val="center"/>
          </w:tcPr>
          <w:p w14:paraId="00EF8519">
            <w:pPr>
              <w:pStyle w:val="3"/>
              <w:spacing w:line="360" w:lineRule="auto"/>
              <w:ind w:left="0" w:leftChars="0" w:firstLine="511" w:firstLineChars="213"/>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50.55</w:t>
            </w:r>
          </w:p>
        </w:tc>
        <w:tc>
          <w:tcPr>
            <w:tcW w:w="2526" w:type="dxa"/>
            <w:tcBorders>
              <w:top w:val="single" w:color="000000" w:sz="4" w:space="0"/>
              <w:left w:val="single" w:color="auto" w:sz="4" w:space="0"/>
              <w:bottom w:val="single" w:color="000000" w:sz="4" w:space="0"/>
              <w:right w:val="single" w:color="000000" w:sz="4" w:space="0"/>
            </w:tcBorders>
            <w:shd w:val="clear" w:color="auto" w:fill="auto"/>
            <w:noWrap/>
            <w:tcMar>
              <w:top w:w="12" w:type="dxa"/>
              <w:left w:w="12" w:type="dxa"/>
              <w:right w:w="12" w:type="dxa"/>
            </w:tcMar>
            <w:vAlign w:val="center"/>
          </w:tcPr>
          <w:p w14:paraId="12E7E56B">
            <w:pPr>
              <w:pStyle w:val="3"/>
              <w:spacing w:line="360" w:lineRule="auto"/>
              <w:ind w:left="0" w:leftChars="0" w:firstLine="511" w:firstLineChars="213"/>
              <w:jc w:val="center"/>
              <w:rPr>
                <w:rFonts w:hint="eastAsia" w:ascii="宋体" w:hAnsi="宋体" w:cs="宋体"/>
                <w:sz w:val="24"/>
                <w:szCs w:val="24"/>
                <w:highlight w:val="none"/>
              </w:rPr>
            </w:pPr>
            <w:r>
              <w:rPr>
                <w:rFonts w:hint="eastAsia" w:ascii="宋体" w:hAnsi="宋体" w:cs="宋体"/>
                <w:sz w:val="24"/>
                <w:szCs w:val="24"/>
                <w:highlight w:val="none"/>
              </w:rPr>
              <w:t>肉类</w:t>
            </w:r>
            <w:r>
              <w:rPr>
                <w:rFonts w:hint="eastAsia" w:ascii="宋体" w:hAnsi="宋体" w:cs="宋体"/>
                <w:sz w:val="24"/>
                <w:szCs w:val="24"/>
                <w:highlight w:val="none"/>
                <w:lang w:eastAsia="zh-CN"/>
              </w:rPr>
              <w:t>（含冻货）</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EAF087F">
            <w:pPr>
              <w:pStyle w:val="3"/>
              <w:spacing w:line="360" w:lineRule="auto"/>
              <w:ind w:left="0" w:leftChars="0" w:firstLine="511" w:firstLineChars="213"/>
              <w:jc w:val="center"/>
              <w:rPr>
                <w:rFonts w:ascii="宋体" w:hAnsi="宋体" w:cs="宋体"/>
                <w:sz w:val="24"/>
                <w:szCs w:val="24"/>
                <w:highlight w:val="none"/>
              </w:rPr>
            </w:pPr>
            <w:r>
              <w:rPr>
                <w:rFonts w:hint="eastAsia" w:ascii="宋体" w:hAnsi="宋体" w:cs="宋体"/>
                <w:sz w:val="24"/>
                <w:szCs w:val="24"/>
                <w:highlight w:val="none"/>
              </w:rPr>
              <w:t>据实</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36A6199">
            <w:pPr>
              <w:pStyle w:val="3"/>
              <w:spacing w:line="360" w:lineRule="auto"/>
              <w:ind w:left="0" w:leftChars="0" w:firstLine="511" w:firstLineChars="213"/>
              <w:jc w:val="center"/>
              <w:rPr>
                <w:rFonts w:ascii="宋体" w:hAnsi="宋体" w:cs="宋体"/>
                <w:sz w:val="24"/>
                <w:szCs w:val="24"/>
                <w:highlight w:val="none"/>
              </w:rPr>
            </w:pPr>
            <w:r>
              <w:rPr>
                <w:rFonts w:hint="eastAsia" w:ascii="宋体" w:hAnsi="宋体" w:cs="宋体"/>
                <w:sz w:val="24"/>
                <w:szCs w:val="24"/>
                <w:highlight w:val="none"/>
              </w:rPr>
              <w:t>农、林、牧、渔业</w:t>
            </w:r>
          </w:p>
        </w:tc>
      </w:tr>
      <w:tr w14:paraId="3A246F30">
        <w:tblPrEx>
          <w:tblCellMar>
            <w:top w:w="0" w:type="dxa"/>
            <w:left w:w="0" w:type="dxa"/>
            <w:bottom w:w="0" w:type="dxa"/>
            <w:right w:w="0" w:type="dxa"/>
          </w:tblCellMar>
        </w:tblPrEx>
        <w:trPr>
          <w:trHeight w:val="380" w:hRule="atLeast"/>
        </w:trPr>
        <w:tc>
          <w:tcPr>
            <w:tcW w:w="827" w:type="dxa"/>
            <w:vMerge w:val="continue"/>
            <w:tcBorders>
              <w:left w:val="single" w:color="000000" w:sz="4" w:space="0"/>
              <w:right w:val="single" w:color="000000" w:sz="4" w:space="0"/>
            </w:tcBorders>
            <w:shd w:val="clear" w:color="auto" w:fill="auto"/>
            <w:noWrap/>
            <w:tcMar>
              <w:top w:w="12" w:type="dxa"/>
              <w:left w:w="12" w:type="dxa"/>
              <w:right w:w="12" w:type="dxa"/>
            </w:tcMar>
            <w:vAlign w:val="center"/>
          </w:tcPr>
          <w:p w14:paraId="33B31FE3">
            <w:pPr>
              <w:pStyle w:val="3"/>
              <w:spacing w:line="360" w:lineRule="auto"/>
              <w:ind w:left="0" w:leftChars="0" w:firstLine="511" w:firstLineChars="213"/>
              <w:jc w:val="center"/>
              <w:rPr>
                <w:rFonts w:ascii="宋体" w:hAnsi="宋体" w:cs="宋体"/>
                <w:sz w:val="24"/>
                <w:szCs w:val="24"/>
                <w:highlight w:val="none"/>
              </w:rPr>
            </w:pPr>
          </w:p>
        </w:tc>
        <w:tc>
          <w:tcPr>
            <w:tcW w:w="1484" w:type="dxa"/>
            <w:vMerge w:val="continue"/>
            <w:tcBorders>
              <w:left w:val="single" w:color="000000" w:sz="4" w:space="0"/>
              <w:right w:val="single" w:color="auto" w:sz="4" w:space="0"/>
            </w:tcBorders>
            <w:shd w:val="clear" w:color="auto" w:fill="auto"/>
            <w:noWrap/>
            <w:tcMar>
              <w:top w:w="12" w:type="dxa"/>
              <w:left w:w="12" w:type="dxa"/>
              <w:right w:w="12" w:type="dxa"/>
            </w:tcMar>
            <w:vAlign w:val="center"/>
          </w:tcPr>
          <w:p w14:paraId="4FA24A78">
            <w:pPr>
              <w:pStyle w:val="3"/>
              <w:spacing w:line="360" w:lineRule="auto"/>
              <w:ind w:left="0" w:leftChars="0" w:firstLine="511" w:firstLineChars="213"/>
              <w:jc w:val="center"/>
              <w:rPr>
                <w:rFonts w:ascii="宋体" w:hAnsi="宋体" w:cs="宋体"/>
                <w:sz w:val="24"/>
                <w:szCs w:val="24"/>
                <w:highlight w:val="none"/>
              </w:rPr>
            </w:pPr>
          </w:p>
        </w:tc>
        <w:tc>
          <w:tcPr>
            <w:tcW w:w="2526" w:type="dxa"/>
            <w:tcBorders>
              <w:top w:val="single" w:color="000000" w:sz="4" w:space="0"/>
              <w:left w:val="single" w:color="auto" w:sz="4" w:space="0"/>
              <w:bottom w:val="single" w:color="000000" w:sz="4" w:space="0"/>
              <w:right w:val="single" w:color="000000" w:sz="4" w:space="0"/>
            </w:tcBorders>
            <w:shd w:val="clear" w:color="auto" w:fill="auto"/>
            <w:noWrap/>
            <w:tcMar>
              <w:top w:w="12" w:type="dxa"/>
              <w:left w:w="12" w:type="dxa"/>
              <w:right w:w="12" w:type="dxa"/>
            </w:tcMar>
            <w:vAlign w:val="center"/>
          </w:tcPr>
          <w:p w14:paraId="4905C9F9">
            <w:pPr>
              <w:pStyle w:val="3"/>
              <w:spacing w:line="360" w:lineRule="auto"/>
              <w:ind w:left="0" w:leftChars="0" w:firstLine="511" w:firstLineChars="213"/>
              <w:jc w:val="center"/>
              <w:rPr>
                <w:rFonts w:hint="eastAsia" w:ascii="宋体" w:hAnsi="宋体" w:cs="宋体"/>
                <w:sz w:val="24"/>
                <w:szCs w:val="24"/>
                <w:highlight w:val="none"/>
              </w:rPr>
            </w:pPr>
            <w:r>
              <w:rPr>
                <w:rFonts w:hint="eastAsia" w:ascii="宋体" w:hAnsi="宋体" w:cs="宋体"/>
                <w:sz w:val="24"/>
                <w:szCs w:val="24"/>
                <w:highlight w:val="none"/>
              </w:rPr>
              <w:t>禽类</w:t>
            </w:r>
            <w:r>
              <w:rPr>
                <w:rFonts w:hint="eastAsia" w:ascii="宋体" w:hAnsi="宋体" w:cs="宋体"/>
                <w:sz w:val="24"/>
                <w:szCs w:val="24"/>
                <w:highlight w:val="none"/>
                <w:lang w:eastAsia="zh-CN"/>
              </w:rPr>
              <w:t>（含冻货）</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AA90B0A">
            <w:pPr>
              <w:pStyle w:val="3"/>
              <w:spacing w:line="360" w:lineRule="auto"/>
              <w:ind w:left="0" w:leftChars="0" w:firstLine="511" w:firstLineChars="213"/>
              <w:jc w:val="center"/>
              <w:rPr>
                <w:rFonts w:ascii="宋体" w:hAnsi="宋体" w:cs="宋体"/>
                <w:sz w:val="24"/>
                <w:szCs w:val="24"/>
                <w:highlight w:val="none"/>
              </w:rPr>
            </w:pPr>
            <w:r>
              <w:rPr>
                <w:rFonts w:hint="eastAsia" w:ascii="宋体" w:hAnsi="宋体" w:cs="宋体"/>
                <w:sz w:val="24"/>
                <w:szCs w:val="24"/>
                <w:highlight w:val="none"/>
              </w:rPr>
              <w:t>据实</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025E23A">
            <w:pPr>
              <w:pStyle w:val="3"/>
              <w:spacing w:line="360" w:lineRule="auto"/>
              <w:ind w:left="0" w:leftChars="0" w:firstLine="511" w:firstLineChars="213"/>
              <w:jc w:val="center"/>
              <w:rPr>
                <w:rFonts w:ascii="宋体" w:hAnsi="宋体" w:cs="宋体"/>
                <w:sz w:val="24"/>
                <w:szCs w:val="24"/>
                <w:highlight w:val="none"/>
              </w:rPr>
            </w:pPr>
            <w:r>
              <w:rPr>
                <w:rFonts w:hint="eastAsia" w:ascii="宋体" w:hAnsi="宋体" w:cs="宋体"/>
                <w:sz w:val="24"/>
                <w:szCs w:val="24"/>
                <w:highlight w:val="none"/>
              </w:rPr>
              <w:t>农、林、牧、渔业</w:t>
            </w:r>
          </w:p>
        </w:tc>
      </w:tr>
      <w:tr w14:paraId="03629689">
        <w:tblPrEx>
          <w:tblCellMar>
            <w:top w:w="0" w:type="dxa"/>
            <w:left w:w="0" w:type="dxa"/>
            <w:bottom w:w="0" w:type="dxa"/>
            <w:right w:w="0" w:type="dxa"/>
          </w:tblCellMar>
        </w:tblPrEx>
        <w:trPr>
          <w:trHeight w:val="380" w:hRule="atLeast"/>
        </w:trPr>
        <w:tc>
          <w:tcPr>
            <w:tcW w:w="827" w:type="dxa"/>
            <w:vMerge w:val="continue"/>
            <w:tcBorders>
              <w:left w:val="single" w:color="000000" w:sz="4" w:space="0"/>
              <w:right w:val="single" w:color="000000" w:sz="4" w:space="0"/>
            </w:tcBorders>
            <w:shd w:val="clear" w:color="auto" w:fill="auto"/>
            <w:noWrap/>
            <w:tcMar>
              <w:top w:w="12" w:type="dxa"/>
              <w:left w:w="12" w:type="dxa"/>
              <w:right w:w="12" w:type="dxa"/>
            </w:tcMar>
            <w:vAlign w:val="center"/>
          </w:tcPr>
          <w:p w14:paraId="1667CBF3">
            <w:pPr>
              <w:pStyle w:val="3"/>
              <w:spacing w:line="360" w:lineRule="auto"/>
              <w:ind w:left="0" w:leftChars="0" w:firstLine="511" w:firstLineChars="213"/>
              <w:jc w:val="center"/>
              <w:rPr>
                <w:rFonts w:ascii="宋体" w:hAnsi="宋体" w:cs="宋体"/>
                <w:sz w:val="24"/>
                <w:szCs w:val="24"/>
                <w:highlight w:val="none"/>
              </w:rPr>
            </w:pPr>
          </w:p>
        </w:tc>
        <w:tc>
          <w:tcPr>
            <w:tcW w:w="1484" w:type="dxa"/>
            <w:vMerge w:val="continue"/>
            <w:tcBorders>
              <w:left w:val="single" w:color="000000" w:sz="4" w:space="0"/>
              <w:right w:val="single" w:color="auto" w:sz="4" w:space="0"/>
            </w:tcBorders>
            <w:shd w:val="clear" w:color="auto" w:fill="auto"/>
            <w:noWrap/>
            <w:tcMar>
              <w:top w:w="12" w:type="dxa"/>
              <w:left w:w="12" w:type="dxa"/>
              <w:right w:w="12" w:type="dxa"/>
            </w:tcMar>
            <w:vAlign w:val="center"/>
          </w:tcPr>
          <w:p w14:paraId="6D981AD8">
            <w:pPr>
              <w:pStyle w:val="3"/>
              <w:spacing w:line="360" w:lineRule="auto"/>
              <w:ind w:left="0" w:leftChars="0" w:firstLine="511" w:firstLineChars="213"/>
              <w:jc w:val="center"/>
              <w:rPr>
                <w:rFonts w:ascii="宋体" w:hAnsi="宋体" w:cs="宋体"/>
                <w:sz w:val="24"/>
                <w:szCs w:val="24"/>
                <w:highlight w:val="none"/>
              </w:rPr>
            </w:pPr>
          </w:p>
        </w:tc>
        <w:tc>
          <w:tcPr>
            <w:tcW w:w="2526" w:type="dxa"/>
            <w:tcBorders>
              <w:top w:val="single" w:color="000000" w:sz="4" w:space="0"/>
              <w:left w:val="single" w:color="auto" w:sz="4" w:space="0"/>
              <w:bottom w:val="single" w:color="000000" w:sz="4" w:space="0"/>
              <w:right w:val="single" w:color="000000" w:sz="4" w:space="0"/>
            </w:tcBorders>
            <w:shd w:val="clear" w:color="auto" w:fill="auto"/>
            <w:noWrap/>
            <w:tcMar>
              <w:top w:w="12" w:type="dxa"/>
              <w:left w:w="12" w:type="dxa"/>
              <w:right w:w="12" w:type="dxa"/>
            </w:tcMar>
            <w:vAlign w:val="center"/>
          </w:tcPr>
          <w:p w14:paraId="576A6E6F">
            <w:pPr>
              <w:pStyle w:val="3"/>
              <w:spacing w:line="360" w:lineRule="auto"/>
              <w:ind w:left="0" w:leftChars="0" w:firstLine="511" w:firstLineChars="213"/>
              <w:jc w:val="center"/>
              <w:rPr>
                <w:rFonts w:hint="eastAsia" w:ascii="宋体" w:hAnsi="宋体" w:cs="宋体"/>
                <w:sz w:val="24"/>
                <w:szCs w:val="24"/>
                <w:highlight w:val="none"/>
              </w:rPr>
            </w:pPr>
            <w:r>
              <w:rPr>
                <w:rFonts w:hint="eastAsia" w:ascii="宋体" w:hAnsi="宋体" w:cs="宋体"/>
                <w:sz w:val="24"/>
                <w:szCs w:val="24"/>
                <w:highlight w:val="none"/>
              </w:rPr>
              <w:t>蛋类</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9A1C6DE">
            <w:pPr>
              <w:pStyle w:val="3"/>
              <w:spacing w:line="360" w:lineRule="auto"/>
              <w:ind w:left="0" w:leftChars="0" w:firstLine="511" w:firstLineChars="213"/>
              <w:jc w:val="center"/>
              <w:rPr>
                <w:rFonts w:ascii="宋体" w:hAnsi="宋体" w:cs="宋体"/>
                <w:sz w:val="24"/>
                <w:szCs w:val="24"/>
                <w:highlight w:val="none"/>
              </w:rPr>
            </w:pPr>
            <w:r>
              <w:rPr>
                <w:rFonts w:hint="eastAsia" w:ascii="宋体" w:hAnsi="宋体" w:cs="宋体"/>
                <w:sz w:val="24"/>
                <w:szCs w:val="24"/>
                <w:highlight w:val="none"/>
              </w:rPr>
              <w:t>据实</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0DFE797">
            <w:pPr>
              <w:pStyle w:val="3"/>
              <w:spacing w:line="360" w:lineRule="auto"/>
              <w:ind w:left="0" w:leftChars="0" w:firstLine="511" w:firstLineChars="213"/>
              <w:jc w:val="center"/>
              <w:rPr>
                <w:rFonts w:ascii="宋体" w:hAnsi="宋体" w:cs="宋体"/>
                <w:sz w:val="24"/>
                <w:szCs w:val="24"/>
                <w:highlight w:val="none"/>
              </w:rPr>
            </w:pPr>
            <w:r>
              <w:rPr>
                <w:rFonts w:hint="eastAsia" w:ascii="宋体" w:hAnsi="宋体" w:cs="宋体"/>
                <w:sz w:val="24"/>
                <w:szCs w:val="24"/>
                <w:highlight w:val="none"/>
              </w:rPr>
              <w:t>农、林、牧、渔业</w:t>
            </w:r>
          </w:p>
        </w:tc>
      </w:tr>
      <w:tr w14:paraId="07A8833C">
        <w:tblPrEx>
          <w:tblCellMar>
            <w:top w:w="0" w:type="dxa"/>
            <w:left w:w="0" w:type="dxa"/>
            <w:bottom w:w="0" w:type="dxa"/>
            <w:right w:w="0" w:type="dxa"/>
          </w:tblCellMar>
        </w:tblPrEx>
        <w:trPr>
          <w:trHeight w:val="380" w:hRule="atLeast"/>
        </w:trPr>
        <w:tc>
          <w:tcPr>
            <w:tcW w:w="827" w:type="dxa"/>
            <w:vMerge w:val="continue"/>
            <w:tcBorders>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49247A5">
            <w:pPr>
              <w:pStyle w:val="3"/>
              <w:spacing w:line="360" w:lineRule="auto"/>
              <w:ind w:left="0" w:leftChars="0" w:firstLine="511" w:firstLineChars="213"/>
              <w:jc w:val="center"/>
              <w:rPr>
                <w:rFonts w:ascii="宋体" w:hAnsi="宋体" w:cs="宋体"/>
                <w:sz w:val="24"/>
                <w:szCs w:val="24"/>
                <w:highlight w:val="none"/>
              </w:rPr>
            </w:pPr>
          </w:p>
        </w:tc>
        <w:tc>
          <w:tcPr>
            <w:tcW w:w="1484" w:type="dxa"/>
            <w:vMerge w:val="continue"/>
            <w:tcBorders>
              <w:left w:val="single" w:color="000000" w:sz="4" w:space="0"/>
              <w:bottom w:val="single" w:color="000000" w:sz="4" w:space="0"/>
              <w:right w:val="single" w:color="auto" w:sz="4" w:space="0"/>
            </w:tcBorders>
            <w:shd w:val="clear" w:color="auto" w:fill="auto"/>
            <w:noWrap/>
            <w:tcMar>
              <w:top w:w="12" w:type="dxa"/>
              <w:left w:w="12" w:type="dxa"/>
              <w:right w:w="12" w:type="dxa"/>
            </w:tcMar>
            <w:vAlign w:val="center"/>
          </w:tcPr>
          <w:p w14:paraId="12822A9E">
            <w:pPr>
              <w:pStyle w:val="3"/>
              <w:spacing w:line="360" w:lineRule="auto"/>
              <w:ind w:left="0" w:leftChars="0" w:firstLine="511" w:firstLineChars="213"/>
              <w:jc w:val="center"/>
              <w:rPr>
                <w:rFonts w:ascii="宋体" w:hAnsi="宋体" w:cs="宋体"/>
                <w:sz w:val="24"/>
                <w:szCs w:val="24"/>
                <w:highlight w:val="none"/>
              </w:rPr>
            </w:pPr>
          </w:p>
        </w:tc>
        <w:tc>
          <w:tcPr>
            <w:tcW w:w="2526" w:type="dxa"/>
            <w:tcBorders>
              <w:top w:val="single" w:color="000000" w:sz="4" w:space="0"/>
              <w:left w:val="single" w:color="auto" w:sz="4" w:space="0"/>
              <w:bottom w:val="single" w:color="000000" w:sz="4" w:space="0"/>
              <w:right w:val="single" w:color="000000" w:sz="4" w:space="0"/>
            </w:tcBorders>
            <w:shd w:val="clear" w:color="auto" w:fill="auto"/>
            <w:noWrap/>
            <w:tcMar>
              <w:top w:w="12" w:type="dxa"/>
              <w:left w:w="12" w:type="dxa"/>
              <w:right w:w="12" w:type="dxa"/>
            </w:tcMar>
            <w:vAlign w:val="center"/>
          </w:tcPr>
          <w:p w14:paraId="151757CE">
            <w:pPr>
              <w:pStyle w:val="3"/>
              <w:spacing w:line="360" w:lineRule="auto"/>
              <w:ind w:left="0" w:leftChars="0" w:firstLine="511" w:firstLineChars="213"/>
              <w:jc w:val="center"/>
              <w:rPr>
                <w:rFonts w:hint="eastAsia" w:ascii="宋体" w:hAnsi="宋体" w:cs="宋体"/>
                <w:sz w:val="24"/>
                <w:szCs w:val="24"/>
                <w:highlight w:val="none"/>
              </w:rPr>
            </w:pPr>
            <w:r>
              <w:rPr>
                <w:rFonts w:hint="eastAsia" w:ascii="宋体" w:hAnsi="宋体" w:cs="宋体"/>
                <w:sz w:val="24"/>
                <w:szCs w:val="24"/>
                <w:highlight w:val="none"/>
              </w:rPr>
              <w:t>水产类</w:t>
            </w:r>
            <w:r>
              <w:rPr>
                <w:rFonts w:hint="eastAsia" w:ascii="宋体" w:hAnsi="宋体" w:cs="宋体"/>
                <w:sz w:val="24"/>
                <w:szCs w:val="24"/>
                <w:highlight w:val="none"/>
                <w:lang w:eastAsia="zh-CN"/>
              </w:rPr>
              <w:t>（含冻货）</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9858266">
            <w:pPr>
              <w:pStyle w:val="3"/>
              <w:spacing w:line="360" w:lineRule="auto"/>
              <w:ind w:left="0" w:leftChars="0" w:firstLine="511" w:firstLineChars="213"/>
              <w:jc w:val="center"/>
              <w:rPr>
                <w:rFonts w:ascii="宋体" w:hAnsi="宋体" w:cs="宋体"/>
                <w:sz w:val="24"/>
                <w:szCs w:val="24"/>
                <w:highlight w:val="none"/>
              </w:rPr>
            </w:pPr>
            <w:r>
              <w:rPr>
                <w:rFonts w:hint="eastAsia" w:ascii="宋体" w:hAnsi="宋体" w:cs="宋体"/>
                <w:sz w:val="24"/>
                <w:szCs w:val="24"/>
                <w:highlight w:val="none"/>
              </w:rPr>
              <w:t>据实</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C7176F0">
            <w:pPr>
              <w:pStyle w:val="3"/>
              <w:spacing w:line="360" w:lineRule="auto"/>
              <w:ind w:left="0" w:leftChars="0" w:firstLine="511" w:firstLineChars="213"/>
              <w:jc w:val="center"/>
              <w:rPr>
                <w:rFonts w:ascii="宋体" w:hAnsi="宋体" w:cs="宋体"/>
                <w:sz w:val="24"/>
                <w:szCs w:val="24"/>
                <w:highlight w:val="none"/>
              </w:rPr>
            </w:pPr>
            <w:r>
              <w:rPr>
                <w:rFonts w:hint="eastAsia" w:ascii="宋体" w:hAnsi="宋体" w:cs="宋体"/>
                <w:sz w:val="24"/>
                <w:szCs w:val="24"/>
                <w:highlight w:val="none"/>
              </w:rPr>
              <w:t>农、林、牧、渔业</w:t>
            </w:r>
          </w:p>
        </w:tc>
      </w:tr>
    </w:tbl>
    <w:p w14:paraId="38F56306">
      <w:pPr>
        <w:spacing w:line="360" w:lineRule="auto"/>
        <w:ind w:left="0" w:leftChars="0" w:firstLine="539" w:firstLineChars="213"/>
        <w:rPr>
          <w:rFonts w:ascii="宋体" w:hAnsi="宋体" w:cs="仿宋"/>
          <w:b/>
          <w:bCs/>
          <w:spacing w:val="6"/>
          <w:sz w:val="24"/>
          <w:szCs w:val="24"/>
          <w:highlight w:val="none"/>
        </w:rPr>
      </w:pPr>
      <w:r>
        <w:rPr>
          <w:rFonts w:ascii="宋体" w:hAnsi="宋体" w:cs="仿宋"/>
          <w:b/>
          <w:bCs/>
          <w:spacing w:val="6"/>
          <w:sz w:val="24"/>
          <w:szCs w:val="24"/>
          <w:highlight w:val="none"/>
        </w:rPr>
        <w:t>二、商务要求</w:t>
      </w:r>
    </w:p>
    <w:p w14:paraId="747D065F">
      <w:pPr>
        <w:spacing w:line="360" w:lineRule="auto"/>
        <w:ind w:left="0" w:leftChars="0" w:firstLine="502" w:firstLineChars="213"/>
        <w:rPr>
          <w:rFonts w:ascii="宋体" w:hAnsi="宋体" w:cs="仿宋"/>
          <w:spacing w:val="-2"/>
          <w:sz w:val="24"/>
          <w:szCs w:val="24"/>
          <w:highlight w:val="none"/>
        </w:rPr>
      </w:pPr>
      <w:r>
        <w:rPr>
          <w:rFonts w:ascii="宋体" w:hAnsi="宋体" w:cs="仿宋"/>
          <w:spacing w:val="-2"/>
          <w:sz w:val="24"/>
          <w:szCs w:val="24"/>
          <w:highlight w:val="none"/>
        </w:rPr>
        <w:t>★1、交货期及地点</w:t>
      </w:r>
    </w:p>
    <w:p w14:paraId="52A87952">
      <w:pPr>
        <w:spacing w:line="360" w:lineRule="auto"/>
        <w:ind w:left="0" w:leftChars="0" w:firstLine="502" w:firstLineChars="213"/>
        <w:rPr>
          <w:rFonts w:ascii="宋体" w:hAnsi="宋体" w:cs="仿宋"/>
          <w:spacing w:val="-2"/>
          <w:sz w:val="24"/>
          <w:szCs w:val="24"/>
          <w:highlight w:val="none"/>
        </w:rPr>
      </w:pPr>
      <w:r>
        <w:rPr>
          <w:rFonts w:ascii="宋体" w:hAnsi="宋体" w:cs="仿宋"/>
          <w:spacing w:val="-2"/>
          <w:sz w:val="24"/>
          <w:szCs w:val="24"/>
          <w:highlight w:val="none"/>
        </w:rPr>
        <w:t>1.1</w:t>
      </w:r>
      <w:r>
        <w:rPr>
          <w:rFonts w:hint="eastAsia" w:ascii="宋体" w:hAnsi="宋体" w:cs="仿宋"/>
          <w:spacing w:val="-2"/>
          <w:sz w:val="24"/>
          <w:szCs w:val="24"/>
          <w:highlight w:val="none"/>
          <w:lang w:val="en-US" w:eastAsia="zh-CN"/>
        </w:rPr>
        <w:t>供货期限</w:t>
      </w:r>
      <w:r>
        <w:rPr>
          <w:rFonts w:ascii="宋体" w:hAnsi="宋体" w:cs="仿宋"/>
          <w:spacing w:val="-2"/>
          <w:sz w:val="24"/>
          <w:szCs w:val="24"/>
          <w:highlight w:val="none"/>
        </w:rPr>
        <w:t>：合同签订之日起一年。</w:t>
      </w:r>
    </w:p>
    <w:p w14:paraId="44B39466">
      <w:pPr>
        <w:spacing w:line="360" w:lineRule="auto"/>
        <w:ind w:left="0" w:leftChars="0" w:firstLine="502" w:firstLineChars="213"/>
        <w:rPr>
          <w:rFonts w:ascii="宋体" w:hAnsi="宋体" w:cs="仿宋"/>
          <w:spacing w:val="-2"/>
          <w:sz w:val="24"/>
          <w:szCs w:val="24"/>
          <w:highlight w:val="none"/>
        </w:rPr>
      </w:pPr>
      <w:r>
        <w:rPr>
          <w:rFonts w:ascii="宋体" w:hAnsi="宋体" w:cs="仿宋"/>
          <w:spacing w:val="-2"/>
          <w:sz w:val="24"/>
          <w:szCs w:val="24"/>
          <w:highlight w:val="none"/>
        </w:rPr>
        <w:t>1.2交货地点:采购人指定地点。</w:t>
      </w:r>
    </w:p>
    <w:p w14:paraId="6EB68E1A">
      <w:pPr>
        <w:spacing w:line="360" w:lineRule="auto"/>
        <w:ind w:left="0" w:leftChars="0" w:firstLine="502" w:firstLineChars="213"/>
        <w:rPr>
          <w:rFonts w:ascii="宋体" w:hAnsi="宋体" w:cs="仿宋"/>
          <w:spacing w:val="-2"/>
          <w:sz w:val="24"/>
          <w:szCs w:val="24"/>
          <w:highlight w:val="none"/>
        </w:rPr>
      </w:pPr>
      <w:r>
        <w:rPr>
          <w:rFonts w:ascii="宋体" w:hAnsi="宋体" w:cs="仿宋"/>
          <w:spacing w:val="-2"/>
          <w:sz w:val="24"/>
          <w:szCs w:val="24"/>
          <w:highlight w:val="none"/>
        </w:rPr>
        <w:t>★2、总体要求</w:t>
      </w:r>
    </w:p>
    <w:p w14:paraId="00D4381F">
      <w:pPr>
        <w:spacing w:line="360" w:lineRule="auto"/>
        <w:ind w:left="0" w:leftChars="0" w:firstLine="502" w:firstLineChars="213"/>
        <w:rPr>
          <w:rFonts w:ascii="宋体" w:hAnsi="宋体" w:cs="仿宋"/>
          <w:sz w:val="24"/>
          <w:szCs w:val="24"/>
          <w:highlight w:val="none"/>
        </w:rPr>
      </w:pPr>
      <w:r>
        <w:rPr>
          <w:rFonts w:ascii="宋体" w:hAnsi="宋体" w:cs="仿宋"/>
          <w:spacing w:val="-2"/>
          <w:sz w:val="24"/>
          <w:szCs w:val="24"/>
          <w:highlight w:val="none"/>
        </w:rPr>
        <w:t>所有产品必须符合国家的相关标准与要求，并在配送时按要求提供产品所涉及的</w:t>
      </w:r>
      <w:r>
        <w:rPr>
          <w:rFonts w:hint="eastAsia" w:ascii="宋体" w:hAnsi="宋体" w:cs="仿宋"/>
          <w:spacing w:val="-2"/>
          <w:sz w:val="24"/>
          <w:szCs w:val="24"/>
          <w:highlight w:val="none"/>
        </w:rPr>
        <w:t>《食品经营许可证》</w:t>
      </w:r>
      <w:r>
        <w:rPr>
          <w:rFonts w:ascii="宋体" w:hAnsi="宋体" w:cs="仿宋"/>
          <w:spacing w:val="-2"/>
          <w:sz w:val="24"/>
          <w:szCs w:val="24"/>
          <w:highlight w:val="none"/>
        </w:rPr>
        <w:t>、《生猪定点屠宰证》和《动物防疫条件合格证》等国家强制规定材料，不得提供</w:t>
      </w:r>
      <w:r>
        <w:rPr>
          <w:rFonts w:ascii="宋体" w:hAnsi="宋体" w:cs="仿宋"/>
          <w:spacing w:val="6"/>
          <w:sz w:val="24"/>
          <w:szCs w:val="24"/>
          <w:highlight w:val="none"/>
        </w:rPr>
        <w:t>转基因食品或利用转基因食品原料加工的成品。冷链食</w:t>
      </w:r>
      <w:r>
        <w:rPr>
          <w:rFonts w:ascii="宋体" w:hAnsi="宋体" w:cs="仿宋"/>
          <w:spacing w:val="15"/>
          <w:sz w:val="24"/>
          <w:szCs w:val="24"/>
          <w:highlight w:val="none"/>
        </w:rPr>
        <w:t>品</w:t>
      </w:r>
      <w:r>
        <w:rPr>
          <w:rFonts w:ascii="宋体" w:hAnsi="宋体" w:cs="仿宋"/>
          <w:spacing w:val="8"/>
          <w:sz w:val="24"/>
          <w:szCs w:val="24"/>
          <w:highlight w:val="none"/>
        </w:rPr>
        <w:t>必须通过</w:t>
      </w:r>
      <w:r>
        <w:rPr>
          <w:rFonts w:hint="eastAsia" w:ascii="宋体" w:hAnsi="宋体" w:cs="仿宋"/>
          <w:spacing w:val="8"/>
          <w:sz w:val="24"/>
          <w:szCs w:val="24"/>
          <w:highlight w:val="none"/>
        </w:rPr>
        <w:t>新疆维吾尔自治区市场监督管理局建立的“查安康-新疆冷链食品,追溯管理系统”</w:t>
      </w:r>
      <w:r>
        <w:rPr>
          <w:rFonts w:ascii="宋体" w:hAnsi="宋体" w:cs="仿宋"/>
          <w:spacing w:val="12"/>
          <w:sz w:val="24"/>
          <w:szCs w:val="24"/>
          <w:highlight w:val="none"/>
        </w:rPr>
        <w:t>。</w:t>
      </w:r>
      <w:r>
        <w:rPr>
          <w:rFonts w:ascii="宋体" w:hAnsi="宋体" w:cs="仿宋"/>
          <w:spacing w:val="9"/>
          <w:sz w:val="24"/>
          <w:szCs w:val="24"/>
          <w:highlight w:val="none"/>
        </w:rPr>
        <w:t>投</w:t>
      </w:r>
      <w:r>
        <w:rPr>
          <w:rFonts w:ascii="宋体" w:hAnsi="宋体" w:cs="仿宋"/>
          <w:spacing w:val="6"/>
          <w:sz w:val="24"/>
          <w:szCs w:val="24"/>
          <w:highlight w:val="none"/>
        </w:rPr>
        <w:t>标人所供产品达到相关食品卫生安全规定，国家有出台新的更高标准</w:t>
      </w:r>
      <w:r>
        <w:rPr>
          <w:rFonts w:ascii="宋体" w:hAnsi="宋体" w:cs="仿宋"/>
          <w:spacing w:val="12"/>
          <w:sz w:val="24"/>
          <w:szCs w:val="24"/>
          <w:highlight w:val="none"/>
        </w:rPr>
        <w:t>的，以新</w:t>
      </w:r>
      <w:r>
        <w:rPr>
          <w:rFonts w:ascii="宋体" w:hAnsi="宋体" w:cs="仿宋"/>
          <w:spacing w:val="9"/>
          <w:sz w:val="24"/>
          <w:szCs w:val="24"/>
          <w:highlight w:val="none"/>
        </w:rPr>
        <w:t>的</w:t>
      </w:r>
      <w:r>
        <w:rPr>
          <w:rFonts w:ascii="宋体" w:hAnsi="宋体" w:cs="仿宋"/>
          <w:spacing w:val="6"/>
          <w:sz w:val="24"/>
          <w:szCs w:val="24"/>
          <w:highlight w:val="none"/>
        </w:rPr>
        <w:t>更高标准为准，保证所供产品配送到被服务单位时的质量、卫生和安</w:t>
      </w:r>
      <w:r>
        <w:rPr>
          <w:rFonts w:ascii="宋体" w:hAnsi="宋体" w:cs="仿宋"/>
          <w:spacing w:val="12"/>
          <w:sz w:val="24"/>
          <w:szCs w:val="24"/>
          <w:highlight w:val="none"/>
        </w:rPr>
        <w:t>全</w:t>
      </w:r>
      <w:r>
        <w:rPr>
          <w:rFonts w:ascii="宋体" w:hAnsi="宋体" w:cs="仿宋"/>
          <w:b/>
          <w:bCs/>
          <w:spacing w:val="6"/>
          <w:sz w:val="24"/>
          <w:szCs w:val="24"/>
          <w:highlight w:val="none"/>
        </w:rPr>
        <w:t>(投标投标人</w:t>
      </w:r>
      <w:r>
        <w:rPr>
          <w:rFonts w:hint="eastAsia" w:ascii="宋体" w:hAnsi="宋体" w:cs="仿宋"/>
          <w:b/>
          <w:bCs/>
          <w:spacing w:val="6"/>
          <w:sz w:val="24"/>
          <w:szCs w:val="24"/>
          <w:highlight w:val="none"/>
        </w:rPr>
        <w:t>应</w:t>
      </w:r>
      <w:r>
        <w:rPr>
          <w:rFonts w:ascii="宋体" w:hAnsi="宋体" w:cs="仿宋"/>
          <w:b/>
          <w:bCs/>
          <w:spacing w:val="6"/>
          <w:sz w:val="24"/>
          <w:szCs w:val="24"/>
          <w:highlight w:val="none"/>
        </w:rPr>
        <w:t>提供单独承诺函)</w:t>
      </w:r>
      <w:r>
        <w:rPr>
          <w:rFonts w:ascii="宋体" w:hAnsi="宋体" w:cs="仿宋"/>
          <w:spacing w:val="6"/>
          <w:sz w:val="24"/>
          <w:szCs w:val="24"/>
          <w:highlight w:val="none"/>
        </w:rPr>
        <w:t>。</w:t>
      </w:r>
    </w:p>
    <w:p w14:paraId="4048EBF1">
      <w:pPr>
        <w:spacing w:line="360" w:lineRule="auto"/>
        <w:ind w:left="0" w:leftChars="0" w:firstLine="545" w:firstLineChars="213"/>
        <w:rPr>
          <w:rFonts w:ascii="宋体" w:hAnsi="宋体" w:cs="仿宋"/>
          <w:spacing w:val="8"/>
          <w:sz w:val="24"/>
          <w:szCs w:val="24"/>
          <w:highlight w:val="none"/>
        </w:rPr>
      </w:pPr>
      <w:r>
        <w:rPr>
          <w:rFonts w:ascii="宋体" w:hAnsi="宋体" w:cs="仿宋"/>
          <w:spacing w:val="8"/>
          <w:sz w:val="24"/>
          <w:szCs w:val="24"/>
          <w:highlight w:val="none"/>
        </w:rPr>
        <w:t>★3、验收标准</w:t>
      </w:r>
    </w:p>
    <w:p w14:paraId="148328BC">
      <w:pPr>
        <w:spacing w:line="360" w:lineRule="auto"/>
        <w:ind w:left="0" w:leftChars="0" w:firstLine="547" w:firstLineChars="213"/>
        <w:rPr>
          <w:rFonts w:ascii="宋体" w:hAnsi="宋体" w:cs="仿宋"/>
          <w:b/>
          <w:bCs/>
          <w:spacing w:val="8"/>
          <w:sz w:val="24"/>
          <w:szCs w:val="24"/>
          <w:highlight w:val="none"/>
        </w:rPr>
      </w:pPr>
      <w:r>
        <w:rPr>
          <w:rFonts w:hint="eastAsia" w:ascii="宋体" w:hAnsi="宋体" w:cs="仿宋"/>
          <w:b/>
          <w:bCs/>
          <w:spacing w:val="8"/>
          <w:sz w:val="24"/>
          <w:szCs w:val="24"/>
          <w:highlight w:val="none"/>
        </w:rPr>
        <w:t>(1)验收时间：送达随即验收。</w:t>
      </w:r>
    </w:p>
    <w:p w14:paraId="4995F97D">
      <w:pPr>
        <w:spacing w:line="360" w:lineRule="auto"/>
        <w:ind w:left="0" w:leftChars="0" w:firstLine="547" w:firstLineChars="213"/>
        <w:rPr>
          <w:rFonts w:ascii="宋体" w:hAnsi="宋体" w:cs="仿宋"/>
          <w:b/>
          <w:bCs/>
          <w:spacing w:val="8"/>
          <w:sz w:val="24"/>
          <w:szCs w:val="24"/>
          <w:highlight w:val="none"/>
        </w:rPr>
      </w:pPr>
      <w:r>
        <w:rPr>
          <w:rFonts w:hint="eastAsia" w:ascii="宋体" w:hAnsi="宋体" w:cs="仿宋"/>
          <w:b/>
          <w:bCs/>
          <w:spacing w:val="8"/>
          <w:sz w:val="24"/>
          <w:szCs w:val="24"/>
          <w:highlight w:val="none"/>
        </w:rPr>
        <w:t>(2)验收方式：按照采购产品质量及要求的规定逐一检查，验收人员对不合格货品有权要求无条件进行退货、换货。</w:t>
      </w:r>
    </w:p>
    <w:p w14:paraId="73CD1662">
      <w:pPr>
        <w:spacing w:line="360" w:lineRule="auto"/>
        <w:ind w:left="0" w:leftChars="0" w:firstLine="545" w:firstLineChars="213"/>
        <w:rPr>
          <w:rFonts w:ascii="宋体" w:hAnsi="宋体" w:cs="仿宋"/>
          <w:spacing w:val="8"/>
          <w:sz w:val="24"/>
          <w:szCs w:val="24"/>
          <w:highlight w:val="none"/>
        </w:rPr>
      </w:pPr>
      <w:r>
        <w:rPr>
          <w:rFonts w:hint="eastAsia" w:ascii="宋体" w:hAnsi="宋体" w:cs="仿宋"/>
          <w:spacing w:val="8"/>
          <w:sz w:val="24"/>
          <w:szCs w:val="24"/>
          <w:highlight w:val="none"/>
        </w:rPr>
        <w:t>(3)根据《财政部关于进一步加强政府采购需求和履约验收管理的指导意见》(财库〔2016〕205号)等相关规定要求进行验收。</w:t>
      </w:r>
    </w:p>
    <w:p w14:paraId="21EB6F84">
      <w:pPr>
        <w:spacing w:line="360" w:lineRule="auto"/>
        <w:ind w:left="0" w:leftChars="0" w:firstLine="547" w:firstLineChars="213"/>
        <w:rPr>
          <w:rFonts w:ascii="宋体" w:hAnsi="宋体" w:cs="仿宋"/>
          <w:b/>
          <w:bCs/>
          <w:spacing w:val="8"/>
          <w:sz w:val="24"/>
          <w:szCs w:val="24"/>
          <w:highlight w:val="none"/>
        </w:rPr>
      </w:pPr>
      <w:r>
        <w:rPr>
          <w:rFonts w:hint="eastAsia" w:ascii="宋体" w:hAnsi="宋体" w:cs="仿宋"/>
          <w:b/>
          <w:bCs/>
          <w:spacing w:val="8"/>
          <w:sz w:val="24"/>
          <w:szCs w:val="24"/>
          <w:highlight w:val="none"/>
        </w:rPr>
        <w:t>★4、货款结算</w:t>
      </w:r>
    </w:p>
    <w:p w14:paraId="205D3891">
      <w:pPr>
        <w:spacing w:line="360" w:lineRule="auto"/>
        <w:ind w:left="0" w:leftChars="0" w:firstLine="562" w:firstLineChars="213"/>
        <w:rPr>
          <w:rFonts w:ascii="宋体" w:hAnsi="宋体" w:cs="仿宋"/>
          <w:spacing w:val="12"/>
          <w:sz w:val="24"/>
          <w:szCs w:val="24"/>
          <w:highlight w:val="none"/>
        </w:rPr>
      </w:pPr>
      <w:r>
        <w:rPr>
          <w:rFonts w:hint="eastAsia" w:ascii="宋体" w:hAnsi="宋体" w:cs="仿宋"/>
          <w:spacing w:val="12"/>
          <w:sz w:val="24"/>
          <w:szCs w:val="24"/>
          <w:highlight w:val="none"/>
        </w:rPr>
        <w:t>4.1货款实行按月结算，当月支付上月货款，货款系包含商品本身、商品包装费、交货所需的运输费用、保险费用及其他因商品采购事宜而产生的所有含税费用。采购人与中标投标人共同核实本月实际供货清单，并结合月度考评结果确定后，由中标投标人出具完整合法有效的发票。采购人在收到中标投标人开具的发票后15个工作日内以转账的方式支付到中标投标人银行账户。</w:t>
      </w:r>
    </w:p>
    <w:p w14:paraId="11E14073">
      <w:pPr>
        <w:spacing w:line="360" w:lineRule="auto"/>
        <w:ind w:left="0" w:leftChars="0" w:firstLine="562" w:firstLineChars="213"/>
        <w:rPr>
          <w:rFonts w:ascii="宋体" w:hAnsi="宋体" w:cs="仿宋"/>
          <w:spacing w:val="12"/>
          <w:sz w:val="24"/>
          <w:szCs w:val="24"/>
          <w:highlight w:val="none"/>
        </w:rPr>
      </w:pPr>
      <w:r>
        <w:rPr>
          <w:rFonts w:hint="eastAsia" w:ascii="宋体" w:hAnsi="宋体" w:cs="仿宋"/>
          <w:spacing w:val="12"/>
          <w:sz w:val="24"/>
          <w:szCs w:val="24"/>
          <w:highlight w:val="none"/>
        </w:rPr>
        <w:t>4.2主副食品结算方式：</w:t>
      </w:r>
    </w:p>
    <w:p w14:paraId="3481649D">
      <w:pPr>
        <w:spacing w:line="360" w:lineRule="auto"/>
        <w:ind w:left="0" w:leftChars="0" w:firstLine="562" w:firstLineChars="213"/>
        <w:rPr>
          <w:rFonts w:ascii="宋体" w:hAnsi="宋体" w:cs="仿宋"/>
          <w:spacing w:val="12"/>
          <w:sz w:val="24"/>
          <w:szCs w:val="24"/>
          <w:highlight w:val="none"/>
        </w:rPr>
      </w:pPr>
      <w:r>
        <w:rPr>
          <w:rFonts w:hint="eastAsia" w:ascii="宋体" w:hAnsi="宋体" w:cs="仿宋"/>
          <w:spacing w:val="12"/>
          <w:sz w:val="24"/>
          <w:szCs w:val="24"/>
          <w:highlight w:val="none"/>
        </w:rPr>
        <w:t>基准价：是指按吐鲁番市发改委提供的市场零售价作为基准点参考依据。</w:t>
      </w:r>
    </w:p>
    <w:p w14:paraId="64F62E9B">
      <w:pPr>
        <w:spacing w:line="360" w:lineRule="auto"/>
        <w:ind w:left="0" w:leftChars="0" w:firstLine="562" w:firstLineChars="213"/>
        <w:rPr>
          <w:rFonts w:ascii="宋体" w:hAnsi="宋体" w:cs="仿宋"/>
          <w:spacing w:val="12"/>
          <w:sz w:val="24"/>
          <w:szCs w:val="24"/>
          <w:highlight w:val="none"/>
        </w:rPr>
      </w:pPr>
      <w:r>
        <w:rPr>
          <w:rFonts w:hint="eastAsia" w:ascii="宋体" w:hAnsi="宋体" w:cs="仿宋"/>
          <w:spacing w:val="12"/>
          <w:sz w:val="24"/>
          <w:szCs w:val="24"/>
          <w:highlight w:val="none"/>
        </w:rPr>
        <w:t>结算公式：实际供货量*基准价*(1-下浮比例)</w:t>
      </w:r>
    </w:p>
    <w:p w14:paraId="17782890">
      <w:pPr>
        <w:spacing w:line="360" w:lineRule="auto"/>
        <w:ind w:left="0" w:leftChars="0" w:firstLine="562" w:firstLineChars="213"/>
        <w:rPr>
          <w:rFonts w:ascii="宋体" w:hAnsi="宋体" w:cs="仿宋"/>
          <w:spacing w:val="12"/>
          <w:sz w:val="24"/>
          <w:szCs w:val="24"/>
          <w:highlight w:val="none"/>
        </w:rPr>
      </w:pPr>
      <w:r>
        <w:rPr>
          <w:rFonts w:hint="eastAsia" w:ascii="宋体" w:hAnsi="宋体" w:cs="仿宋"/>
          <w:spacing w:val="12"/>
          <w:sz w:val="24"/>
          <w:szCs w:val="24"/>
          <w:highlight w:val="none"/>
        </w:rPr>
        <w:t>4.</w:t>
      </w:r>
      <w:r>
        <w:rPr>
          <w:rFonts w:hint="eastAsia" w:ascii="宋体" w:hAnsi="宋体" w:cs="仿宋"/>
          <w:spacing w:val="12"/>
          <w:sz w:val="24"/>
          <w:szCs w:val="24"/>
          <w:highlight w:val="none"/>
          <w:lang w:val="en-US" w:eastAsia="zh-CN"/>
        </w:rPr>
        <w:t>3</w:t>
      </w:r>
      <w:r>
        <w:rPr>
          <w:rFonts w:hint="eastAsia" w:ascii="宋体" w:hAnsi="宋体" w:cs="仿宋"/>
          <w:spacing w:val="12"/>
          <w:sz w:val="24"/>
          <w:szCs w:val="24"/>
          <w:highlight w:val="none"/>
        </w:rPr>
        <w:t>除额定包装的食材，其余需称重计量的，双方共同校对计量称，所供食材的数量以采购人过磅为准，并由采购人验收人员签字确认；由采购人验收人员签字确认的数量即视为双方均认可的数量。</w:t>
      </w:r>
    </w:p>
    <w:p w14:paraId="27B46637">
      <w:pPr>
        <w:spacing w:line="360" w:lineRule="auto"/>
        <w:ind w:left="0" w:leftChars="0" w:firstLine="547" w:firstLineChars="213"/>
        <w:rPr>
          <w:rFonts w:ascii="宋体" w:hAnsi="宋体" w:cs="黑体"/>
          <w:b/>
          <w:bCs/>
          <w:spacing w:val="8"/>
          <w:sz w:val="24"/>
          <w:szCs w:val="24"/>
          <w:highlight w:val="none"/>
        </w:rPr>
      </w:pPr>
      <w:r>
        <w:rPr>
          <w:rFonts w:hint="eastAsia" w:ascii="宋体" w:hAnsi="宋体" w:cs="黑体"/>
          <w:b/>
          <w:bCs/>
          <w:spacing w:val="8"/>
          <w:sz w:val="24"/>
          <w:szCs w:val="24"/>
          <w:highlight w:val="none"/>
        </w:rPr>
        <w:t>三、技术、服务要求</w:t>
      </w:r>
    </w:p>
    <w:p w14:paraId="6A953905">
      <w:pPr>
        <w:spacing w:line="360" w:lineRule="auto"/>
        <w:ind w:left="0" w:leftChars="0" w:firstLine="547" w:firstLineChars="213"/>
        <w:rPr>
          <w:rFonts w:ascii="宋体" w:hAnsi="宋体" w:cs="仿宋"/>
          <w:b/>
          <w:bCs/>
          <w:spacing w:val="8"/>
          <w:sz w:val="24"/>
          <w:szCs w:val="24"/>
          <w:highlight w:val="none"/>
        </w:rPr>
      </w:pPr>
      <w:r>
        <w:rPr>
          <w:rFonts w:ascii="宋体" w:hAnsi="宋体" w:cs="仿宋"/>
          <w:b/>
          <w:bCs/>
          <w:spacing w:val="8"/>
          <w:sz w:val="24"/>
          <w:szCs w:val="24"/>
          <w:highlight w:val="none"/>
        </w:rPr>
        <w:t>(一)技术要求</w:t>
      </w:r>
    </w:p>
    <w:p w14:paraId="77AB7ACF">
      <w:pPr>
        <w:spacing w:line="360" w:lineRule="auto"/>
        <w:ind w:left="0" w:leftChars="0" w:firstLine="545" w:firstLineChars="213"/>
        <w:rPr>
          <w:rFonts w:ascii="宋体" w:hAnsi="宋体" w:cs="仿宋"/>
          <w:spacing w:val="8"/>
          <w:sz w:val="24"/>
          <w:szCs w:val="24"/>
          <w:highlight w:val="none"/>
        </w:rPr>
      </w:pPr>
      <w:r>
        <w:rPr>
          <w:rFonts w:ascii="宋体" w:hAnsi="宋体" w:cs="仿宋"/>
          <w:spacing w:val="8"/>
          <w:sz w:val="24"/>
          <w:szCs w:val="24"/>
          <w:highlight w:val="none"/>
        </w:rPr>
        <w:t>1、肉类、禽类、水产类、蛋类：肉类包括猪、牛、羊等畜类，禽类包括鸡、鸭、鹅等禽类，水产类包括草鱼、鲢鱼、鲫鱼等，蛋类包括鸡蛋、鸭蛋等。</w:t>
      </w:r>
    </w:p>
    <w:p w14:paraId="0D74F1F2">
      <w:pPr>
        <w:spacing w:line="360" w:lineRule="auto"/>
        <w:ind w:left="0" w:leftChars="0" w:firstLine="545" w:firstLineChars="213"/>
        <w:rPr>
          <w:rFonts w:ascii="宋体" w:hAnsi="宋体" w:cs="仿宋"/>
          <w:spacing w:val="5"/>
          <w:sz w:val="24"/>
          <w:szCs w:val="24"/>
          <w:highlight w:val="none"/>
        </w:rPr>
      </w:pPr>
      <w:r>
        <w:rPr>
          <w:rFonts w:ascii="宋体" w:hAnsi="宋体" w:cs="仿宋"/>
          <w:spacing w:val="8"/>
          <w:sz w:val="24"/>
          <w:szCs w:val="24"/>
          <w:highlight w:val="none"/>
        </w:rPr>
        <w:t>1.1产品总体要</w:t>
      </w:r>
      <w:r>
        <w:rPr>
          <w:rFonts w:ascii="宋体" w:hAnsi="宋体" w:cs="仿宋"/>
          <w:spacing w:val="5"/>
          <w:sz w:val="24"/>
          <w:szCs w:val="24"/>
          <w:highlight w:val="none"/>
        </w:rPr>
        <w:t>求(技术要求)</w:t>
      </w:r>
    </w:p>
    <w:p w14:paraId="3A14C9C3">
      <w:pPr>
        <w:spacing w:line="360" w:lineRule="auto"/>
        <w:ind w:left="0" w:leftChars="0" w:firstLine="532" w:firstLineChars="213"/>
        <w:rPr>
          <w:rFonts w:ascii="宋体" w:hAnsi="宋体" w:cs="仿宋"/>
          <w:spacing w:val="5"/>
          <w:sz w:val="24"/>
          <w:szCs w:val="24"/>
          <w:highlight w:val="none"/>
        </w:rPr>
      </w:pPr>
      <w:r>
        <w:rPr>
          <w:rFonts w:ascii="宋体" w:hAnsi="宋体" w:cs="仿宋"/>
          <w:spacing w:val="5"/>
          <w:sz w:val="24"/>
          <w:szCs w:val="24"/>
          <w:highlight w:val="none"/>
        </w:rPr>
        <w:t>生鲜类(数量、品类：根据采购人实际需要品种、数量提供。)</w:t>
      </w:r>
    </w:p>
    <w:p w14:paraId="32266516">
      <w:pPr>
        <w:spacing w:line="360" w:lineRule="auto"/>
        <w:ind w:left="0" w:leftChars="0" w:firstLine="532" w:firstLineChars="213"/>
        <w:rPr>
          <w:rFonts w:ascii="宋体" w:hAnsi="宋体" w:cs="仿宋"/>
          <w:spacing w:val="5"/>
          <w:sz w:val="24"/>
          <w:szCs w:val="24"/>
          <w:highlight w:val="none"/>
        </w:rPr>
      </w:pPr>
      <w:r>
        <w:rPr>
          <w:rFonts w:ascii="宋体" w:hAnsi="宋体" w:cs="仿宋"/>
          <w:spacing w:val="5"/>
          <w:sz w:val="24"/>
          <w:szCs w:val="24"/>
          <w:highlight w:val="none"/>
        </w:rPr>
        <w:t>肉类、禽类，符合GB31650国家最新标准规定，食品中兽药最大残留限量的规定。</w:t>
      </w:r>
    </w:p>
    <w:p w14:paraId="179CB42A">
      <w:pPr>
        <w:spacing w:line="360" w:lineRule="auto"/>
        <w:ind w:left="0" w:leftChars="0" w:firstLine="532" w:firstLineChars="213"/>
        <w:rPr>
          <w:rFonts w:ascii="宋体" w:hAnsi="宋体" w:cs="仿宋"/>
          <w:spacing w:val="5"/>
          <w:sz w:val="24"/>
          <w:szCs w:val="24"/>
          <w:highlight w:val="none"/>
        </w:rPr>
      </w:pPr>
      <w:r>
        <w:rPr>
          <w:rFonts w:ascii="宋体" w:hAnsi="宋体" w:cs="仿宋"/>
          <w:spacing w:val="5"/>
          <w:sz w:val="24"/>
          <w:szCs w:val="24"/>
          <w:highlight w:val="none"/>
        </w:rPr>
        <w:t>冷鲜肉一级，符合GB/T9959国家最新标准规定和国家卫生、安全标准要。</w:t>
      </w:r>
    </w:p>
    <w:p w14:paraId="38168DEB">
      <w:pPr>
        <w:spacing w:line="360" w:lineRule="auto"/>
        <w:ind w:left="0" w:leftChars="0" w:firstLine="532" w:firstLineChars="213"/>
        <w:rPr>
          <w:rFonts w:ascii="宋体" w:hAnsi="宋体" w:cs="仿宋"/>
          <w:spacing w:val="5"/>
          <w:sz w:val="24"/>
          <w:szCs w:val="24"/>
          <w:highlight w:val="none"/>
        </w:rPr>
      </w:pPr>
      <w:r>
        <w:rPr>
          <w:rFonts w:ascii="宋体" w:hAnsi="宋体" w:cs="仿宋"/>
          <w:spacing w:val="5"/>
          <w:sz w:val="24"/>
          <w:szCs w:val="24"/>
          <w:highlight w:val="none"/>
        </w:rPr>
        <w:t>1.1.1无槽头肉和血刀肉；甲状腺、肾上腺、病变淋巴摘除干净；无残留毛</w:t>
      </w:r>
    </w:p>
    <w:p w14:paraId="3D52BB19">
      <w:pPr>
        <w:spacing w:line="360" w:lineRule="auto"/>
        <w:ind w:left="0" w:leftChars="0" w:firstLine="532" w:firstLineChars="213"/>
        <w:rPr>
          <w:rFonts w:ascii="宋体" w:hAnsi="宋体" w:cs="仿宋"/>
          <w:spacing w:val="5"/>
          <w:sz w:val="24"/>
          <w:szCs w:val="24"/>
          <w:highlight w:val="none"/>
        </w:rPr>
      </w:pPr>
      <w:r>
        <w:rPr>
          <w:rFonts w:ascii="宋体" w:hAnsi="宋体" w:cs="仿宋"/>
          <w:spacing w:val="5"/>
          <w:sz w:val="24"/>
          <w:szCs w:val="24"/>
          <w:highlight w:val="none"/>
        </w:rPr>
        <w:t>绒，不带长短毛；不带浮毛、凝血块、胆污、粪污及其他污染物。</w:t>
      </w:r>
    </w:p>
    <w:p w14:paraId="29418E53">
      <w:pPr>
        <w:spacing w:line="360" w:lineRule="auto"/>
        <w:ind w:left="0" w:leftChars="0" w:firstLine="545" w:firstLineChars="213"/>
        <w:rPr>
          <w:rFonts w:ascii="宋体" w:hAnsi="宋体" w:cs="仿宋"/>
          <w:spacing w:val="8"/>
          <w:sz w:val="24"/>
          <w:szCs w:val="24"/>
          <w:highlight w:val="none"/>
        </w:rPr>
      </w:pPr>
      <w:r>
        <w:rPr>
          <w:rFonts w:ascii="宋体" w:hAnsi="宋体" w:cs="仿宋"/>
          <w:spacing w:val="8"/>
          <w:sz w:val="24"/>
          <w:szCs w:val="24"/>
          <w:highlight w:val="none"/>
        </w:rPr>
        <w:t>1.1.2色泽：肌肉色泽鲜红或深红，有光泽；脂肪呈乳白色或粉白色。</w:t>
      </w:r>
    </w:p>
    <w:p w14:paraId="75DF897B">
      <w:pPr>
        <w:spacing w:line="360" w:lineRule="auto"/>
        <w:ind w:left="0" w:leftChars="0" w:firstLine="545" w:firstLineChars="213"/>
        <w:rPr>
          <w:rFonts w:ascii="宋体" w:hAnsi="宋体" w:cs="仿宋"/>
          <w:spacing w:val="8"/>
          <w:sz w:val="24"/>
          <w:szCs w:val="24"/>
          <w:highlight w:val="none"/>
        </w:rPr>
      </w:pPr>
      <w:r>
        <w:rPr>
          <w:rFonts w:ascii="宋体" w:hAnsi="宋体" w:cs="仿宋"/>
          <w:spacing w:val="8"/>
          <w:sz w:val="24"/>
          <w:szCs w:val="24"/>
          <w:highlight w:val="none"/>
        </w:rPr>
        <w:t>1.1.3弹性(组织状态)：指压后的凹陷立即恢复。</w:t>
      </w:r>
    </w:p>
    <w:p w14:paraId="74DF727D">
      <w:pPr>
        <w:spacing w:line="360" w:lineRule="auto"/>
        <w:ind w:left="0" w:leftChars="0" w:firstLine="545" w:firstLineChars="213"/>
        <w:rPr>
          <w:rFonts w:ascii="宋体" w:hAnsi="宋体" w:cs="仿宋"/>
          <w:spacing w:val="8"/>
          <w:sz w:val="24"/>
          <w:szCs w:val="24"/>
          <w:highlight w:val="none"/>
        </w:rPr>
      </w:pPr>
      <w:r>
        <w:rPr>
          <w:rFonts w:ascii="宋体" w:hAnsi="宋体" w:cs="仿宋"/>
          <w:spacing w:val="8"/>
          <w:sz w:val="24"/>
          <w:szCs w:val="24"/>
          <w:highlight w:val="none"/>
        </w:rPr>
        <w:t>1.1.4粘度：外表微干或微湿润，不粘手。</w:t>
      </w:r>
    </w:p>
    <w:p w14:paraId="5A47AC25">
      <w:pPr>
        <w:spacing w:line="360" w:lineRule="auto"/>
        <w:ind w:left="0" w:leftChars="0" w:firstLine="545" w:firstLineChars="213"/>
        <w:rPr>
          <w:rFonts w:ascii="宋体" w:hAnsi="宋体" w:cs="仿宋"/>
          <w:spacing w:val="8"/>
          <w:sz w:val="24"/>
          <w:szCs w:val="24"/>
          <w:highlight w:val="none"/>
        </w:rPr>
      </w:pPr>
      <w:r>
        <w:rPr>
          <w:rFonts w:ascii="宋体" w:hAnsi="宋体" w:cs="仿宋"/>
          <w:spacing w:val="8"/>
          <w:sz w:val="24"/>
          <w:szCs w:val="24"/>
          <w:highlight w:val="none"/>
        </w:rPr>
        <w:t>1.1.5气味：具有鲜猪肉正常气味。煮沸后肉汤透明澄清，脂肪团聚于液</w:t>
      </w:r>
      <w:r>
        <w:rPr>
          <w:rFonts w:hint="eastAsia" w:ascii="宋体" w:hAnsi="宋体" w:cs="仿宋"/>
          <w:spacing w:val="8"/>
          <w:sz w:val="24"/>
          <w:szCs w:val="24"/>
          <w:highlight w:val="none"/>
        </w:rPr>
        <w:t>面，</w:t>
      </w:r>
      <w:r>
        <w:rPr>
          <w:rFonts w:ascii="宋体" w:hAnsi="宋体" w:cs="仿宋"/>
          <w:spacing w:val="8"/>
          <w:sz w:val="24"/>
          <w:szCs w:val="24"/>
          <w:highlight w:val="none"/>
        </w:rPr>
        <w:t>具有香味。</w:t>
      </w:r>
    </w:p>
    <w:p w14:paraId="106B6990">
      <w:pPr>
        <w:spacing w:line="360" w:lineRule="auto"/>
        <w:ind w:left="0" w:leftChars="0" w:firstLine="545" w:firstLineChars="213"/>
        <w:rPr>
          <w:rFonts w:ascii="宋体" w:hAnsi="宋体" w:cs="仿宋"/>
          <w:spacing w:val="8"/>
          <w:sz w:val="24"/>
          <w:szCs w:val="24"/>
          <w:highlight w:val="none"/>
        </w:rPr>
      </w:pPr>
      <w:r>
        <w:rPr>
          <w:rFonts w:ascii="宋体" w:hAnsi="宋体" w:cs="仿宋"/>
          <w:spacing w:val="8"/>
          <w:sz w:val="24"/>
          <w:szCs w:val="24"/>
          <w:highlight w:val="none"/>
        </w:rPr>
        <w:t>1.1.6产品符合GB/T9959国家最新标准分割鲜冻猪瘦肉，GB31650国家最新标准食品中兽药最大残留限量。</w:t>
      </w:r>
    </w:p>
    <w:p w14:paraId="6DB48239">
      <w:pPr>
        <w:spacing w:line="360" w:lineRule="auto"/>
        <w:ind w:left="0" w:leftChars="0" w:firstLine="545" w:firstLineChars="213"/>
        <w:rPr>
          <w:rFonts w:ascii="宋体" w:hAnsi="宋体" w:cs="仿宋"/>
          <w:sz w:val="24"/>
          <w:szCs w:val="24"/>
          <w:highlight w:val="none"/>
        </w:rPr>
      </w:pPr>
      <w:r>
        <w:rPr>
          <w:rFonts w:ascii="宋体" w:hAnsi="宋体" w:cs="仿宋"/>
          <w:spacing w:val="8"/>
          <w:sz w:val="24"/>
          <w:szCs w:val="24"/>
          <w:highlight w:val="none"/>
        </w:rPr>
        <w:t>1.1.7国家有定点屠宰、检验检疫要求的品种，应来自于定点屠宰厂出品、有国家规定的动物产品检疫合格证明及验讫印章、肉品品质检验合格证明及验讫印章(随每批次供货时按批</w:t>
      </w:r>
      <w:r>
        <w:rPr>
          <w:rFonts w:ascii="宋体" w:hAnsi="宋体" w:cs="仿宋"/>
          <w:spacing w:val="6"/>
          <w:sz w:val="24"/>
          <w:szCs w:val="24"/>
          <w:highlight w:val="none"/>
        </w:rPr>
        <w:t>次提供)。鲜猪肉(当日生产)符合</w:t>
      </w:r>
      <w:r>
        <w:rPr>
          <w:rFonts w:hint="eastAsia" w:ascii="宋体" w:hAnsi="宋体" w:cs="仿宋"/>
          <w:spacing w:val="6"/>
          <w:sz w:val="24"/>
          <w:szCs w:val="24"/>
          <w:highlight w:val="none"/>
          <w:lang w:val="en-US" w:eastAsia="zh-CN"/>
        </w:rPr>
        <w:t>吐鲁番市</w:t>
      </w:r>
      <w:r>
        <w:rPr>
          <w:rFonts w:ascii="宋体" w:hAnsi="宋体" w:cs="仿宋"/>
          <w:spacing w:val="6"/>
          <w:sz w:val="24"/>
          <w:szCs w:val="24"/>
          <w:highlight w:val="none"/>
        </w:rPr>
        <w:t>生猪溯源体</w:t>
      </w:r>
      <w:r>
        <w:rPr>
          <w:rFonts w:ascii="宋体" w:hAnsi="宋体" w:cs="仿宋"/>
          <w:spacing w:val="7"/>
          <w:sz w:val="24"/>
          <w:szCs w:val="24"/>
          <w:highlight w:val="none"/>
        </w:rPr>
        <w:t>系的要求，并将溯源资料交采购人备案待查。配送时具有动检部门检疫印章和</w:t>
      </w:r>
      <w:r>
        <w:rPr>
          <w:rFonts w:ascii="宋体" w:hAnsi="宋体" w:cs="仿宋"/>
          <w:spacing w:val="5"/>
          <w:sz w:val="24"/>
          <w:szCs w:val="24"/>
          <w:highlight w:val="none"/>
        </w:rPr>
        <w:t>肉</w:t>
      </w:r>
      <w:r>
        <w:rPr>
          <w:rFonts w:ascii="宋体" w:hAnsi="宋体" w:cs="仿宋"/>
          <w:spacing w:val="7"/>
          <w:sz w:val="24"/>
          <w:szCs w:val="24"/>
          <w:highlight w:val="none"/>
        </w:rPr>
        <w:t>品品质合格印章。</w:t>
      </w:r>
    </w:p>
    <w:p w14:paraId="3C7CFC34">
      <w:pPr>
        <w:spacing w:line="360" w:lineRule="auto"/>
        <w:ind w:left="0" w:leftChars="0" w:firstLine="506" w:firstLineChars="213"/>
        <w:rPr>
          <w:rFonts w:ascii="宋体" w:hAnsi="宋体" w:cs="仿宋"/>
          <w:sz w:val="24"/>
          <w:szCs w:val="24"/>
          <w:highlight w:val="none"/>
        </w:rPr>
      </w:pPr>
      <w:r>
        <w:rPr>
          <w:rFonts w:ascii="宋体" w:hAnsi="宋体" w:cs="仿宋"/>
          <w:spacing w:val="-1"/>
          <w:sz w:val="24"/>
          <w:szCs w:val="24"/>
          <w:highlight w:val="none"/>
        </w:rPr>
        <w:t>1.1.8羊肉、牛肉、鸡肉、鸭肉等冷鲜</w:t>
      </w:r>
      <w:r>
        <w:rPr>
          <w:rFonts w:ascii="宋体" w:hAnsi="宋体" w:cs="仿宋"/>
          <w:sz w:val="24"/>
          <w:szCs w:val="24"/>
          <w:highlight w:val="none"/>
        </w:rPr>
        <w:t>畜禽肉的食品安全指标应符合GB2707</w:t>
      </w:r>
      <w:r>
        <w:rPr>
          <w:rFonts w:ascii="宋体" w:hAnsi="宋体" w:cs="仿宋"/>
          <w:spacing w:val="10"/>
          <w:sz w:val="24"/>
          <w:szCs w:val="24"/>
          <w:highlight w:val="none"/>
        </w:rPr>
        <w:t>国家最新标准的规定,须肉面干净、无任何异味、无毛发、表皮处理清洁，大小</w:t>
      </w:r>
      <w:r>
        <w:rPr>
          <w:rFonts w:ascii="宋体" w:hAnsi="宋体" w:cs="仿宋"/>
          <w:spacing w:val="7"/>
          <w:sz w:val="24"/>
          <w:szCs w:val="24"/>
          <w:highlight w:val="none"/>
        </w:rPr>
        <w:t>统</w:t>
      </w:r>
      <w:r>
        <w:rPr>
          <w:rFonts w:ascii="宋体" w:hAnsi="宋体" w:cs="仿宋"/>
          <w:spacing w:val="6"/>
          <w:sz w:val="24"/>
          <w:szCs w:val="24"/>
          <w:highlight w:val="none"/>
        </w:rPr>
        <w:t>一、码放整齐。</w:t>
      </w:r>
    </w:p>
    <w:p w14:paraId="4B8D3EBE">
      <w:pPr>
        <w:spacing w:line="360" w:lineRule="auto"/>
        <w:ind w:left="0" w:leftChars="0" w:firstLine="502" w:firstLineChars="213"/>
        <w:rPr>
          <w:rFonts w:ascii="宋体" w:hAnsi="宋体" w:cs="仿宋"/>
          <w:sz w:val="24"/>
          <w:szCs w:val="24"/>
          <w:highlight w:val="none"/>
        </w:rPr>
      </w:pPr>
      <w:r>
        <w:rPr>
          <w:rFonts w:ascii="宋体" w:hAnsi="宋体" w:cs="仿宋"/>
          <w:spacing w:val="-2"/>
          <w:sz w:val="24"/>
          <w:szCs w:val="24"/>
          <w:highlight w:val="none"/>
        </w:rPr>
        <w:t>1.1.9水产类、海水藻类的食品</w:t>
      </w:r>
      <w:r>
        <w:rPr>
          <w:rFonts w:ascii="宋体" w:hAnsi="宋体" w:cs="仿宋"/>
          <w:spacing w:val="-1"/>
          <w:sz w:val="24"/>
          <w:szCs w:val="24"/>
          <w:highlight w:val="none"/>
        </w:rPr>
        <w:t>安全指标应分别符合GB2733国家最新标准、</w:t>
      </w:r>
      <w:r>
        <w:rPr>
          <w:rFonts w:ascii="宋体" w:hAnsi="宋体" w:cs="仿宋"/>
          <w:sz w:val="24"/>
          <w:szCs w:val="24"/>
          <w:highlight w:val="none"/>
        </w:rPr>
        <w:t>GB</w:t>
      </w:r>
      <w:r>
        <w:rPr>
          <w:rFonts w:ascii="宋体" w:hAnsi="宋体" w:cs="仿宋"/>
          <w:spacing w:val="4"/>
          <w:sz w:val="24"/>
          <w:szCs w:val="24"/>
          <w:highlight w:val="none"/>
        </w:rPr>
        <w:t>19643国家最新标准的规定。</w:t>
      </w:r>
    </w:p>
    <w:p w14:paraId="29E49C53">
      <w:pPr>
        <w:spacing w:line="360" w:lineRule="auto"/>
        <w:ind w:left="0" w:leftChars="0" w:firstLine="536" w:firstLineChars="213"/>
        <w:rPr>
          <w:rFonts w:ascii="宋体" w:hAnsi="宋体" w:cs="仿宋"/>
          <w:spacing w:val="5"/>
          <w:sz w:val="24"/>
          <w:szCs w:val="24"/>
          <w:highlight w:val="none"/>
        </w:rPr>
      </w:pPr>
      <w:r>
        <w:rPr>
          <w:rFonts w:ascii="宋体" w:hAnsi="宋体" w:cs="仿宋"/>
          <w:spacing w:val="6"/>
          <w:sz w:val="24"/>
          <w:szCs w:val="24"/>
          <w:highlight w:val="none"/>
        </w:rPr>
        <w:t>1.2猪肉。当天屠宰且不能是冻肉(特殊情况下取得采购人认可后方可送</w:t>
      </w:r>
      <w:r>
        <w:rPr>
          <w:rFonts w:ascii="宋体" w:hAnsi="宋体" w:cs="仿宋"/>
          <w:sz w:val="24"/>
          <w:szCs w:val="24"/>
          <w:highlight w:val="none"/>
        </w:rPr>
        <w:t>冻</w:t>
      </w:r>
      <w:r>
        <w:rPr>
          <w:rFonts w:ascii="宋体" w:hAnsi="宋体" w:cs="仿宋"/>
          <w:spacing w:val="12"/>
          <w:sz w:val="24"/>
          <w:szCs w:val="24"/>
          <w:highlight w:val="none"/>
        </w:rPr>
        <w:t>肉</w:t>
      </w:r>
      <w:r>
        <w:rPr>
          <w:rFonts w:ascii="宋体" w:hAnsi="宋体" w:cs="仿宋"/>
          <w:spacing w:val="10"/>
          <w:sz w:val="24"/>
          <w:szCs w:val="24"/>
          <w:highlight w:val="none"/>
        </w:rPr>
        <w:t>)</w:t>
      </w:r>
      <w:r>
        <w:rPr>
          <w:rFonts w:ascii="宋体" w:hAnsi="宋体" w:cs="仿宋"/>
          <w:spacing w:val="6"/>
          <w:sz w:val="24"/>
          <w:szCs w:val="24"/>
          <w:highlight w:val="none"/>
        </w:rPr>
        <w:t>，应符合</w:t>
      </w:r>
      <w:r>
        <w:rPr>
          <w:rFonts w:ascii="宋体" w:hAnsi="宋体" w:cs="仿宋"/>
          <w:sz w:val="24"/>
          <w:szCs w:val="24"/>
          <w:highlight w:val="none"/>
        </w:rPr>
        <w:t>GB</w:t>
      </w:r>
      <w:r>
        <w:rPr>
          <w:rFonts w:ascii="宋体" w:hAnsi="宋体" w:cs="仿宋"/>
          <w:spacing w:val="6"/>
          <w:sz w:val="24"/>
          <w:szCs w:val="24"/>
          <w:highlight w:val="none"/>
        </w:rPr>
        <w:t>/</w:t>
      </w:r>
      <w:r>
        <w:rPr>
          <w:rFonts w:ascii="宋体" w:hAnsi="宋体" w:cs="仿宋"/>
          <w:sz w:val="24"/>
          <w:szCs w:val="24"/>
          <w:highlight w:val="none"/>
        </w:rPr>
        <w:t>T</w:t>
      </w:r>
      <w:r>
        <w:rPr>
          <w:rFonts w:ascii="宋体" w:hAnsi="宋体" w:cs="仿宋"/>
          <w:spacing w:val="6"/>
          <w:sz w:val="24"/>
          <w:szCs w:val="24"/>
          <w:highlight w:val="none"/>
        </w:rPr>
        <w:t>9959国家最新标准，</w:t>
      </w:r>
      <w:r>
        <w:rPr>
          <w:rFonts w:hint="eastAsia" w:ascii="宋体" w:hAnsi="宋体" w:cs="仿宋"/>
          <w:spacing w:val="6"/>
          <w:sz w:val="24"/>
          <w:szCs w:val="24"/>
          <w:highlight w:val="none"/>
          <w:lang w:val="en-US" w:eastAsia="zh-CN"/>
        </w:rPr>
        <w:t>吐鲁番市</w:t>
      </w:r>
      <w:r>
        <w:rPr>
          <w:rFonts w:ascii="宋体" w:hAnsi="宋体" w:cs="仿宋"/>
          <w:spacing w:val="6"/>
          <w:sz w:val="24"/>
          <w:szCs w:val="24"/>
          <w:highlight w:val="none"/>
        </w:rPr>
        <w:t>生猪溯源体系的要求并有产地动</w:t>
      </w:r>
      <w:r>
        <w:rPr>
          <w:rFonts w:ascii="宋体" w:hAnsi="宋体" w:cs="仿宋"/>
          <w:spacing w:val="12"/>
          <w:sz w:val="24"/>
          <w:szCs w:val="24"/>
          <w:highlight w:val="none"/>
        </w:rPr>
        <w:t>物</w:t>
      </w:r>
      <w:r>
        <w:rPr>
          <w:rFonts w:ascii="宋体" w:hAnsi="宋体" w:cs="仿宋"/>
          <w:spacing w:val="7"/>
          <w:sz w:val="24"/>
          <w:szCs w:val="24"/>
          <w:highlight w:val="none"/>
        </w:rPr>
        <w:t>卫</w:t>
      </w:r>
      <w:r>
        <w:rPr>
          <w:rFonts w:ascii="宋体" w:hAnsi="宋体" w:cs="仿宋"/>
          <w:spacing w:val="6"/>
          <w:sz w:val="24"/>
          <w:szCs w:val="24"/>
          <w:highlight w:val="none"/>
        </w:rPr>
        <w:t>生监督机构出具的检疫(或检测)合格证明和动物产品检疫(或</w:t>
      </w:r>
      <w:r>
        <w:rPr>
          <w:rFonts w:ascii="宋体" w:hAnsi="宋体" w:cs="仿宋"/>
          <w:spacing w:val="5"/>
          <w:sz w:val="24"/>
          <w:szCs w:val="24"/>
          <w:highlight w:val="none"/>
        </w:rPr>
        <w:t>检测)合格验讫印章以及生猪定点屠宰厂肉品品质检验合格验讫印章。</w:t>
      </w:r>
    </w:p>
    <w:p w14:paraId="60E5B4AB">
      <w:pPr>
        <w:spacing w:line="360" w:lineRule="auto"/>
        <w:ind w:left="0" w:leftChars="0" w:firstLine="532" w:firstLineChars="213"/>
        <w:rPr>
          <w:rFonts w:ascii="宋体" w:hAnsi="宋体" w:cs="仿宋"/>
          <w:spacing w:val="5"/>
          <w:sz w:val="24"/>
          <w:szCs w:val="24"/>
          <w:highlight w:val="none"/>
        </w:rPr>
      </w:pPr>
      <w:r>
        <w:rPr>
          <w:rFonts w:ascii="宋体" w:hAnsi="宋体" w:cs="仿宋"/>
          <w:spacing w:val="5"/>
          <w:sz w:val="24"/>
          <w:szCs w:val="24"/>
          <w:highlight w:val="none"/>
        </w:rPr>
        <w:t>1.3鸡蛋。</w:t>
      </w:r>
    </w:p>
    <w:p w14:paraId="7DFF602C">
      <w:pPr>
        <w:spacing w:line="360" w:lineRule="auto"/>
        <w:ind w:left="0" w:leftChars="0" w:firstLine="532" w:firstLineChars="213"/>
        <w:rPr>
          <w:rFonts w:ascii="宋体" w:hAnsi="宋体" w:cs="仿宋"/>
          <w:spacing w:val="5"/>
          <w:sz w:val="24"/>
          <w:szCs w:val="24"/>
          <w:highlight w:val="none"/>
        </w:rPr>
      </w:pPr>
      <w:r>
        <w:rPr>
          <w:rFonts w:ascii="宋体" w:hAnsi="宋体" w:cs="仿宋"/>
          <w:spacing w:val="5"/>
          <w:sz w:val="24"/>
          <w:szCs w:val="24"/>
          <w:highlight w:val="none"/>
        </w:rPr>
        <w:t>1.3.1鸡蛋为鲜蛋，每枚净重不得少于50g，鲜蛋应符合GB2749国家最新标。须有动物检疫合格证，包装规范，应采用符合国家食品安全标准要求的包装材。</w:t>
      </w:r>
    </w:p>
    <w:p w14:paraId="5BE80B8B">
      <w:pPr>
        <w:spacing w:line="360" w:lineRule="auto"/>
        <w:ind w:left="0" w:leftChars="0" w:firstLine="532" w:firstLineChars="213"/>
        <w:rPr>
          <w:rFonts w:ascii="宋体" w:hAnsi="宋体" w:cs="仿宋"/>
          <w:spacing w:val="5"/>
          <w:sz w:val="24"/>
          <w:szCs w:val="24"/>
          <w:highlight w:val="none"/>
        </w:rPr>
      </w:pPr>
      <w:r>
        <w:rPr>
          <w:rFonts w:ascii="宋体" w:hAnsi="宋体" w:cs="仿宋"/>
          <w:spacing w:val="5"/>
          <w:sz w:val="24"/>
          <w:szCs w:val="24"/>
          <w:highlight w:val="none"/>
        </w:rPr>
        <w:t>1.3.2色泽：具有禽蛋固有的色泽。</w:t>
      </w:r>
    </w:p>
    <w:p w14:paraId="5B1E5DB4">
      <w:pPr>
        <w:spacing w:line="360" w:lineRule="auto"/>
        <w:ind w:left="0" w:leftChars="0" w:firstLine="532" w:firstLineChars="213"/>
        <w:rPr>
          <w:rFonts w:ascii="宋体" w:hAnsi="宋体" w:cs="仿宋"/>
          <w:spacing w:val="5"/>
          <w:sz w:val="24"/>
          <w:szCs w:val="24"/>
          <w:highlight w:val="none"/>
        </w:rPr>
      </w:pPr>
      <w:r>
        <w:rPr>
          <w:rFonts w:ascii="宋体" w:hAnsi="宋体" w:cs="仿宋"/>
          <w:spacing w:val="5"/>
          <w:sz w:val="24"/>
          <w:szCs w:val="24"/>
          <w:highlight w:val="none"/>
        </w:rPr>
        <w:t>1.3.3组织形状：蛋壳清洁、无破裂，打开后蛋黄凸起、完整、有韧性，蛋白澄清透明、稀稠分明。</w:t>
      </w:r>
    </w:p>
    <w:p w14:paraId="6AE5B0F6">
      <w:pPr>
        <w:spacing w:line="360" w:lineRule="auto"/>
        <w:ind w:left="0" w:leftChars="0" w:firstLine="532" w:firstLineChars="213"/>
        <w:rPr>
          <w:rFonts w:ascii="宋体" w:hAnsi="宋体" w:cs="仿宋"/>
          <w:spacing w:val="5"/>
          <w:sz w:val="24"/>
          <w:szCs w:val="24"/>
          <w:highlight w:val="none"/>
        </w:rPr>
      </w:pPr>
      <w:r>
        <w:rPr>
          <w:rFonts w:ascii="宋体" w:hAnsi="宋体" w:cs="仿宋"/>
          <w:spacing w:val="5"/>
          <w:sz w:val="24"/>
          <w:szCs w:val="24"/>
          <w:highlight w:val="none"/>
        </w:rPr>
        <w:t>1.3.4气味：具有产品固有的气味，无异味。</w:t>
      </w:r>
    </w:p>
    <w:p w14:paraId="466FAC3B">
      <w:pPr>
        <w:spacing w:line="360" w:lineRule="auto"/>
        <w:ind w:left="0" w:leftChars="0" w:firstLine="532" w:firstLineChars="213"/>
        <w:rPr>
          <w:rFonts w:ascii="宋体" w:hAnsi="宋体" w:cs="仿宋"/>
          <w:spacing w:val="5"/>
          <w:sz w:val="24"/>
          <w:szCs w:val="24"/>
          <w:highlight w:val="none"/>
        </w:rPr>
      </w:pPr>
      <w:r>
        <w:rPr>
          <w:rFonts w:ascii="宋体" w:hAnsi="宋体" w:cs="仿宋"/>
          <w:spacing w:val="5"/>
          <w:sz w:val="24"/>
          <w:szCs w:val="24"/>
          <w:highlight w:val="none"/>
        </w:rPr>
        <w:t>1.3.5杂质：无杂质，内容物不得有血块或其他鸡组织异物。</w:t>
      </w:r>
    </w:p>
    <w:p w14:paraId="5A64FA22">
      <w:pPr>
        <w:spacing w:line="360" w:lineRule="auto"/>
        <w:ind w:left="0" w:leftChars="0" w:firstLine="532" w:firstLineChars="213"/>
        <w:rPr>
          <w:rFonts w:ascii="宋体" w:hAnsi="宋体" w:cs="仿宋"/>
          <w:sz w:val="24"/>
          <w:szCs w:val="24"/>
          <w:highlight w:val="none"/>
        </w:rPr>
      </w:pPr>
      <w:r>
        <w:rPr>
          <w:rFonts w:ascii="宋体" w:hAnsi="宋体" w:cs="仿宋"/>
          <w:spacing w:val="5"/>
          <w:sz w:val="24"/>
          <w:szCs w:val="24"/>
          <w:highlight w:val="none"/>
        </w:rPr>
        <w:t>鲜蛋的感官指标不低于国家有关食品质量标准的二级指标要求，应保证新鲜；</w:t>
      </w:r>
      <w:r>
        <w:rPr>
          <w:rFonts w:ascii="宋体" w:hAnsi="宋体" w:cs="仿宋"/>
          <w:spacing w:val="12"/>
          <w:sz w:val="24"/>
          <w:szCs w:val="24"/>
          <w:highlight w:val="none"/>
        </w:rPr>
        <w:t>散装</w:t>
      </w:r>
      <w:r>
        <w:rPr>
          <w:rFonts w:ascii="宋体" w:hAnsi="宋体" w:cs="仿宋"/>
          <w:spacing w:val="7"/>
          <w:sz w:val="24"/>
          <w:szCs w:val="24"/>
          <w:highlight w:val="none"/>
        </w:rPr>
        <w:t>生</w:t>
      </w:r>
      <w:r>
        <w:rPr>
          <w:rFonts w:ascii="宋体" w:hAnsi="宋体" w:cs="仿宋"/>
          <w:spacing w:val="6"/>
          <w:sz w:val="24"/>
          <w:szCs w:val="24"/>
          <w:highlight w:val="none"/>
        </w:rPr>
        <w:t>鲜禽蛋应有动物产品检疫(或检测)合格证明或出县境动物产品检疫(或</w:t>
      </w:r>
      <w:r>
        <w:rPr>
          <w:rFonts w:ascii="宋体" w:hAnsi="宋体" w:cs="仿宋"/>
          <w:spacing w:val="12"/>
          <w:sz w:val="24"/>
          <w:szCs w:val="24"/>
          <w:highlight w:val="none"/>
        </w:rPr>
        <w:t>检测</w:t>
      </w:r>
      <w:r>
        <w:rPr>
          <w:rFonts w:ascii="宋体" w:hAnsi="宋体" w:cs="仿宋"/>
          <w:spacing w:val="7"/>
          <w:sz w:val="24"/>
          <w:szCs w:val="24"/>
          <w:highlight w:val="none"/>
        </w:rPr>
        <w:t>)</w:t>
      </w:r>
      <w:r>
        <w:rPr>
          <w:rFonts w:ascii="宋体" w:hAnsi="宋体" w:cs="仿宋"/>
          <w:spacing w:val="6"/>
          <w:sz w:val="24"/>
          <w:szCs w:val="24"/>
          <w:highlight w:val="none"/>
        </w:rPr>
        <w:t>合格证明，外地生鲜禽蛋应有其所在地农业部门的检疫(或检测)合格证</w:t>
      </w:r>
      <w:r>
        <w:rPr>
          <w:rFonts w:ascii="宋体" w:hAnsi="宋体" w:cs="仿宋"/>
          <w:spacing w:val="12"/>
          <w:sz w:val="24"/>
          <w:szCs w:val="24"/>
          <w:highlight w:val="none"/>
        </w:rPr>
        <w:t>明或</w:t>
      </w:r>
      <w:r>
        <w:rPr>
          <w:rFonts w:ascii="宋体" w:hAnsi="宋体" w:cs="仿宋"/>
          <w:spacing w:val="10"/>
          <w:sz w:val="24"/>
          <w:szCs w:val="24"/>
          <w:highlight w:val="none"/>
        </w:rPr>
        <w:t>检</w:t>
      </w:r>
      <w:r>
        <w:rPr>
          <w:rFonts w:ascii="宋体" w:hAnsi="宋体" w:cs="仿宋"/>
          <w:spacing w:val="6"/>
          <w:sz w:val="24"/>
          <w:szCs w:val="24"/>
          <w:highlight w:val="none"/>
        </w:rPr>
        <w:t>疫(或检测)验讫标识。保证新鲜、清洁、无破损；外壳坚固完整，色泽</w:t>
      </w:r>
      <w:r>
        <w:rPr>
          <w:rFonts w:ascii="宋体" w:hAnsi="宋体" w:cs="仿宋"/>
          <w:spacing w:val="10"/>
          <w:sz w:val="24"/>
          <w:szCs w:val="24"/>
          <w:highlight w:val="none"/>
        </w:rPr>
        <w:t>自</w:t>
      </w:r>
      <w:r>
        <w:rPr>
          <w:rFonts w:ascii="宋体" w:hAnsi="宋体" w:cs="仿宋"/>
          <w:spacing w:val="9"/>
          <w:sz w:val="24"/>
          <w:szCs w:val="24"/>
          <w:highlight w:val="none"/>
        </w:rPr>
        <w:t>然有光泽；包装应采用符合国家卫生标准要求的包装材料。</w:t>
      </w:r>
    </w:p>
    <w:p w14:paraId="5D001065">
      <w:pPr>
        <w:spacing w:line="360" w:lineRule="auto"/>
        <w:ind w:left="0" w:leftChars="0" w:firstLine="539" w:firstLineChars="213"/>
        <w:rPr>
          <w:rFonts w:ascii="宋体" w:hAnsi="宋体" w:cs="仿宋"/>
          <w:spacing w:val="8"/>
          <w:sz w:val="24"/>
          <w:szCs w:val="24"/>
          <w:highlight w:val="none"/>
        </w:rPr>
      </w:pPr>
      <w:r>
        <w:rPr>
          <w:rFonts w:ascii="宋体" w:hAnsi="宋体" w:cs="仿宋"/>
          <w:b/>
          <w:bCs/>
          <w:spacing w:val="6"/>
          <w:sz w:val="24"/>
          <w:szCs w:val="24"/>
          <w:highlight w:val="none"/>
        </w:rPr>
        <w:t>2、蔬菜类：</w:t>
      </w:r>
      <w:r>
        <w:rPr>
          <w:rFonts w:ascii="宋体" w:hAnsi="宋体" w:cs="仿宋"/>
          <w:spacing w:val="8"/>
          <w:sz w:val="24"/>
          <w:szCs w:val="24"/>
          <w:highlight w:val="none"/>
        </w:rPr>
        <w:t>主要包括土豆、萝卜、白菜、花菜、佛手瓜、冬瓜、茄子、豇豆、青豆等叶菜类、茎菜类、根菜类、果菜类、花菜等。</w:t>
      </w:r>
    </w:p>
    <w:p w14:paraId="4CE1A7AD">
      <w:pPr>
        <w:spacing w:line="360" w:lineRule="auto"/>
        <w:ind w:left="0" w:leftChars="0" w:firstLine="545" w:firstLineChars="213"/>
        <w:rPr>
          <w:rFonts w:ascii="宋体" w:hAnsi="宋体" w:cs="仿宋"/>
          <w:spacing w:val="8"/>
          <w:sz w:val="24"/>
          <w:szCs w:val="24"/>
          <w:highlight w:val="none"/>
        </w:rPr>
      </w:pPr>
      <w:r>
        <w:rPr>
          <w:rFonts w:ascii="宋体" w:hAnsi="宋体" w:cs="仿宋"/>
          <w:spacing w:val="8"/>
          <w:sz w:val="24"/>
          <w:szCs w:val="24"/>
          <w:highlight w:val="none"/>
        </w:rPr>
        <w:t>2.1产品总体要求(技术要求)</w:t>
      </w:r>
    </w:p>
    <w:p w14:paraId="30A2F9B2">
      <w:pPr>
        <w:spacing w:line="360" w:lineRule="auto"/>
        <w:ind w:left="0" w:leftChars="0" w:firstLine="545" w:firstLineChars="213"/>
        <w:rPr>
          <w:rFonts w:ascii="宋体" w:hAnsi="宋体" w:cs="仿宋"/>
          <w:spacing w:val="8"/>
          <w:sz w:val="24"/>
          <w:szCs w:val="24"/>
          <w:highlight w:val="none"/>
        </w:rPr>
      </w:pPr>
      <w:r>
        <w:rPr>
          <w:rFonts w:ascii="宋体" w:hAnsi="宋体" w:cs="仿宋"/>
          <w:spacing w:val="8"/>
          <w:sz w:val="24"/>
          <w:szCs w:val="24"/>
          <w:highlight w:val="none"/>
        </w:rPr>
        <w:t>2.1.1蔬菜(数量、品类：根据采购人实际需要品种、数量提供。)</w:t>
      </w:r>
    </w:p>
    <w:p w14:paraId="26A2F2C3">
      <w:pPr>
        <w:spacing w:line="360" w:lineRule="auto"/>
        <w:ind w:left="0" w:leftChars="0" w:firstLine="545" w:firstLineChars="213"/>
        <w:rPr>
          <w:rFonts w:ascii="宋体" w:hAnsi="宋体" w:cs="仿宋"/>
          <w:spacing w:val="8"/>
          <w:sz w:val="24"/>
          <w:szCs w:val="24"/>
          <w:highlight w:val="none"/>
        </w:rPr>
      </w:pPr>
      <w:r>
        <w:rPr>
          <w:rFonts w:ascii="宋体" w:hAnsi="宋体" w:cs="仿宋"/>
          <w:spacing w:val="8"/>
          <w:sz w:val="24"/>
          <w:szCs w:val="24"/>
          <w:highlight w:val="none"/>
        </w:rPr>
        <w:t>2.1.2叶菜类：鲜嫩，无枯黄叶，无花斑叶，无烂叶；叶茎完整无折断，基部不老化，干爽无水；无裂口损伤，表面无泥土及其它杂物，无农药残留。</w:t>
      </w:r>
    </w:p>
    <w:p w14:paraId="1B14171B">
      <w:pPr>
        <w:spacing w:line="360" w:lineRule="auto"/>
        <w:ind w:left="0" w:leftChars="0" w:firstLine="545" w:firstLineChars="213"/>
        <w:rPr>
          <w:rFonts w:ascii="宋体" w:hAnsi="宋体" w:cs="仿宋"/>
          <w:spacing w:val="8"/>
          <w:sz w:val="24"/>
          <w:szCs w:val="24"/>
          <w:highlight w:val="none"/>
        </w:rPr>
      </w:pPr>
      <w:r>
        <w:rPr>
          <w:rFonts w:ascii="宋体" w:hAnsi="宋体" w:cs="仿宋"/>
          <w:spacing w:val="8"/>
          <w:sz w:val="24"/>
          <w:szCs w:val="24"/>
          <w:highlight w:val="none"/>
        </w:rPr>
        <w:t>2.1.3根茎类：个体均匀，根形完整，无畸形，无泥土，无虫蛀和机械伤，无腐烂，无断折断裂，不萎蔫变软，不发芽，不变绿，不空心，不糠心，不黑心，弹击有实心感，无农药残留。</w:t>
      </w:r>
    </w:p>
    <w:p w14:paraId="71C4C96B">
      <w:pPr>
        <w:spacing w:line="360" w:lineRule="auto"/>
        <w:ind w:left="0" w:leftChars="0" w:firstLine="545" w:firstLineChars="213"/>
        <w:rPr>
          <w:rFonts w:ascii="宋体" w:hAnsi="宋体" w:cs="仿宋"/>
          <w:spacing w:val="8"/>
          <w:sz w:val="24"/>
          <w:szCs w:val="24"/>
          <w:highlight w:val="none"/>
        </w:rPr>
      </w:pPr>
      <w:r>
        <w:rPr>
          <w:rFonts w:ascii="宋体" w:hAnsi="宋体" w:cs="仿宋"/>
          <w:spacing w:val="8"/>
          <w:sz w:val="24"/>
          <w:szCs w:val="24"/>
          <w:highlight w:val="none"/>
        </w:rPr>
        <w:t>2.1.4芽苗类：鲜嫩、无老叶、无花斑黄叶，根部切口新鲜，茎叶完整，无腐烂现象，无农药残留。</w:t>
      </w:r>
    </w:p>
    <w:p w14:paraId="1A0AAB55">
      <w:pPr>
        <w:spacing w:line="360" w:lineRule="auto"/>
        <w:ind w:left="0" w:leftChars="0" w:firstLine="545" w:firstLineChars="213"/>
        <w:rPr>
          <w:rFonts w:ascii="宋体" w:hAnsi="宋体" w:cs="仿宋"/>
          <w:spacing w:val="8"/>
          <w:sz w:val="24"/>
          <w:szCs w:val="24"/>
          <w:highlight w:val="none"/>
        </w:rPr>
      </w:pPr>
      <w:r>
        <w:rPr>
          <w:rFonts w:ascii="宋体" w:hAnsi="宋体" w:cs="仿宋"/>
          <w:spacing w:val="8"/>
          <w:sz w:val="24"/>
          <w:szCs w:val="24"/>
          <w:highlight w:val="none"/>
        </w:rPr>
        <w:t>2.1.5菌类：色泽与其品种相适应，气味正常；无腐烂及虫蛀株，无发霉，无失水枯萎，朵片完整，手轻捏不能有水渗出为宜。</w:t>
      </w:r>
    </w:p>
    <w:p w14:paraId="3BF7244F">
      <w:pPr>
        <w:spacing w:line="360" w:lineRule="auto"/>
        <w:ind w:left="0" w:leftChars="0" w:firstLine="545" w:firstLineChars="213"/>
        <w:rPr>
          <w:rFonts w:ascii="宋体" w:hAnsi="宋体" w:cs="仿宋"/>
          <w:spacing w:val="7"/>
          <w:sz w:val="24"/>
          <w:szCs w:val="24"/>
          <w:highlight w:val="none"/>
        </w:rPr>
      </w:pPr>
      <w:r>
        <w:rPr>
          <w:rFonts w:ascii="宋体" w:hAnsi="宋体" w:cs="仿宋"/>
          <w:spacing w:val="8"/>
          <w:sz w:val="24"/>
          <w:szCs w:val="24"/>
          <w:highlight w:val="none"/>
        </w:rPr>
        <w:t>2.1.6所投产品必须符合GB2763国家最新的食品中农药最大残留标准及GB2762国家最新标准食品中污染物限</w:t>
      </w:r>
      <w:r>
        <w:rPr>
          <w:rFonts w:ascii="宋体" w:hAnsi="宋体" w:cs="仿宋"/>
          <w:spacing w:val="6"/>
          <w:sz w:val="24"/>
          <w:szCs w:val="24"/>
          <w:highlight w:val="none"/>
        </w:rPr>
        <w:t>量标准。所列产品标准如国家有调整的，应以调整后的最新</w:t>
      </w:r>
      <w:r>
        <w:rPr>
          <w:rFonts w:ascii="宋体" w:hAnsi="宋体" w:cs="仿宋"/>
          <w:spacing w:val="7"/>
          <w:sz w:val="24"/>
          <w:szCs w:val="24"/>
          <w:highlight w:val="none"/>
        </w:rPr>
        <w:t>标准为准。农药残留及重金属不得超标，不得含有国家全面禁</w:t>
      </w:r>
      <w:r>
        <w:rPr>
          <w:rFonts w:ascii="宋体" w:hAnsi="宋体" w:cs="仿宋"/>
          <w:spacing w:val="8"/>
          <w:sz w:val="24"/>
          <w:szCs w:val="24"/>
          <w:highlight w:val="none"/>
        </w:rPr>
        <w:t>止</w:t>
      </w:r>
      <w:r>
        <w:rPr>
          <w:rFonts w:ascii="宋体" w:hAnsi="宋体" w:cs="仿宋"/>
          <w:spacing w:val="7"/>
          <w:sz w:val="24"/>
          <w:szCs w:val="24"/>
          <w:highlight w:val="none"/>
        </w:rPr>
        <w:t>使用的农药成份。</w:t>
      </w:r>
    </w:p>
    <w:p w14:paraId="4A727A2D">
      <w:pPr>
        <w:spacing w:line="360" w:lineRule="auto"/>
        <w:ind w:left="0" w:leftChars="0" w:firstLine="562" w:firstLineChars="213"/>
        <w:rPr>
          <w:rFonts w:ascii="宋体" w:hAnsi="宋体" w:cs="仿宋"/>
          <w:sz w:val="24"/>
          <w:szCs w:val="24"/>
          <w:highlight w:val="none"/>
        </w:rPr>
      </w:pPr>
      <w:r>
        <w:rPr>
          <w:rFonts w:ascii="宋体" w:hAnsi="宋体" w:cs="仿宋"/>
          <w:spacing w:val="12"/>
          <w:sz w:val="24"/>
          <w:szCs w:val="24"/>
          <w:highlight w:val="none"/>
        </w:rPr>
        <w:t>2</w:t>
      </w:r>
      <w:r>
        <w:rPr>
          <w:rFonts w:ascii="宋体" w:hAnsi="宋体" w:cs="仿宋"/>
          <w:spacing w:val="9"/>
          <w:sz w:val="24"/>
          <w:szCs w:val="24"/>
          <w:highlight w:val="none"/>
        </w:rPr>
        <w:t>.</w:t>
      </w:r>
      <w:r>
        <w:rPr>
          <w:rFonts w:ascii="宋体" w:hAnsi="宋体" w:cs="仿宋"/>
          <w:spacing w:val="6"/>
          <w:sz w:val="24"/>
          <w:szCs w:val="24"/>
          <w:highlight w:val="none"/>
        </w:rPr>
        <w:t>1.7原菜须保证菜面干净、无明显泥土、码放整齐、无破损、不得过熟或</w:t>
      </w:r>
      <w:r>
        <w:rPr>
          <w:rFonts w:ascii="宋体" w:hAnsi="宋体" w:cs="仿宋"/>
          <w:spacing w:val="12"/>
          <w:sz w:val="24"/>
          <w:szCs w:val="24"/>
          <w:highlight w:val="none"/>
        </w:rPr>
        <w:t>欠熟；</w:t>
      </w:r>
      <w:r>
        <w:rPr>
          <w:rFonts w:ascii="宋体" w:hAnsi="宋体" w:cs="仿宋"/>
          <w:spacing w:val="11"/>
          <w:sz w:val="24"/>
          <w:szCs w:val="24"/>
          <w:highlight w:val="none"/>
        </w:rPr>
        <w:t>净</w:t>
      </w:r>
      <w:r>
        <w:rPr>
          <w:rFonts w:ascii="宋体" w:hAnsi="宋体" w:cs="仿宋"/>
          <w:spacing w:val="6"/>
          <w:sz w:val="24"/>
          <w:szCs w:val="24"/>
          <w:highlight w:val="none"/>
        </w:rPr>
        <w:t>菜须保证菜面完全干净、无泥土、按统一标准加工、码放整齐，并按相</w:t>
      </w:r>
      <w:r>
        <w:rPr>
          <w:rFonts w:ascii="宋体" w:hAnsi="宋体" w:cs="仿宋"/>
          <w:spacing w:val="9"/>
          <w:sz w:val="24"/>
          <w:szCs w:val="24"/>
          <w:highlight w:val="none"/>
        </w:rPr>
        <w:t>关规定配送前采样送检，并提供具有农药、杀虫剂等残留检测合格的报告。</w:t>
      </w:r>
    </w:p>
    <w:p w14:paraId="5A80A4C5">
      <w:pPr>
        <w:spacing w:line="360" w:lineRule="auto"/>
        <w:ind w:left="0" w:leftChars="0" w:firstLine="539" w:firstLineChars="213"/>
        <w:rPr>
          <w:rFonts w:ascii="宋体" w:hAnsi="宋体" w:cs="仿宋"/>
          <w:spacing w:val="6"/>
          <w:sz w:val="24"/>
          <w:szCs w:val="24"/>
          <w:highlight w:val="none"/>
        </w:rPr>
      </w:pPr>
      <w:r>
        <w:rPr>
          <w:rFonts w:ascii="宋体" w:hAnsi="宋体" w:cs="仿宋"/>
          <w:b/>
          <w:bCs/>
          <w:spacing w:val="6"/>
          <w:sz w:val="24"/>
          <w:szCs w:val="24"/>
          <w:highlight w:val="none"/>
        </w:rPr>
        <w:t>3、干杂类</w:t>
      </w:r>
      <w:r>
        <w:rPr>
          <w:rFonts w:hint="eastAsia" w:ascii="宋体" w:hAnsi="宋体" w:cs="仿宋"/>
          <w:b/>
          <w:bCs/>
          <w:spacing w:val="6"/>
          <w:sz w:val="24"/>
          <w:szCs w:val="24"/>
          <w:highlight w:val="none"/>
        </w:rPr>
        <w:t>：</w:t>
      </w:r>
      <w:r>
        <w:rPr>
          <w:rFonts w:ascii="宋体" w:hAnsi="宋体" w:cs="仿宋"/>
          <w:spacing w:val="6"/>
          <w:sz w:val="24"/>
          <w:szCs w:val="24"/>
          <w:highlight w:val="none"/>
        </w:rPr>
        <w:t>主要包括米、面粉、油、奶制品、干货、调料等一切干杂辅料类。</w:t>
      </w:r>
    </w:p>
    <w:p w14:paraId="73314509">
      <w:pPr>
        <w:spacing w:line="360" w:lineRule="auto"/>
        <w:ind w:left="0" w:leftChars="0" w:firstLine="536" w:firstLineChars="213"/>
        <w:rPr>
          <w:rFonts w:ascii="宋体" w:hAnsi="宋体" w:cs="仿宋"/>
          <w:spacing w:val="6"/>
          <w:sz w:val="24"/>
          <w:szCs w:val="24"/>
          <w:highlight w:val="none"/>
        </w:rPr>
      </w:pPr>
      <w:r>
        <w:rPr>
          <w:rFonts w:ascii="宋体" w:hAnsi="宋体" w:cs="仿宋"/>
          <w:spacing w:val="6"/>
          <w:sz w:val="24"/>
          <w:szCs w:val="24"/>
          <w:highlight w:val="none"/>
        </w:rPr>
        <w:t>3.1产品总体要求(技术要求)</w:t>
      </w:r>
    </w:p>
    <w:p w14:paraId="4B3BB170">
      <w:pPr>
        <w:spacing w:line="360" w:lineRule="auto"/>
        <w:ind w:left="0" w:leftChars="0" w:firstLine="536" w:firstLineChars="213"/>
        <w:rPr>
          <w:rFonts w:ascii="宋体" w:hAnsi="宋体" w:cs="仿宋"/>
          <w:spacing w:val="6"/>
          <w:sz w:val="24"/>
          <w:szCs w:val="24"/>
          <w:highlight w:val="none"/>
        </w:rPr>
      </w:pPr>
      <w:r>
        <w:rPr>
          <w:rFonts w:ascii="宋体" w:hAnsi="宋体" w:cs="仿宋"/>
          <w:spacing w:val="6"/>
          <w:sz w:val="24"/>
          <w:szCs w:val="24"/>
          <w:highlight w:val="none"/>
        </w:rPr>
        <w:t>3.1.1干杂类(数量、品类：根据采购人实际需要品种、数量提供。)</w:t>
      </w:r>
    </w:p>
    <w:p w14:paraId="29D86E81">
      <w:pPr>
        <w:spacing w:line="360" w:lineRule="auto"/>
        <w:ind w:left="0" w:leftChars="0" w:firstLine="536" w:firstLineChars="213"/>
        <w:rPr>
          <w:rFonts w:ascii="宋体" w:hAnsi="宋体" w:cs="仿宋"/>
          <w:spacing w:val="6"/>
          <w:sz w:val="24"/>
          <w:szCs w:val="24"/>
          <w:highlight w:val="none"/>
        </w:rPr>
      </w:pPr>
      <w:r>
        <w:rPr>
          <w:rFonts w:ascii="宋体" w:hAnsi="宋体" w:cs="仿宋"/>
          <w:spacing w:val="6"/>
          <w:sz w:val="24"/>
          <w:szCs w:val="24"/>
          <w:highlight w:val="none"/>
        </w:rPr>
        <w:t>3.1.2不得含有二氧化硫及重金属元素和非法使用添加剂；农药残留不得超标，须优质、无感观异常。符合国家最新质量标准和安全标准。</w:t>
      </w:r>
    </w:p>
    <w:p w14:paraId="299D668C">
      <w:pPr>
        <w:spacing w:line="360" w:lineRule="auto"/>
        <w:ind w:left="0" w:leftChars="0" w:firstLine="536" w:firstLineChars="213"/>
        <w:rPr>
          <w:rFonts w:ascii="宋体" w:hAnsi="宋体" w:cs="仿宋"/>
          <w:spacing w:val="6"/>
          <w:sz w:val="24"/>
          <w:szCs w:val="24"/>
          <w:highlight w:val="none"/>
        </w:rPr>
      </w:pPr>
      <w:r>
        <w:rPr>
          <w:rFonts w:ascii="宋体" w:hAnsi="宋体" w:cs="仿宋"/>
          <w:spacing w:val="6"/>
          <w:sz w:val="24"/>
          <w:szCs w:val="24"/>
          <w:highlight w:val="none"/>
        </w:rPr>
        <w:t>3.1.3所有配送产品必须有明确的种类、品牌、规格，净含量、生产日期、保质期等，包装完整、无任何破损、无挤压、无破碎、无异味、无任何表面附着物或衍生物。</w:t>
      </w:r>
    </w:p>
    <w:p w14:paraId="7CEC3969">
      <w:pPr>
        <w:spacing w:line="360" w:lineRule="auto"/>
        <w:ind w:left="0" w:leftChars="0" w:firstLine="536" w:firstLineChars="213"/>
        <w:rPr>
          <w:rFonts w:ascii="宋体" w:hAnsi="宋体" w:cs="仿宋"/>
          <w:spacing w:val="6"/>
          <w:sz w:val="24"/>
          <w:szCs w:val="24"/>
          <w:highlight w:val="none"/>
        </w:rPr>
      </w:pPr>
      <w:r>
        <w:rPr>
          <w:rFonts w:ascii="宋体" w:hAnsi="宋体" w:cs="仿宋"/>
          <w:spacing w:val="6"/>
          <w:sz w:val="24"/>
          <w:szCs w:val="24"/>
          <w:highlight w:val="none"/>
        </w:rPr>
        <w:t>3.1.4产品符合国家质量安全检验标准、随货有该批次产品质量检测合格证、包装完好无损、外观无霉变、无斑点、无腐烂变质，有该物品独有的气味、无异味。凭出厂合格证与</w:t>
      </w:r>
      <w:r>
        <w:rPr>
          <w:rFonts w:ascii="宋体" w:hAnsi="宋体" w:cs="仿宋"/>
          <w:spacing w:val="7"/>
          <w:sz w:val="24"/>
          <w:szCs w:val="24"/>
          <w:highlight w:val="none"/>
        </w:rPr>
        <w:t>检验员章确认质量，具有相关产品检验报告，在保质期内有</w:t>
      </w:r>
      <w:r>
        <w:rPr>
          <w:rFonts w:ascii="宋体" w:hAnsi="宋体" w:cs="仿宋"/>
          <w:sz w:val="24"/>
          <w:szCs w:val="24"/>
          <w:highlight w:val="none"/>
        </w:rPr>
        <w:t>S</w:t>
      </w:r>
      <w:r>
        <w:rPr>
          <w:rFonts w:ascii="宋体" w:hAnsi="宋体" w:cs="仿宋"/>
          <w:spacing w:val="6"/>
          <w:sz w:val="24"/>
          <w:szCs w:val="24"/>
          <w:highlight w:val="none"/>
        </w:rPr>
        <w:t>C标记。</w:t>
      </w:r>
    </w:p>
    <w:p w14:paraId="3B417414">
      <w:pPr>
        <w:spacing w:line="360" w:lineRule="auto"/>
        <w:ind w:left="0" w:leftChars="0" w:firstLine="536" w:firstLineChars="213"/>
        <w:rPr>
          <w:rFonts w:ascii="宋体" w:hAnsi="宋体" w:cs="仿宋"/>
          <w:spacing w:val="6"/>
          <w:sz w:val="24"/>
          <w:szCs w:val="24"/>
          <w:highlight w:val="none"/>
        </w:rPr>
      </w:pPr>
      <w:r>
        <w:rPr>
          <w:rFonts w:ascii="宋体" w:hAnsi="宋体" w:cs="仿宋"/>
          <w:spacing w:val="6"/>
          <w:sz w:val="24"/>
          <w:szCs w:val="24"/>
          <w:highlight w:val="none"/>
        </w:rPr>
        <w:t>3.1.5油(包含了菜籽油、花生油、大豆油等)</w:t>
      </w:r>
    </w:p>
    <w:p w14:paraId="37C820DD">
      <w:pPr>
        <w:spacing w:line="360" w:lineRule="auto"/>
        <w:ind w:left="0" w:leftChars="0" w:firstLine="536" w:firstLineChars="213"/>
        <w:rPr>
          <w:rFonts w:ascii="宋体" w:hAnsi="宋体" w:cs="仿宋"/>
          <w:spacing w:val="6"/>
          <w:sz w:val="24"/>
          <w:szCs w:val="24"/>
          <w:highlight w:val="none"/>
        </w:rPr>
      </w:pPr>
      <w:r>
        <w:rPr>
          <w:rFonts w:ascii="宋体" w:hAnsi="宋体" w:cs="仿宋"/>
          <w:spacing w:val="6"/>
          <w:sz w:val="24"/>
          <w:szCs w:val="24"/>
          <w:highlight w:val="none"/>
        </w:rPr>
        <w:t>①菜籽油为食用植物油，食用油的食品安全指标应符合GB2716-2018国家最新标准的规定，</w:t>
      </w:r>
      <w:r>
        <w:rPr>
          <w:rFonts w:ascii="宋体" w:hAnsi="宋体" w:cs="仿宋"/>
          <w:spacing w:val="3"/>
          <w:sz w:val="24"/>
          <w:szCs w:val="24"/>
          <w:highlight w:val="none"/>
        </w:rPr>
        <w:t>其中：成品菜籽油的质量指标不低于</w:t>
      </w:r>
      <w:r>
        <w:rPr>
          <w:rFonts w:ascii="宋体" w:hAnsi="宋体" w:cs="仿宋"/>
          <w:sz w:val="24"/>
          <w:szCs w:val="24"/>
          <w:highlight w:val="none"/>
        </w:rPr>
        <w:t>GB</w:t>
      </w:r>
      <w:r>
        <w:rPr>
          <w:rFonts w:ascii="宋体" w:hAnsi="宋体" w:cs="仿宋"/>
          <w:spacing w:val="3"/>
          <w:sz w:val="24"/>
          <w:szCs w:val="24"/>
          <w:highlight w:val="none"/>
        </w:rPr>
        <w:t>/</w:t>
      </w:r>
      <w:r>
        <w:rPr>
          <w:rFonts w:ascii="宋体" w:hAnsi="宋体" w:cs="仿宋"/>
          <w:sz w:val="24"/>
          <w:szCs w:val="24"/>
          <w:highlight w:val="none"/>
        </w:rPr>
        <w:t>T</w:t>
      </w:r>
      <w:r>
        <w:rPr>
          <w:rFonts w:ascii="宋体" w:hAnsi="宋体" w:cs="仿宋"/>
          <w:spacing w:val="3"/>
          <w:sz w:val="24"/>
          <w:szCs w:val="24"/>
          <w:highlight w:val="none"/>
        </w:rPr>
        <w:t>1536国家最新标</w:t>
      </w:r>
      <w:r>
        <w:rPr>
          <w:rFonts w:ascii="宋体" w:hAnsi="宋体" w:cs="仿宋"/>
          <w:spacing w:val="15"/>
          <w:sz w:val="24"/>
          <w:szCs w:val="24"/>
          <w:highlight w:val="none"/>
        </w:rPr>
        <w:t>准</w:t>
      </w:r>
      <w:r>
        <w:rPr>
          <w:rFonts w:ascii="宋体" w:hAnsi="宋体" w:cs="仿宋"/>
          <w:spacing w:val="13"/>
          <w:sz w:val="24"/>
          <w:szCs w:val="24"/>
          <w:highlight w:val="none"/>
        </w:rPr>
        <w:t>的二级压榨成品菜籽油的技术要求。食品中污染物限量标准应符合</w:t>
      </w:r>
      <w:r>
        <w:rPr>
          <w:rFonts w:ascii="宋体" w:hAnsi="宋体" w:cs="仿宋"/>
          <w:sz w:val="24"/>
          <w:szCs w:val="24"/>
          <w:highlight w:val="none"/>
        </w:rPr>
        <w:t>GB</w:t>
      </w:r>
      <w:r>
        <w:rPr>
          <w:rFonts w:ascii="宋体" w:hAnsi="宋体" w:cs="仿宋"/>
          <w:spacing w:val="13"/>
          <w:sz w:val="24"/>
          <w:szCs w:val="24"/>
          <w:highlight w:val="none"/>
        </w:rPr>
        <w:t>2762</w:t>
      </w:r>
      <w:r>
        <w:rPr>
          <w:rFonts w:ascii="宋体" w:hAnsi="宋体" w:cs="仿宋"/>
          <w:spacing w:val="12"/>
          <w:sz w:val="24"/>
          <w:szCs w:val="24"/>
          <w:highlight w:val="none"/>
        </w:rPr>
        <w:t>国家最</w:t>
      </w:r>
      <w:r>
        <w:rPr>
          <w:rFonts w:ascii="宋体" w:hAnsi="宋体" w:cs="仿宋"/>
          <w:spacing w:val="6"/>
          <w:sz w:val="24"/>
          <w:szCs w:val="24"/>
          <w:highlight w:val="none"/>
        </w:rPr>
        <w:t>新标准、</w:t>
      </w:r>
      <w:r>
        <w:rPr>
          <w:rFonts w:ascii="宋体" w:hAnsi="宋体" w:cs="仿宋"/>
          <w:sz w:val="24"/>
          <w:szCs w:val="24"/>
          <w:highlight w:val="none"/>
        </w:rPr>
        <w:t>GB</w:t>
      </w:r>
      <w:r>
        <w:rPr>
          <w:rFonts w:ascii="宋体" w:hAnsi="宋体" w:cs="仿宋"/>
          <w:spacing w:val="6"/>
          <w:sz w:val="24"/>
          <w:szCs w:val="24"/>
          <w:highlight w:val="none"/>
        </w:rPr>
        <w:t>2761国家最新标准规定或国家卫生、食品安全最新标准，即</w:t>
      </w:r>
      <w:r>
        <w:rPr>
          <w:rFonts w:ascii="宋体" w:hAnsi="宋体" w:cs="仿宋"/>
          <w:spacing w:val="10"/>
          <w:sz w:val="24"/>
          <w:szCs w:val="24"/>
          <w:highlight w:val="none"/>
        </w:rPr>
        <w:t>预包装</w:t>
      </w:r>
      <w:r>
        <w:rPr>
          <w:rFonts w:ascii="宋体" w:hAnsi="宋体" w:cs="仿宋"/>
          <w:spacing w:val="7"/>
          <w:sz w:val="24"/>
          <w:szCs w:val="24"/>
          <w:highlight w:val="none"/>
        </w:rPr>
        <w:t>原</w:t>
      </w:r>
      <w:r>
        <w:rPr>
          <w:rFonts w:ascii="宋体" w:hAnsi="宋体" w:cs="仿宋"/>
          <w:spacing w:val="5"/>
          <w:sz w:val="24"/>
          <w:szCs w:val="24"/>
          <w:highlight w:val="none"/>
        </w:rPr>
        <w:t>料必须为原公司(厂)生产的全新产品，符合国家相关规定的质量标准、</w:t>
      </w:r>
      <w:r>
        <w:rPr>
          <w:rFonts w:ascii="宋体" w:hAnsi="宋体" w:cs="仿宋"/>
          <w:spacing w:val="7"/>
          <w:sz w:val="24"/>
          <w:szCs w:val="24"/>
          <w:highlight w:val="none"/>
        </w:rPr>
        <w:t>环保标准、技术参数和规格要求并达到采购方对食材的要求，特殊食品必须符</w:t>
      </w:r>
      <w:r>
        <w:rPr>
          <w:rFonts w:ascii="宋体" w:hAnsi="宋体" w:cs="仿宋"/>
          <w:spacing w:val="2"/>
          <w:sz w:val="24"/>
          <w:szCs w:val="24"/>
          <w:highlight w:val="none"/>
        </w:rPr>
        <w:t>合</w:t>
      </w:r>
      <w:r>
        <w:rPr>
          <w:rFonts w:ascii="宋体" w:hAnsi="宋体" w:cs="仿宋"/>
          <w:spacing w:val="11"/>
          <w:sz w:val="24"/>
          <w:szCs w:val="24"/>
          <w:highlight w:val="none"/>
        </w:rPr>
        <w:t>国</w:t>
      </w:r>
      <w:r>
        <w:rPr>
          <w:rFonts w:ascii="宋体" w:hAnsi="宋体" w:cs="仿宋"/>
          <w:spacing w:val="9"/>
          <w:sz w:val="24"/>
          <w:szCs w:val="24"/>
          <w:highlight w:val="none"/>
        </w:rPr>
        <w:t>家有关特殊标准和规定。不得提供假冒伪劣、有毒有害食品。</w:t>
      </w:r>
      <w:r>
        <w:rPr>
          <w:rFonts w:ascii="宋体" w:hAnsi="宋体" w:cs="仿宋"/>
          <w:spacing w:val="6"/>
          <w:sz w:val="24"/>
          <w:szCs w:val="24"/>
          <w:highlight w:val="none"/>
        </w:rPr>
        <w:t>②花生油为食用植物油，食用油的食品安全指标应符合</w:t>
      </w:r>
      <w:r>
        <w:rPr>
          <w:rFonts w:ascii="宋体" w:hAnsi="宋体" w:cs="仿宋"/>
          <w:sz w:val="24"/>
          <w:szCs w:val="24"/>
          <w:highlight w:val="none"/>
        </w:rPr>
        <w:t>GB</w:t>
      </w:r>
      <w:r>
        <w:rPr>
          <w:rFonts w:ascii="宋体" w:hAnsi="宋体" w:cs="仿宋"/>
          <w:spacing w:val="6"/>
          <w:sz w:val="24"/>
          <w:szCs w:val="24"/>
          <w:highlight w:val="none"/>
        </w:rPr>
        <w:t>2716-2018国</w:t>
      </w:r>
      <w:r>
        <w:rPr>
          <w:rFonts w:ascii="宋体" w:hAnsi="宋体" w:cs="仿宋"/>
          <w:spacing w:val="4"/>
          <w:sz w:val="24"/>
          <w:szCs w:val="24"/>
          <w:highlight w:val="none"/>
        </w:rPr>
        <w:t>家</w:t>
      </w:r>
      <w:r>
        <w:rPr>
          <w:rFonts w:ascii="宋体" w:hAnsi="宋体" w:cs="仿宋"/>
          <w:spacing w:val="6"/>
          <w:sz w:val="24"/>
          <w:szCs w:val="24"/>
          <w:highlight w:val="none"/>
        </w:rPr>
        <w:t>最新标准的规定，花生油应符合</w:t>
      </w:r>
      <w:r>
        <w:rPr>
          <w:rFonts w:ascii="宋体" w:hAnsi="宋体" w:cs="仿宋"/>
          <w:sz w:val="24"/>
          <w:szCs w:val="24"/>
          <w:highlight w:val="none"/>
        </w:rPr>
        <w:t>GB</w:t>
      </w:r>
      <w:r>
        <w:rPr>
          <w:rFonts w:ascii="宋体" w:hAnsi="宋体" w:cs="仿宋"/>
          <w:spacing w:val="6"/>
          <w:sz w:val="24"/>
          <w:szCs w:val="24"/>
          <w:highlight w:val="none"/>
        </w:rPr>
        <w:t>/</w:t>
      </w:r>
      <w:r>
        <w:rPr>
          <w:rFonts w:ascii="宋体" w:hAnsi="宋体" w:cs="仿宋"/>
          <w:sz w:val="24"/>
          <w:szCs w:val="24"/>
          <w:highlight w:val="none"/>
        </w:rPr>
        <w:t>T</w:t>
      </w:r>
      <w:r>
        <w:rPr>
          <w:rFonts w:ascii="宋体" w:hAnsi="宋体" w:cs="仿宋"/>
          <w:spacing w:val="6"/>
          <w:sz w:val="24"/>
          <w:szCs w:val="24"/>
          <w:highlight w:val="none"/>
        </w:rPr>
        <w:t>1534-2017国家最新标准的规定。即预</w:t>
      </w:r>
      <w:r>
        <w:rPr>
          <w:rFonts w:ascii="宋体" w:hAnsi="宋体" w:cs="仿宋"/>
          <w:spacing w:val="5"/>
          <w:sz w:val="24"/>
          <w:szCs w:val="24"/>
          <w:highlight w:val="none"/>
        </w:rPr>
        <w:t>包</w:t>
      </w:r>
      <w:r>
        <w:rPr>
          <w:rFonts w:ascii="宋体" w:hAnsi="宋体" w:cs="仿宋"/>
          <w:spacing w:val="12"/>
          <w:sz w:val="24"/>
          <w:szCs w:val="24"/>
          <w:highlight w:val="none"/>
        </w:rPr>
        <w:t>装原</w:t>
      </w:r>
      <w:r>
        <w:rPr>
          <w:rFonts w:ascii="宋体" w:hAnsi="宋体" w:cs="仿宋"/>
          <w:spacing w:val="11"/>
          <w:sz w:val="24"/>
          <w:szCs w:val="24"/>
          <w:highlight w:val="none"/>
        </w:rPr>
        <w:t>料</w:t>
      </w:r>
      <w:r>
        <w:rPr>
          <w:rFonts w:ascii="宋体" w:hAnsi="宋体" w:cs="仿宋"/>
          <w:spacing w:val="6"/>
          <w:sz w:val="24"/>
          <w:szCs w:val="24"/>
          <w:highlight w:val="none"/>
        </w:rPr>
        <w:t>必须为原公司(厂)生产的全新产品，符合国家相关规定的质量标准、环</w:t>
      </w:r>
      <w:r>
        <w:rPr>
          <w:rFonts w:ascii="宋体" w:hAnsi="宋体" w:cs="仿宋"/>
          <w:spacing w:val="7"/>
          <w:sz w:val="24"/>
          <w:szCs w:val="24"/>
          <w:highlight w:val="none"/>
        </w:rPr>
        <w:t>保标准、技术参数和规格要求并达到采购方对食材的要求，特殊食品必须符合</w:t>
      </w:r>
      <w:r>
        <w:rPr>
          <w:rFonts w:ascii="宋体" w:hAnsi="宋体" w:cs="仿宋"/>
          <w:spacing w:val="1"/>
          <w:sz w:val="24"/>
          <w:szCs w:val="24"/>
          <w:highlight w:val="none"/>
        </w:rPr>
        <w:t>国</w:t>
      </w:r>
      <w:r>
        <w:rPr>
          <w:rFonts w:ascii="宋体" w:hAnsi="宋体" w:cs="仿宋"/>
          <w:spacing w:val="9"/>
          <w:sz w:val="24"/>
          <w:szCs w:val="24"/>
          <w:highlight w:val="none"/>
        </w:rPr>
        <w:t>家有关特殊标准和规定。不得提供假冒伪劣、有毒有害食品。</w:t>
      </w:r>
      <w:r>
        <w:rPr>
          <w:rFonts w:ascii="宋体" w:hAnsi="宋体" w:cs="仿宋"/>
          <w:spacing w:val="6"/>
          <w:sz w:val="24"/>
          <w:szCs w:val="24"/>
          <w:highlight w:val="none"/>
        </w:rPr>
        <w:t>③大豆油为食用植物油，食用油的食品安全指标应符合</w:t>
      </w:r>
      <w:r>
        <w:rPr>
          <w:rFonts w:ascii="宋体" w:hAnsi="宋体" w:cs="仿宋"/>
          <w:sz w:val="24"/>
          <w:szCs w:val="24"/>
          <w:highlight w:val="none"/>
        </w:rPr>
        <w:t>GB</w:t>
      </w:r>
      <w:r>
        <w:rPr>
          <w:rFonts w:ascii="宋体" w:hAnsi="宋体" w:cs="仿宋"/>
          <w:spacing w:val="6"/>
          <w:sz w:val="24"/>
          <w:szCs w:val="24"/>
          <w:highlight w:val="none"/>
        </w:rPr>
        <w:t>2716-2018国</w:t>
      </w:r>
      <w:r>
        <w:rPr>
          <w:rFonts w:ascii="宋体" w:hAnsi="宋体" w:cs="仿宋"/>
          <w:spacing w:val="4"/>
          <w:sz w:val="24"/>
          <w:szCs w:val="24"/>
          <w:highlight w:val="none"/>
        </w:rPr>
        <w:t>家</w:t>
      </w:r>
      <w:r>
        <w:rPr>
          <w:rFonts w:ascii="宋体" w:hAnsi="宋体" w:cs="仿宋"/>
          <w:spacing w:val="19"/>
          <w:sz w:val="24"/>
          <w:szCs w:val="24"/>
          <w:highlight w:val="none"/>
        </w:rPr>
        <w:t>最</w:t>
      </w:r>
      <w:r>
        <w:rPr>
          <w:rFonts w:ascii="宋体" w:hAnsi="宋体" w:cs="仿宋"/>
          <w:spacing w:val="12"/>
          <w:sz w:val="24"/>
          <w:szCs w:val="24"/>
          <w:highlight w:val="none"/>
        </w:rPr>
        <w:t>新标准的规定，大豆油应符合</w:t>
      </w:r>
      <w:r>
        <w:rPr>
          <w:highlight w:val="none"/>
        </w:rPr>
        <w:fldChar w:fldCharType="begin"/>
      </w:r>
      <w:r>
        <w:rPr>
          <w:highlight w:val="none"/>
        </w:rPr>
        <w:instrText xml:space="preserve"> HYPERLINK "javascript:void(0)" </w:instrText>
      </w:r>
      <w:r>
        <w:rPr>
          <w:highlight w:val="none"/>
        </w:rPr>
        <w:fldChar w:fldCharType="separate"/>
      </w:r>
      <w:r>
        <w:rPr>
          <w:rFonts w:ascii="宋体" w:hAnsi="宋体" w:cs="仿宋"/>
          <w:sz w:val="24"/>
          <w:szCs w:val="24"/>
          <w:highlight w:val="none"/>
        </w:rPr>
        <w:t>GB</w:t>
      </w:r>
      <w:r>
        <w:rPr>
          <w:rFonts w:ascii="宋体" w:hAnsi="宋体" w:cs="仿宋"/>
          <w:spacing w:val="12"/>
          <w:sz w:val="24"/>
          <w:szCs w:val="24"/>
          <w:highlight w:val="none"/>
        </w:rPr>
        <w:t>/</w:t>
      </w:r>
      <w:r>
        <w:rPr>
          <w:rFonts w:ascii="宋体" w:hAnsi="宋体" w:cs="仿宋"/>
          <w:sz w:val="24"/>
          <w:szCs w:val="24"/>
          <w:highlight w:val="none"/>
        </w:rPr>
        <w:t>T</w:t>
      </w:r>
      <w:r>
        <w:rPr>
          <w:rFonts w:ascii="宋体" w:hAnsi="宋体" w:cs="仿宋"/>
          <w:spacing w:val="12"/>
          <w:sz w:val="24"/>
          <w:szCs w:val="24"/>
          <w:highlight w:val="none"/>
        </w:rPr>
        <w:t>1535-2017</w:t>
      </w:r>
      <w:r>
        <w:rPr>
          <w:rFonts w:ascii="宋体" w:hAnsi="宋体" w:cs="仿宋"/>
          <w:spacing w:val="12"/>
          <w:sz w:val="24"/>
          <w:szCs w:val="24"/>
          <w:highlight w:val="none"/>
        </w:rPr>
        <w:fldChar w:fldCharType="end"/>
      </w:r>
      <w:r>
        <w:rPr>
          <w:rFonts w:ascii="宋体" w:hAnsi="宋体" w:cs="仿宋"/>
          <w:spacing w:val="12"/>
          <w:sz w:val="24"/>
          <w:szCs w:val="24"/>
          <w:highlight w:val="none"/>
        </w:rPr>
        <w:t>国家最新标准规定。即预包装原料</w:t>
      </w:r>
      <w:r>
        <w:rPr>
          <w:rFonts w:ascii="宋体" w:hAnsi="宋体" w:cs="仿宋"/>
          <w:spacing w:val="7"/>
          <w:sz w:val="24"/>
          <w:szCs w:val="24"/>
          <w:highlight w:val="none"/>
        </w:rPr>
        <w:t>必</w:t>
      </w:r>
      <w:r>
        <w:rPr>
          <w:rFonts w:ascii="宋体" w:hAnsi="宋体" w:cs="仿宋"/>
          <w:spacing w:val="6"/>
          <w:sz w:val="24"/>
          <w:szCs w:val="24"/>
          <w:highlight w:val="none"/>
        </w:rPr>
        <w:t>须为原公司(厂)生产的全新产品，符合国家相关规定的质量标准、环保</w:t>
      </w:r>
      <w:r>
        <w:rPr>
          <w:rFonts w:ascii="宋体" w:hAnsi="宋体" w:cs="仿宋"/>
          <w:spacing w:val="7"/>
          <w:sz w:val="24"/>
          <w:szCs w:val="24"/>
          <w:highlight w:val="none"/>
        </w:rPr>
        <w:t>标准、技术参数和规格要求并达到采购方对食材的要求，特殊食品必须符合国</w:t>
      </w:r>
      <w:r>
        <w:rPr>
          <w:rFonts w:ascii="宋体" w:hAnsi="宋体" w:cs="仿宋"/>
          <w:spacing w:val="5"/>
          <w:sz w:val="24"/>
          <w:szCs w:val="24"/>
          <w:highlight w:val="none"/>
        </w:rPr>
        <w:t>家</w:t>
      </w:r>
      <w:r>
        <w:rPr>
          <w:rFonts w:ascii="宋体" w:hAnsi="宋体" w:cs="仿宋"/>
          <w:spacing w:val="11"/>
          <w:sz w:val="24"/>
          <w:szCs w:val="24"/>
          <w:highlight w:val="none"/>
        </w:rPr>
        <w:t>有</w:t>
      </w:r>
      <w:r>
        <w:rPr>
          <w:rFonts w:ascii="宋体" w:hAnsi="宋体" w:cs="仿宋"/>
          <w:spacing w:val="9"/>
          <w:sz w:val="24"/>
          <w:szCs w:val="24"/>
          <w:highlight w:val="none"/>
        </w:rPr>
        <w:t>关特殊标准和规定。不得提供假冒伪劣、有毒有害食品。</w:t>
      </w:r>
      <w:r>
        <w:rPr>
          <w:rFonts w:ascii="宋体" w:hAnsi="宋体" w:cs="仿宋"/>
          <w:spacing w:val="16"/>
          <w:sz w:val="24"/>
          <w:szCs w:val="24"/>
          <w:highlight w:val="none"/>
        </w:rPr>
        <w:t>④</w:t>
      </w:r>
      <w:r>
        <w:rPr>
          <w:rFonts w:ascii="宋体" w:hAnsi="宋体" w:cs="仿宋"/>
          <w:spacing w:val="8"/>
          <w:sz w:val="24"/>
          <w:szCs w:val="24"/>
          <w:highlight w:val="none"/>
        </w:rPr>
        <w:t>桶装，每桶一次性密封装。</w:t>
      </w:r>
      <w:r>
        <w:rPr>
          <w:rFonts w:ascii="宋体" w:hAnsi="宋体" w:cs="仿宋"/>
          <w:spacing w:val="2"/>
          <w:sz w:val="24"/>
          <w:szCs w:val="24"/>
          <w:highlight w:val="none"/>
        </w:rPr>
        <w:t>⑤包装符合</w:t>
      </w:r>
      <w:r>
        <w:rPr>
          <w:rFonts w:ascii="宋体" w:hAnsi="宋体" w:cs="仿宋"/>
          <w:sz w:val="24"/>
          <w:szCs w:val="24"/>
          <w:highlight w:val="none"/>
        </w:rPr>
        <w:t>GB</w:t>
      </w:r>
      <w:r>
        <w:rPr>
          <w:rFonts w:ascii="宋体" w:hAnsi="宋体" w:cs="仿宋"/>
          <w:spacing w:val="2"/>
          <w:sz w:val="24"/>
          <w:szCs w:val="24"/>
          <w:highlight w:val="none"/>
        </w:rPr>
        <w:t>/</w:t>
      </w:r>
      <w:r>
        <w:rPr>
          <w:rFonts w:ascii="宋体" w:hAnsi="宋体" w:cs="仿宋"/>
          <w:sz w:val="24"/>
          <w:szCs w:val="24"/>
          <w:highlight w:val="none"/>
        </w:rPr>
        <w:t>T</w:t>
      </w:r>
      <w:r>
        <w:rPr>
          <w:rFonts w:ascii="宋体" w:hAnsi="宋体" w:cs="仿宋"/>
          <w:spacing w:val="2"/>
          <w:sz w:val="24"/>
          <w:szCs w:val="24"/>
          <w:highlight w:val="none"/>
        </w:rPr>
        <w:t>17374国家最新标准。</w:t>
      </w:r>
      <w:r>
        <w:rPr>
          <w:rFonts w:ascii="宋体" w:hAnsi="宋体" w:cs="仿宋"/>
          <w:spacing w:val="-2"/>
          <w:sz w:val="24"/>
          <w:szCs w:val="24"/>
          <w:highlight w:val="none"/>
        </w:rPr>
        <w:t>⑥保质期</w:t>
      </w:r>
      <w:r>
        <w:rPr>
          <w:rFonts w:ascii="宋体" w:hAnsi="宋体" w:cs="仿宋"/>
          <w:spacing w:val="-1"/>
          <w:sz w:val="24"/>
          <w:szCs w:val="24"/>
          <w:highlight w:val="none"/>
        </w:rPr>
        <w:t>不少于12个月。</w:t>
      </w:r>
      <w:r>
        <w:rPr>
          <w:rFonts w:ascii="宋体" w:hAnsi="宋体" w:cs="仿宋"/>
          <w:spacing w:val="16"/>
          <w:sz w:val="24"/>
          <w:szCs w:val="24"/>
          <w:highlight w:val="none"/>
        </w:rPr>
        <w:t>⑦</w:t>
      </w:r>
      <w:r>
        <w:rPr>
          <w:rFonts w:ascii="宋体" w:hAnsi="宋体" w:cs="仿宋"/>
          <w:spacing w:val="15"/>
          <w:sz w:val="24"/>
          <w:szCs w:val="24"/>
          <w:highlight w:val="none"/>
        </w:rPr>
        <w:t>在</w:t>
      </w:r>
      <w:r>
        <w:rPr>
          <w:rFonts w:ascii="宋体" w:hAnsi="宋体" w:cs="仿宋"/>
          <w:spacing w:val="8"/>
          <w:sz w:val="24"/>
          <w:szCs w:val="24"/>
          <w:highlight w:val="none"/>
        </w:rPr>
        <w:t>油桶上印有清晰地生产日期。油桶上注明产品名称、配料、加工原料、</w:t>
      </w:r>
      <w:r>
        <w:rPr>
          <w:rFonts w:ascii="宋体" w:hAnsi="宋体" w:cs="仿宋"/>
          <w:spacing w:val="6"/>
          <w:sz w:val="24"/>
          <w:szCs w:val="24"/>
          <w:highlight w:val="none"/>
        </w:rPr>
        <w:t>净含量、厂名、厂址、保质期、联系方式、质量等级、生产工艺、营养成分表、生产许可证号、贮存条件、原料原产地。</w:t>
      </w:r>
    </w:p>
    <w:p w14:paraId="33A33937">
      <w:pPr>
        <w:spacing w:line="360" w:lineRule="auto"/>
        <w:ind w:left="0" w:leftChars="0" w:firstLine="536" w:firstLineChars="213"/>
        <w:rPr>
          <w:rFonts w:ascii="宋体" w:hAnsi="宋体" w:cs="仿宋"/>
          <w:spacing w:val="6"/>
          <w:sz w:val="24"/>
          <w:szCs w:val="24"/>
          <w:highlight w:val="none"/>
        </w:rPr>
      </w:pPr>
      <w:r>
        <w:rPr>
          <w:rFonts w:ascii="宋体" w:hAnsi="宋体" w:cs="仿宋"/>
          <w:spacing w:val="6"/>
          <w:sz w:val="24"/>
          <w:szCs w:val="24"/>
          <w:highlight w:val="none"/>
        </w:rPr>
        <w:t>3.1.6米(包含了大米、五常大米、小米等)</w:t>
      </w:r>
    </w:p>
    <w:p w14:paraId="4944C434">
      <w:pPr>
        <w:spacing w:line="360" w:lineRule="auto"/>
        <w:ind w:left="0" w:leftChars="0" w:firstLine="536" w:firstLineChars="213"/>
        <w:rPr>
          <w:rFonts w:ascii="宋体" w:hAnsi="宋体" w:cs="仿宋"/>
          <w:sz w:val="24"/>
          <w:szCs w:val="24"/>
          <w:highlight w:val="none"/>
        </w:rPr>
      </w:pPr>
      <w:r>
        <w:rPr>
          <w:rFonts w:ascii="宋体" w:hAnsi="宋体" w:cs="仿宋"/>
          <w:spacing w:val="6"/>
          <w:sz w:val="24"/>
          <w:szCs w:val="24"/>
          <w:highlight w:val="none"/>
        </w:rPr>
        <w:t>①大米应当符合GB/T1354-2018国家最新标准规定。②五常大米为地理标志产品，应当符合GB/T19266-</w:t>
      </w:r>
      <w:r>
        <w:rPr>
          <w:rFonts w:ascii="宋体" w:hAnsi="宋体" w:cs="仿宋"/>
          <w:spacing w:val="-1"/>
          <w:sz w:val="24"/>
          <w:szCs w:val="24"/>
          <w:highlight w:val="none"/>
        </w:rPr>
        <w:t>2008国家</w:t>
      </w:r>
      <w:r>
        <w:rPr>
          <w:rFonts w:ascii="宋体" w:hAnsi="宋体" w:cs="仿宋"/>
          <w:sz w:val="24"/>
          <w:szCs w:val="24"/>
          <w:highlight w:val="none"/>
        </w:rPr>
        <w:t>最新标准规定。</w:t>
      </w:r>
      <w:r>
        <w:rPr>
          <w:rFonts w:ascii="宋体" w:hAnsi="宋体" w:cs="仿宋"/>
          <w:spacing w:val="6"/>
          <w:sz w:val="24"/>
          <w:szCs w:val="24"/>
          <w:highlight w:val="none"/>
        </w:rPr>
        <w:t>③小米应当</w:t>
      </w:r>
      <w:r>
        <w:rPr>
          <w:rFonts w:ascii="宋体" w:hAnsi="宋体" w:cs="仿宋"/>
          <w:spacing w:val="3"/>
          <w:sz w:val="24"/>
          <w:szCs w:val="24"/>
          <w:highlight w:val="none"/>
        </w:rPr>
        <w:t>符合</w:t>
      </w:r>
      <w:r>
        <w:rPr>
          <w:rFonts w:ascii="宋体" w:hAnsi="宋体" w:cs="仿宋"/>
          <w:sz w:val="24"/>
          <w:szCs w:val="24"/>
          <w:highlight w:val="none"/>
        </w:rPr>
        <w:t>GB</w:t>
      </w:r>
      <w:r>
        <w:rPr>
          <w:rFonts w:ascii="宋体" w:hAnsi="宋体" w:cs="仿宋"/>
          <w:spacing w:val="3"/>
          <w:sz w:val="24"/>
          <w:szCs w:val="24"/>
          <w:highlight w:val="none"/>
        </w:rPr>
        <w:t>/</w:t>
      </w:r>
      <w:r>
        <w:rPr>
          <w:rFonts w:ascii="宋体" w:hAnsi="宋体" w:cs="仿宋"/>
          <w:sz w:val="24"/>
          <w:szCs w:val="24"/>
          <w:highlight w:val="none"/>
        </w:rPr>
        <w:t>T</w:t>
      </w:r>
      <w:r>
        <w:rPr>
          <w:rFonts w:ascii="宋体" w:hAnsi="宋体" w:cs="仿宋"/>
          <w:spacing w:val="3"/>
          <w:sz w:val="24"/>
          <w:szCs w:val="24"/>
          <w:highlight w:val="none"/>
        </w:rPr>
        <w:t>11766-2008国家最新标准规定。</w:t>
      </w:r>
      <w:r>
        <w:rPr>
          <w:rFonts w:ascii="宋体" w:hAnsi="宋体" w:cs="仿宋"/>
          <w:spacing w:val="16"/>
          <w:sz w:val="24"/>
          <w:szCs w:val="24"/>
          <w:highlight w:val="none"/>
        </w:rPr>
        <w:t>④不</w:t>
      </w:r>
      <w:r>
        <w:rPr>
          <w:rFonts w:ascii="宋体" w:hAnsi="宋体" w:cs="仿宋"/>
          <w:spacing w:val="10"/>
          <w:sz w:val="24"/>
          <w:szCs w:val="24"/>
          <w:highlight w:val="none"/>
        </w:rPr>
        <w:t>低</w:t>
      </w:r>
      <w:r>
        <w:rPr>
          <w:rFonts w:ascii="宋体" w:hAnsi="宋体" w:cs="仿宋"/>
          <w:spacing w:val="8"/>
          <w:sz w:val="24"/>
          <w:szCs w:val="24"/>
          <w:highlight w:val="none"/>
        </w:rPr>
        <w:t>于</w:t>
      </w:r>
      <w:r>
        <w:rPr>
          <w:rFonts w:ascii="宋体" w:hAnsi="宋体" w:cs="仿宋"/>
          <w:sz w:val="24"/>
          <w:szCs w:val="24"/>
          <w:highlight w:val="none"/>
        </w:rPr>
        <w:t>GB</w:t>
      </w:r>
      <w:r>
        <w:rPr>
          <w:rFonts w:ascii="宋体" w:hAnsi="宋体" w:cs="仿宋"/>
          <w:spacing w:val="8"/>
          <w:sz w:val="24"/>
          <w:szCs w:val="24"/>
          <w:highlight w:val="none"/>
        </w:rPr>
        <w:t>/</w:t>
      </w:r>
      <w:r>
        <w:rPr>
          <w:rFonts w:ascii="宋体" w:hAnsi="宋体" w:cs="仿宋"/>
          <w:sz w:val="24"/>
          <w:szCs w:val="24"/>
          <w:highlight w:val="none"/>
        </w:rPr>
        <w:t>T</w:t>
      </w:r>
      <w:r>
        <w:rPr>
          <w:rFonts w:ascii="宋体" w:hAnsi="宋体" w:cs="仿宋"/>
          <w:spacing w:val="8"/>
          <w:sz w:val="24"/>
          <w:szCs w:val="24"/>
          <w:highlight w:val="none"/>
        </w:rPr>
        <w:t>1354国家最新标准一级等指标的技术要求；⑤国标二级籼稻大米(产品与标注情况一致)</w:t>
      </w:r>
      <w:r>
        <w:rPr>
          <w:rFonts w:ascii="宋体" w:hAnsi="宋体" w:cs="仿宋"/>
          <w:spacing w:val="3"/>
          <w:sz w:val="24"/>
          <w:szCs w:val="24"/>
          <w:highlight w:val="none"/>
        </w:rPr>
        <w:t>；</w:t>
      </w:r>
      <w:r>
        <w:rPr>
          <w:rFonts w:ascii="宋体" w:hAnsi="宋体" w:cs="仿宋"/>
          <w:spacing w:val="8"/>
          <w:sz w:val="24"/>
          <w:szCs w:val="24"/>
          <w:highlight w:val="none"/>
        </w:rPr>
        <w:t>⑥</w:t>
      </w:r>
      <w:r>
        <w:rPr>
          <w:rFonts w:ascii="宋体" w:hAnsi="宋体" w:cs="仿宋"/>
          <w:spacing w:val="6"/>
          <w:sz w:val="24"/>
          <w:szCs w:val="24"/>
          <w:highlight w:val="none"/>
        </w:rPr>
        <w:t>包</w:t>
      </w:r>
      <w:r>
        <w:rPr>
          <w:rFonts w:ascii="宋体" w:hAnsi="宋体" w:cs="仿宋"/>
          <w:spacing w:val="4"/>
          <w:sz w:val="24"/>
          <w:szCs w:val="24"/>
          <w:highlight w:val="none"/>
        </w:rPr>
        <w:t>装符合</w:t>
      </w:r>
      <w:r>
        <w:rPr>
          <w:rFonts w:ascii="宋体" w:hAnsi="宋体" w:cs="仿宋"/>
          <w:sz w:val="24"/>
          <w:szCs w:val="24"/>
          <w:highlight w:val="none"/>
        </w:rPr>
        <w:t>GB</w:t>
      </w:r>
      <w:r>
        <w:rPr>
          <w:rFonts w:ascii="宋体" w:hAnsi="宋体" w:cs="仿宋"/>
          <w:spacing w:val="4"/>
          <w:sz w:val="24"/>
          <w:szCs w:val="24"/>
          <w:highlight w:val="none"/>
        </w:rPr>
        <w:t>/</w:t>
      </w:r>
      <w:r>
        <w:rPr>
          <w:rFonts w:ascii="宋体" w:hAnsi="宋体" w:cs="仿宋"/>
          <w:sz w:val="24"/>
          <w:szCs w:val="24"/>
          <w:highlight w:val="none"/>
        </w:rPr>
        <w:t>T</w:t>
      </w:r>
      <w:r>
        <w:rPr>
          <w:rFonts w:ascii="宋体" w:hAnsi="宋体" w:cs="仿宋"/>
          <w:spacing w:val="4"/>
          <w:sz w:val="24"/>
          <w:szCs w:val="24"/>
          <w:highlight w:val="none"/>
        </w:rPr>
        <w:t>17109国家最新标准粮食销售包装标准；</w:t>
      </w:r>
      <w:r>
        <w:rPr>
          <w:rFonts w:ascii="宋体" w:hAnsi="宋体" w:cs="仿宋"/>
          <w:spacing w:val="13"/>
          <w:sz w:val="24"/>
          <w:szCs w:val="24"/>
          <w:highlight w:val="none"/>
        </w:rPr>
        <w:t>⑦</w:t>
      </w:r>
      <w:r>
        <w:rPr>
          <w:rFonts w:ascii="宋体" w:hAnsi="宋体" w:cs="仿宋"/>
          <w:spacing w:val="7"/>
          <w:sz w:val="24"/>
          <w:szCs w:val="24"/>
          <w:highlight w:val="none"/>
        </w:rPr>
        <w:t>保质期不少于6个月；⑧生产日期标注在独立的纸制生产合格证上并固定于袋口封装线上，在未</w:t>
      </w:r>
      <w:r>
        <w:rPr>
          <w:rFonts w:ascii="宋体" w:hAnsi="宋体" w:cs="仿宋"/>
          <w:spacing w:val="4"/>
          <w:sz w:val="24"/>
          <w:szCs w:val="24"/>
          <w:highlight w:val="none"/>
        </w:rPr>
        <w:t>拆</w:t>
      </w:r>
      <w:r>
        <w:rPr>
          <w:rFonts w:ascii="宋体" w:hAnsi="宋体" w:cs="仿宋"/>
          <w:spacing w:val="16"/>
          <w:sz w:val="24"/>
          <w:szCs w:val="24"/>
          <w:highlight w:val="none"/>
        </w:rPr>
        <w:t>封</w:t>
      </w:r>
      <w:r>
        <w:rPr>
          <w:rFonts w:ascii="宋体" w:hAnsi="宋体" w:cs="仿宋"/>
          <w:spacing w:val="8"/>
          <w:sz w:val="24"/>
          <w:szCs w:val="24"/>
          <w:highlight w:val="none"/>
        </w:rPr>
        <w:t>包装袋之前完全能清晰看清生产日期。外包装上注明产品名称、原料、产地、</w:t>
      </w:r>
      <w:r>
        <w:rPr>
          <w:rFonts w:ascii="宋体" w:hAnsi="宋体" w:cs="仿宋"/>
          <w:spacing w:val="16"/>
          <w:sz w:val="24"/>
          <w:szCs w:val="24"/>
          <w:highlight w:val="none"/>
        </w:rPr>
        <w:t>净</w:t>
      </w:r>
      <w:r>
        <w:rPr>
          <w:rFonts w:ascii="宋体" w:hAnsi="宋体" w:cs="仿宋"/>
          <w:spacing w:val="8"/>
          <w:sz w:val="24"/>
          <w:szCs w:val="24"/>
          <w:highlight w:val="none"/>
        </w:rPr>
        <w:t>含量、厂名、厂址、生产日期、保质期、产品标准号、联系方式、质量等级、</w:t>
      </w:r>
      <w:r>
        <w:rPr>
          <w:rFonts w:ascii="宋体" w:hAnsi="宋体" w:cs="仿宋"/>
          <w:spacing w:val="16"/>
          <w:sz w:val="24"/>
          <w:szCs w:val="24"/>
          <w:highlight w:val="none"/>
        </w:rPr>
        <w:t>营</w:t>
      </w:r>
      <w:r>
        <w:rPr>
          <w:rFonts w:ascii="宋体" w:hAnsi="宋体" w:cs="仿宋"/>
          <w:spacing w:val="10"/>
          <w:sz w:val="24"/>
          <w:szCs w:val="24"/>
          <w:highlight w:val="none"/>
        </w:rPr>
        <w:t>养</w:t>
      </w:r>
      <w:r>
        <w:rPr>
          <w:rFonts w:ascii="宋体" w:hAnsi="宋体" w:cs="仿宋"/>
          <w:spacing w:val="8"/>
          <w:sz w:val="24"/>
          <w:szCs w:val="24"/>
          <w:highlight w:val="none"/>
        </w:rPr>
        <w:t>成分表、生产许可证编号、贮存条件；</w:t>
      </w:r>
      <w:r>
        <w:rPr>
          <w:rFonts w:ascii="宋体" w:hAnsi="宋体" w:cs="仿宋"/>
          <w:spacing w:val="7"/>
          <w:sz w:val="24"/>
          <w:szCs w:val="24"/>
          <w:highlight w:val="none"/>
        </w:rPr>
        <w:t>⑨生产日期标注在独立的生产合格证上并固定于袋口封装线上；在未拆封</w:t>
      </w:r>
      <w:r>
        <w:rPr>
          <w:rFonts w:ascii="宋体" w:hAnsi="宋体" w:cs="仿宋"/>
          <w:spacing w:val="4"/>
          <w:sz w:val="24"/>
          <w:szCs w:val="24"/>
          <w:highlight w:val="none"/>
        </w:rPr>
        <w:t>包</w:t>
      </w:r>
      <w:r>
        <w:rPr>
          <w:rFonts w:ascii="宋体" w:hAnsi="宋体" w:cs="仿宋"/>
          <w:spacing w:val="10"/>
          <w:sz w:val="24"/>
          <w:szCs w:val="24"/>
          <w:highlight w:val="none"/>
        </w:rPr>
        <w:t>装</w:t>
      </w:r>
      <w:r>
        <w:rPr>
          <w:rFonts w:ascii="宋体" w:hAnsi="宋体" w:cs="仿宋"/>
          <w:spacing w:val="8"/>
          <w:sz w:val="24"/>
          <w:szCs w:val="24"/>
          <w:highlight w:val="none"/>
        </w:rPr>
        <w:t>袋之前完全能清楚看清生产日期。</w:t>
      </w:r>
    </w:p>
    <w:p w14:paraId="2036F0F3">
      <w:pPr>
        <w:spacing w:line="360" w:lineRule="auto"/>
        <w:ind w:left="0" w:leftChars="0" w:firstLine="528" w:firstLineChars="213"/>
        <w:rPr>
          <w:rFonts w:ascii="宋体" w:hAnsi="宋体" w:cs="仿宋"/>
          <w:spacing w:val="2"/>
          <w:sz w:val="24"/>
          <w:szCs w:val="24"/>
          <w:highlight w:val="none"/>
        </w:rPr>
      </w:pPr>
      <w:r>
        <w:rPr>
          <w:rFonts w:ascii="宋体" w:hAnsi="宋体" w:cs="仿宋"/>
          <w:spacing w:val="4"/>
          <w:sz w:val="24"/>
          <w:szCs w:val="24"/>
          <w:highlight w:val="none"/>
        </w:rPr>
        <w:t>3.1.7</w:t>
      </w:r>
      <w:r>
        <w:rPr>
          <w:rFonts w:ascii="宋体" w:hAnsi="宋体" w:cs="仿宋"/>
          <w:spacing w:val="2"/>
          <w:sz w:val="24"/>
          <w:szCs w:val="24"/>
          <w:highlight w:val="none"/>
        </w:rPr>
        <w:t>面粉(包含了小麦粉)</w:t>
      </w:r>
    </w:p>
    <w:p w14:paraId="0C92EE8A">
      <w:pPr>
        <w:spacing w:line="360" w:lineRule="auto"/>
        <w:ind w:left="0" w:leftChars="0" w:firstLine="536" w:firstLineChars="213"/>
        <w:rPr>
          <w:rFonts w:ascii="宋体" w:hAnsi="宋体" w:cs="仿宋"/>
          <w:sz w:val="24"/>
          <w:szCs w:val="24"/>
          <w:highlight w:val="none"/>
        </w:rPr>
      </w:pPr>
      <w:r>
        <w:rPr>
          <w:rFonts w:ascii="宋体" w:hAnsi="宋体" w:cs="仿宋"/>
          <w:spacing w:val="6"/>
          <w:sz w:val="24"/>
          <w:szCs w:val="24"/>
          <w:highlight w:val="none"/>
        </w:rPr>
        <w:t>①小麦</w:t>
      </w:r>
      <w:r>
        <w:rPr>
          <w:rFonts w:ascii="宋体" w:hAnsi="宋体" w:cs="仿宋"/>
          <w:spacing w:val="5"/>
          <w:sz w:val="24"/>
          <w:szCs w:val="24"/>
          <w:highlight w:val="none"/>
        </w:rPr>
        <w:t>粉</w:t>
      </w:r>
      <w:r>
        <w:rPr>
          <w:rFonts w:ascii="宋体" w:hAnsi="宋体" w:cs="仿宋"/>
          <w:spacing w:val="3"/>
          <w:sz w:val="24"/>
          <w:szCs w:val="24"/>
          <w:highlight w:val="none"/>
        </w:rPr>
        <w:t>应当符合</w:t>
      </w:r>
      <w:r>
        <w:rPr>
          <w:rFonts w:ascii="宋体" w:hAnsi="宋体" w:cs="仿宋"/>
          <w:sz w:val="24"/>
          <w:szCs w:val="24"/>
          <w:highlight w:val="none"/>
        </w:rPr>
        <w:t>GB</w:t>
      </w:r>
      <w:r>
        <w:rPr>
          <w:rFonts w:ascii="宋体" w:hAnsi="宋体" w:cs="仿宋"/>
          <w:spacing w:val="3"/>
          <w:sz w:val="24"/>
          <w:szCs w:val="24"/>
          <w:highlight w:val="none"/>
        </w:rPr>
        <w:t>/</w:t>
      </w:r>
      <w:r>
        <w:rPr>
          <w:rFonts w:ascii="宋体" w:hAnsi="宋体" w:cs="仿宋"/>
          <w:sz w:val="24"/>
          <w:szCs w:val="24"/>
          <w:highlight w:val="none"/>
        </w:rPr>
        <w:t>T</w:t>
      </w:r>
      <w:r>
        <w:rPr>
          <w:rFonts w:ascii="宋体" w:hAnsi="宋体" w:cs="仿宋"/>
          <w:spacing w:val="3"/>
          <w:sz w:val="24"/>
          <w:szCs w:val="24"/>
          <w:highlight w:val="none"/>
        </w:rPr>
        <w:t>1355国家最新标准规定。</w:t>
      </w:r>
      <w:r>
        <w:rPr>
          <w:rFonts w:ascii="宋体" w:hAnsi="宋体" w:cs="仿宋"/>
          <w:spacing w:val="10"/>
          <w:sz w:val="24"/>
          <w:szCs w:val="24"/>
          <w:highlight w:val="none"/>
        </w:rPr>
        <w:t>②</w:t>
      </w:r>
      <w:r>
        <w:rPr>
          <w:rFonts w:ascii="宋体" w:hAnsi="宋体" w:cs="仿宋"/>
          <w:spacing w:val="9"/>
          <w:sz w:val="24"/>
          <w:szCs w:val="24"/>
          <w:highlight w:val="none"/>
        </w:rPr>
        <w:t>特制一等粉：符合国家或行业最新标准。</w:t>
      </w:r>
      <w:r>
        <w:rPr>
          <w:rFonts w:ascii="宋体" w:hAnsi="宋体" w:cs="仿宋"/>
          <w:spacing w:val="10"/>
          <w:sz w:val="24"/>
          <w:szCs w:val="24"/>
          <w:highlight w:val="none"/>
        </w:rPr>
        <w:t>③特制二等粉：质量指标不低于</w:t>
      </w:r>
      <w:r>
        <w:rPr>
          <w:rFonts w:ascii="宋体" w:hAnsi="宋体" w:cs="仿宋"/>
          <w:sz w:val="24"/>
          <w:szCs w:val="24"/>
          <w:highlight w:val="none"/>
        </w:rPr>
        <w:t>GB</w:t>
      </w:r>
      <w:r>
        <w:rPr>
          <w:rFonts w:ascii="宋体" w:hAnsi="宋体" w:cs="仿宋"/>
          <w:spacing w:val="10"/>
          <w:sz w:val="24"/>
          <w:szCs w:val="24"/>
          <w:highlight w:val="none"/>
        </w:rPr>
        <w:t>/</w:t>
      </w:r>
      <w:r>
        <w:rPr>
          <w:rFonts w:ascii="宋体" w:hAnsi="宋体" w:cs="仿宋"/>
          <w:sz w:val="24"/>
          <w:szCs w:val="24"/>
          <w:highlight w:val="none"/>
        </w:rPr>
        <w:t>T</w:t>
      </w:r>
      <w:r>
        <w:rPr>
          <w:rFonts w:ascii="宋体" w:hAnsi="宋体" w:cs="仿宋"/>
          <w:spacing w:val="10"/>
          <w:sz w:val="24"/>
          <w:szCs w:val="24"/>
          <w:highlight w:val="none"/>
        </w:rPr>
        <w:t>1355国家最新标准的特制二等指</w:t>
      </w:r>
      <w:r>
        <w:rPr>
          <w:rFonts w:ascii="宋体" w:hAnsi="宋体" w:cs="仿宋"/>
          <w:spacing w:val="3"/>
          <w:sz w:val="24"/>
          <w:szCs w:val="24"/>
          <w:highlight w:val="none"/>
        </w:rPr>
        <w:t>标</w:t>
      </w:r>
      <w:r>
        <w:rPr>
          <w:rFonts w:ascii="宋体" w:hAnsi="宋体" w:cs="仿宋"/>
          <w:spacing w:val="5"/>
          <w:sz w:val="24"/>
          <w:szCs w:val="24"/>
          <w:highlight w:val="none"/>
        </w:rPr>
        <w:t>的</w:t>
      </w:r>
      <w:r>
        <w:rPr>
          <w:rFonts w:ascii="宋体" w:hAnsi="宋体" w:cs="仿宋"/>
          <w:spacing w:val="3"/>
          <w:sz w:val="24"/>
          <w:szCs w:val="24"/>
          <w:highlight w:val="none"/>
        </w:rPr>
        <w:t>技术要求。</w:t>
      </w:r>
      <w:r>
        <w:rPr>
          <w:rFonts w:ascii="宋体" w:hAnsi="宋体" w:cs="仿宋"/>
          <w:spacing w:val="7"/>
          <w:sz w:val="24"/>
          <w:szCs w:val="24"/>
          <w:highlight w:val="none"/>
        </w:rPr>
        <w:t>④面粉色泽呈乳白色或淡黄色，不发暗，无杂质，无粗粒感，流散性好，</w:t>
      </w:r>
      <w:r>
        <w:rPr>
          <w:rFonts w:ascii="宋体" w:hAnsi="宋体" w:cs="仿宋"/>
          <w:spacing w:val="4"/>
          <w:sz w:val="24"/>
          <w:szCs w:val="24"/>
          <w:highlight w:val="none"/>
        </w:rPr>
        <w:t>不</w:t>
      </w:r>
      <w:r>
        <w:rPr>
          <w:rFonts w:ascii="宋体" w:hAnsi="宋体" w:cs="仿宋"/>
          <w:spacing w:val="9"/>
          <w:sz w:val="24"/>
          <w:szCs w:val="24"/>
          <w:highlight w:val="none"/>
        </w:rPr>
        <w:t>结</w:t>
      </w:r>
      <w:r>
        <w:rPr>
          <w:rFonts w:ascii="宋体" w:hAnsi="宋体" w:cs="仿宋"/>
          <w:spacing w:val="7"/>
          <w:sz w:val="24"/>
          <w:szCs w:val="24"/>
          <w:highlight w:val="none"/>
        </w:rPr>
        <w:t>块，有自然的麦香味。⑤</w:t>
      </w:r>
      <w:r>
        <w:rPr>
          <w:rFonts w:ascii="宋体" w:hAnsi="宋体" w:cs="仿宋"/>
          <w:spacing w:val="5"/>
          <w:sz w:val="24"/>
          <w:szCs w:val="24"/>
          <w:highlight w:val="none"/>
        </w:rPr>
        <w:t>袋装；</w:t>
      </w:r>
      <w:r>
        <w:rPr>
          <w:rFonts w:ascii="宋体" w:hAnsi="宋体" w:cs="仿宋"/>
          <w:spacing w:val="-2"/>
          <w:sz w:val="24"/>
          <w:szCs w:val="24"/>
          <w:highlight w:val="none"/>
        </w:rPr>
        <w:t>⑥保质期不少于6</w:t>
      </w:r>
      <w:r>
        <w:rPr>
          <w:rFonts w:ascii="宋体" w:hAnsi="宋体" w:cs="仿宋"/>
          <w:spacing w:val="-1"/>
          <w:sz w:val="24"/>
          <w:szCs w:val="24"/>
          <w:highlight w:val="none"/>
        </w:rPr>
        <w:t>个月；</w:t>
      </w:r>
      <w:r>
        <w:rPr>
          <w:rFonts w:ascii="宋体" w:hAnsi="宋体" w:cs="仿宋"/>
          <w:spacing w:val="7"/>
          <w:sz w:val="24"/>
          <w:szCs w:val="24"/>
          <w:highlight w:val="none"/>
        </w:rPr>
        <w:t>⑦生产日期标注在独立的纸制生产合格证上并固定于袋口封装线上，在未</w:t>
      </w:r>
      <w:r>
        <w:rPr>
          <w:rFonts w:ascii="宋体" w:hAnsi="宋体" w:cs="仿宋"/>
          <w:spacing w:val="4"/>
          <w:sz w:val="24"/>
          <w:szCs w:val="24"/>
          <w:highlight w:val="none"/>
        </w:rPr>
        <w:t>拆</w:t>
      </w:r>
      <w:r>
        <w:rPr>
          <w:rFonts w:ascii="宋体" w:hAnsi="宋体" w:cs="仿宋"/>
          <w:spacing w:val="16"/>
          <w:sz w:val="24"/>
          <w:szCs w:val="24"/>
          <w:highlight w:val="none"/>
        </w:rPr>
        <w:t>封</w:t>
      </w:r>
      <w:r>
        <w:rPr>
          <w:rFonts w:ascii="宋体" w:hAnsi="宋体" w:cs="仿宋"/>
          <w:spacing w:val="8"/>
          <w:sz w:val="24"/>
          <w:szCs w:val="24"/>
          <w:highlight w:val="none"/>
        </w:rPr>
        <w:t>包装袋之前完全能清晰看清生产日期。外包装上注明产品名称、原料、产地、</w:t>
      </w:r>
      <w:r>
        <w:rPr>
          <w:rFonts w:ascii="宋体" w:hAnsi="宋体" w:cs="仿宋"/>
          <w:spacing w:val="16"/>
          <w:sz w:val="24"/>
          <w:szCs w:val="24"/>
          <w:highlight w:val="none"/>
        </w:rPr>
        <w:t>净</w:t>
      </w:r>
      <w:r>
        <w:rPr>
          <w:rFonts w:ascii="宋体" w:hAnsi="宋体" w:cs="仿宋"/>
          <w:spacing w:val="8"/>
          <w:sz w:val="24"/>
          <w:szCs w:val="24"/>
          <w:highlight w:val="none"/>
        </w:rPr>
        <w:t>含量、厂名、厂址、生产日期、保质期、产品标准号、联系方式、质量等级、</w:t>
      </w:r>
      <w:r>
        <w:rPr>
          <w:rFonts w:ascii="宋体" w:hAnsi="宋体" w:cs="仿宋"/>
          <w:spacing w:val="16"/>
          <w:sz w:val="24"/>
          <w:szCs w:val="24"/>
          <w:highlight w:val="none"/>
        </w:rPr>
        <w:t>营</w:t>
      </w:r>
      <w:r>
        <w:rPr>
          <w:rFonts w:ascii="宋体" w:hAnsi="宋体" w:cs="仿宋"/>
          <w:spacing w:val="10"/>
          <w:sz w:val="24"/>
          <w:szCs w:val="24"/>
          <w:highlight w:val="none"/>
        </w:rPr>
        <w:t>养</w:t>
      </w:r>
      <w:r>
        <w:rPr>
          <w:rFonts w:ascii="宋体" w:hAnsi="宋体" w:cs="仿宋"/>
          <w:spacing w:val="8"/>
          <w:sz w:val="24"/>
          <w:szCs w:val="24"/>
          <w:highlight w:val="none"/>
        </w:rPr>
        <w:t>成分表、生产许可证编号、贮存条件。</w:t>
      </w:r>
    </w:p>
    <w:p w14:paraId="050560D3">
      <w:pPr>
        <w:spacing w:line="360" w:lineRule="auto"/>
        <w:ind w:left="0" w:leftChars="0" w:firstLine="553" w:firstLineChars="213"/>
        <w:rPr>
          <w:rFonts w:ascii="宋体" w:hAnsi="宋体" w:cs="仿宋"/>
          <w:sz w:val="24"/>
          <w:szCs w:val="24"/>
          <w:highlight w:val="none"/>
        </w:rPr>
      </w:pPr>
      <w:r>
        <w:rPr>
          <w:rFonts w:ascii="宋体" w:hAnsi="宋体" w:cs="仿宋"/>
          <w:spacing w:val="10"/>
          <w:sz w:val="24"/>
          <w:szCs w:val="24"/>
          <w:highlight w:val="none"/>
        </w:rPr>
        <w:t>3.1.6</w:t>
      </w:r>
      <w:r>
        <w:rPr>
          <w:rFonts w:ascii="宋体" w:hAnsi="宋体" w:cs="仿宋"/>
          <w:spacing w:val="5"/>
          <w:sz w:val="24"/>
          <w:szCs w:val="24"/>
          <w:highlight w:val="none"/>
        </w:rPr>
        <w:t>项、3.1.7项要求的食品原料的食品安全指标应符合相应食品安全国</w:t>
      </w:r>
      <w:r>
        <w:rPr>
          <w:rFonts w:ascii="宋体" w:hAnsi="宋体" w:cs="仿宋"/>
          <w:spacing w:val="10"/>
          <w:sz w:val="24"/>
          <w:szCs w:val="24"/>
          <w:highlight w:val="none"/>
        </w:rPr>
        <w:t>家标</w:t>
      </w:r>
      <w:r>
        <w:rPr>
          <w:rFonts w:ascii="宋体" w:hAnsi="宋体" w:cs="仿宋"/>
          <w:spacing w:val="8"/>
          <w:sz w:val="24"/>
          <w:szCs w:val="24"/>
          <w:highlight w:val="none"/>
        </w:rPr>
        <w:t>准</w:t>
      </w:r>
      <w:r>
        <w:rPr>
          <w:rFonts w:ascii="宋体" w:hAnsi="宋体" w:cs="仿宋"/>
          <w:spacing w:val="5"/>
          <w:sz w:val="24"/>
          <w:szCs w:val="24"/>
          <w:highlight w:val="none"/>
        </w:rPr>
        <w:t>的规定，分等分级的质量指标不低于国家有关食品质量标准的中位数水平，</w:t>
      </w:r>
      <w:r>
        <w:rPr>
          <w:rFonts w:ascii="宋体" w:hAnsi="宋体" w:cs="仿宋"/>
          <w:spacing w:val="1"/>
          <w:sz w:val="24"/>
          <w:szCs w:val="24"/>
          <w:highlight w:val="none"/>
        </w:rPr>
        <w:t>如质量或规格等级</w:t>
      </w:r>
      <w:r>
        <w:rPr>
          <w:rFonts w:ascii="宋体" w:hAnsi="宋体" w:cs="仿宋"/>
          <w:sz w:val="24"/>
          <w:szCs w:val="24"/>
          <w:highlight w:val="none"/>
        </w:rPr>
        <w:t>划分为1、2、3、4、5或大(L)、中(M)、小(S)的，应</w:t>
      </w:r>
      <w:r>
        <w:rPr>
          <w:rFonts w:ascii="宋体" w:hAnsi="宋体" w:cs="仿宋"/>
          <w:spacing w:val="6"/>
          <w:sz w:val="24"/>
          <w:szCs w:val="24"/>
          <w:highlight w:val="none"/>
        </w:rPr>
        <w:t>选择1、2</w:t>
      </w:r>
      <w:r>
        <w:rPr>
          <w:rFonts w:ascii="宋体" w:hAnsi="宋体" w:cs="仿宋"/>
          <w:spacing w:val="3"/>
          <w:sz w:val="24"/>
          <w:szCs w:val="24"/>
          <w:highlight w:val="none"/>
        </w:rPr>
        <w:t>或大(</w:t>
      </w:r>
      <w:r>
        <w:rPr>
          <w:rFonts w:ascii="宋体" w:hAnsi="宋体" w:cs="仿宋"/>
          <w:sz w:val="24"/>
          <w:szCs w:val="24"/>
          <w:highlight w:val="none"/>
        </w:rPr>
        <w:t>L</w:t>
      </w:r>
      <w:r>
        <w:rPr>
          <w:rFonts w:ascii="宋体" w:hAnsi="宋体" w:cs="仿宋"/>
          <w:spacing w:val="3"/>
          <w:sz w:val="24"/>
          <w:szCs w:val="24"/>
          <w:highlight w:val="none"/>
        </w:rPr>
        <w:t>)、中(</w:t>
      </w:r>
      <w:r>
        <w:rPr>
          <w:rFonts w:ascii="宋体" w:hAnsi="宋体" w:cs="仿宋"/>
          <w:sz w:val="24"/>
          <w:szCs w:val="24"/>
          <w:highlight w:val="none"/>
        </w:rPr>
        <w:t>M</w:t>
      </w:r>
      <w:r>
        <w:rPr>
          <w:rFonts w:ascii="宋体" w:hAnsi="宋体" w:cs="仿宋"/>
          <w:spacing w:val="3"/>
          <w:sz w:val="24"/>
          <w:szCs w:val="24"/>
          <w:highlight w:val="none"/>
        </w:rPr>
        <w:t>)等级。食品原料的包装应完整、清洁、无破损，</w:t>
      </w:r>
      <w:r>
        <w:rPr>
          <w:rFonts w:ascii="宋体" w:hAnsi="宋体" w:cs="仿宋"/>
          <w:spacing w:val="7"/>
          <w:sz w:val="24"/>
          <w:szCs w:val="24"/>
          <w:highlight w:val="none"/>
        </w:rPr>
        <w:t>包装有关食品名称、生产日期、保质期限、质量等级、生产经营者等标识内容</w:t>
      </w:r>
      <w:r>
        <w:rPr>
          <w:rFonts w:ascii="宋体" w:hAnsi="宋体" w:cs="仿宋"/>
          <w:sz w:val="24"/>
          <w:szCs w:val="24"/>
          <w:highlight w:val="none"/>
        </w:rPr>
        <w:t>应</w:t>
      </w:r>
      <w:r>
        <w:rPr>
          <w:rFonts w:ascii="宋体" w:hAnsi="宋体" w:cs="仿宋"/>
          <w:spacing w:val="11"/>
          <w:sz w:val="24"/>
          <w:szCs w:val="24"/>
          <w:highlight w:val="none"/>
        </w:rPr>
        <w:t>与</w:t>
      </w:r>
      <w:r>
        <w:rPr>
          <w:rFonts w:ascii="宋体" w:hAnsi="宋体" w:cs="仿宋"/>
          <w:spacing w:val="10"/>
          <w:sz w:val="24"/>
          <w:szCs w:val="24"/>
          <w:highlight w:val="none"/>
        </w:rPr>
        <w:t>其内装物一致。预包装类食品原料应具有</w:t>
      </w:r>
      <w:r>
        <w:rPr>
          <w:rFonts w:ascii="宋体" w:hAnsi="宋体" w:cs="仿宋"/>
          <w:sz w:val="24"/>
          <w:szCs w:val="24"/>
          <w:highlight w:val="none"/>
        </w:rPr>
        <w:t>SC</w:t>
      </w:r>
      <w:r>
        <w:rPr>
          <w:rFonts w:ascii="宋体" w:hAnsi="宋体" w:cs="仿宋"/>
          <w:spacing w:val="10"/>
          <w:sz w:val="24"/>
          <w:szCs w:val="24"/>
          <w:highlight w:val="none"/>
        </w:rPr>
        <w:t>标记。其中：成品粮(大米、小</w:t>
      </w:r>
      <w:r>
        <w:rPr>
          <w:rFonts w:ascii="宋体" w:hAnsi="宋体" w:cs="仿宋"/>
          <w:spacing w:val="12"/>
          <w:sz w:val="24"/>
          <w:szCs w:val="24"/>
          <w:highlight w:val="none"/>
        </w:rPr>
        <w:t>麦粉</w:t>
      </w:r>
      <w:r>
        <w:rPr>
          <w:rFonts w:ascii="宋体" w:hAnsi="宋体" w:cs="仿宋"/>
          <w:spacing w:val="7"/>
          <w:sz w:val="24"/>
          <w:szCs w:val="24"/>
          <w:highlight w:val="none"/>
        </w:rPr>
        <w:t>或</w:t>
      </w:r>
      <w:r>
        <w:rPr>
          <w:rFonts w:ascii="宋体" w:hAnsi="宋体" w:cs="仿宋"/>
          <w:spacing w:val="6"/>
          <w:sz w:val="24"/>
          <w:szCs w:val="24"/>
          <w:highlight w:val="none"/>
        </w:rPr>
        <w:t>面粉)的食品安全指标应符合</w:t>
      </w:r>
      <w:r>
        <w:rPr>
          <w:rFonts w:ascii="宋体" w:hAnsi="宋体" w:cs="仿宋"/>
          <w:sz w:val="24"/>
          <w:szCs w:val="24"/>
          <w:highlight w:val="none"/>
        </w:rPr>
        <w:t>GB</w:t>
      </w:r>
      <w:r>
        <w:rPr>
          <w:rFonts w:ascii="宋体" w:hAnsi="宋体" w:cs="仿宋"/>
          <w:spacing w:val="6"/>
          <w:sz w:val="24"/>
          <w:szCs w:val="24"/>
          <w:highlight w:val="none"/>
        </w:rPr>
        <w:t>2715国家最新标准的规定。</w:t>
      </w:r>
    </w:p>
    <w:p w14:paraId="2FFBE7CB">
      <w:pPr>
        <w:spacing w:line="360" w:lineRule="auto"/>
        <w:ind w:left="0" w:leftChars="0" w:firstLine="545" w:firstLineChars="213"/>
        <w:rPr>
          <w:rFonts w:ascii="宋体" w:hAnsi="宋体" w:cs="仿宋"/>
          <w:sz w:val="24"/>
          <w:szCs w:val="24"/>
          <w:highlight w:val="none"/>
        </w:rPr>
      </w:pPr>
      <w:r>
        <w:rPr>
          <w:rFonts w:ascii="宋体" w:hAnsi="宋体" w:cs="仿宋"/>
          <w:spacing w:val="8"/>
          <w:sz w:val="24"/>
          <w:szCs w:val="24"/>
          <w:highlight w:val="none"/>
        </w:rPr>
        <w:t>3.1.8</w:t>
      </w:r>
      <w:r>
        <w:rPr>
          <w:rFonts w:ascii="宋体" w:hAnsi="宋体" w:cs="仿宋"/>
          <w:spacing w:val="7"/>
          <w:sz w:val="24"/>
          <w:szCs w:val="24"/>
          <w:highlight w:val="none"/>
        </w:rPr>
        <w:t>奶</w:t>
      </w:r>
      <w:r>
        <w:rPr>
          <w:rFonts w:ascii="宋体" w:hAnsi="宋体" w:cs="仿宋"/>
          <w:spacing w:val="4"/>
          <w:sz w:val="24"/>
          <w:szCs w:val="24"/>
          <w:highlight w:val="none"/>
        </w:rPr>
        <w:t>制品：符合</w:t>
      </w:r>
      <w:r>
        <w:rPr>
          <w:rFonts w:ascii="宋体" w:hAnsi="宋体" w:cs="仿宋"/>
          <w:sz w:val="24"/>
          <w:szCs w:val="24"/>
          <w:highlight w:val="none"/>
        </w:rPr>
        <w:t>GB</w:t>
      </w:r>
      <w:r>
        <w:rPr>
          <w:rFonts w:ascii="宋体" w:hAnsi="宋体" w:cs="仿宋"/>
          <w:spacing w:val="4"/>
          <w:sz w:val="24"/>
          <w:szCs w:val="24"/>
          <w:highlight w:val="none"/>
        </w:rPr>
        <w:t>25190国家最新标准《食品安全国家标准灭菌乳》</w:t>
      </w:r>
      <w:r>
        <w:rPr>
          <w:rFonts w:ascii="宋体" w:hAnsi="宋体" w:cs="仿宋"/>
          <w:spacing w:val="12"/>
          <w:sz w:val="24"/>
          <w:szCs w:val="24"/>
          <w:highlight w:val="none"/>
        </w:rPr>
        <w:t>及</w:t>
      </w:r>
      <w:r>
        <w:rPr>
          <w:rFonts w:ascii="宋体" w:hAnsi="宋体" w:cs="仿宋"/>
          <w:sz w:val="24"/>
          <w:szCs w:val="24"/>
          <w:highlight w:val="none"/>
        </w:rPr>
        <w:t>GB</w:t>
      </w:r>
      <w:r>
        <w:rPr>
          <w:rFonts w:ascii="宋体" w:hAnsi="宋体" w:cs="仿宋"/>
          <w:spacing w:val="6"/>
          <w:sz w:val="24"/>
          <w:szCs w:val="24"/>
          <w:highlight w:val="none"/>
        </w:rPr>
        <w:t>7718国家最新标准《食品安全国家标准预包装食品标签通则》或国家卫</w:t>
      </w:r>
      <w:r>
        <w:rPr>
          <w:rFonts w:ascii="宋体" w:hAnsi="宋体" w:cs="仿宋"/>
          <w:spacing w:val="14"/>
          <w:sz w:val="24"/>
          <w:szCs w:val="24"/>
          <w:highlight w:val="none"/>
        </w:rPr>
        <w:t>生、</w:t>
      </w:r>
      <w:r>
        <w:rPr>
          <w:rFonts w:ascii="宋体" w:hAnsi="宋体" w:cs="仿宋"/>
          <w:spacing w:val="7"/>
          <w:sz w:val="24"/>
          <w:szCs w:val="24"/>
          <w:highlight w:val="none"/>
        </w:rPr>
        <w:t>食品安全最新标准。每批货均需提供盒装奶生产厂家出具的《质检报告》。</w:t>
      </w:r>
      <w:r>
        <w:rPr>
          <w:rFonts w:ascii="宋体" w:hAnsi="宋体" w:cs="仿宋"/>
          <w:spacing w:val="4"/>
          <w:sz w:val="24"/>
          <w:szCs w:val="24"/>
          <w:highlight w:val="none"/>
        </w:rPr>
        <w:t>外观呈乳白色或</w:t>
      </w:r>
      <w:r>
        <w:rPr>
          <w:rFonts w:ascii="宋体" w:hAnsi="宋体" w:cs="仿宋"/>
          <w:spacing w:val="2"/>
          <w:sz w:val="24"/>
          <w:szCs w:val="24"/>
          <w:highlight w:val="none"/>
        </w:rPr>
        <w:t>微黄色，具有乳固有的香味，呈均匀一致液体，无凝块、无沉淀、</w:t>
      </w:r>
      <w:r>
        <w:rPr>
          <w:rFonts w:ascii="宋体" w:hAnsi="宋体" w:cs="仿宋"/>
          <w:spacing w:val="8"/>
          <w:sz w:val="24"/>
          <w:szCs w:val="24"/>
          <w:highlight w:val="none"/>
        </w:rPr>
        <w:t>无</w:t>
      </w:r>
      <w:r>
        <w:rPr>
          <w:rFonts w:ascii="宋体" w:hAnsi="宋体" w:cs="仿宋"/>
          <w:spacing w:val="7"/>
          <w:sz w:val="24"/>
          <w:szCs w:val="24"/>
          <w:highlight w:val="none"/>
        </w:rPr>
        <w:t>正常视力可见异物。</w:t>
      </w:r>
    </w:p>
    <w:p w14:paraId="7B501C36">
      <w:pPr>
        <w:spacing w:line="360" w:lineRule="auto"/>
        <w:ind w:left="0" w:leftChars="0" w:firstLine="570" w:firstLineChars="213"/>
        <w:rPr>
          <w:rFonts w:ascii="宋体" w:hAnsi="宋体" w:cs="仿宋"/>
          <w:sz w:val="24"/>
          <w:szCs w:val="24"/>
          <w:highlight w:val="none"/>
        </w:rPr>
      </w:pPr>
      <w:r>
        <w:rPr>
          <w:rFonts w:ascii="宋体" w:hAnsi="宋体" w:cs="仿宋"/>
          <w:spacing w:val="14"/>
          <w:sz w:val="24"/>
          <w:szCs w:val="24"/>
          <w:highlight w:val="none"/>
          <w14:textOutline w14:w="4356" w14:cap="sq" w14:cmpd="sng" w14:algn="ctr">
            <w14:solidFill>
              <w14:srgbClr w14:val="000000"/>
            </w14:solidFill>
            <w14:prstDash w14:val="solid"/>
            <w14:bevel/>
          </w14:textOutline>
        </w:rPr>
        <w:t>4、</w:t>
      </w:r>
      <w:r>
        <w:rPr>
          <w:rFonts w:ascii="宋体" w:hAnsi="宋体" w:cs="仿宋"/>
          <w:spacing w:val="7"/>
          <w:sz w:val="24"/>
          <w:szCs w:val="24"/>
          <w:highlight w:val="none"/>
          <w14:textOutline w14:w="4356" w14:cap="sq" w14:cmpd="sng" w14:algn="ctr">
            <w14:solidFill>
              <w14:srgbClr w14:val="000000"/>
            </w14:solidFill>
            <w14:prstDash w14:val="solid"/>
            <w14:bevel/>
          </w14:textOutline>
        </w:rPr>
        <w:t>水果类：</w:t>
      </w:r>
      <w:r>
        <w:rPr>
          <w:rFonts w:ascii="宋体" w:hAnsi="宋体" w:cs="仿宋"/>
          <w:spacing w:val="7"/>
          <w:sz w:val="24"/>
          <w:szCs w:val="24"/>
          <w:highlight w:val="none"/>
        </w:rPr>
        <w:t>水果类必须保证果型匀称，色泽均匀，无干疤、斑点、裂口、</w:t>
      </w:r>
      <w:r>
        <w:rPr>
          <w:rFonts w:ascii="宋体" w:hAnsi="宋体" w:cs="仿宋"/>
          <w:spacing w:val="5"/>
          <w:sz w:val="24"/>
          <w:szCs w:val="24"/>
          <w:highlight w:val="none"/>
        </w:rPr>
        <w:t>腐烂，口感好。水果必须保证其新鲜度，残余农药含量不能超过国家有关标准</w:t>
      </w:r>
      <w:r>
        <w:rPr>
          <w:rFonts w:ascii="宋体" w:hAnsi="宋体" w:cs="仿宋"/>
          <w:spacing w:val="1"/>
          <w:sz w:val="24"/>
          <w:szCs w:val="24"/>
          <w:highlight w:val="none"/>
        </w:rPr>
        <w:t>。</w:t>
      </w:r>
      <w:r>
        <w:rPr>
          <w:rFonts w:ascii="宋体" w:hAnsi="宋体" w:cs="仿宋"/>
          <w:spacing w:val="8"/>
          <w:sz w:val="24"/>
          <w:szCs w:val="24"/>
          <w:highlight w:val="none"/>
        </w:rPr>
        <w:t>由</w:t>
      </w:r>
      <w:r>
        <w:rPr>
          <w:rFonts w:ascii="宋体" w:hAnsi="宋体" w:cs="仿宋"/>
          <w:spacing w:val="5"/>
          <w:sz w:val="24"/>
          <w:szCs w:val="24"/>
          <w:highlight w:val="none"/>
        </w:rPr>
        <w:t>水</w:t>
      </w:r>
      <w:r>
        <w:rPr>
          <w:rFonts w:ascii="宋体" w:hAnsi="宋体" w:cs="仿宋"/>
          <w:spacing w:val="4"/>
          <w:sz w:val="24"/>
          <w:szCs w:val="24"/>
          <w:highlight w:val="none"/>
        </w:rPr>
        <w:t>果引发的食物中毒等安全事故，由中标投标人负全责。</w:t>
      </w:r>
    </w:p>
    <w:p w14:paraId="78CBE5A6">
      <w:pPr>
        <w:spacing w:line="360" w:lineRule="auto"/>
        <w:ind w:left="0" w:leftChars="0" w:firstLine="600" w:firstLineChars="213"/>
        <w:outlineLvl w:val="2"/>
        <w:rPr>
          <w:rFonts w:ascii="宋体" w:hAnsi="宋体" w:cs="仿宋"/>
          <w:sz w:val="24"/>
          <w:szCs w:val="24"/>
          <w:highlight w:val="none"/>
        </w:rPr>
      </w:pPr>
      <w:r>
        <w:rPr>
          <w:rFonts w:ascii="宋体" w:hAnsi="宋体" w:cs="仿宋"/>
          <w:spacing w:val="21"/>
          <w:sz w:val="24"/>
          <w:szCs w:val="24"/>
          <w:highlight w:val="none"/>
          <w14:textOutline w14:w="4356" w14:cap="sq" w14:cmpd="sng" w14:algn="ctr">
            <w14:solidFill>
              <w14:srgbClr w14:val="000000"/>
            </w14:solidFill>
            <w14:prstDash w14:val="solid"/>
            <w14:bevel/>
          </w14:textOutline>
        </w:rPr>
        <w:t>(二)其他要求</w:t>
      </w:r>
    </w:p>
    <w:p w14:paraId="5A0F76F8">
      <w:pPr>
        <w:spacing w:line="360" w:lineRule="auto"/>
        <w:ind w:left="0" w:leftChars="0" w:firstLine="556" w:firstLineChars="213"/>
        <w:rPr>
          <w:rFonts w:ascii="宋体" w:hAnsi="宋体" w:cs="仿宋"/>
          <w:spacing w:val="10"/>
          <w:sz w:val="24"/>
          <w:szCs w:val="24"/>
          <w:highlight w:val="none"/>
        </w:rPr>
      </w:pPr>
      <w:r>
        <w:rPr>
          <w:rFonts w:ascii="宋体" w:hAnsi="宋体" w:cs="仿宋"/>
          <w:b/>
          <w:bCs/>
          <w:spacing w:val="10"/>
          <w:sz w:val="24"/>
          <w:szCs w:val="24"/>
          <w:highlight w:val="none"/>
        </w:rPr>
        <w:t>1、产品供应链管理方案要求</w:t>
      </w:r>
    </w:p>
    <w:p w14:paraId="4CCB9BB5">
      <w:pPr>
        <w:spacing w:line="360" w:lineRule="auto"/>
        <w:ind w:left="0" w:leftChars="0" w:firstLine="553" w:firstLineChars="213"/>
        <w:rPr>
          <w:rFonts w:ascii="宋体" w:hAnsi="宋体" w:cs="仿宋"/>
          <w:sz w:val="24"/>
          <w:szCs w:val="24"/>
          <w:highlight w:val="none"/>
        </w:rPr>
      </w:pPr>
      <w:r>
        <w:rPr>
          <w:rFonts w:ascii="宋体" w:hAnsi="宋体" w:cs="仿宋"/>
          <w:spacing w:val="10"/>
          <w:sz w:val="24"/>
          <w:szCs w:val="24"/>
          <w:highlight w:val="none"/>
        </w:rPr>
        <w:t>(1)</w:t>
      </w:r>
      <w:r>
        <w:rPr>
          <w:rFonts w:ascii="宋体" w:hAnsi="宋体" w:cs="仿宋"/>
          <w:spacing w:val="14"/>
          <w:sz w:val="24"/>
          <w:szCs w:val="24"/>
          <w:highlight w:val="none"/>
        </w:rPr>
        <w:t>建立稳定的产品投标人渠道；</w:t>
      </w:r>
    </w:p>
    <w:p w14:paraId="53EED057">
      <w:pPr>
        <w:spacing w:line="360" w:lineRule="auto"/>
        <w:ind w:left="0" w:leftChars="0" w:firstLine="575" w:firstLineChars="213"/>
        <w:rPr>
          <w:rFonts w:ascii="宋体" w:hAnsi="宋体" w:cs="仿宋"/>
          <w:spacing w:val="14"/>
          <w:sz w:val="24"/>
          <w:szCs w:val="24"/>
          <w:highlight w:val="none"/>
        </w:rPr>
      </w:pPr>
      <w:r>
        <w:rPr>
          <w:rFonts w:ascii="宋体" w:hAnsi="宋体" w:cs="仿宋"/>
          <w:spacing w:val="15"/>
          <w:sz w:val="24"/>
          <w:szCs w:val="24"/>
          <w:highlight w:val="none"/>
        </w:rPr>
        <w:t>(</w:t>
      </w:r>
      <w:r>
        <w:rPr>
          <w:rFonts w:ascii="宋体" w:hAnsi="宋体" w:cs="仿宋"/>
          <w:spacing w:val="14"/>
          <w:sz w:val="24"/>
          <w:szCs w:val="24"/>
          <w:highlight w:val="none"/>
        </w:rPr>
        <w:t>2)</w:t>
      </w:r>
      <w:r>
        <w:rPr>
          <w:rFonts w:ascii="宋体" w:hAnsi="宋体" w:cs="仿宋"/>
          <w:spacing w:val="13"/>
          <w:sz w:val="24"/>
          <w:szCs w:val="24"/>
          <w:highlight w:val="none"/>
        </w:rPr>
        <w:t>根据食材配送项目的特性，制定投标人指标体系，并对其进行筛选评</w:t>
      </w:r>
      <w:r>
        <w:rPr>
          <w:rFonts w:ascii="宋体" w:hAnsi="宋体" w:cs="仿宋"/>
          <w:spacing w:val="16"/>
          <w:sz w:val="24"/>
          <w:szCs w:val="24"/>
          <w:highlight w:val="none"/>
        </w:rPr>
        <w:t>级</w:t>
      </w:r>
      <w:r>
        <w:rPr>
          <w:rFonts w:ascii="宋体" w:hAnsi="宋体" w:cs="仿宋"/>
          <w:spacing w:val="11"/>
          <w:sz w:val="24"/>
          <w:szCs w:val="24"/>
          <w:highlight w:val="none"/>
        </w:rPr>
        <w:t>，</w:t>
      </w:r>
      <w:r>
        <w:rPr>
          <w:rFonts w:ascii="宋体" w:hAnsi="宋体" w:cs="仿宋"/>
          <w:spacing w:val="8"/>
          <w:sz w:val="24"/>
          <w:szCs w:val="24"/>
          <w:highlight w:val="none"/>
        </w:rPr>
        <w:t>对不达标的，解除长期或短期合作关系；</w:t>
      </w:r>
    </w:p>
    <w:p w14:paraId="340CA9F0">
      <w:pPr>
        <w:spacing w:line="360" w:lineRule="auto"/>
        <w:ind w:left="0" w:leftChars="0" w:firstLine="570" w:firstLineChars="213"/>
        <w:rPr>
          <w:rFonts w:ascii="宋体" w:hAnsi="宋体" w:cs="仿宋"/>
          <w:sz w:val="24"/>
          <w:szCs w:val="24"/>
          <w:highlight w:val="none"/>
        </w:rPr>
      </w:pPr>
      <w:r>
        <w:rPr>
          <w:rFonts w:ascii="宋体" w:hAnsi="宋体" w:cs="仿宋"/>
          <w:spacing w:val="14"/>
          <w:sz w:val="24"/>
          <w:szCs w:val="24"/>
          <w:highlight w:val="none"/>
        </w:rPr>
        <w:t>(</w:t>
      </w:r>
      <w:r>
        <w:rPr>
          <w:rFonts w:ascii="宋体" w:hAnsi="宋体" w:cs="仿宋"/>
          <w:spacing w:val="13"/>
          <w:sz w:val="24"/>
          <w:szCs w:val="24"/>
          <w:highlight w:val="none"/>
        </w:rPr>
        <w:t>3)每次购入食品，如实记录食品的进货日期、名称、规格、数量、生产</w:t>
      </w:r>
      <w:r>
        <w:rPr>
          <w:rFonts w:ascii="宋体" w:hAnsi="宋体" w:cs="仿宋"/>
          <w:spacing w:val="16"/>
          <w:sz w:val="24"/>
          <w:szCs w:val="24"/>
          <w:highlight w:val="none"/>
        </w:rPr>
        <w:t>批</w:t>
      </w:r>
      <w:r>
        <w:rPr>
          <w:rFonts w:ascii="宋体" w:hAnsi="宋体" w:cs="仿宋"/>
          <w:spacing w:val="10"/>
          <w:sz w:val="24"/>
          <w:szCs w:val="24"/>
          <w:highlight w:val="none"/>
        </w:rPr>
        <w:t>号</w:t>
      </w:r>
      <w:r>
        <w:rPr>
          <w:rFonts w:ascii="宋体" w:hAnsi="宋体" w:cs="仿宋"/>
          <w:spacing w:val="8"/>
          <w:sz w:val="24"/>
          <w:szCs w:val="24"/>
          <w:highlight w:val="none"/>
        </w:rPr>
        <w:t>、保质期、供货商联系方式等内容；</w:t>
      </w:r>
    </w:p>
    <w:p w14:paraId="346D780C">
      <w:pPr>
        <w:spacing w:line="360" w:lineRule="auto"/>
        <w:ind w:left="0" w:leftChars="0" w:firstLine="556" w:firstLineChars="213"/>
        <w:rPr>
          <w:rFonts w:ascii="宋体" w:hAnsi="宋体" w:cs="仿宋"/>
          <w:b/>
          <w:bCs/>
          <w:spacing w:val="10"/>
          <w:sz w:val="24"/>
          <w:szCs w:val="24"/>
          <w:highlight w:val="none"/>
        </w:rPr>
      </w:pPr>
      <w:r>
        <w:rPr>
          <w:rFonts w:ascii="宋体" w:hAnsi="宋体" w:cs="仿宋"/>
          <w:b/>
          <w:bCs/>
          <w:spacing w:val="10"/>
          <w:sz w:val="24"/>
          <w:szCs w:val="24"/>
          <w:highlight w:val="none"/>
        </w:rPr>
        <w:t>2、应急处置措施要求</w:t>
      </w:r>
    </w:p>
    <w:p w14:paraId="41D36F32">
      <w:pPr>
        <w:spacing w:line="360" w:lineRule="auto"/>
        <w:ind w:left="0" w:leftChars="0" w:firstLine="545" w:firstLineChars="213"/>
        <w:rPr>
          <w:rFonts w:ascii="宋体" w:hAnsi="宋体" w:cs="仿宋"/>
          <w:sz w:val="24"/>
          <w:szCs w:val="24"/>
          <w:highlight w:val="none"/>
        </w:rPr>
      </w:pPr>
      <w:r>
        <w:rPr>
          <w:rFonts w:ascii="宋体" w:hAnsi="宋体" w:cs="仿宋"/>
          <w:spacing w:val="8"/>
          <w:sz w:val="24"/>
          <w:szCs w:val="24"/>
          <w:highlight w:val="none"/>
        </w:rPr>
        <w:t>(1)成立为本项目配备的食品安全突发事件预防与处置小组，切实加强组织领导，对食品安全事件的预防常抓不懈；</w:t>
      </w:r>
    </w:p>
    <w:p w14:paraId="6DF390B8">
      <w:pPr>
        <w:spacing w:line="360" w:lineRule="auto"/>
        <w:ind w:left="0" w:leftChars="0" w:firstLine="570" w:firstLineChars="213"/>
        <w:rPr>
          <w:rFonts w:ascii="宋体" w:hAnsi="宋体" w:cs="仿宋"/>
          <w:sz w:val="24"/>
          <w:szCs w:val="24"/>
          <w:highlight w:val="none"/>
        </w:rPr>
      </w:pPr>
      <w:r>
        <w:rPr>
          <w:rFonts w:ascii="宋体" w:hAnsi="宋体" w:cs="仿宋"/>
          <w:spacing w:val="14"/>
          <w:sz w:val="24"/>
          <w:szCs w:val="24"/>
          <w:highlight w:val="none"/>
        </w:rPr>
        <w:t>(</w:t>
      </w:r>
      <w:r>
        <w:rPr>
          <w:rFonts w:ascii="宋体" w:hAnsi="宋体" w:cs="仿宋"/>
          <w:spacing w:val="13"/>
          <w:sz w:val="24"/>
          <w:szCs w:val="24"/>
          <w:highlight w:val="none"/>
        </w:rPr>
        <w:t>2)建立食品安全突发事件值班制度，设置并公示突发事件报告或投诉电</w:t>
      </w:r>
      <w:r>
        <w:rPr>
          <w:rFonts w:ascii="宋体" w:hAnsi="宋体" w:cs="仿宋"/>
          <w:spacing w:val="9"/>
          <w:sz w:val="24"/>
          <w:szCs w:val="24"/>
          <w:highlight w:val="none"/>
        </w:rPr>
        <w:t>话，尤其是在食品安全事故多发季节，要重点落实</w:t>
      </w:r>
      <w:r>
        <w:rPr>
          <w:rFonts w:ascii="宋体" w:hAnsi="宋体" w:cs="仿宋"/>
          <w:spacing w:val="6"/>
          <w:sz w:val="24"/>
          <w:szCs w:val="24"/>
          <w:highlight w:val="none"/>
        </w:rPr>
        <w:t>；</w:t>
      </w:r>
    </w:p>
    <w:p w14:paraId="3F901968">
      <w:pPr>
        <w:spacing w:line="360" w:lineRule="auto"/>
        <w:ind w:left="0" w:leftChars="0" w:firstLine="570" w:firstLineChars="213"/>
        <w:rPr>
          <w:rFonts w:ascii="宋体" w:hAnsi="宋体" w:cs="仿宋"/>
          <w:sz w:val="24"/>
          <w:szCs w:val="24"/>
          <w:highlight w:val="none"/>
        </w:rPr>
      </w:pPr>
      <w:r>
        <w:rPr>
          <w:rFonts w:ascii="宋体" w:hAnsi="宋体" w:cs="仿宋"/>
          <w:spacing w:val="14"/>
          <w:sz w:val="24"/>
          <w:szCs w:val="24"/>
          <w:highlight w:val="none"/>
        </w:rPr>
        <w:t>(</w:t>
      </w:r>
      <w:r>
        <w:rPr>
          <w:rFonts w:ascii="宋体" w:hAnsi="宋体" w:cs="仿宋"/>
          <w:spacing w:val="13"/>
          <w:sz w:val="24"/>
          <w:szCs w:val="24"/>
          <w:highlight w:val="none"/>
        </w:rPr>
        <w:t>3)若发生食品安全事件应立即启动安全应急预案，封存可能导致食品安</w:t>
      </w:r>
      <w:r>
        <w:rPr>
          <w:rFonts w:ascii="宋体" w:hAnsi="宋体" w:cs="仿宋"/>
          <w:spacing w:val="8"/>
          <w:sz w:val="24"/>
          <w:szCs w:val="24"/>
          <w:highlight w:val="none"/>
        </w:rPr>
        <w:t>全事故的食品及其原料，配合调查；</w:t>
      </w:r>
    </w:p>
    <w:p w14:paraId="50D956C3">
      <w:pPr>
        <w:spacing w:line="360" w:lineRule="auto"/>
        <w:ind w:left="0" w:leftChars="0" w:firstLine="570" w:firstLineChars="213"/>
        <w:rPr>
          <w:rFonts w:ascii="宋体" w:hAnsi="宋体" w:cs="仿宋"/>
          <w:spacing w:val="13"/>
          <w:sz w:val="24"/>
          <w:szCs w:val="24"/>
          <w:highlight w:val="none"/>
        </w:rPr>
      </w:pPr>
      <w:r>
        <w:rPr>
          <w:rFonts w:ascii="宋体" w:hAnsi="宋体" w:cs="仿宋"/>
          <w:spacing w:val="14"/>
          <w:sz w:val="24"/>
          <w:szCs w:val="24"/>
          <w:highlight w:val="none"/>
        </w:rPr>
        <w:t>(</w:t>
      </w:r>
      <w:r>
        <w:rPr>
          <w:rFonts w:ascii="宋体" w:hAnsi="宋体" w:cs="仿宋"/>
          <w:spacing w:val="13"/>
          <w:sz w:val="24"/>
          <w:szCs w:val="24"/>
          <w:highlight w:val="none"/>
        </w:rPr>
        <w:t>4)验收时发现不合格食品，乙方应当在一小时内完成货品更换，临时</w:t>
      </w:r>
      <w:r>
        <w:rPr>
          <w:rFonts w:hint="eastAsia" w:ascii="宋体" w:hAnsi="宋体" w:cs="仿宋"/>
          <w:spacing w:val="13"/>
          <w:sz w:val="24"/>
          <w:szCs w:val="24"/>
          <w:highlight w:val="none"/>
        </w:rPr>
        <w:t>公务</w:t>
      </w:r>
      <w:r>
        <w:rPr>
          <w:rFonts w:ascii="宋体" w:hAnsi="宋体" w:cs="仿宋"/>
          <w:spacing w:val="13"/>
          <w:sz w:val="24"/>
          <w:szCs w:val="24"/>
          <w:highlight w:val="none"/>
        </w:rPr>
        <w:t>接</w:t>
      </w:r>
      <w:r>
        <w:rPr>
          <w:rFonts w:ascii="宋体" w:hAnsi="宋体" w:cs="仿宋"/>
          <w:spacing w:val="8"/>
          <w:sz w:val="24"/>
          <w:szCs w:val="24"/>
          <w:highlight w:val="none"/>
        </w:rPr>
        <w:t>待</w:t>
      </w:r>
      <w:r>
        <w:rPr>
          <w:rFonts w:ascii="宋体" w:hAnsi="宋体" w:cs="仿宋"/>
          <w:spacing w:val="13"/>
          <w:sz w:val="24"/>
          <w:szCs w:val="24"/>
          <w:highlight w:val="none"/>
        </w:rPr>
        <w:t>在采购人规定时间内送达，特殊紧急情况30分钟内响应</w:t>
      </w:r>
      <w:r>
        <w:rPr>
          <w:rFonts w:hint="eastAsia" w:ascii="宋体" w:hAnsi="宋体" w:cs="仿宋"/>
          <w:spacing w:val="13"/>
          <w:sz w:val="24"/>
          <w:szCs w:val="24"/>
          <w:highlight w:val="none"/>
        </w:rPr>
        <w:t>在1小时内</w:t>
      </w:r>
      <w:r>
        <w:rPr>
          <w:rFonts w:ascii="宋体" w:hAnsi="宋体" w:cs="仿宋"/>
          <w:spacing w:val="13"/>
          <w:sz w:val="24"/>
          <w:szCs w:val="24"/>
          <w:highlight w:val="none"/>
        </w:rPr>
        <w:t>送达。</w:t>
      </w:r>
    </w:p>
    <w:p w14:paraId="436711E9">
      <w:pPr>
        <w:spacing w:line="360" w:lineRule="auto"/>
        <w:ind w:left="0" w:leftChars="0" w:firstLine="556" w:firstLineChars="213"/>
        <w:rPr>
          <w:rFonts w:ascii="宋体" w:hAnsi="宋体" w:cs="仿宋"/>
          <w:b/>
          <w:bCs/>
          <w:spacing w:val="10"/>
          <w:sz w:val="24"/>
          <w:szCs w:val="24"/>
          <w:highlight w:val="none"/>
        </w:rPr>
      </w:pPr>
      <w:r>
        <w:rPr>
          <w:rFonts w:ascii="宋体" w:hAnsi="宋体" w:cs="仿宋"/>
          <w:b/>
          <w:bCs/>
          <w:spacing w:val="10"/>
          <w:sz w:val="24"/>
          <w:szCs w:val="24"/>
          <w:highlight w:val="none"/>
        </w:rPr>
        <w:t>3、产品质量保障要求</w:t>
      </w:r>
    </w:p>
    <w:p w14:paraId="3E6FCEE0">
      <w:pPr>
        <w:spacing w:line="360" w:lineRule="auto"/>
        <w:ind w:left="0" w:leftChars="0" w:firstLine="566" w:firstLineChars="213"/>
        <w:rPr>
          <w:rFonts w:ascii="宋体" w:hAnsi="宋体" w:cs="仿宋"/>
          <w:sz w:val="24"/>
          <w:szCs w:val="24"/>
          <w:highlight w:val="none"/>
        </w:rPr>
      </w:pPr>
      <w:r>
        <w:rPr>
          <w:rFonts w:ascii="宋体" w:hAnsi="宋体" w:cs="仿宋"/>
          <w:spacing w:val="13"/>
          <w:sz w:val="24"/>
          <w:szCs w:val="24"/>
          <w:highlight w:val="none"/>
        </w:rPr>
        <w:t>(1)每日配送的食材应提供检验报告，动物提供检疫合格证，蔬菜提供农残检测报告，其他</w:t>
      </w:r>
      <w:r>
        <w:rPr>
          <w:rFonts w:ascii="宋体" w:hAnsi="宋体" w:cs="仿宋"/>
          <w:spacing w:val="9"/>
          <w:sz w:val="24"/>
          <w:szCs w:val="24"/>
          <w:highlight w:val="none"/>
        </w:rPr>
        <w:t>食品按采购人要求提供厂家品牌产品并随附检验报告；</w:t>
      </w:r>
    </w:p>
    <w:p w14:paraId="56967B36">
      <w:pPr>
        <w:spacing w:line="360" w:lineRule="auto"/>
        <w:ind w:left="0" w:leftChars="0" w:firstLine="545" w:firstLineChars="213"/>
        <w:rPr>
          <w:rFonts w:ascii="宋体" w:hAnsi="宋体" w:cs="仿宋"/>
          <w:spacing w:val="8"/>
          <w:sz w:val="24"/>
          <w:szCs w:val="24"/>
          <w:highlight w:val="none"/>
        </w:rPr>
      </w:pPr>
      <w:r>
        <w:rPr>
          <w:rFonts w:ascii="宋体" w:hAnsi="宋体" w:cs="仿宋"/>
          <w:spacing w:val="8"/>
          <w:sz w:val="24"/>
          <w:szCs w:val="24"/>
          <w:highlight w:val="none"/>
        </w:rPr>
        <w:t>(2)配送的蔬菜肉类需具有追踪溯源标识或记录记载，并可实现追踪溯源</w:t>
      </w:r>
    </w:p>
    <w:p w14:paraId="128B1026">
      <w:pPr>
        <w:spacing w:line="360" w:lineRule="auto"/>
        <w:ind w:left="0" w:leftChars="0" w:firstLine="587" w:firstLineChars="213"/>
        <w:rPr>
          <w:rFonts w:ascii="宋体" w:hAnsi="宋体" w:cs="仿宋"/>
          <w:sz w:val="24"/>
          <w:szCs w:val="24"/>
          <w:highlight w:val="none"/>
        </w:rPr>
      </w:pPr>
      <w:r>
        <w:rPr>
          <w:rFonts w:ascii="宋体" w:hAnsi="宋体" w:cs="仿宋"/>
          <w:spacing w:val="18"/>
          <w:sz w:val="24"/>
          <w:szCs w:val="24"/>
          <w:highlight w:val="none"/>
        </w:rPr>
        <w:t>★</w:t>
      </w:r>
      <w:r>
        <w:rPr>
          <w:rFonts w:ascii="宋体" w:hAnsi="宋体" w:cs="仿宋"/>
          <w:spacing w:val="14"/>
          <w:sz w:val="24"/>
          <w:szCs w:val="24"/>
          <w:highlight w:val="none"/>
        </w:rPr>
        <w:t>(</w:t>
      </w:r>
      <w:r>
        <w:rPr>
          <w:rFonts w:ascii="宋体" w:hAnsi="宋体" w:cs="仿宋"/>
          <w:spacing w:val="13"/>
          <w:sz w:val="24"/>
          <w:szCs w:val="24"/>
          <w:highlight w:val="none"/>
        </w:rPr>
        <w:t>3)</w:t>
      </w:r>
      <w:r>
        <w:rPr>
          <w:rFonts w:ascii="宋体" w:hAnsi="宋体" w:cs="仿宋"/>
          <w:spacing w:val="9"/>
          <w:sz w:val="24"/>
          <w:szCs w:val="24"/>
          <w:highlight w:val="none"/>
        </w:rPr>
        <w:t>配送产</w:t>
      </w:r>
      <w:r>
        <w:rPr>
          <w:rFonts w:ascii="宋体" w:hAnsi="宋体" w:cs="仿宋"/>
          <w:spacing w:val="8"/>
          <w:sz w:val="24"/>
          <w:szCs w:val="24"/>
          <w:highlight w:val="none"/>
        </w:rPr>
        <w:t>品符合《食品安全法》相关要求，达到相关食品卫生安全</w:t>
      </w:r>
      <w:r>
        <w:rPr>
          <w:rFonts w:hint="eastAsia" w:ascii="宋体" w:hAnsi="宋体" w:cs="仿宋"/>
          <w:spacing w:val="8"/>
          <w:sz w:val="24"/>
          <w:szCs w:val="24"/>
          <w:highlight w:val="none"/>
          <w:lang w:eastAsia="zh-CN"/>
        </w:rPr>
        <w:t>法</w:t>
      </w:r>
      <w:r>
        <w:rPr>
          <w:rFonts w:ascii="宋体" w:hAnsi="宋体" w:cs="仿宋"/>
          <w:spacing w:val="8"/>
          <w:sz w:val="24"/>
          <w:szCs w:val="24"/>
          <w:highlight w:val="none"/>
        </w:rPr>
        <w:t>规</w:t>
      </w:r>
      <w:r>
        <w:rPr>
          <w:rFonts w:hint="eastAsia" w:ascii="宋体" w:hAnsi="宋体" w:cs="仿宋"/>
          <w:spacing w:val="8"/>
          <w:sz w:val="24"/>
          <w:szCs w:val="24"/>
          <w:highlight w:val="none"/>
          <w:lang w:eastAsia="zh-CN"/>
        </w:rPr>
        <w:t>（规范）</w:t>
      </w:r>
      <w:r>
        <w:rPr>
          <w:rFonts w:ascii="宋体" w:hAnsi="宋体" w:cs="仿宋"/>
          <w:spacing w:val="8"/>
          <w:sz w:val="24"/>
          <w:szCs w:val="24"/>
          <w:highlight w:val="none"/>
        </w:rPr>
        <w:t>国家有出台新的更高标准的，以新的更高标准为准，保证所供产品配送到指定地点时的质量、卫生和安全。未按国家相关食品卫生标准及本</w:t>
      </w:r>
      <w:r>
        <w:rPr>
          <w:rFonts w:hint="eastAsia" w:ascii="宋体" w:hAnsi="宋体" w:cs="仿宋"/>
          <w:spacing w:val="8"/>
          <w:sz w:val="24"/>
          <w:szCs w:val="24"/>
          <w:highlight w:val="none"/>
          <w:lang w:eastAsia="zh-CN"/>
        </w:rPr>
        <w:t>磋商文件</w:t>
      </w:r>
      <w:r>
        <w:rPr>
          <w:rFonts w:ascii="宋体" w:hAnsi="宋体" w:cs="仿宋"/>
          <w:spacing w:val="8"/>
          <w:sz w:val="24"/>
          <w:szCs w:val="24"/>
          <w:highlight w:val="none"/>
        </w:rPr>
        <w:t>要求配送的食材引发的食品卫生中毒等食品安全事故，由中标投标人负完全</w:t>
      </w:r>
      <w:r>
        <w:rPr>
          <w:rFonts w:hint="eastAsia" w:ascii="宋体" w:hAnsi="宋体" w:cs="仿宋"/>
          <w:spacing w:val="8"/>
          <w:sz w:val="24"/>
          <w:szCs w:val="24"/>
          <w:highlight w:val="none"/>
        </w:rPr>
        <w:t>负责</w:t>
      </w:r>
      <w:r>
        <w:rPr>
          <w:rFonts w:ascii="宋体" w:hAnsi="宋体" w:cs="仿宋"/>
          <w:spacing w:val="6"/>
          <w:sz w:val="24"/>
          <w:szCs w:val="24"/>
          <w:highlight w:val="none"/>
        </w:rPr>
        <w:t>。</w:t>
      </w:r>
      <w:r>
        <w:rPr>
          <w:rFonts w:ascii="宋体" w:hAnsi="宋体" w:cs="仿宋"/>
          <w:spacing w:val="6"/>
          <w:sz w:val="24"/>
          <w:szCs w:val="24"/>
          <w:highlight w:val="none"/>
          <w14:textOutline w14:w="4356" w14:cap="sq" w14:cmpd="sng" w14:algn="ctr">
            <w14:solidFill>
              <w14:srgbClr w14:val="000000"/>
            </w14:solidFill>
            <w14:prstDash w14:val="solid"/>
            <w14:bevel/>
          </w14:textOutline>
        </w:rPr>
        <w:t>(投</w:t>
      </w:r>
      <w:r>
        <w:rPr>
          <w:rFonts w:ascii="宋体" w:hAnsi="宋体" w:cs="仿宋"/>
          <w:spacing w:val="16"/>
          <w:sz w:val="24"/>
          <w:szCs w:val="24"/>
          <w:highlight w:val="none"/>
          <w14:textOutline w14:w="4356" w14:cap="sq" w14:cmpd="sng" w14:algn="ctr">
            <w14:solidFill>
              <w14:srgbClr w14:val="000000"/>
            </w14:solidFill>
            <w14:prstDash w14:val="solid"/>
            <w14:bevel/>
          </w14:textOutline>
        </w:rPr>
        <w:t>标</w:t>
      </w:r>
      <w:r>
        <w:rPr>
          <w:rFonts w:ascii="宋体" w:hAnsi="宋体" w:cs="仿宋"/>
          <w:spacing w:val="8"/>
          <w:sz w:val="24"/>
          <w:szCs w:val="24"/>
          <w:highlight w:val="none"/>
          <w14:textOutline w14:w="4356" w14:cap="sq" w14:cmpd="sng" w14:algn="ctr">
            <w14:solidFill>
              <w14:srgbClr w14:val="000000"/>
            </w14:solidFill>
            <w14:prstDash w14:val="solid"/>
            <w14:bevel/>
          </w14:textOutline>
        </w:rPr>
        <w:t>投标人提供单独承诺函)</w:t>
      </w:r>
    </w:p>
    <w:p w14:paraId="2DA251CF">
      <w:pPr>
        <w:spacing w:line="360" w:lineRule="auto"/>
        <w:ind w:left="0" w:leftChars="0" w:firstLine="541" w:firstLineChars="213"/>
        <w:rPr>
          <w:rFonts w:ascii="宋体" w:hAnsi="宋体" w:cs="仿宋"/>
          <w:sz w:val="24"/>
          <w:szCs w:val="24"/>
          <w:highlight w:val="none"/>
        </w:rPr>
      </w:pPr>
      <w:r>
        <w:rPr>
          <w:rFonts w:ascii="宋体" w:hAnsi="宋体" w:cs="仿宋"/>
          <w:spacing w:val="7"/>
          <w:sz w:val="24"/>
          <w:szCs w:val="24"/>
          <w:highlight w:val="none"/>
        </w:rPr>
        <w:t>★</w:t>
      </w:r>
      <w:r>
        <w:rPr>
          <w:rFonts w:ascii="宋体" w:hAnsi="宋体" w:cs="仿宋"/>
          <w:spacing w:val="6"/>
          <w:sz w:val="24"/>
          <w:szCs w:val="24"/>
          <w:highlight w:val="none"/>
        </w:rPr>
        <w:t>(</w:t>
      </w:r>
      <w:r>
        <w:rPr>
          <w:rFonts w:hint="eastAsia" w:ascii="宋体" w:hAnsi="宋体" w:cs="仿宋"/>
          <w:spacing w:val="6"/>
          <w:sz w:val="24"/>
          <w:szCs w:val="24"/>
          <w:highlight w:val="none"/>
        </w:rPr>
        <w:t>4</w:t>
      </w:r>
      <w:r>
        <w:rPr>
          <w:rFonts w:ascii="宋体" w:hAnsi="宋体" w:cs="仿宋"/>
          <w:spacing w:val="6"/>
          <w:sz w:val="24"/>
          <w:szCs w:val="24"/>
          <w:highlight w:val="none"/>
        </w:rPr>
        <w:t>)预包装食品须符合《预包装食品标签通则》(最新国家标准)保证规</w:t>
      </w:r>
      <w:r>
        <w:rPr>
          <w:rFonts w:ascii="宋体" w:hAnsi="宋体" w:cs="仿宋"/>
          <w:spacing w:val="-2"/>
          <w:sz w:val="24"/>
          <w:szCs w:val="24"/>
          <w:highlight w:val="none"/>
        </w:rPr>
        <w:t>格</w:t>
      </w:r>
      <w:r>
        <w:rPr>
          <w:rFonts w:ascii="宋体" w:hAnsi="宋体" w:cs="仿宋"/>
          <w:spacing w:val="-1"/>
          <w:sz w:val="24"/>
          <w:szCs w:val="24"/>
          <w:highlight w:val="none"/>
        </w:rPr>
        <w:t>品种完全符合采购方要求，包装规格、口味、种类齐全。保质期在3天以内的，</w:t>
      </w:r>
      <w:r>
        <w:rPr>
          <w:rFonts w:ascii="宋体" w:hAnsi="宋体" w:cs="仿宋"/>
          <w:spacing w:val="8"/>
          <w:sz w:val="24"/>
          <w:szCs w:val="24"/>
          <w:highlight w:val="none"/>
        </w:rPr>
        <w:t>必须是</w:t>
      </w:r>
      <w:r>
        <w:rPr>
          <w:rFonts w:ascii="宋体" w:hAnsi="宋体" w:cs="仿宋"/>
          <w:spacing w:val="6"/>
          <w:sz w:val="24"/>
          <w:szCs w:val="24"/>
          <w:highlight w:val="none"/>
        </w:rPr>
        <w:t>送</w:t>
      </w:r>
      <w:r>
        <w:rPr>
          <w:rFonts w:ascii="宋体" w:hAnsi="宋体" w:cs="仿宋"/>
          <w:spacing w:val="4"/>
          <w:sz w:val="24"/>
          <w:szCs w:val="24"/>
          <w:highlight w:val="none"/>
        </w:rPr>
        <w:t>货当天生产的货品；保质期在7天以内的，送货日不超过生产日两日；</w:t>
      </w:r>
      <w:r>
        <w:rPr>
          <w:rFonts w:ascii="宋体" w:hAnsi="宋体" w:cs="仿宋"/>
          <w:spacing w:val="6"/>
          <w:sz w:val="24"/>
          <w:szCs w:val="24"/>
          <w:highlight w:val="none"/>
        </w:rPr>
        <w:t>保质期在</w:t>
      </w:r>
      <w:r>
        <w:rPr>
          <w:rFonts w:ascii="宋体" w:hAnsi="宋体" w:cs="仿宋"/>
          <w:spacing w:val="3"/>
          <w:sz w:val="24"/>
          <w:szCs w:val="24"/>
          <w:highlight w:val="none"/>
        </w:rPr>
        <w:t>6个月以内的，送货日至保质期到期日的天数必须大于保质期天数的三</w:t>
      </w:r>
      <w:r>
        <w:rPr>
          <w:rFonts w:ascii="宋体" w:hAnsi="宋体" w:cs="仿宋"/>
          <w:spacing w:val="12"/>
          <w:sz w:val="24"/>
          <w:szCs w:val="24"/>
          <w:highlight w:val="none"/>
        </w:rPr>
        <w:t>分之二</w:t>
      </w:r>
      <w:r>
        <w:rPr>
          <w:rFonts w:ascii="宋体" w:hAnsi="宋体" w:cs="仿宋"/>
          <w:spacing w:val="9"/>
          <w:sz w:val="24"/>
          <w:szCs w:val="24"/>
          <w:highlight w:val="none"/>
        </w:rPr>
        <w:t>；</w:t>
      </w:r>
      <w:r>
        <w:rPr>
          <w:rFonts w:ascii="宋体" w:hAnsi="宋体" w:cs="仿宋"/>
          <w:spacing w:val="6"/>
          <w:sz w:val="24"/>
          <w:szCs w:val="24"/>
          <w:highlight w:val="none"/>
        </w:rPr>
        <w:t>6个月以上的，送货日至保质期到期日的天数必须大于保质期天数的二</w:t>
      </w:r>
      <w:r>
        <w:rPr>
          <w:rFonts w:ascii="宋体" w:hAnsi="宋体" w:cs="仿宋"/>
          <w:spacing w:val="18"/>
          <w:sz w:val="24"/>
          <w:szCs w:val="24"/>
          <w:highlight w:val="none"/>
        </w:rPr>
        <w:t>分</w:t>
      </w:r>
      <w:r>
        <w:rPr>
          <w:rFonts w:ascii="宋体" w:hAnsi="宋体" w:cs="仿宋"/>
          <w:spacing w:val="12"/>
          <w:sz w:val="24"/>
          <w:szCs w:val="24"/>
          <w:highlight w:val="none"/>
        </w:rPr>
        <w:t>之</w:t>
      </w:r>
      <w:r>
        <w:rPr>
          <w:rFonts w:ascii="宋体" w:hAnsi="宋体" w:cs="仿宋"/>
          <w:spacing w:val="9"/>
          <w:sz w:val="24"/>
          <w:szCs w:val="24"/>
          <w:highlight w:val="none"/>
        </w:rPr>
        <w:t>一，凭出厂合格证与检验员章确认质量。</w:t>
      </w:r>
      <w:r>
        <w:rPr>
          <w:rFonts w:ascii="宋体" w:hAnsi="宋体" w:cs="仿宋"/>
          <w:spacing w:val="9"/>
          <w:sz w:val="24"/>
          <w:szCs w:val="24"/>
          <w:highlight w:val="none"/>
          <w14:textOutline w14:w="4356" w14:cap="sq" w14:cmpd="sng" w14:algn="ctr">
            <w14:solidFill>
              <w14:srgbClr w14:val="000000"/>
            </w14:solidFill>
            <w14:prstDash w14:val="solid"/>
            <w14:bevel/>
          </w14:textOutline>
        </w:rPr>
        <w:t>(投标投标人提供单独承诺函)</w:t>
      </w:r>
    </w:p>
    <w:p w14:paraId="25A78165">
      <w:pPr>
        <w:spacing w:line="360" w:lineRule="auto"/>
        <w:ind w:left="0" w:leftChars="0" w:firstLine="556" w:firstLineChars="213"/>
        <w:rPr>
          <w:rFonts w:ascii="宋体" w:hAnsi="宋体" w:cs="仿宋"/>
          <w:b/>
          <w:bCs/>
          <w:spacing w:val="10"/>
          <w:sz w:val="24"/>
          <w:szCs w:val="24"/>
          <w:highlight w:val="none"/>
        </w:rPr>
      </w:pPr>
      <w:r>
        <w:rPr>
          <w:rFonts w:ascii="宋体" w:hAnsi="宋体" w:cs="仿宋"/>
          <w:b/>
          <w:bCs/>
          <w:spacing w:val="10"/>
          <w:sz w:val="24"/>
          <w:szCs w:val="24"/>
          <w:highlight w:val="none"/>
        </w:rPr>
        <w:t>4、配送方法及要求</w:t>
      </w:r>
    </w:p>
    <w:p w14:paraId="62D64556">
      <w:pPr>
        <w:spacing w:line="360" w:lineRule="auto"/>
        <w:ind w:left="0" w:leftChars="0" w:firstLine="539" w:firstLineChars="213"/>
        <w:rPr>
          <w:rFonts w:ascii="宋体" w:hAnsi="宋体" w:cs="仿宋"/>
          <w:b/>
          <w:bCs/>
          <w:spacing w:val="6"/>
          <w:sz w:val="24"/>
          <w:szCs w:val="24"/>
          <w:highlight w:val="none"/>
        </w:rPr>
      </w:pPr>
      <w:r>
        <w:rPr>
          <w:rFonts w:ascii="宋体" w:hAnsi="宋体" w:cs="仿宋"/>
          <w:b/>
          <w:bCs/>
          <w:spacing w:val="6"/>
          <w:sz w:val="24"/>
          <w:szCs w:val="24"/>
          <w:highlight w:val="none"/>
        </w:rPr>
        <w:t>(1)配送时间要求</w:t>
      </w:r>
    </w:p>
    <w:p w14:paraId="7ACE6386">
      <w:pPr>
        <w:spacing w:line="360" w:lineRule="auto"/>
        <w:ind w:left="0" w:leftChars="0" w:firstLine="539" w:firstLineChars="213"/>
        <w:rPr>
          <w:rFonts w:ascii="宋体" w:hAnsi="宋体" w:cs="仿宋"/>
          <w:b/>
          <w:bCs/>
          <w:spacing w:val="6"/>
          <w:sz w:val="24"/>
          <w:szCs w:val="24"/>
          <w:highlight w:val="none"/>
        </w:rPr>
      </w:pPr>
      <w:r>
        <w:rPr>
          <w:rFonts w:ascii="宋体" w:hAnsi="宋体" w:cs="仿宋"/>
          <w:b/>
          <w:bCs/>
          <w:spacing w:val="6"/>
          <w:sz w:val="24"/>
          <w:szCs w:val="24"/>
          <w:highlight w:val="none"/>
        </w:rPr>
        <w:t>①每天食材提前一天送到，临时公务接待，应急配送要求应在甲方发出需求后</w:t>
      </w:r>
      <w:r>
        <w:rPr>
          <w:rFonts w:hint="eastAsia" w:ascii="宋体" w:hAnsi="宋体" w:cs="仿宋"/>
          <w:b/>
          <w:bCs/>
          <w:spacing w:val="6"/>
          <w:sz w:val="24"/>
          <w:szCs w:val="24"/>
          <w:highlight w:val="none"/>
        </w:rPr>
        <w:t>2小时</w:t>
      </w:r>
      <w:r>
        <w:rPr>
          <w:rFonts w:ascii="宋体" w:hAnsi="宋体" w:cs="仿宋"/>
          <w:b/>
          <w:bCs/>
          <w:spacing w:val="6"/>
          <w:sz w:val="24"/>
          <w:szCs w:val="24"/>
          <w:highlight w:val="none"/>
        </w:rPr>
        <w:t>内予以响应并送到。</w:t>
      </w:r>
    </w:p>
    <w:p w14:paraId="3ED3FB9B">
      <w:pPr>
        <w:spacing w:line="360" w:lineRule="auto"/>
        <w:ind w:left="0" w:leftChars="0" w:firstLine="539" w:firstLineChars="213"/>
        <w:rPr>
          <w:rFonts w:ascii="宋体" w:hAnsi="宋体" w:cs="仿宋"/>
          <w:b/>
          <w:bCs/>
          <w:spacing w:val="6"/>
          <w:sz w:val="24"/>
          <w:szCs w:val="24"/>
          <w:highlight w:val="none"/>
        </w:rPr>
      </w:pPr>
      <w:r>
        <w:rPr>
          <w:rFonts w:ascii="宋体" w:hAnsi="宋体" w:cs="仿宋"/>
          <w:b/>
          <w:bCs/>
          <w:spacing w:val="6"/>
          <w:sz w:val="24"/>
          <w:szCs w:val="24"/>
          <w:highlight w:val="none"/>
        </w:rPr>
        <w:t>★②</w:t>
      </w:r>
      <w:r>
        <w:rPr>
          <w:rFonts w:ascii="宋体" w:hAnsi="宋体" w:cs="仿宋"/>
          <w:b/>
          <w:bCs/>
          <w:spacing w:val="3"/>
          <w:sz w:val="24"/>
          <w:szCs w:val="24"/>
          <w:highlight w:val="none"/>
        </w:rPr>
        <w:t>投标投标人保证配送商品质量、数量、送货时间等均符合采购人要求(下</w:t>
      </w:r>
      <w:r>
        <w:rPr>
          <w:rFonts w:ascii="宋体" w:hAnsi="宋体" w:cs="仿宋"/>
          <w:b/>
          <w:bCs/>
          <w:spacing w:val="10"/>
          <w:sz w:val="24"/>
          <w:szCs w:val="24"/>
          <w:highlight w:val="none"/>
        </w:rPr>
        <w:t>单规</w:t>
      </w:r>
      <w:r>
        <w:rPr>
          <w:rFonts w:ascii="宋体" w:hAnsi="宋体" w:cs="仿宋"/>
          <w:b/>
          <w:bCs/>
          <w:spacing w:val="6"/>
          <w:sz w:val="24"/>
          <w:szCs w:val="24"/>
          <w:highlight w:val="none"/>
        </w:rPr>
        <w:t>则</w:t>
      </w:r>
      <w:r>
        <w:rPr>
          <w:rFonts w:ascii="宋体" w:hAnsi="宋体" w:cs="仿宋"/>
          <w:b/>
          <w:bCs/>
          <w:spacing w:val="5"/>
          <w:sz w:val="24"/>
          <w:szCs w:val="24"/>
          <w:highlight w:val="none"/>
        </w:rPr>
        <w:t>：至少提前一天制定需求)，紧急情况除外如遇不可抗力造成送货延误的</w:t>
      </w:r>
      <w:r>
        <w:rPr>
          <w:rFonts w:ascii="宋体" w:hAnsi="宋体" w:cs="仿宋"/>
          <w:b/>
          <w:bCs/>
          <w:spacing w:val="6"/>
          <w:sz w:val="24"/>
          <w:szCs w:val="24"/>
          <w:highlight w:val="none"/>
        </w:rPr>
        <w:t>，经采购人同意后，投标投标人应按采购人另行指定的地点和时间及时送达。(投标投标人提供单独承诺函)</w:t>
      </w:r>
    </w:p>
    <w:p w14:paraId="5C8E67EB">
      <w:pPr>
        <w:spacing w:line="360" w:lineRule="auto"/>
        <w:ind w:left="0" w:leftChars="0" w:firstLine="539" w:firstLineChars="213"/>
        <w:rPr>
          <w:rFonts w:ascii="宋体" w:hAnsi="宋体" w:cs="仿宋"/>
          <w:b/>
          <w:bCs/>
          <w:spacing w:val="6"/>
          <w:sz w:val="24"/>
          <w:szCs w:val="24"/>
          <w:highlight w:val="none"/>
        </w:rPr>
      </w:pPr>
      <w:r>
        <w:rPr>
          <w:rFonts w:ascii="宋体" w:hAnsi="宋体" w:cs="仿宋"/>
          <w:b/>
          <w:bCs/>
          <w:spacing w:val="6"/>
          <w:sz w:val="24"/>
          <w:szCs w:val="24"/>
          <w:highlight w:val="none"/>
        </w:rPr>
        <w:t>(2)配送运输车辆要求</w:t>
      </w:r>
    </w:p>
    <w:p w14:paraId="636815B2">
      <w:pPr>
        <w:spacing w:line="360" w:lineRule="auto"/>
        <w:ind w:left="0" w:leftChars="0" w:firstLine="539" w:firstLineChars="213"/>
        <w:rPr>
          <w:rFonts w:ascii="宋体" w:hAnsi="宋体" w:cs="仿宋"/>
          <w:b/>
          <w:bCs/>
          <w:spacing w:val="6"/>
          <w:sz w:val="24"/>
          <w:szCs w:val="24"/>
          <w:highlight w:val="none"/>
        </w:rPr>
      </w:pPr>
      <w:r>
        <w:rPr>
          <w:rFonts w:ascii="宋体" w:hAnsi="宋体" w:cs="仿宋"/>
          <w:b/>
          <w:bCs/>
          <w:spacing w:val="6"/>
          <w:sz w:val="24"/>
          <w:szCs w:val="24"/>
          <w:highlight w:val="none"/>
        </w:rPr>
        <w:t>①投标投标人针对本项目车辆</w:t>
      </w:r>
      <w:r>
        <w:rPr>
          <w:rFonts w:hint="eastAsia" w:ascii="宋体" w:hAnsi="宋体" w:cs="仿宋"/>
          <w:b/>
          <w:bCs/>
          <w:spacing w:val="6"/>
          <w:sz w:val="24"/>
          <w:szCs w:val="24"/>
          <w:highlight w:val="none"/>
        </w:rPr>
        <w:t>需</w:t>
      </w:r>
      <w:r>
        <w:rPr>
          <w:rFonts w:ascii="宋体" w:hAnsi="宋体" w:cs="仿宋"/>
          <w:b/>
          <w:bCs/>
          <w:spacing w:val="6"/>
          <w:sz w:val="24"/>
          <w:szCs w:val="24"/>
          <w:highlight w:val="none"/>
        </w:rPr>
        <w:t>固定专门为本项目使用，配送车辆应符合相关卫生要求，做到每日清洗、消毒并做好消毒记录。</w:t>
      </w:r>
    </w:p>
    <w:p w14:paraId="7E9A858D">
      <w:pPr>
        <w:spacing w:line="360" w:lineRule="auto"/>
        <w:ind w:left="0" w:leftChars="0" w:firstLine="539" w:firstLineChars="213"/>
        <w:rPr>
          <w:rFonts w:ascii="宋体" w:hAnsi="宋体" w:cs="仿宋"/>
          <w:b/>
          <w:bCs/>
          <w:sz w:val="24"/>
          <w:szCs w:val="24"/>
          <w:highlight w:val="none"/>
        </w:rPr>
      </w:pPr>
      <w:r>
        <w:rPr>
          <w:rFonts w:ascii="宋体" w:hAnsi="宋体" w:cs="仿宋"/>
          <w:b/>
          <w:bCs/>
          <w:spacing w:val="6"/>
          <w:sz w:val="24"/>
          <w:szCs w:val="24"/>
          <w:highlight w:val="none"/>
        </w:rPr>
        <w:t>②配送车辆要向采购人报备</w:t>
      </w:r>
      <w:r>
        <w:rPr>
          <w:rFonts w:ascii="宋体" w:hAnsi="宋体" w:cs="仿宋"/>
          <w:b/>
          <w:bCs/>
          <w:spacing w:val="8"/>
          <w:sz w:val="24"/>
          <w:szCs w:val="24"/>
          <w:highlight w:val="none"/>
        </w:rPr>
        <w:t>，不经采购人书面同意，不允许更换配送车辆，</w:t>
      </w:r>
      <w:r>
        <w:rPr>
          <w:rFonts w:ascii="宋体" w:hAnsi="宋体" w:cs="仿宋"/>
          <w:b/>
          <w:bCs/>
          <w:spacing w:val="7"/>
          <w:sz w:val="24"/>
          <w:szCs w:val="24"/>
          <w:highlight w:val="none"/>
        </w:rPr>
        <w:t>专车专送，不得与其他单位配送食品混装，配送前对车辆进行卫生清理与消毒</w:t>
      </w:r>
      <w:r>
        <w:rPr>
          <w:rFonts w:ascii="宋体" w:hAnsi="宋体" w:cs="仿宋"/>
          <w:b/>
          <w:bCs/>
          <w:spacing w:val="2"/>
          <w:sz w:val="24"/>
          <w:szCs w:val="24"/>
          <w:highlight w:val="none"/>
        </w:rPr>
        <w:t>并</w:t>
      </w:r>
      <w:r>
        <w:rPr>
          <w:rFonts w:ascii="宋体" w:hAnsi="宋体" w:cs="仿宋"/>
          <w:b/>
          <w:bCs/>
          <w:spacing w:val="8"/>
          <w:sz w:val="24"/>
          <w:szCs w:val="24"/>
          <w:highlight w:val="none"/>
        </w:rPr>
        <w:t>做</w:t>
      </w:r>
      <w:r>
        <w:rPr>
          <w:rFonts w:ascii="宋体" w:hAnsi="宋体" w:cs="仿宋"/>
          <w:b/>
          <w:bCs/>
          <w:spacing w:val="6"/>
          <w:sz w:val="24"/>
          <w:szCs w:val="24"/>
          <w:highlight w:val="none"/>
        </w:rPr>
        <w:t>好消毒记录；</w:t>
      </w:r>
    </w:p>
    <w:p w14:paraId="1B042391">
      <w:pPr>
        <w:spacing w:line="360" w:lineRule="auto"/>
        <w:ind w:left="0" w:leftChars="0" w:firstLine="543" w:firstLineChars="213"/>
        <w:rPr>
          <w:rFonts w:ascii="宋体" w:hAnsi="宋体" w:cs="仿宋"/>
          <w:b/>
          <w:bCs/>
          <w:sz w:val="24"/>
          <w:szCs w:val="24"/>
          <w:highlight w:val="none"/>
        </w:rPr>
      </w:pPr>
      <w:r>
        <w:rPr>
          <w:rFonts w:ascii="宋体" w:hAnsi="宋体" w:cs="仿宋"/>
          <w:b/>
          <w:bCs/>
          <w:spacing w:val="7"/>
          <w:sz w:val="24"/>
          <w:szCs w:val="24"/>
          <w:highlight w:val="none"/>
        </w:rPr>
        <w:t>③配送车辆需符合生鲜配送、冷藏配送的要求，不得用货拉拉</w:t>
      </w:r>
      <w:r>
        <w:rPr>
          <w:rFonts w:hint="eastAsia" w:ascii="宋体" w:hAnsi="宋体" w:cs="仿宋"/>
          <w:b/>
          <w:bCs/>
          <w:spacing w:val="7"/>
          <w:sz w:val="24"/>
          <w:szCs w:val="24"/>
          <w:highlight w:val="none"/>
        </w:rPr>
        <w:t>商业快递等</w:t>
      </w:r>
      <w:r>
        <w:rPr>
          <w:rFonts w:ascii="宋体" w:hAnsi="宋体" w:cs="仿宋"/>
          <w:b/>
          <w:bCs/>
          <w:spacing w:val="4"/>
          <w:sz w:val="24"/>
          <w:szCs w:val="24"/>
          <w:highlight w:val="none"/>
        </w:rPr>
        <w:t>不</w:t>
      </w:r>
      <w:r>
        <w:rPr>
          <w:rFonts w:ascii="宋体" w:hAnsi="宋体" w:cs="仿宋"/>
          <w:b/>
          <w:bCs/>
          <w:spacing w:val="6"/>
          <w:sz w:val="24"/>
          <w:szCs w:val="24"/>
          <w:highlight w:val="none"/>
        </w:rPr>
        <w:t>符合标准的</w:t>
      </w:r>
      <w:r>
        <w:rPr>
          <w:rFonts w:hint="eastAsia" w:ascii="宋体" w:hAnsi="宋体" w:cs="仿宋"/>
          <w:b/>
          <w:bCs/>
          <w:spacing w:val="6"/>
          <w:sz w:val="24"/>
          <w:szCs w:val="24"/>
          <w:highlight w:val="none"/>
        </w:rPr>
        <w:t>运输形势</w:t>
      </w:r>
      <w:r>
        <w:rPr>
          <w:rFonts w:ascii="宋体" w:hAnsi="宋体" w:cs="仿宋"/>
          <w:b/>
          <w:bCs/>
          <w:spacing w:val="6"/>
          <w:sz w:val="24"/>
          <w:szCs w:val="24"/>
          <w:highlight w:val="none"/>
        </w:rPr>
        <w:t>；</w:t>
      </w:r>
    </w:p>
    <w:p w14:paraId="473577A1">
      <w:pPr>
        <w:spacing w:line="360" w:lineRule="auto"/>
        <w:ind w:left="0" w:leftChars="0" w:firstLine="543" w:firstLineChars="213"/>
        <w:rPr>
          <w:rFonts w:ascii="宋体" w:hAnsi="宋体" w:cs="仿宋"/>
          <w:b/>
          <w:bCs/>
          <w:spacing w:val="8"/>
          <w:sz w:val="24"/>
          <w:szCs w:val="24"/>
          <w:highlight w:val="none"/>
        </w:rPr>
      </w:pPr>
      <w:r>
        <w:rPr>
          <w:rFonts w:ascii="宋体" w:hAnsi="宋体" w:cs="仿宋"/>
          <w:b/>
          <w:bCs/>
          <w:spacing w:val="7"/>
          <w:sz w:val="24"/>
          <w:szCs w:val="24"/>
          <w:highlight w:val="none"/>
        </w:rPr>
        <w:t>④冷链食品配备冷链配送专用车，并随车提供每日蔬菜、水果农残检测</w:t>
      </w:r>
      <w:r>
        <w:rPr>
          <w:rFonts w:ascii="宋体" w:hAnsi="宋体" w:cs="仿宋"/>
          <w:b/>
          <w:bCs/>
          <w:spacing w:val="4"/>
          <w:sz w:val="24"/>
          <w:szCs w:val="24"/>
          <w:highlight w:val="none"/>
        </w:rPr>
        <w:t>报</w:t>
      </w:r>
      <w:r>
        <w:rPr>
          <w:rFonts w:ascii="宋体" w:hAnsi="宋体" w:cs="仿宋"/>
          <w:b/>
          <w:bCs/>
          <w:spacing w:val="10"/>
          <w:sz w:val="24"/>
          <w:szCs w:val="24"/>
          <w:highlight w:val="none"/>
        </w:rPr>
        <w:t>告</w:t>
      </w:r>
      <w:r>
        <w:rPr>
          <w:rFonts w:ascii="宋体" w:hAnsi="宋体" w:cs="仿宋"/>
          <w:b/>
          <w:bCs/>
          <w:spacing w:val="8"/>
          <w:sz w:val="24"/>
          <w:szCs w:val="24"/>
          <w:highlight w:val="none"/>
        </w:rPr>
        <w:t>和肉类的动物检疫合格证明；</w:t>
      </w:r>
    </w:p>
    <w:p w14:paraId="752D09E8">
      <w:pPr>
        <w:spacing w:line="360" w:lineRule="auto"/>
        <w:ind w:left="0" w:leftChars="0" w:firstLine="564" w:firstLineChars="213"/>
        <w:rPr>
          <w:rFonts w:ascii="宋体" w:hAnsi="宋体" w:cs="仿宋"/>
          <w:b/>
          <w:bCs/>
          <w:spacing w:val="6"/>
          <w:sz w:val="24"/>
          <w:szCs w:val="24"/>
          <w:highlight w:val="none"/>
        </w:rPr>
      </w:pPr>
      <w:r>
        <w:rPr>
          <w:rFonts w:ascii="宋体" w:hAnsi="宋体" w:cs="仿宋"/>
          <w:b/>
          <w:bCs/>
          <w:spacing w:val="12"/>
          <w:sz w:val="24"/>
          <w:szCs w:val="24"/>
          <w:highlight w:val="none"/>
        </w:rPr>
        <w:t>⑤</w:t>
      </w:r>
      <w:r>
        <w:rPr>
          <w:rFonts w:ascii="宋体" w:hAnsi="宋体" w:cs="仿宋"/>
          <w:b/>
          <w:bCs/>
          <w:spacing w:val="9"/>
          <w:sz w:val="24"/>
          <w:szCs w:val="24"/>
          <w:highlight w:val="none"/>
        </w:rPr>
        <w:t>配</w:t>
      </w:r>
      <w:r>
        <w:rPr>
          <w:rFonts w:ascii="宋体" w:hAnsi="宋体" w:cs="仿宋"/>
          <w:b/>
          <w:bCs/>
          <w:spacing w:val="6"/>
          <w:sz w:val="24"/>
          <w:szCs w:val="24"/>
          <w:highlight w:val="none"/>
        </w:rPr>
        <w:t>送车辆上食品不与其他产品混装、不挤压。</w:t>
      </w:r>
    </w:p>
    <w:p w14:paraId="5DE5152E">
      <w:pPr>
        <w:spacing w:line="360" w:lineRule="auto"/>
        <w:ind w:left="0" w:leftChars="0" w:firstLine="539" w:firstLineChars="213"/>
        <w:rPr>
          <w:rFonts w:ascii="宋体" w:hAnsi="宋体" w:cs="仿宋"/>
          <w:b/>
          <w:bCs/>
          <w:spacing w:val="6"/>
          <w:sz w:val="24"/>
          <w:szCs w:val="24"/>
          <w:highlight w:val="none"/>
        </w:rPr>
      </w:pPr>
      <w:r>
        <w:rPr>
          <w:rFonts w:hint="eastAsia" w:ascii="宋体" w:hAnsi="宋体" w:cs="仿宋"/>
          <w:b/>
          <w:bCs/>
          <w:spacing w:val="6"/>
          <w:sz w:val="24"/>
          <w:szCs w:val="24"/>
          <w:highlight w:val="none"/>
        </w:rPr>
        <w:t>（3）</w:t>
      </w:r>
      <w:r>
        <w:rPr>
          <w:rFonts w:ascii="宋体" w:hAnsi="宋体" w:cs="仿宋"/>
          <w:b/>
          <w:bCs/>
          <w:spacing w:val="6"/>
          <w:sz w:val="24"/>
          <w:szCs w:val="24"/>
          <w:highlight w:val="none"/>
        </w:rPr>
        <w:t>人员配备管理方案要求</w:t>
      </w:r>
    </w:p>
    <w:p w14:paraId="47334CE0">
      <w:pPr>
        <w:spacing w:line="360" w:lineRule="auto"/>
        <w:ind w:left="0" w:leftChars="0" w:firstLine="539" w:firstLineChars="213"/>
        <w:rPr>
          <w:rFonts w:ascii="宋体" w:hAnsi="宋体" w:cs="仿宋"/>
          <w:b/>
          <w:bCs/>
          <w:spacing w:val="7"/>
          <w:sz w:val="24"/>
          <w:szCs w:val="24"/>
          <w:highlight w:val="none"/>
        </w:rPr>
      </w:pPr>
      <w:r>
        <w:rPr>
          <w:rFonts w:ascii="宋体" w:hAnsi="宋体" w:cs="仿宋"/>
          <w:b/>
          <w:bCs/>
          <w:spacing w:val="6"/>
          <w:sz w:val="24"/>
          <w:szCs w:val="24"/>
          <w:highlight w:val="none"/>
        </w:rPr>
        <w:t>★①为保证食材配送及时，保障食堂每日准时供餐，投标投标人为本项目配备至少</w:t>
      </w:r>
      <w:r>
        <w:rPr>
          <w:rFonts w:hint="eastAsia" w:ascii="宋体" w:hAnsi="宋体" w:cs="仿宋"/>
          <w:b/>
          <w:bCs/>
          <w:spacing w:val="6"/>
          <w:sz w:val="24"/>
          <w:szCs w:val="24"/>
          <w:highlight w:val="none"/>
        </w:rPr>
        <w:t>2</w:t>
      </w:r>
      <w:r>
        <w:rPr>
          <w:rFonts w:ascii="宋体" w:hAnsi="宋体" w:cs="仿宋"/>
          <w:b/>
          <w:bCs/>
          <w:spacing w:val="6"/>
          <w:sz w:val="24"/>
          <w:szCs w:val="24"/>
          <w:highlight w:val="none"/>
        </w:rPr>
        <w:t>名持有有效健康证的配送人员，且为本公司员工，每次</w:t>
      </w:r>
      <w:r>
        <w:rPr>
          <w:rFonts w:ascii="宋体" w:hAnsi="宋体" w:cs="仿宋"/>
          <w:b/>
          <w:bCs/>
          <w:spacing w:val="3"/>
          <w:sz w:val="24"/>
          <w:szCs w:val="24"/>
          <w:highlight w:val="none"/>
        </w:rPr>
        <w:t>配送至少要有</w:t>
      </w:r>
      <w:r>
        <w:rPr>
          <w:rFonts w:hint="eastAsia" w:ascii="宋体" w:hAnsi="宋体" w:cs="仿宋"/>
          <w:b/>
          <w:bCs/>
          <w:spacing w:val="3"/>
          <w:sz w:val="24"/>
          <w:szCs w:val="24"/>
          <w:highlight w:val="none"/>
        </w:rPr>
        <w:t>1</w:t>
      </w:r>
      <w:r>
        <w:rPr>
          <w:rFonts w:ascii="宋体" w:hAnsi="宋体" w:cs="仿宋"/>
          <w:b/>
          <w:bCs/>
          <w:spacing w:val="7"/>
          <w:sz w:val="24"/>
          <w:szCs w:val="24"/>
          <w:highlight w:val="none"/>
        </w:rPr>
        <w:t>名持有有效健康证的配送员，未经采购人事先许可，投标人不得擅自变动配送</w:t>
      </w:r>
      <w:r>
        <w:rPr>
          <w:rFonts w:ascii="宋体" w:hAnsi="宋体" w:cs="仿宋"/>
          <w:b/>
          <w:bCs/>
          <w:spacing w:val="1"/>
          <w:sz w:val="24"/>
          <w:szCs w:val="24"/>
          <w:highlight w:val="none"/>
        </w:rPr>
        <w:t>人</w:t>
      </w:r>
      <w:r>
        <w:rPr>
          <w:rFonts w:ascii="宋体" w:hAnsi="宋体" w:cs="仿宋"/>
          <w:b/>
          <w:bCs/>
          <w:spacing w:val="16"/>
          <w:sz w:val="24"/>
          <w:szCs w:val="24"/>
          <w:highlight w:val="none"/>
        </w:rPr>
        <w:t>员</w:t>
      </w:r>
      <w:r>
        <w:rPr>
          <w:rFonts w:ascii="宋体" w:hAnsi="宋体" w:cs="仿宋"/>
          <w:b/>
          <w:bCs/>
          <w:spacing w:val="13"/>
          <w:sz w:val="24"/>
          <w:szCs w:val="24"/>
          <w:highlight w:val="none"/>
        </w:rPr>
        <w:t>，</w:t>
      </w:r>
      <w:r>
        <w:rPr>
          <w:rFonts w:ascii="宋体" w:hAnsi="宋体" w:cs="仿宋"/>
          <w:b/>
          <w:bCs/>
          <w:spacing w:val="7"/>
          <w:sz w:val="24"/>
          <w:szCs w:val="24"/>
          <w:highlight w:val="none"/>
        </w:rPr>
        <w:t>专人专岗，定期体检；</w:t>
      </w:r>
      <w:r>
        <w:rPr>
          <w:rFonts w:ascii="宋体" w:hAnsi="宋体" w:cs="仿宋"/>
          <w:b/>
          <w:bCs/>
          <w:spacing w:val="3"/>
          <w:sz w:val="24"/>
          <w:szCs w:val="24"/>
          <w:highlight w:val="none"/>
          <w14:textOutline w14:w="4356" w14:cap="sq" w14:cmpd="sng" w14:algn="ctr">
            <w14:solidFill>
              <w14:srgbClr w14:val="000000"/>
            </w14:solidFill>
            <w14:prstDash w14:val="solid"/>
            <w14:bevel/>
          </w14:textOutline>
        </w:rPr>
        <w:t>(投标投标人提供单独承诺函)</w:t>
      </w:r>
    </w:p>
    <w:p w14:paraId="47B36FAA">
      <w:pPr>
        <w:spacing w:line="360" w:lineRule="auto"/>
        <w:ind w:left="0" w:leftChars="0" w:firstLine="543" w:firstLineChars="213"/>
        <w:rPr>
          <w:rFonts w:ascii="宋体" w:hAnsi="宋体" w:cs="仿宋"/>
          <w:b/>
          <w:bCs/>
          <w:spacing w:val="7"/>
          <w:sz w:val="24"/>
          <w:szCs w:val="24"/>
          <w:highlight w:val="none"/>
        </w:rPr>
      </w:pPr>
      <w:r>
        <w:rPr>
          <w:rFonts w:ascii="宋体" w:hAnsi="宋体" w:cs="仿宋"/>
          <w:b/>
          <w:bCs/>
          <w:spacing w:val="7"/>
          <w:sz w:val="24"/>
          <w:szCs w:val="24"/>
          <w:highlight w:val="none"/>
        </w:rPr>
        <w:t>②食材配送员必须穿戴整洁，每日消毒，具有基本的食品安全常识，了解食品卫生相关的法律法规；</w:t>
      </w:r>
    </w:p>
    <w:p w14:paraId="6C9F1258">
      <w:pPr>
        <w:spacing w:line="360" w:lineRule="auto"/>
        <w:ind w:left="0" w:leftChars="0" w:firstLine="543" w:firstLineChars="213"/>
        <w:rPr>
          <w:rFonts w:ascii="宋体" w:hAnsi="宋体" w:cs="仿宋"/>
          <w:b/>
          <w:bCs/>
          <w:sz w:val="24"/>
          <w:szCs w:val="24"/>
          <w:highlight w:val="none"/>
        </w:rPr>
      </w:pPr>
      <w:r>
        <w:rPr>
          <w:rFonts w:ascii="宋体" w:hAnsi="宋体" w:cs="仿宋"/>
          <w:b/>
          <w:bCs/>
          <w:spacing w:val="7"/>
          <w:sz w:val="24"/>
          <w:szCs w:val="24"/>
          <w:highlight w:val="none"/>
        </w:rPr>
        <w:t>③加强对食材配送员的培训，装卸食品原料、成品、半成品时，食品不能</w:t>
      </w:r>
      <w:r>
        <w:rPr>
          <w:rFonts w:ascii="宋体" w:hAnsi="宋体" w:cs="仿宋"/>
          <w:b/>
          <w:bCs/>
          <w:spacing w:val="4"/>
          <w:sz w:val="24"/>
          <w:szCs w:val="24"/>
          <w:highlight w:val="none"/>
        </w:rPr>
        <w:t>接</w:t>
      </w:r>
      <w:r>
        <w:rPr>
          <w:rFonts w:ascii="宋体" w:hAnsi="宋体" w:cs="仿宋"/>
          <w:b/>
          <w:bCs/>
          <w:spacing w:val="15"/>
          <w:sz w:val="24"/>
          <w:szCs w:val="24"/>
          <w:highlight w:val="none"/>
        </w:rPr>
        <w:t>触</w:t>
      </w:r>
      <w:r>
        <w:rPr>
          <w:rFonts w:ascii="宋体" w:hAnsi="宋体" w:cs="仿宋"/>
          <w:b/>
          <w:bCs/>
          <w:spacing w:val="8"/>
          <w:sz w:val="24"/>
          <w:szCs w:val="24"/>
          <w:highlight w:val="none"/>
        </w:rPr>
        <w:t>地面，也不能随意堆放在马路边；</w:t>
      </w:r>
    </w:p>
    <w:p w14:paraId="63289E98">
      <w:pPr>
        <w:spacing w:line="360" w:lineRule="auto"/>
        <w:ind w:left="0" w:leftChars="0" w:firstLine="543" w:firstLineChars="213"/>
        <w:rPr>
          <w:rFonts w:ascii="宋体" w:hAnsi="宋体" w:cs="仿宋"/>
          <w:b/>
          <w:bCs/>
          <w:sz w:val="24"/>
          <w:szCs w:val="24"/>
          <w:highlight w:val="none"/>
        </w:rPr>
      </w:pPr>
      <w:r>
        <w:rPr>
          <w:rFonts w:ascii="宋体" w:hAnsi="宋体" w:cs="仿宋"/>
          <w:b/>
          <w:bCs/>
          <w:spacing w:val="7"/>
          <w:sz w:val="24"/>
          <w:szCs w:val="24"/>
          <w:highlight w:val="none"/>
        </w:rPr>
        <w:t>④投标投标人须为本项目确定一名项目负责人。投标投标人与采购人均需</w:t>
      </w:r>
      <w:r>
        <w:rPr>
          <w:rFonts w:ascii="宋体" w:hAnsi="宋体" w:cs="仿宋"/>
          <w:b/>
          <w:bCs/>
          <w:spacing w:val="4"/>
          <w:sz w:val="24"/>
          <w:szCs w:val="24"/>
          <w:highlight w:val="none"/>
        </w:rPr>
        <w:t>安</w:t>
      </w:r>
      <w:r>
        <w:rPr>
          <w:rFonts w:ascii="宋体" w:hAnsi="宋体" w:cs="仿宋"/>
          <w:b/>
          <w:bCs/>
          <w:spacing w:val="12"/>
          <w:sz w:val="24"/>
          <w:szCs w:val="24"/>
          <w:highlight w:val="none"/>
        </w:rPr>
        <w:t>排专</w:t>
      </w:r>
      <w:r>
        <w:rPr>
          <w:rFonts w:ascii="宋体" w:hAnsi="宋体" w:cs="仿宋"/>
          <w:b/>
          <w:bCs/>
          <w:spacing w:val="9"/>
          <w:sz w:val="24"/>
          <w:szCs w:val="24"/>
          <w:highlight w:val="none"/>
        </w:rPr>
        <w:t>人</w:t>
      </w:r>
      <w:r>
        <w:rPr>
          <w:rFonts w:ascii="宋体" w:hAnsi="宋体" w:cs="仿宋"/>
          <w:b/>
          <w:bCs/>
          <w:spacing w:val="6"/>
          <w:sz w:val="24"/>
          <w:szCs w:val="24"/>
          <w:highlight w:val="none"/>
        </w:rPr>
        <w:t>负责联系(手机号码、短信、微信)，并确认产品需求量、加工要求(如</w:t>
      </w:r>
      <w:r>
        <w:rPr>
          <w:rFonts w:ascii="宋体" w:hAnsi="宋体" w:cs="仿宋"/>
          <w:b/>
          <w:bCs/>
          <w:spacing w:val="-1"/>
          <w:sz w:val="24"/>
          <w:szCs w:val="24"/>
          <w:highlight w:val="none"/>
        </w:rPr>
        <w:t>有)、配送时间及配送要求。</w:t>
      </w:r>
    </w:p>
    <w:p w14:paraId="6B77630C">
      <w:pPr>
        <w:spacing w:line="360" w:lineRule="auto"/>
        <w:ind w:left="0" w:leftChars="0" w:firstLine="564" w:firstLineChars="213"/>
        <w:rPr>
          <w:rFonts w:ascii="宋体" w:hAnsi="宋体" w:cs="仿宋"/>
          <w:b/>
          <w:bCs/>
          <w:spacing w:val="6"/>
          <w:sz w:val="24"/>
          <w:szCs w:val="24"/>
          <w:highlight w:val="none"/>
        </w:rPr>
      </w:pPr>
      <w:r>
        <w:rPr>
          <w:rFonts w:ascii="宋体" w:hAnsi="宋体" w:cs="仿宋"/>
          <w:b/>
          <w:bCs/>
          <w:spacing w:val="12"/>
          <w:sz w:val="24"/>
          <w:szCs w:val="24"/>
          <w:highlight w:val="none"/>
        </w:rPr>
        <w:t>⑤投标投标人</w:t>
      </w:r>
      <w:r>
        <w:rPr>
          <w:rFonts w:ascii="宋体" w:hAnsi="宋体" w:cs="仿宋"/>
          <w:b/>
          <w:bCs/>
          <w:spacing w:val="6"/>
          <w:sz w:val="24"/>
          <w:szCs w:val="24"/>
          <w:highlight w:val="none"/>
        </w:rPr>
        <w:t>具备各项应急措施，有明确应急联系人(手机号码、短信、微</w:t>
      </w:r>
      <w:r>
        <w:rPr>
          <w:rFonts w:ascii="宋体" w:hAnsi="宋体" w:cs="仿宋"/>
          <w:b/>
          <w:bCs/>
          <w:spacing w:val="12"/>
          <w:sz w:val="24"/>
          <w:szCs w:val="24"/>
          <w:highlight w:val="none"/>
        </w:rPr>
        <w:t>信)</w:t>
      </w:r>
      <w:r>
        <w:rPr>
          <w:rFonts w:ascii="宋体" w:hAnsi="宋体" w:cs="仿宋"/>
          <w:b/>
          <w:bCs/>
          <w:spacing w:val="10"/>
          <w:sz w:val="24"/>
          <w:szCs w:val="24"/>
          <w:highlight w:val="none"/>
        </w:rPr>
        <w:t>，</w:t>
      </w:r>
      <w:r>
        <w:rPr>
          <w:rFonts w:ascii="宋体" w:hAnsi="宋体" w:cs="仿宋"/>
          <w:b/>
          <w:bCs/>
          <w:spacing w:val="6"/>
          <w:sz w:val="24"/>
          <w:szCs w:val="24"/>
          <w:highlight w:val="none"/>
        </w:rPr>
        <w:t>保证在各种市场变化及遇突发事件下，能保证货品数量、质量并能及时满足食堂食品及原材料供应。</w:t>
      </w:r>
    </w:p>
    <w:p w14:paraId="14FAD1D1">
      <w:pPr>
        <w:spacing w:line="360" w:lineRule="auto"/>
        <w:ind w:left="0" w:leftChars="0" w:firstLine="539" w:firstLineChars="213"/>
        <w:rPr>
          <w:rFonts w:ascii="宋体" w:hAnsi="宋体" w:cs="仿宋"/>
          <w:b/>
          <w:bCs/>
          <w:spacing w:val="6"/>
          <w:sz w:val="24"/>
          <w:szCs w:val="24"/>
          <w:highlight w:val="none"/>
        </w:rPr>
      </w:pPr>
      <w:r>
        <w:rPr>
          <w:rFonts w:ascii="宋体" w:hAnsi="宋体" w:cs="仿宋"/>
          <w:b/>
          <w:bCs/>
          <w:spacing w:val="6"/>
          <w:sz w:val="24"/>
          <w:szCs w:val="24"/>
          <w:highlight w:val="none"/>
        </w:rPr>
        <w:t>(</w:t>
      </w:r>
      <w:r>
        <w:rPr>
          <w:rFonts w:hint="eastAsia" w:ascii="宋体" w:hAnsi="宋体" w:cs="仿宋"/>
          <w:b/>
          <w:bCs/>
          <w:spacing w:val="6"/>
          <w:sz w:val="24"/>
          <w:szCs w:val="24"/>
          <w:highlight w:val="none"/>
        </w:rPr>
        <w:t>4</w:t>
      </w:r>
      <w:r>
        <w:rPr>
          <w:rFonts w:ascii="宋体" w:hAnsi="宋体" w:cs="仿宋"/>
          <w:b/>
          <w:bCs/>
          <w:spacing w:val="6"/>
          <w:sz w:val="24"/>
          <w:szCs w:val="24"/>
          <w:highlight w:val="none"/>
        </w:rPr>
        <w:t>)其他配送要求</w:t>
      </w:r>
    </w:p>
    <w:p w14:paraId="1EDA8571">
      <w:pPr>
        <w:spacing w:line="360" w:lineRule="auto"/>
        <w:ind w:left="0" w:leftChars="0" w:firstLine="539" w:firstLineChars="213"/>
        <w:rPr>
          <w:rFonts w:ascii="宋体" w:hAnsi="宋体" w:cs="仿宋"/>
          <w:b/>
          <w:bCs/>
          <w:sz w:val="24"/>
          <w:szCs w:val="24"/>
          <w:highlight w:val="none"/>
        </w:rPr>
      </w:pPr>
      <w:r>
        <w:rPr>
          <w:rFonts w:ascii="宋体" w:hAnsi="宋体" w:cs="仿宋"/>
          <w:b/>
          <w:bCs/>
          <w:spacing w:val="6"/>
          <w:sz w:val="24"/>
          <w:szCs w:val="24"/>
          <w:highlight w:val="none"/>
        </w:rPr>
        <w:t>★①承诺</w:t>
      </w:r>
      <w:r>
        <w:rPr>
          <w:rFonts w:ascii="宋体" w:hAnsi="宋体" w:cs="仿宋"/>
          <w:b/>
          <w:bCs/>
          <w:spacing w:val="3"/>
          <w:sz w:val="24"/>
          <w:szCs w:val="24"/>
          <w:highlight w:val="none"/>
        </w:rPr>
        <w:t>应急配送要求应在30分钟内予以响应</w:t>
      </w:r>
      <w:r>
        <w:rPr>
          <w:rFonts w:hint="eastAsia" w:ascii="宋体" w:hAnsi="宋体" w:cs="仿宋"/>
          <w:b/>
          <w:bCs/>
          <w:spacing w:val="3"/>
          <w:sz w:val="24"/>
          <w:szCs w:val="24"/>
          <w:highlight w:val="none"/>
        </w:rPr>
        <w:t>,1小时</w:t>
      </w:r>
      <w:r>
        <w:rPr>
          <w:rFonts w:ascii="宋体" w:hAnsi="宋体" w:cs="仿宋"/>
          <w:b/>
          <w:bCs/>
          <w:spacing w:val="3"/>
          <w:sz w:val="24"/>
          <w:szCs w:val="24"/>
          <w:highlight w:val="none"/>
        </w:rPr>
        <w:t>送到。</w:t>
      </w:r>
      <w:r>
        <w:rPr>
          <w:rFonts w:ascii="宋体" w:hAnsi="宋体" w:cs="仿宋"/>
          <w:b/>
          <w:bCs/>
          <w:spacing w:val="3"/>
          <w:sz w:val="24"/>
          <w:szCs w:val="24"/>
          <w:highlight w:val="none"/>
          <w14:textOutline w14:w="4356" w14:cap="sq" w14:cmpd="sng" w14:algn="ctr">
            <w14:solidFill>
              <w14:srgbClr w14:val="000000"/>
            </w14:solidFill>
            <w14:prstDash w14:val="solid"/>
            <w14:bevel/>
          </w14:textOutline>
        </w:rPr>
        <w:t>(投标投标人提供</w:t>
      </w:r>
      <w:r>
        <w:rPr>
          <w:rFonts w:ascii="宋体" w:hAnsi="宋体" w:cs="仿宋"/>
          <w:b/>
          <w:bCs/>
          <w:spacing w:val="6"/>
          <w:sz w:val="24"/>
          <w:szCs w:val="24"/>
          <w:highlight w:val="none"/>
          <w14:textOutline w14:w="4356" w14:cap="sq" w14:cmpd="sng" w14:algn="ctr">
            <w14:solidFill>
              <w14:srgbClr w14:val="000000"/>
            </w14:solidFill>
            <w14:prstDash w14:val="solid"/>
            <w14:bevel/>
          </w14:textOutline>
        </w:rPr>
        <w:t>单独承诺函)</w:t>
      </w:r>
    </w:p>
    <w:p w14:paraId="56ABB43D">
      <w:pPr>
        <w:spacing w:line="360" w:lineRule="auto"/>
        <w:ind w:left="0" w:leftChars="0" w:firstLine="564" w:firstLineChars="213"/>
        <w:rPr>
          <w:rFonts w:ascii="宋体" w:hAnsi="宋体" w:cs="仿宋"/>
          <w:b/>
          <w:bCs/>
          <w:spacing w:val="6"/>
          <w:sz w:val="24"/>
          <w:szCs w:val="24"/>
          <w:highlight w:val="none"/>
          <w14:textOutline w14:w="4356" w14:cap="sq" w14:cmpd="sng" w14:algn="ctr">
            <w14:solidFill>
              <w14:srgbClr w14:val="000000"/>
            </w14:solidFill>
            <w14:prstDash w14:val="solid"/>
            <w14:bevel/>
          </w14:textOutline>
        </w:rPr>
      </w:pPr>
      <w:r>
        <w:rPr>
          <w:rFonts w:ascii="宋体" w:hAnsi="宋体" w:cs="仿宋"/>
          <w:b/>
          <w:bCs/>
          <w:spacing w:val="12"/>
          <w:sz w:val="24"/>
          <w:szCs w:val="24"/>
          <w:highlight w:val="none"/>
        </w:rPr>
        <w:t>★②以采</w:t>
      </w:r>
      <w:r>
        <w:rPr>
          <w:rFonts w:ascii="宋体" w:hAnsi="宋体" w:cs="仿宋"/>
          <w:b/>
          <w:bCs/>
          <w:spacing w:val="7"/>
          <w:sz w:val="24"/>
          <w:szCs w:val="24"/>
          <w:highlight w:val="none"/>
        </w:rPr>
        <w:t>购</w:t>
      </w:r>
      <w:r>
        <w:rPr>
          <w:rFonts w:ascii="宋体" w:hAnsi="宋体" w:cs="仿宋"/>
          <w:b/>
          <w:bCs/>
          <w:spacing w:val="6"/>
          <w:sz w:val="24"/>
          <w:szCs w:val="24"/>
          <w:highlight w:val="none"/>
        </w:rPr>
        <w:t>人实际需求及用量进行配送服务，并按采购人书面确认的实际用</w:t>
      </w:r>
      <w:r>
        <w:rPr>
          <w:rFonts w:ascii="宋体" w:hAnsi="宋体" w:cs="仿宋"/>
          <w:b/>
          <w:bCs/>
          <w:spacing w:val="9"/>
          <w:sz w:val="24"/>
          <w:szCs w:val="24"/>
          <w:highlight w:val="none"/>
        </w:rPr>
        <w:t>量进行结算。</w:t>
      </w:r>
      <w:r>
        <w:rPr>
          <w:rFonts w:ascii="宋体" w:hAnsi="宋体" w:cs="仿宋"/>
          <w:b/>
          <w:bCs/>
          <w:spacing w:val="9"/>
          <w:sz w:val="24"/>
          <w:szCs w:val="24"/>
          <w:highlight w:val="none"/>
          <w14:textOutline w14:w="4356" w14:cap="sq" w14:cmpd="sng" w14:algn="ctr">
            <w14:solidFill>
              <w14:srgbClr w14:val="000000"/>
            </w14:solidFill>
            <w14:prstDash w14:val="solid"/>
            <w14:bevel/>
          </w14:textOutline>
        </w:rPr>
        <w:t>(投标投标人提供单独承诺函</w:t>
      </w:r>
      <w:r>
        <w:rPr>
          <w:rFonts w:ascii="宋体" w:hAnsi="宋体" w:cs="仿宋"/>
          <w:b/>
          <w:bCs/>
          <w:spacing w:val="6"/>
          <w:sz w:val="24"/>
          <w:szCs w:val="24"/>
          <w:highlight w:val="none"/>
          <w14:textOutline w14:w="4356" w14:cap="sq" w14:cmpd="sng" w14:algn="ctr">
            <w14:solidFill>
              <w14:srgbClr w14:val="000000"/>
            </w14:solidFill>
            <w14:prstDash w14:val="solid"/>
            <w14:bevel/>
          </w14:textOutline>
        </w:rPr>
        <w:t>)</w:t>
      </w:r>
    </w:p>
    <w:p w14:paraId="40FE7E13">
      <w:pPr>
        <w:spacing w:line="360" w:lineRule="auto"/>
        <w:ind w:left="0" w:leftChars="0" w:firstLine="539" w:firstLineChars="213"/>
        <w:rPr>
          <w:rFonts w:ascii="宋体" w:hAnsi="宋体" w:cs="仿宋"/>
          <w:b/>
          <w:bCs/>
          <w:spacing w:val="6"/>
          <w:sz w:val="24"/>
          <w:szCs w:val="24"/>
          <w:highlight w:val="none"/>
          <w14:textOutline w14:w="4356" w14:cap="sq" w14:cmpd="sng" w14:algn="ctr">
            <w14:solidFill>
              <w14:srgbClr w14:val="000000"/>
            </w14:solidFill>
            <w14:prstDash w14:val="solid"/>
            <w14:bevel/>
          </w14:textOutline>
        </w:rPr>
      </w:pPr>
      <w:r>
        <w:rPr>
          <w:rFonts w:hint="eastAsia" w:ascii="宋体" w:hAnsi="宋体" w:cs="仿宋"/>
          <w:b/>
          <w:bCs/>
          <w:spacing w:val="6"/>
          <w:sz w:val="24"/>
          <w:szCs w:val="24"/>
          <w:highlight w:val="none"/>
        </w:rPr>
        <w:t>③应对社会突发情况，如疫情或其他不可控因素</w:t>
      </w:r>
      <w:r>
        <w:rPr>
          <w:rFonts w:ascii="宋体" w:hAnsi="宋体" w:cs="仿宋"/>
          <w:b/>
          <w:bCs/>
          <w:spacing w:val="6"/>
          <w:sz w:val="24"/>
          <w:szCs w:val="24"/>
          <w:highlight w:val="none"/>
        </w:rPr>
        <w:t>能保证货品数量、质量并能及时满</w:t>
      </w:r>
      <w:r>
        <w:rPr>
          <w:rFonts w:ascii="宋体" w:hAnsi="宋体" w:cs="仿宋"/>
          <w:b/>
          <w:bCs/>
          <w:spacing w:val="8"/>
          <w:sz w:val="24"/>
          <w:szCs w:val="24"/>
          <w:highlight w:val="none"/>
        </w:rPr>
        <w:t>足食堂食品及原材料供应</w:t>
      </w:r>
      <w:r>
        <w:rPr>
          <w:rFonts w:ascii="宋体" w:hAnsi="宋体" w:cs="仿宋"/>
          <w:b/>
          <w:bCs/>
          <w:spacing w:val="6"/>
          <w:sz w:val="24"/>
          <w:szCs w:val="24"/>
          <w:highlight w:val="none"/>
        </w:rPr>
        <w:t>。</w:t>
      </w:r>
      <w:r>
        <w:rPr>
          <w:rFonts w:ascii="宋体" w:hAnsi="宋体" w:cs="仿宋"/>
          <w:b/>
          <w:bCs/>
          <w:spacing w:val="9"/>
          <w:sz w:val="24"/>
          <w:szCs w:val="24"/>
          <w:highlight w:val="none"/>
          <w14:textOutline w14:w="4356" w14:cap="sq" w14:cmpd="sng" w14:algn="ctr">
            <w14:solidFill>
              <w14:srgbClr w14:val="000000"/>
            </w14:solidFill>
            <w14:prstDash w14:val="solid"/>
            <w14:bevel/>
          </w14:textOutline>
        </w:rPr>
        <w:t>(投标投标人提供单独承诺函</w:t>
      </w:r>
      <w:r>
        <w:rPr>
          <w:rFonts w:ascii="宋体" w:hAnsi="宋体" w:cs="仿宋"/>
          <w:b/>
          <w:bCs/>
          <w:spacing w:val="6"/>
          <w:sz w:val="24"/>
          <w:szCs w:val="24"/>
          <w:highlight w:val="none"/>
          <w14:textOutline w14:w="4356" w14:cap="sq" w14:cmpd="sng" w14:algn="ctr">
            <w14:solidFill>
              <w14:srgbClr w14:val="000000"/>
            </w14:solidFill>
            <w14:prstDash w14:val="solid"/>
            <w14:bevel/>
          </w14:textOutline>
        </w:rPr>
        <w:t>)</w:t>
      </w:r>
    </w:p>
    <w:p w14:paraId="5962A152">
      <w:pPr>
        <w:spacing w:line="360" w:lineRule="auto"/>
        <w:ind w:left="0" w:leftChars="0" w:firstLine="556" w:firstLineChars="213"/>
        <w:rPr>
          <w:rFonts w:ascii="宋体" w:hAnsi="宋体" w:cs="仿宋"/>
          <w:b/>
          <w:bCs/>
          <w:spacing w:val="10"/>
          <w:sz w:val="24"/>
          <w:szCs w:val="24"/>
          <w:highlight w:val="none"/>
        </w:rPr>
      </w:pPr>
      <w:r>
        <w:rPr>
          <w:rFonts w:ascii="宋体" w:hAnsi="宋体" w:cs="仿宋"/>
          <w:b/>
          <w:bCs/>
          <w:spacing w:val="10"/>
          <w:sz w:val="24"/>
          <w:szCs w:val="24"/>
          <w:highlight w:val="none"/>
        </w:rPr>
        <w:t>5、售后服务要求</w:t>
      </w:r>
    </w:p>
    <w:p w14:paraId="03E1878B">
      <w:pPr>
        <w:spacing w:line="360" w:lineRule="auto"/>
        <w:ind w:left="0" w:leftChars="0" w:firstLine="536" w:firstLineChars="213"/>
        <w:rPr>
          <w:rFonts w:ascii="宋体" w:hAnsi="宋体" w:cs="仿宋"/>
          <w:spacing w:val="6"/>
          <w:sz w:val="24"/>
          <w:szCs w:val="24"/>
          <w:highlight w:val="none"/>
        </w:rPr>
      </w:pPr>
      <w:r>
        <w:rPr>
          <w:rFonts w:ascii="宋体" w:hAnsi="宋体" w:cs="仿宋"/>
          <w:spacing w:val="6"/>
          <w:sz w:val="24"/>
          <w:szCs w:val="24"/>
          <w:highlight w:val="none"/>
        </w:rPr>
        <w:t>(1)提供售后服务呼叫电话和响应时间</w:t>
      </w:r>
    </w:p>
    <w:p w14:paraId="2F4EC960">
      <w:pPr>
        <w:spacing w:line="360" w:lineRule="auto"/>
        <w:ind w:left="0" w:leftChars="0" w:firstLine="536" w:firstLineChars="213"/>
        <w:rPr>
          <w:rFonts w:ascii="宋体" w:hAnsi="宋体" w:cs="仿宋"/>
          <w:spacing w:val="6"/>
          <w:sz w:val="24"/>
          <w:szCs w:val="24"/>
          <w:highlight w:val="none"/>
        </w:rPr>
      </w:pPr>
      <w:r>
        <w:rPr>
          <w:rFonts w:ascii="宋体" w:hAnsi="宋体" w:cs="仿宋"/>
          <w:spacing w:val="6"/>
          <w:sz w:val="24"/>
          <w:szCs w:val="24"/>
          <w:highlight w:val="none"/>
        </w:rPr>
        <w:t>①设置专人专线，且保持电话24小时畅通，有人接听；</w:t>
      </w:r>
    </w:p>
    <w:p w14:paraId="67E871D5">
      <w:pPr>
        <w:spacing w:line="360" w:lineRule="auto"/>
        <w:ind w:left="0" w:leftChars="0" w:firstLine="536" w:firstLineChars="213"/>
        <w:rPr>
          <w:rFonts w:ascii="宋体" w:hAnsi="宋体" w:cs="仿宋"/>
          <w:spacing w:val="6"/>
          <w:sz w:val="24"/>
          <w:szCs w:val="24"/>
          <w:highlight w:val="none"/>
        </w:rPr>
      </w:pPr>
      <w:r>
        <w:rPr>
          <w:rFonts w:ascii="宋体" w:hAnsi="宋体" w:cs="仿宋"/>
          <w:spacing w:val="6"/>
          <w:sz w:val="24"/>
          <w:szCs w:val="24"/>
          <w:highlight w:val="none"/>
        </w:rPr>
        <w:t>②当遇突发情况时，需在30分钟内做出响应并提出解决方案；</w:t>
      </w:r>
    </w:p>
    <w:p w14:paraId="7B2CCBDA">
      <w:pPr>
        <w:spacing w:line="360" w:lineRule="auto"/>
        <w:ind w:left="0" w:leftChars="0" w:firstLine="536" w:firstLineChars="213"/>
        <w:rPr>
          <w:rFonts w:ascii="宋体" w:hAnsi="宋体" w:cs="仿宋"/>
          <w:spacing w:val="6"/>
          <w:sz w:val="24"/>
          <w:szCs w:val="24"/>
          <w:highlight w:val="none"/>
        </w:rPr>
      </w:pPr>
      <w:r>
        <w:rPr>
          <w:rFonts w:ascii="宋体" w:hAnsi="宋体" w:cs="仿宋"/>
          <w:spacing w:val="6"/>
          <w:sz w:val="24"/>
          <w:szCs w:val="24"/>
          <w:highlight w:val="none"/>
        </w:rPr>
        <w:t>③若遇重大事故，应立即安排人员到现场配合调查工作，并做好事后总结；</w:t>
      </w:r>
    </w:p>
    <w:p w14:paraId="44C78D51">
      <w:pPr>
        <w:spacing w:line="360" w:lineRule="auto"/>
        <w:ind w:left="0" w:leftChars="0" w:firstLine="536" w:firstLineChars="213"/>
        <w:rPr>
          <w:rFonts w:ascii="宋体" w:hAnsi="宋体" w:cs="仿宋"/>
          <w:spacing w:val="6"/>
          <w:sz w:val="24"/>
          <w:szCs w:val="24"/>
          <w:highlight w:val="none"/>
        </w:rPr>
      </w:pPr>
      <w:r>
        <w:rPr>
          <w:rFonts w:ascii="宋体" w:hAnsi="宋体" w:cs="仿宋"/>
          <w:spacing w:val="6"/>
          <w:sz w:val="24"/>
          <w:szCs w:val="24"/>
          <w:highlight w:val="none"/>
        </w:rPr>
        <w:t>(2)现场服务支持能力</w:t>
      </w:r>
    </w:p>
    <w:p w14:paraId="2737603D">
      <w:pPr>
        <w:spacing w:line="360" w:lineRule="auto"/>
        <w:ind w:left="0" w:leftChars="0" w:firstLine="536" w:firstLineChars="213"/>
        <w:rPr>
          <w:rFonts w:ascii="宋体" w:hAnsi="宋体" w:cs="仿宋"/>
          <w:spacing w:val="6"/>
          <w:sz w:val="24"/>
          <w:szCs w:val="24"/>
          <w:highlight w:val="none"/>
        </w:rPr>
      </w:pPr>
      <w:r>
        <w:rPr>
          <w:rFonts w:ascii="宋体" w:hAnsi="宋体" w:cs="仿宋"/>
          <w:spacing w:val="6"/>
          <w:sz w:val="24"/>
          <w:szCs w:val="24"/>
          <w:highlight w:val="none"/>
        </w:rPr>
        <w:t>①如遇突发情况，需紧急加送时；</w:t>
      </w:r>
    </w:p>
    <w:p w14:paraId="1BE35D40">
      <w:pPr>
        <w:spacing w:line="360" w:lineRule="auto"/>
        <w:ind w:left="0" w:leftChars="0" w:firstLine="536" w:firstLineChars="213"/>
        <w:rPr>
          <w:rFonts w:ascii="宋体" w:hAnsi="宋体" w:cs="仿宋"/>
          <w:spacing w:val="6"/>
          <w:sz w:val="24"/>
          <w:szCs w:val="24"/>
          <w:highlight w:val="none"/>
        </w:rPr>
      </w:pPr>
      <w:r>
        <w:rPr>
          <w:rFonts w:ascii="宋体" w:hAnsi="宋体" w:cs="仿宋"/>
          <w:spacing w:val="6"/>
          <w:sz w:val="24"/>
          <w:szCs w:val="24"/>
          <w:highlight w:val="none"/>
        </w:rPr>
        <w:t>②遇重大</w:t>
      </w:r>
      <w:r>
        <w:rPr>
          <w:rFonts w:hint="eastAsia" w:ascii="宋体" w:hAnsi="宋体" w:cs="仿宋"/>
          <w:spacing w:val="6"/>
          <w:sz w:val="24"/>
          <w:szCs w:val="24"/>
          <w:highlight w:val="none"/>
        </w:rPr>
        <w:t>公务</w:t>
      </w:r>
      <w:r>
        <w:rPr>
          <w:rFonts w:ascii="宋体" w:hAnsi="宋体" w:cs="仿宋"/>
          <w:spacing w:val="6"/>
          <w:sz w:val="24"/>
          <w:szCs w:val="24"/>
          <w:highlight w:val="none"/>
        </w:rPr>
        <w:t>接待，中标人需保持有工作人员在现场，随时做好服务支持；</w:t>
      </w:r>
    </w:p>
    <w:p w14:paraId="0325824C">
      <w:pPr>
        <w:spacing w:line="360" w:lineRule="auto"/>
        <w:ind w:left="0" w:leftChars="0" w:firstLine="536" w:firstLineChars="213"/>
        <w:rPr>
          <w:rFonts w:ascii="宋体" w:hAnsi="宋体" w:cs="仿宋"/>
          <w:spacing w:val="6"/>
          <w:sz w:val="24"/>
          <w:szCs w:val="24"/>
          <w:highlight w:val="none"/>
        </w:rPr>
      </w:pPr>
      <w:r>
        <w:rPr>
          <w:rFonts w:ascii="宋体" w:hAnsi="宋体" w:cs="仿宋"/>
          <w:spacing w:val="6"/>
          <w:sz w:val="24"/>
          <w:szCs w:val="24"/>
          <w:highlight w:val="none"/>
        </w:rPr>
        <w:t>③不定期对甲方干部职工进行新鲜健康食材选取的宣传科普；</w:t>
      </w:r>
    </w:p>
    <w:p w14:paraId="7E4A85DA">
      <w:pPr>
        <w:spacing w:line="360" w:lineRule="auto"/>
        <w:ind w:left="0" w:leftChars="0" w:firstLine="536" w:firstLineChars="213"/>
        <w:rPr>
          <w:rFonts w:ascii="宋体" w:hAnsi="宋体" w:cs="仿宋"/>
          <w:spacing w:val="6"/>
          <w:sz w:val="24"/>
          <w:szCs w:val="24"/>
          <w:highlight w:val="none"/>
        </w:rPr>
      </w:pPr>
      <w:r>
        <w:rPr>
          <w:rFonts w:ascii="宋体" w:hAnsi="宋体" w:cs="仿宋"/>
          <w:spacing w:val="6"/>
          <w:sz w:val="24"/>
          <w:szCs w:val="24"/>
          <w:highlight w:val="none"/>
        </w:rPr>
        <w:t>④配合采购人验货，紧急情况下帮助采购人进行食材初加工；</w:t>
      </w:r>
    </w:p>
    <w:p w14:paraId="45876EF2">
      <w:pPr>
        <w:spacing w:line="360" w:lineRule="auto"/>
        <w:ind w:left="0" w:leftChars="0" w:firstLine="536" w:firstLineChars="213"/>
        <w:rPr>
          <w:rFonts w:ascii="宋体" w:hAnsi="宋体" w:cs="仿宋"/>
          <w:spacing w:val="6"/>
          <w:sz w:val="24"/>
          <w:szCs w:val="24"/>
          <w:highlight w:val="none"/>
        </w:rPr>
      </w:pPr>
      <w:r>
        <w:rPr>
          <w:rFonts w:ascii="宋体" w:hAnsi="宋体" w:cs="仿宋"/>
          <w:spacing w:val="6"/>
          <w:sz w:val="24"/>
          <w:szCs w:val="24"/>
          <w:highlight w:val="none"/>
        </w:rPr>
        <w:t>(3)售后巡检及质保服务</w:t>
      </w:r>
    </w:p>
    <w:p w14:paraId="4482D88C">
      <w:pPr>
        <w:spacing w:line="360" w:lineRule="auto"/>
        <w:ind w:left="0" w:leftChars="0" w:firstLine="536" w:firstLineChars="213"/>
        <w:rPr>
          <w:rFonts w:ascii="宋体" w:hAnsi="宋体" w:cs="仿宋"/>
          <w:spacing w:val="6"/>
          <w:sz w:val="24"/>
          <w:szCs w:val="24"/>
          <w:highlight w:val="none"/>
        </w:rPr>
      </w:pPr>
      <w:r>
        <w:rPr>
          <w:rFonts w:ascii="宋体" w:hAnsi="宋体" w:cs="仿宋"/>
          <w:spacing w:val="6"/>
          <w:sz w:val="24"/>
          <w:szCs w:val="24"/>
          <w:highlight w:val="none"/>
        </w:rPr>
        <w:t>①中标人对食材质量负全责，若出现食材残损无法食用或规格不一，如水果大小规格不一，相差较大的，应及时更换，否则采购人拒收或不支付该次货款；</w:t>
      </w:r>
    </w:p>
    <w:p w14:paraId="503AD2B0">
      <w:pPr>
        <w:spacing w:line="360" w:lineRule="auto"/>
        <w:ind w:left="0" w:leftChars="0" w:firstLine="536" w:firstLineChars="213"/>
        <w:rPr>
          <w:rFonts w:ascii="宋体" w:hAnsi="宋体" w:cs="仿宋"/>
          <w:spacing w:val="6"/>
          <w:sz w:val="24"/>
          <w:szCs w:val="24"/>
          <w:highlight w:val="none"/>
        </w:rPr>
      </w:pPr>
      <w:r>
        <w:rPr>
          <w:rFonts w:ascii="宋体" w:hAnsi="宋体" w:cs="仿宋"/>
          <w:spacing w:val="6"/>
          <w:sz w:val="24"/>
          <w:szCs w:val="24"/>
          <w:highlight w:val="none"/>
        </w:rPr>
        <w:t>②定期对配送工作进行总结，对配送中出现的问题进行整改；</w:t>
      </w:r>
    </w:p>
    <w:p w14:paraId="481DE6B7">
      <w:pPr>
        <w:spacing w:line="360" w:lineRule="auto"/>
        <w:ind w:left="0" w:leftChars="0" w:firstLine="536" w:firstLineChars="213"/>
        <w:rPr>
          <w:rFonts w:ascii="宋体" w:hAnsi="宋体" w:cs="仿宋"/>
          <w:spacing w:val="6"/>
          <w:sz w:val="24"/>
          <w:szCs w:val="24"/>
          <w:highlight w:val="none"/>
        </w:rPr>
      </w:pPr>
      <w:r>
        <w:rPr>
          <w:rFonts w:ascii="宋体" w:hAnsi="宋体" w:cs="仿宋"/>
          <w:spacing w:val="6"/>
          <w:sz w:val="24"/>
          <w:szCs w:val="24"/>
          <w:highlight w:val="none"/>
        </w:rPr>
        <w:t>③加强交流沟通，及时反馈相关信息，对发现的问题及时整改</w:t>
      </w:r>
      <w:r>
        <w:rPr>
          <w:rFonts w:hint="eastAsia" w:ascii="宋体" w:hAnsi="宋体" w:cs="仿宋"/>
          <w:spacing w:val="6"/>
          <w:sz w:val="24"/>
          <w:szCs w:val="24"/>
          <w:highlight w:val="none"/>
        </w:rPr>
        <w:t>，</w:t>
      </w:r>
      <w:r>
        <w:rPr>
          <w:rFonts w:ascii="宋体" w:hAnsi="宋体" w:cs="仿宋"/>
          <w:spacing w:val="6"/>
          <w:sz w:val="24"/>
          <w:szCs w:val="24"/>
          <w:highlight w:val="none"/>
        </w:rPr>
        <w:t>主动向采购人了解当日食材质量，做好后期调整完善；</w:t>
      </w:r>
    </w:p>
    <w:p w14:paraId="58232CD1">
      <w:pPr>
        <w:widowControl/>
        <w:numPr>
          <w:ilvl w:val="0"/>
          <w:numId w:val="10"/>
        </w:numPr>
        <w:kinsoku w:val="0"/>
        <w:autoSpaceDE w:val="0"/>
        <w:autoSpaceDN w:val="0"/>
        <w:adjustRightInd w:val="0"/>
        <w:snapToGrid w:val="0"/>
        <w:spacing w:line="360" w:lineRule="auto"/>
        <w:ind w:left="0" w:leftChars="0" w:firstLine="556" w:firstLineChars="213"/>
        <w:jc w:val="left"/>
        <w:textAlignment w:val="baseline"/>
        <w:rPr>
          <w:rFonts w:ascii="宋体" w:hAnsi="宋体" w:cs="仿宋"/>
          <w:b/>
          <w:bCs/>
          <w:spacing w:val="10"/>
          <w:sz w:val="24"/>
          <w:szCs w:val="24"/>
          <w:highlight w:val="none"/>
        </w:rPr>
      </w:pPr>
      <w:r>
        <w:rPr>
          <w:rFonts w:ascii="宋体" w:hAnsi="宋体" w:cs="仿宋"/>
          <w:b/>
          <w:bCs/>
          <w:spacing w:val="10"/>
          <w:sz w:val="24"/>
          <w:szCs w:val="24"/>
          <w:highlight w:val="none"/>
        </w:rPr>
        <w:t>投标投标人须执行如下制度</w:t>
      </w:r>
    </w:p>
    <w:p w14:paraId="46C95267">
      <w:pPr>
        <w:spacing w:line="360" w:lineRule="auto"/>
        <w:ind w:left="0" w:leftChars="0" w:firstLine="536" w:firstLineChars="213"/>
        <w:rPr>
          <w:rFonts w:ascii="宋体" w:hAnsi="宋体" w:cs="仿宋"/>
          <w:spacing w:val="6"/>
          <w:sz w:val="24"/>
          <w:szCs w:val="24"/>
          <w:highlight w:val="none"/>
        </w:rPr>
      </w:pPr>
      <w:r>
        <w:rPr>
          <w:rFonts w:ascii="宋体" w:hAnsi="宋体" w:cs="仿宋"/>
          <w:spacing w:val="6"/>
          <w:sz w:val="24"/>
          <w:szCs w:val="24"/>
          <w:highlight w:val="none"/>
        </w:rPr>
        <w:t>(1)配送人员应该严格按照</w:t>
      </w:r>
      <w:r>
        <w:rPr>
          <w:rFonts w:hint="eastAsia" w:ascii="宋体" w:hAnsi="宋体" w:cs="仿宋"/>
          <w:spacing w:val="6"/>
          <w:sz w:val="24"/>
          <w:szCs w:val="24"/>
          <w:highlight w:val="none"/>
        </w:rPr>
        <w:t>总队机关饮食保障中心</w:t>
      </w:r>
      <w:r>
        <w:rPr>
          <w:rFonts w:ascii="宋体" w:hAnsi="宋体" w:cs="仿宋"/>
          <w:spacing w:val="6"/>
          <w:sz w:val="24"/>
          <w:szCs w:val="24"/>
          <w:highlight w:val="none"/>
        </w:rPr>
        <w:t>要求的时间提前赶到各点位，不得迟到。应按要求提前清点货物和检查货品的质量。严禁腐烂变质的生鲜货物；</w:t>
      </w:r>
    </w:p>
    <w:p w14:paraId="29290895">
      <w:pPr>
        <w:spacing w:line="360" w:lineRule="auto"/>
        <w:ind w:left="0" w:leftChars="0" w:firstLine="536" w:firstLineChars="213"/>
        <w:rPr>
          <w:rFonts w:ascii="宋体" w:hAnsi="宋体" w:cs="仿宋"/>
          <w:spacing w:val="6"/>
          <w:sz w:val="24"/>
          <w:szCs w:val="24"/>
          <w:highlight w:val="none"/>
        </w:rPr>
      </w:pPr>
      <w:r>
        <w:rPr>
          <w:rFonts w:ascii="宋体" w:hAnsi="宋体" w:cs="仿宋"/>
          <w:spacing w:val="6"/>
          <w:sz w:val="24"/>
          <w:szCs w:val="24"/>
          <w:highlight w:val="none"/>
        </w:rPr>
        <w:t>(2)配送人员应该保证已到达单位货物的安全性和完整性，不能让货物受到损失和丢失，如有损失照价赔偿。在月度食材配送综合测评表中扣除相应分数；</w:t>
      </w:r>
    </w:p>
    <w:p w14:paraId="33F2F45E">
      <w:pPr>
        <w:spacing w:line="360" w:lineRule="auto"/>
        <w:ind w:left="0" w:leftChars="0" w:firstLine="536" w:firstLineChars="213"/>
        <w:rPr>
          <w:rFonts w:ascii="宋体" w:hAnsi="宋体" w:cs="仿宋"/>
          <w:spacing w:val="6"/>
          <w:sz w:val="24"/>
          <w:szCs w:val="24"/>
          <w:highlight w:val="none"/>
        </w:rPr>
      </w:pPr>
      <w:r>
        <w:rPr>
          <w:rFonts w:ascii="宋体" w:hAnsi="宋体" w:cs="仿宋"/>
          <w:spacing w:val="6"/>
          <w:sz w:val="24"/>
          <w:szCs w:val="24"/>
          <w:highlight w:val="none"/>
        </w:rPr>
        <w:t>(3)配送人员应文明配送，不得作出破坏食材的行为；</w:t>
      </w:r>
    </w:p>
    <w:p w14:paraId="6EA41F8D">
      <w:pPr>
        <w:spacing w:line="360" w:lineRule="auto"/>
        <w:ind w:left="0" w:leftChars="0" w:firstLine="536" w:firstLineChars="213"/>
        <w:rPr>
          <w:rFonts w:ascii="宋体" w:hAnsi="宋体" w:cs="仿宋"/>
          <w:spacing w:val="6"/>
          <w:sz w:val="24"/>
          <w:szCs w:val="24"/>
          <w:highlight w:val="none"/>
        </w:rPr>
      </w:pPr>
      <w:r>
        <w:rPr>
          <w:rFonts w:ascii="宋体" w:hAnsi="宋体" w:cs="仿宋"/>
          <w:spacing w:val="6"/>
          <w:sz w:val="24"/>
          <w:szCs w:val="24"/>
          <w:highlight w:val="none"/>
        </w:rPr>
        <w:t>(4)配送的蔬菜肉类需具有追踪溯源标识或记录记载，并可实现追踪溯源，配送的食品全部都要有相应的防尘、防污染措施，避免外露；</w:t>
      </w:r>
    </w:p>
    <w:p w14:paraId="04E5C779">
      <w:pPr>
        <w:spacing w:line="360" w:lineRule="auto"/>
        <w:ind w:left="0" w:leftChars="0" w:firstLine="536" w:firstLineChars="213"/>
        <w:rPr>
          <w:rFonts w:ascii="宋体" w:hAnsi="宋体" w:cs="仿宋"/>
          <w:spacing w:val="6"/>
          <w:sz w:val="24"/>
          <w:szCs w:val="24"/>
          <w:highlight w:val="none"/>
        </w:rPr>
      </w:pPr>
      <w:r>
        <w:rPr>
          <w:rFonts w:ascii="宋体" w:hAnsi="宋体" w:cs="仿宋"/>
          <w:spacing w:val="6"/>
          <w:sz w:val="24"/>
          <w:szCs w:val="24"/>
          <w:highlight w:val="none"/>
        </w:rPr>
        <w:t>(5)配送车辆应符合相关卫生要求，做到每日清洗、消毒并做好消毒记录，严格配送时的卫生要求，车上食品不混装、不挤压；</w:t>
      </w:r>
    </w:p>
    <w:p w14:paraId="18AE897E">
      <w:pPr>
        <w:spacing w:line="360" w:lineRule="auto"/>
        <w:ind w:left="0" w:leftChars="0" w:firstLine="536" w:firstLineChars="213"/>
        <w:rPr>
          <w:rFonts w:ascii="宋体" w:hAnsi="宋体" w:cs="仿宋"/>
          <w:spacing w:val="6"/>
          <w:sz w:val="24"/>
          <w:szCs w:val="24"/>
          <w:highlight w:val="none"/>
        </w:rPr>
      </w:pPr>
      <w:r>
        <w:rPr>
          <w:rFonts w:ascii="宋体" w:hAnsi="宋体" w:cs="仿宋"/>
          <w:spacing w:val="6"/>
          <w:sz w:val="24"/>
          <w:szCs w:val="24"/>
          <w:highlight w:val="none"/>
        </w:rPr>
        <w:t>(6)配送时严格清查配送物品的品种、数量等应与订餐明细相符。</w:t>
      </w:r>
    </w:p>
    <w:p w14:paraId="10DCE039">
      <w:pPr>
        <w:spacing w:line="360" w:lineRule="auto"/>
        <w:ind w:left="0" w:leftChars="0" w:firstLine="536" w:firstLineChars="213"/>
        <w:rPr>
          <w:rFonts w:ascii="宋体" w:hAnsi="宋体" w:cs="仿宋"/>
          <w:spacing w:val="6"/>
          <w:sz w:val="24"/>
          <w:szCs w:val="24"/>
          <w:highlight w:val="none"/>
        </w:rPr>
      </w:pPr>
      <w:r>
        <w:rPr>
          <w:rFonts w:ascii="宋体" w:hAnsi="宋体" w:cs="仿宋"/>
          <w:spacing w:val="6"/>
          <w:sz w:val="24"/>
          <w:szCs w:val="24"/>
          <w:highlight w:val="none"/>
        </w:rPr>
        <w:t>(7)该项目配送负责人要对其所负责点位全权负责处理日常事务。</w:t>
      </w:r>
    </w:p>
    <w:p w14:paraId="6D5E8AF0">
      <w:pPr>
        <w:spacing w:line="360" w:lineRule="auto"/>
        <w:ind w:left="0" w:leftChars="0" w:firstLine="556" w:firstLineChars="213"/>
        <w:rPr>
          <w:rFonts w:ascii="宋体" w:hAnsi="宋体" w:cs="仿宋"/>
          <w:b/>
          <w:bCs/>
          <w:spacing w:val="10"/>
          <w:sz w:val="24"/>
          <w:szCs w:val="24"/>
          <w:highlight w:val="none"/>
        </w:rPr>
      </w:pPr>
      <w:r>
        <w:rPr>
          <w:rFonts w:hint="eastAsia" w:ascii="宋体" w:hAnsi="宋体" w:cs="仿宋"/>
          <w:b/>
          <w:bCs/>
          <w:spacing w:val="10"/>
          <w:sz w:val="24"/>
          <w:szCs w:val="24"/>
          <w:highlight w:val="none"/>
        </w:rPr>
        <w:t>7</w:t>
      </w:r>
      <w:r>
        <w:rPr>
          <w:rFonts w:ascii="宋体" w:hAnsi="宋体" w:cs="仿宋"/>
          <w:b/>
          <w:bCs/>
          <w:spacing w:val="10"/>
          <w:sz w:val="24"/>
          <w:szCs w:val="24"/>
          <w:highlight w:val="none"/>
        </w:rPr>
        <w:t>、责任追究制度</w:t>
      </w:r>
    </w:p>
    <w:p w14:paraId="154DAFE2">
      <w:pPr>
        <w:spacing w:line="360" w:lineRule="auto"/>
        <w:ind w:left="0" w:leftChars="0" w:firstLine="573" w:firstLineChars="213"/>
        <w:rPr>
          <w:rFonts w:ascii="宋体" w:hAnsi="宋体" w:cs="仿宋"/>
          <w:spacing w:val="14"/>
          <w:sz w:val="24"/>
          <w:szCs w:val="24"/>
          <w:highlight w:val="none"/>
        </w:rPr>
      </w:pPr>
      <w:r>
        <w:rPr>
          <w:rFonts w:ascii="宋体" w:hAnsi="宋体" w:cs="仿宋"/>
          <w:b/>
          <w:bCs/>
          <w:spacing w:val="14"/>
          <w:sz w:val="24"/>
          <w:szCs w:val="24"/>
          <w:highlight w:val="none"/>
        </w:rPr>
        <w:t>采购人将定期或不定期地对</w:t>
      </w:r>
      <w:r>
        <w:rPr>
          <w:rFonts w:hint="eastAsia" w:ascii="宋体" w:hAnsi="宋体" w:cs="仿宋"/>
          <w:b/>
          <w:bCs/>
          <w:spacing w:val="14"/>
          <w:sz w:val="24"/>
          <w:szCs w:val="24"/>
          <w:highlight w:val="none"/>
        </w:rPr>
        <w:t>服务</w:t>
      </w:r>
      <w:r>
        <w:rPr>
          <w:rFonts w:ascii="宋体" w:hAnsi="宋体" w:cs="仿宋"/>
          <w:b/>
          <w:bCs/>
          <w:spacing w:val="14"/>
          <w:sz w:val="24"/>
          <w:szCs w:val="24"/>
          <w:highlight w:val="none"/>
        </w:rPr>
        <w:t>进行督查。对投标投标人提供不合格产品或不按要求配送</w:t>
      </w:r>
      <w:r>
        <w:rPr>
          <w:rFonts w:hint="eastAsia" w:ascii="宋体" w:hAnsi="宋体" w:cs="仿宋"/>
          <w:b/>
          <w:bCs/>
          <w:spacing w:val="14"/>
          <w:sz w:val="24"/>
          <w:szCs w:val="24"/>
          <w:highlight w:val="none"/>
          <w:lang w:eastAsia="zh-CN"/>
        </w:rPr>
        <w:t>，</w:t>
      </w:r>
      <w:r>
        <w:rPr>
          <w:rFonts w:ascii="宋体" w:hAnsi="宋体" w:cs="仿宋"/>
          <w:b/>
          <w:bCs/>
          <w:spacing w:val="14"/>
          <w:sz w:val="24"/>
          <w:szCs w:val="24"/>
          <w:highlight w:val="none"/>
        </w:rPr>
        <w:t>影响正常就餐的，</w:t>
      </w:r>
      <w:r>
        <w:rPr>
          <w:rFonts w:hint="eastAsia" w:ascii="宋体" w:hAnsi="宋体" w:cs="仿宋"/>
          <w:b/>
          <w:bCs/>
          <w:spacing w:val="14"/>
          <w:sz w:val="24"/>
          <w:szCs w:val="24"/>
          <w:highlight w:val="none"/>
          <w:lang w:val="en-US" w:eastAsia="zh-CN"/>
        </w:rPr>
        <w:t>所供主副食品未能按合同约定的下浮比例进行结算</w:t>
      </w:r>
      <w:r>
        <w:rPr>
          <w:rFonts w:ascii="宋体" w:hAnsi="宋体" w:cs="仿宋"/>
          <w:b/>
          <w:bCs/>
          <w:spacing w:val="14"/>
          <w:sz w:val="24"/>
          <w:szCs w:val="24"/>
          <w:highlight w:val="none"/>
        </w:rPr>
        <w:t>，给予警告</w:t>
      </w:r>
      <w:r>
        <w:rPr>
          <w:rFonts w:hint="eastAsia" w:ascii="宋体" w:hAnsi="宋体" w:cs="仿宋"/>
          <w:b/>
          <w:bCs/>
          <w:spacing w:val="14"/>
          <w:sz w:val="24"/>
          <w:szCs w:val="24"/>
          <w:highlight w:val="none"/>
        </w:rPr>
        <w:t>，并相应扣除部分履约金</w:t>
      </w:r>
      <w:r>
        <w:rPr>
          <w:rFonts w:ascii="宋体" w:hAnsi="宋体" w:cs="仿宋"/>
          <w:b/>
          <w:bCs/>
          <w:spacing w:val="14"/>
          <w:sz w:val="24"/>
          <w:szCs w:val="24"/>
          <w:highlight w:val="none"/>
        </w:rPr>
        <w:t>；</w:t>
      </w:r>
      <w:r>
        <w:rPr>
          <w:rFonts w:hint="eastAsia" w:ascii="宋体" w:hAnsi="宋体" w:cs="仿宋"/>
          <w:b/>
          <w:bCs/>
          <w:spacing w:val="14"/>
          <w:sz w:val="24"/>
          <w:szCs w:val="24"/>
          <w:highlight w:val="none"/>
        </w:rPr>
        <w:t>发生重大事故（如未配送或出现质量问题等）、食品安全事故、安全事故、经济纠纷等，</w:t>
      </w:r>
      <w:r>
        <w:rPr>
          <w:rFonts w:ascii="宋体" w:hAnsi="宋体" w:cs="仿宋"/>
          <w:b/>
          <w:bCs/>
          <w:spacing w:val="14"/>
          <w:sz w:val="24"/>
          <w:szCs w:val="24"/>
          <w:highlight w:val="none"/>
        </w:rPr>
        <w:t>取消投标人</w:t>
      </w:r>
      <w:r>
        <w:rPr>
          <w:rFonts w:hint="eastAsia" w:ascii="宋体" w:hAnsi="宋体" w:cs="仿宋"/>
          <w:b/>
          <w:bCs/>
          <w:spacing w:val="14"/>
          <w:sz w:val="24"/>
          <w:szCs w:val="24"/>
          <w:highlight w:val="none"/>
        </w:rPr>
        <w:t>服务</w:t>
      </w:r>
      <w:r>
        <w:rPr>
          <w:rFonts w:ascii="宋体" w:hAnsi="宋体" w:cs="仿宋"/>
          <w:b/>
          <w:bCs/>
          <w:spacing w:val="14"/>
          <w:sz w:val="24"/>
          <w:szCs w:val="24"/>
          <w:highlight w:val="none"/>
        </w:rPr>
        <w:t>资格，</w:t>
      </w:r>
      <w:r>
        <w:rPr>
          <w:rFonts w:hint="eastAsia" w:ascii="宋体" w:hAnsi="宋体" w:cs="仿宋"/>
          <w:b/>
          <w:bCs/>
          <w:spacing w:val="14"/>
          <w:sz w:val="24"/>
          <w:szCs w:val="24"/>
          <w:highlight w:val="none"/>
        </w:rPr>
        <w:t>扣除全部履约保证金</w:t>
      </w:r>
      <w:r>
        <w:rPr>
          <w:rFonts w:ascii="宋体" w:hAnsi="宋体" w:cs="仿宋"/>
          <w:b/>
          <w:bCs/>
          <w:spacing w:val="14"/>
          <w:sz w:val="24"/>
          <w:szCs w:val="24"/>
          <w:highlight w:val="none"/>
        </w:rPr>
        <w:t>并追究其法律责任</w:t>
      </w:r>
      <w:r>
        <w:rPr>
          <w:rFonts w:hint="eastAsia" w:ascii="宋体" w:hAnsi="宋体" w:cs="仿宋"/>
          <w:b/>
          <w:bCs/>
          <w:spacing w:val="14"/>
          <w:sz w:val="24"/>
          <w:szCs w:val="24"/>
          <w:highlight w:val="none"/>
        </w:rPr>
        <w:t>，采购人对产生的一切安全事故、经济纠纷不承担任何连带责任</w:t>
      </w:r>
      <w:r>
        <w:rPr>
          <w:rFonts w:ascii="宋体" w:hAnsi="宋体" w:cs="仿宋"/>
          <w:b/>
          <w:bCs/>
          <w:spacing w:val="14"/>
          <w:sz w:val="24"/>
          <w:szCs w:val="24"/>
          <w:highlight w:val="none"/>
        </w:rPr>
        <w:t>。</w:t>
      </w:r>
      <w:r>
        <w:rPr>
          <w:rFonts w:ascii="宋体" w:hAnsi="宋体" w:cs="仿宋"/>
          <w:spacing w:val="3"/>
          <w:sz w:val="24"/>
          <w:szCs w:val="24"/>
          <w:highlight w:val="none"/>
        </w:rPr>
        <w:t>本项目</w:t>
      </w:r>
      <w:r>
        <w:rPr>
          <w:rFonts w:ascii="宋体" w:hAnsi="宋体" w:cs="仿宋"/>
          <w:b/>
          <w:bCs/>
          <w:spacing w:val="3"/>
          <w:sz w:val="24"/>
          <w:szCs w:val="24"/>
          <w:highlight w:val="none"/>
        </w:rPr>
        <w:t>履约保证金为</w:t>
      </w:r>
      <w:r>
        <w:rPr>
          <w:rFonts w:hint="eastAsia"/>
          <w:sz w:val="24"/>
          <w:szCs w:val="24"/>
          <w:highlight w:val="none"/>
          <w:lang w:val="en-US" w:eastAsia="zh-CN"/>
        </w:rPr>
        <w:t>48000</w:t>
      </w:r>
      <w:r>
        <w:rPr>
          <w:rFonts w:hint="eastAsia"/>
          <w:sz w:val="24"/>
          <w:szCs w:val="24"/>
          <w:highlight w:val="none"/>
        </w:rPr>
        <w:t>元</w:t>
      </w:r>
      <w:r>
        <w:rPr>
          <w:rFonts w:hint="eastAsia"/>
          <w:sz w:val="24"/>
          <w:szCs w:val="24"/>
          <w:highlight w:val="none"/>
          <w:lang w:eastAsia="zh-CN"/>
        </w:rPr>
        <w:t>（第</w:t>
      </w:r>
      <w:r>
        <w:rPr>
          <w:rFonts w:hint="eastAsia"/>
          <w:sz w:val="24"/>
          <w:szCs w:val="24"/>
          <w:highlight w:val="none"/>
          <w:lang w:val="en-US" w:eastAsia="zh-CN"/>
        </w:rPr>
        <w:t>1包</w:t>
      </w:r>
      <w:r>
        <w:rPr>
          <w:rFonts w:hint="eastAsia"/>
          <w:sz w:val="24"/>
          <w:szCs w:val="24"/>
          <w:highlight w:val="none"/>
          <w:lang w:eastAsia="zh-CN"/>
        </w:rPr>
        <w:t>）、</w:t>
      </w:r>
      <w:r>
        <w:rPr>
          <w:rFonts w:hint="eastAsia"/>
          <w:sz w:val="24"/>
          <w:szCs w:val="24"/>
          <w:highlight w:val="none"/>
          <w:lang w:val="en-US" w:eastAsia="zh-CN"/>
        </w:rPr>
        <w:t>50000元（第2包）</w:t>
      </w:r>
      <w:r>
        <w:rPr>
          <w:rFonts w:ascii="宋体" w:hAnsi="宋体" w:cs="仿宋"/>
          <w:spacing w:val="3"/>
          <w:sz w:val="24"/>
          <w:szCs w:val="24"/>
          <w:highlight w:val="none"/>
        </w:rPr>
        <w:t>(履约保证金为预算金额的</w:t>
      </w:r>
      <w:r>
        <w:rPr>
          <w:rFonts w:hint="eastAsia" w:ascii="宋体" w:hAnsi="宋体" w:cs="仿宋"/>
          <w:spacing w:val="3"/>
          <w:sz w:val="24"/>
          <w:szCs w:val="24"/>
          <w:highlight w:val="none"/>
          <w:lang w:val="en-US" w:eastAsia="zh-CN"/>
        </w:rPr>
        <w:t>10</w:t>
      </w:r>
      <w:r>
        <w:rPr>
          <w:rFonts w:ascii="宋体" w:hAnsi="宋体" w:cs="仿宋"/>
          <w:spacing w:val="3"/>
          <w:sz w:val="24"/>
          <w:szCs w:val="24"/>
          <w:highlight w:val="none"/>
        </w:rPr>
        <w:t>%)</w:t>
      </w:r>
      <w:r>
        <w:rPr>
          <w:rFonts w:ascii="宋体" w:hAnsi="宋体" w:cs="仿宋"/>
          <w:spacing w:val="1"/>
          <w:sz w:val="24"/>
          <w:szCs w:val="24"/>
          <w:highlight w:val="none"/>
        </w:rPr>
        <w:t>，</w:t>
      </w:r>
      <w:r>
        <w:rPr>
          <w:rFonts w:ascii="宋体" w:hAnsi="宋体" w:cs="仿宋"/>
          <w:spacing w:val="14"/>
          <w:sz w:val="24"/>
          <w:szCs w:val="24"/>
          <w:highlight w:val="none"/>
        </w:rPr>
        <w:t>履约保证金作为违约金的一部分及用于补偿采购人因中标投标人不能履行合</w:t>
      </w:r>
      <w:r>
        <w:rPr>
          <w:rFonts w:ascii="宋体" w:hAnsi="宋体" w:cs="仿宋"/>
          <w:spacing w:val="7"/>
          <w:sz w:val="24"/>
          <w:szCs w:val="24"/>
          <w:highlight w:val="none"/>
        </w:rPr>
        <w:t>同义务而蒙受的损失</w:t>
      </w:r>
      <w:r>
        <w:rPr>
          <w:rFonts w:hint="eastAsia" w:ascii="宋体" w:hAnsi="宋体" w:cs="仿宋"/>
          <w:spacing w:val="7"/>
          <w:sz w:val="24"/>
          <w:szCs w:val="24"/>
          <w:highlight w:val="none"/>
        </w:rPr>
        <w:t>或处罚</w:t>
      </w:r>
      <w:r>
        <w:rPr>
          <w:rFonts w:ascii="宋体" w:hAnsi="宋体" w:cs="仿宋"/>
          <w:spacing w:val="7"/>
          <w:sz w:val="24"/>
          <w:szCs w:val="24"/>
          <w:highlight w:val="none"/>
        </w:rPr>
        <w:t>，履约保证金在合同有效期满，如中标投标人按合同约定履</w:t>
      </w:r>
      <w:r>
        <w:rPr>
          <w:rFonts w:ascii="宋体" w:hAnsi="宋体" w:cs="仿宋"/>
          <w:spacing w:val="1"/>
          <w:sz w:val="24"/>
          <w:szCs w:val="24"/>
          <w:highlight w:val="none"/>
        </w:rPr>
        <w:t>约</w:t>
      </w:r>
      <w:r>
        <w:rPr>
          <w:rFonts w:ascii="宋体" w:hAnsi="宋体" w:cs="仿宋"/>
          <w:spacing w:val="10"/>
          <w:sz w:val="24"/>
          <w:szCs w:val="24"/>
          <w:highlight w:val="none"/>
        </w:rPr>
        <w:t>且无食材配送服务质量和重大的安全责任事故，则采购人在合同期满之日起1</w:t>
      </w:r>
      <w:r>
        <w:rPr>
          <w:rFonts w:hint="eastAsia" w:ascii="宋体" w:hAnsi="宋体" w:cs="仿宋"/>
          <w:spacing w:val="4"/>
          <w:sz w:val="24"/>
          <w:szCs w:val="24"/>
          <w:highlight w:val="none"/>
        </w:rPr>
        <w:t>5</w:t>
      </w:r>
      <w:r>
        <w:rPr>
          <w:rFonts w:ascii="宋体" w:hAnsi="宋体" w:cs="仿宋"/>
          <w:spacing w:val="9"/>
          <w:sz w:val="24"/>
          <w:szCs w:val="24"/>
          <w:highlight w:val="none"/>
        </w:rPr>
        <w:t>个工作日内</w:t>
      </w:r>
      <w:r>
        <w:rPr>
          <w:rFonts w:ascii="宋体" w:hAnsi="宋体" w:cs="仿宋"/>
          <w:spacing w:val="14"/>
          <w:sz w:val="24"/>
          <w:szCs w:val="24"/>
          <w:highlight w:val="none"/>
        </w:rPr>
        <w:t>将合同履约保证金无息退还中标投标人。</w:t>
      </w:r>
    </w:p>
    <w:p w14:paraId="7649C9F7">
      <w:pPr>
        <w:spacing w:line="360" w:lineRule="auto"/>
        <w:ind w:left="0" w:leftChars="0" w:firstLine="556" w:firstLineChars="213"/>
        <w:rPr>
          <w:rFonts w:ascii="宋体" w:hAnsi="宋体" w:cs="仿宋"/>
          <w:b/>
          <w:bCs/>
          <w:spacing w:val="10"/>
          <w:sz w:val="24"/>
          <w:szCs w:val="24"/>
          <w:highlight w:val="none"/>
        </w:rPr>
      </w:pPr>
      <w:r>
        <w:rPr>
          <w:rFonts w:hint="eastAsia" w:ascii="宋体" w:hAnsi="宋体" w:cs="仿宋"/>
          <w:b/>
          <w:bCs/>
          <w:spacing w:val="10"/>
          <w:sz w:val="24"/>
          <w:szCs w:val="24"/>
          <w:highlight w:val="none"/>
        </w:rPr>
        <w:t>8</w:t>
      </w:r>
      <w:r>
        <w:rPr>
          <w:rFonts w:ascii="宋体" w:hAnsi="宋体" w:cs="仿宋"/>
          <w:b/>
          <w:bCs/>
          <w:spacing w:val="10"/>
          <w:sz w:val="24"/>
          <w:szCs w:val="24"/>
          <w:highlight w:val="none"/>
        </w:rPr>
        <w:t>、考核时间及处罚</w:t>
      </w:r>
    </w:p>
    <w:p w14:paraId="7EEC31FC">
      <w:pPr>
        <w:spacing w:line="360" w:lineRule="auto"/>
        <w:ind w:left="0" w:leftChars="0" w:firstLine="570" w:firstLineChars="213"/>
        <w:rPr>
          <w:rFonts w:ascii="宋体" w:hAnsi="宋体" w:cs="仿宋"/>
          <w:spacing w:val="14"/>
          <w:sz w:val="24"/>
          <w:szCs w:val="24"/>
          <w:highlight w:val="none"/>
        </w:rPr>
      </w:pPr>
      <w:r>
        <w:rPr>
          <w:rFonts w:ascii="宋体" w:hAnsi="宋体" w:cs="仿宋"/>
          <w:spacing w:val="14"/>
          <w:sz w:val="24"/>
          <w:szCs w:val="24"/>
          <w:highlight w:val="none"/>
        </w:rPr>
        <w:t>实行日常抽查和月考评相结合的综合考核标准。</w:t>
      </w:r>
    </w:p>
    <w:p w14:paraId="58353A44">
      <w:pPr>
        <w:spacing w:line="360" w:lineRule="auto"/>
        <w:ind w:left="0" w:leftChars="0" w:firstLine="570" w:firstLineChars="213"/>
        <w:rPr>
          <w:rFonts w:ascii="宋体" w:hAnsi="宋体" w:cs="仿宋"/>
          <w:spacing w:val="14"/>
          <w:sz w:val="24"/>
          <w:szCs w:val="24"/>
          <w:highlight w:val="none"/>
        </w:rPr>
      </w:pPr>
      <w:r>
        <w:rPr>
          <w:rFonts w:ascii="宋体" w:hAnsi="宋体" w:cs="仿宋"/>
          <w:spacing w:val="14"/>
          <w:sz w:val="24"/>
          <w:szCs w:val="24"/>
          <w:highlight w:val="none"/>
        </w:rPr>
        <w:t>(1)日常考评</w:t>
      </w:r>
    </w:p>
    <w:p w14:paraId="7FCE4BDF">
      <w:pPr>
        <w:spacing w:line="360" w:lineRule="auto"/>
        <w:ind w:left="0" w:leftChars="0" w:firstLine="570" w:firstLineChars="213"/>
        <w:rPr>
          <w:rFonts w:ascii="宋体" w:hAnsi="宋体" w:cs="仿宋"/>
          <w:spacing w:val="14"/>
          <w:sz w:val="24"/>
          <w:szCs w:val="24"/>
          <w:highlight w:val="none"/>
        </w:rPr>
      </w:pPr>
      <w:r>
        <w:rPr>
          <w:rFonts w:ascii="宋体" w:hAnsi="宋体" w:cs="仿宋"/>
          <w:spacing w:val="14"/>
          <w:sz w:val="24"/>
          <w:szCs w:val="24"/>
          <w:highlight w:val="none"/>
        </w:rPr>
        <w:t>①根据各项服务日常检查和处罚标准对日常食堂食材配送服务质量进行的考核，采购人将按各项服务标准严格管理；</w:t>
      </w:r>
    </w:p>
    <w:p w14:paraId="27133048">
      <w:pPr>
        <w:spacing w:line="360" w:lineRule="auto"/>
        <w:ind w:left="0" w:leftChars="0" w:firstLine="570" w:firstLineChars="213"/>
        <w:rPr>
          <w:rFonts w:ascii="宋体" w:hAnsi="宋体" w:cs="仿宋"/>
          <w:spacing w:val="14"/>
          <w:sz w:val="24"/>
          <w:szCs w:val="24"/>
          <w:highlight w:val="none"/>
        </w:rPr>
      </w:pPr>
      <w:r>
        <w:rPr>
          <w:rFonts w:ascii="宋体" w:hAnsi="宋体" w:cs="仿宋"/>
          <w:spacing w:val="14"/>
          <w:sz w:val="24"/>
          <w:szCs w:val="24"/>
          <w:highlight w:val="none"/>
        </w:rPr>
        <w:t>②由采购人将检查结果进行汇总，以备在每月食材费用支付时扣除。</w:t>
      </w:r>
    </w:p>
    <w:p w14:paraId="7B42ADE6">
      <w:pPr>
        <w:spacing w:line="360" w:lineRule="auto"/>
        <w:ind w:left="0" w:leftChars="0" w:firstLine="570" w:firstLineChars="213"/>
        <w:rPr>
          <w:rFonts w:ascii="宋体" w:hAnsi="宋体" w:cs="仿宋"/>
          <w:spacing w:val="14"/>
          <w:sz w:val="24"/>
          <w:szCs w:val="24"/>
          <w:highlight w:val="none"/>
        </w:rPr>
      </w:pPr>
      <w:r>
        <w:rPr>
          <w:rFonts w:ascii="宋体" w:hAnsi="宋体" w:cs="仿宋"/>
          <w:spacing w:val="14"/>
          <w:sz w:val="24"/>
          <w:szCs w:val="24"/>
          <w:highlight w:val="none"/>
        </w:rPr>
        <w:t>(2)月考评</w:t>
      </w:r>
    </w:p>
    <w:p w14:paraId="353FE574">
      <w:pPr>
        <w:spacing w:line="360" w:lineRule="auto"/>
        <w:ind w:left="0" w:leftChars="0" w:firstLine="570" w:firstLineChars="213"/>
        <w:rPr>
          <w:rFonts w:ascii="宋体" w:hAnsi="宋体" w:cs="仿宋"/>
          <w:spacing w:val="14"/>
          <w:sz w:val="24"/>
          <w:szCs w:val="24"/>
          <w:highlight w:val="none"/>
        </w:rPr>
      </w:pPr>
      <w:r>
        <w:rPr>
          <w:rFonts w:ascii="宋体" w:hAnsi="宋体" w:cs="仿宋"/>
          <w:spacing w:val="14"/>
          <w:sz w:val="24"/>
          <w:szCs w:val="24"/>
          <w:highlight w:val="none"/>
        </w:rPr>
        <w:t>①月考核作为支付当月服务费的主要依据，由采购人根据服务公司的服务质量和服务态度进行综评打分，按考核打分档次支付当月食材费。</w:t>
      </w:r>
    </w:p>
    <w:p w14:paraId="37BE7493">
      <w:pPr>
        <w:spacing w:line="360" w:lineRule="auto"/>
        <w:ind w:left="0" w:leftChars="0" w:firstLine="570" w:firstLineChars="213"/>
        <w:rPr>
          <w:rFonts w:ascii="宋体" w:hAnsi="宋体" w:cs="仿宋"/>
          <w:spacing w:val="14"/>
          <w:sz w:val="24"/>
          <w:szCs w:val="24"/>
          <w:highlight w:val="none"/>
        </w:rPr>
      </w:pPr>
      <w:r>
        <w:rPr>
          <w:rFonts w:ascii="宋体" w:hAnsi="宋体" w:cs="仿宋"/>
          <w:spacing w:val="14"/>
          <w:sz w:val="24"/>
          <w:szCs w:val="24"/>
          <w:highlight w:val="none"/>
        </w:rPr>
        <w:t>②单项方面工作被点名或通报批评，本月考核结果扣5分；</w:t>
      </w:r>
    </w:p>
    <w:p w14:paraId="5DC8589E">
      <w:pPr>
        <w:spacing w:line="360" w:lineRule="auto"/>
        <w:ind w:left="0" w:leftChars="0" w:firstLine="570" w:firstLineChars="213"/>
        <w:rPr>
          <w:rFonts w:ascii="宋体" w:hAnsi="宋体" w:cs="仿宋"/>
          <w:sz w:val="24"/>
          <w:szCs w:val="24"/>
          <w:highlight w:val="none"/>
        </w:rPr>
      </w:pPr>
      <w:r>
        <w:rPr>
          <w:rFonts w:ascii="宋体" w:hAnsi="宋体" w:cs="仿宋"/>
          <w:spacing w:val="14"/>
          <w:sz w:val="24"/>
          <w:szCs w:val="24"/>
          <w:highlight w:val="none"/>
        </w:rPr>
        <w:t>③根据《食材配送验收清单》(附件)考评打分结果计算出月考核评分。当月得分95分(含)以上的，当月的费用按合同金额全额向中标投标人支付；当月综合平均得分95分(不</w:t>
      </w:r>
      <w:r>
        <w:rPr>
          <w:rFonts w:ascii="宋体" w:hAnsi="宋体" w:cs="仿宋"/>
          <w:sz w:val="24"/>
          <w:szCs w:val="24"/>
          <w:highlight w:val="none"/>
        </w:rPr>
        <w:t>含)—90分(含)，支付当月费用时在合</w:t>
      </w:r>
      <w:r>
        <w:rPr>
          <w:rFonts w:ascii="宋体" w:hAnsi="宋体" w:cs="仿宋"/>
          <w:spacing w:val="3"/>
          <w:sz w:val="24"/>
          <w:szCs w:val="24"/>
          <w:highlight w:val="none"/>
        </w:rPr>
        <w:t>同金额中从95分起计，按每扣0.5分扣除当月费用1000元后支付，扣除不</w:t>
      </w:r>
      <w:r>
        <w:rPr>
          <w:rFonts w:ascii="宋体" w:hAnsi="宋体" w:cs="仿宋"/>
          <w:spacing w:val="2"/>
          <w:sz w:val="24"/>
          <w:szCs w:val="24"/>
          <w:highlight w:val="none"/>
        </w:rPr>
        <w:t>满</w:t>
      </w:r>
      <w:r>
        <w:rPr>
          <w:rFonts w:ascii="宋体" w:hAnsi="宋体" w:cs="仿宋"/>
          <w:spacing w:val="-8"/>
          <w:sz w:val="24"/>
          <w:szCs w:val="24"/>
          <w:highlight w:val="none"/>
        </w:rPr>
        <w:t>0.</w:t>
      </w:r>
      <w:r>
        <w:rPr>
          <w:rFonts w:ascii="宋体" w:hAnsi="宋体" w:cs="仿宋"/>
          <w:spacing w:val="-6"/>
          <w:sz w:val="24"/>
          <w:szCs w:val="24"/>
          <w:highlight w:val="none"/>
        </w:rPr>
        <w:t>5</w:t>
      </w:r>
      <w:r>
        <w:rPr>
          <w:rFonts w:ascii="宋体" w:hAnsi="宋体" w:cs="仿宋"/>
          <w:spacing w:val="-4"/>
          <w:sz w:val="24"/>
          <w:szCs w:val="24"/>
          <w:highlight w:val="none"/>
        </w:rPr>
        <w:t>分的按照0.5分计算扣除(如94.8分，按照94.5分计，扣除当月费用1000元)；</w:t>
      </w:r>
      <w:r>
        <w:rPr>
          <w:rFonts w:ascii="宋体" w:hAnsi="宋体" w:cs="仿宋"/>
          <w:spacing w:val="-3"/>
          <w:sz w:val="24"/>
          <w:szCs w:val="24"/>
          <w:highlight w:val="none"/>
        </w:rPr>
        <w:t>当</w:t>
      </w:r>
      <w:r>
        <w:rPr>
          <w:rFonts w:ascii="宋体" w:hAnsi="宋体" w:cs="仿宋"/>
          <w:spacing w:val="-2"/>
          <w:sz w:val="24"/>
          <w:szCs w:val="24"/>
          <w:highlight w:val="none"/>
        </w:rPr>
        <w:t>月综合平均得分90分(不含)—80分(含)，支付费用时在合同金额中</w:t>
      </w:r>
      <w:r>
        <w:rPr>
          <w:rFonts w:ascii="宋体" w:hAnsi="宋体" w:cs="仿宋"/>
          <w:spacing w:val="-14"/>
          <w:sz w:val="24"/>
          <w:szCs w:val="24"/>
          <w:highlight w:val="none"/>
        </w:rPr>
        <w:t>扣除10</w:t>
      </w:r>
      <w:r>
        <w:rPr>
          <w:rFonts w:ascii="宋体" w:hAnsi="宋体" w:cs="仿宋"/>
          <w:spacing w:val="-8"/>
          <w:sz w:val="24"/>
          <w:szCs w:val="24"/>
          <w:highlight w:val="none"/>
        </w:rPr>
        <w:t>0</w:t>
      </w:r>
      <w:r>
        <w:rPr>
          <w:rFonts w:ascii="宋体" w:hAnsi="宋体" w:cs="仿宋"/>
          <w:spacing w:val="-7"/>
          <w:sz w:val="24"/>
          <w:szCs w:val="24"/>
          <w:highlight w:val="none"/>
        </w:rPr>
        <w:t>00元后，从90分起计，按当月每扣0.5分扣除当月费用1500元后支付，</w:t>
      </w:r>
      <w:r>
        <w:rPr>
          <w:rFonts w:ascii="宋体" w:hAnsi="宋体" w:cs="仿宋"/>
          <w:spacing w:val="-8"/>
          <w:sz w:val="24"/>
          <w:szCs w:val="24"/>
          <w:highlight w:val="none"/>
        </w:rPr>
        <w:t>扣除不满</w:t>
      </w:r>
      <w:r>
        <w:rPr>
          <w:rFonts w:ascii="宋体" w:hAnsi="宋体" w:cs="仿宋"/>
          <w:spacing w:val="-6"/>
          <w:sz w:val="24"/>
          <w:szCs w:val="24"/>
          <w:highlight w:val="none"/>
        </w:rPr>
        <w:t>0</w:t>
      </w:r>
      <w:r>
        <w:rPr>
          <w:rFonts w:ascii="宋体" w:hAnsi="宋体" w:cs="仿宋"/>
          <w:spacing w:val="-4"/>
          <w:sz w:val="24"/>
          <w:szCs w:val="24"/>
          <w:highlight w:val="none"/>
        </w:rPr>
        <w:t>.5分的按照0.5分计算扣除当月费用(如84.2分，按照84分计，扣</w:t>
      </w:r>
      <w:r>
        <w:rPr>
          <w:rFonts w:ascii="宋体" w:hAnsi="宋体" w:cs="仿宋"/>
          <w:spacing w:val="1"/>
          <w:sz w:val="24"/>
          <w:szCs w:val="24"/>
          <w:highlight w:val="none"/>
        </w:rPr>
        <w:t>除当月费用28000元)；当</w:t>
      </w:r>
      <w:r>
        <w:rPr>
          <w:rFonts w:ascii="宋体" w:hAnsi="宋体" w:cs="仿宋"/>
          <w:sz w:val="24"/>
          <w:szCs w:val="24"/>
          <w:highlight w:val="none"/>
        </w:rPr>
        <w:t>月综合平均得分检查结果为80分(不含)以下，则扣</w:t>
      </w:r>
      <w:r>
        <w:rPr>
          <w:rFonts w:ascii="宋体" w:hAnsi="宋体" w:cs="仿宋"/>
          <w:spacing w:val="12"/>
          <w:sz w:val="24"/>
          <w:szCs w:val="24"/>
          <w:highlight w:val="none"/>
        </w:rPr>
        <w:t>发</w:t>
      </w:r>
      <w:r>
        <w:rPr>
          <w:rFonts w:ascii="宋体" w:hAnsi="宋体" w:cs="仿宋"/>
          <w:spacing w:val="11"/>
          <w:sz w:val="24"/>
          <w:szCs w:val="24"/>
          <w:highlight w:val="none"/>
        </w:rPr>
        <w:t>当</w:t>
      </w:r>
      <w:r>
        <w:rPr>
          <w:rFonts w:ascii="宋体" w:hAnsi="宋体" w:cs="仿宋"/>
          <w:spacing w:val="6"/>
          <w:sz w:val="24"/>
          <w:szCs w:val="24"/>
          <w:highlight w:val="none"/>
        </w:rPr>
        <w:t>月费用的50%。若月考核评定低于90分，则中标投标人须就服务工作方面</w:t>
      </w:r>
      <w:r>
        <w:rPr>
          <w:rFonts w:ascii="宋体" w:hAnsi="宋体" w:cs="仿宋"/>
          <w:spacing w:val="15"/>
          <w:sz w:val="24"/>
          <w:szCs w:val="24"/>
          <w:highlight w:val="none"/>
        </w:rPr>
        <w:t>的</w:t>
      </w:r>
      <w:r>
        <w:rPr>
          <w:rFonts w:ascii="宋体" w:hAnsi="宋体" w:cs="仿宋"/>
          <w:spacing w:val="8"/>
          <w:sz w:val="24"/>
          <w:szCs w:val="24"/>
          <w:highlight w:val="none"/>
        </w:rPr>
        <w:t>问题向采购人提供整改报告。</w:t>
      </w:r>
    </w:p>
    <w:p w14:paraId="0ED58073">
      <w:pPr>
        <w:spacing w:line="360" w:lineRule="auto"/>
        <w:ind w:left="0" w:leftChars="0" w:firstLine="562" w:firstLineChars="213"/>
        <w:rPr>
          <w:rFonts w:ascii="宋体" w:hAnsi="宋体" w:cs="仿宋"/>
          <w:sz w:val="24"/>
          <w:szCs w:val="24"/>
          <w:highlight w:val="none"/>
        </w:rPr>
      </w:pPr>
      <w:r>
        <w:rPr>
          <w:rFonts w:ascii="宋体" w:hAnsi="宋体" w:cs="仿宋"/>
          <w:spacing w:val="12"/>
          <w:sz w:val="24"/>
          <w:szCs w:val="24"/>
          <w:highlight w:val="none"/>
        </w:rPr>
        <w:t>④每</w:t>
      </w:r>
      <w:r>
        <w:rPr>
          <w:rFonts w:ascii="宋体" w:hAnsi="宋体" w:cs="仿宋"/>
          <w:spacing w:val="10"/>
          <w:sz w:val="24"/>
          <w:szCs w:val="24"/>
          <w:highlight w:val="none"/>
        </w:rPr>
        <w:t>年</w:t>
      </w:r>
      <w:r>
        <w:rPr>
          <w:rFonts w:ascii="宋体" w:hAnsi="宋体" w:cs="仿宋"/>
          <w:spacing w:val="6"/>
          <w:sz w:val="24"/>
          <w:szCs w:val="24"/>
          <w:highlight w:val="none"/>
        </w:rPr>
        <w:t>度月考核中累计有三个月得分低于90分，视为年度考核不合格，采</w:t>
      </w:r>
      <w:r>
        <w:rPr>
          <w:rFonts w:ascii="宋体" w:hAnsi="宋体" w:cs="仿宋"/>
          <w:spacing w:val="8"/>
          <w:sz w:val="24"/>
          <w:szCs w:val="24"/>
          <w:highlight w:val="none"/>
        </w:rPr>
        <w:t>购人有权</w:t>
      </w:r>
      <w:r>
        <w:rPr>
          <w:rFonts w:ascii="宋体" w:hAnsi="宋体" w:cs="仿宋"/>
          <w:spacing w:val="5"/>
          <w:sz w:val="24"/>
          <w:szCs w:val="24"/>
          <w:highlight w:val="none"/>
        </w:rPr>
        <w:t>要</w:t>
      </w:r>
      <w:r>
        <w:rPr>
          <w:rFonts w:ascii="宋体" w:hAnsi="宋体" w:cs="仿宋"/>
          <w:spacing w:val="4"/>
          <w:sz w:val="24"/>
          <w:szCs w:val="24"/>
          <w:highlight w:val="none"/>
        </w:rPr>
        <w:t>求终止合同，由中标投标人承担违约和赔偿责任。</w:t>
      </w:r>
    </w:p>
    <w:p w14:paraId="2B5DAEE2">
      <w:pPr>
        <w:spacing w:line="360" w:lineRule="auto"/>
        <w:ind w:left="0" w:leftChars="0" w:firstLine="545" w:firstLineChars="213"/>
        <w:rPr>
          <w:rFonts w:ascii="宋体" w:hAnsi="宋体" w:cs="仿宋"/>
          <w:spacing w:val="8"/>
          <w:sz w:val="24"/>
          <w:szCs w:val="24"/>
          <w:highlight w:val="none"/>
        </w:rPr>
      </w:pPr>
    </w:p>
    <w:p w14:paraId="2F4769F3">
      <w:pPr>
        <w:spacing w:line="360" w:lineRule="auto"/>
        <w:ind w:left="0" w:leftChars="0" w:firstLine="545" w:firstLineChars="213"/>
        <w:rPr>
          <w:rFonts w:ascii="宋体" w:hAnsi="宋体" w:cs="仿宋"/>
          <w:spacing w:val="8"/>
          <w:sz w:val="24"/>
          <w:szCs w:val="24"/>
          <w:highlight w:val="none"/>
        </w:rPr>
      </w:pPr>
    </w:p>
    <w:p w14:paraId="62443783">
      <w:pPr>
        <w:pStyle w:val="29"/>
        <w:ind w:left="0" w:leftChars="0" w:firstLine="383" w:firstLineChars="213"/>
        <w:rPr>
          <w:highlight w:val="none"/>
        </w:rPr>
      </w:pPr>
    </w:p>
    <w:p w14:paraId="35CCF647">
      <w:pPr>
        <w:pStyle w:val="29"/>
        <w:ind w:left="0" w:leftChars="0" w:firstLine="383" w:firstLineChars="213"/>
        <w:rPr>
          <w:highlight w:val="none"/>
        </w:rPr>
      </w:pPr>
    </w:p>
    <w:p w14:paraId="218EE507">
      <w:pPr>
        <w:pStyle w:val="29"/>
        <w:ind w:left="0" w:leftChars="0" w:firstLine="383" w:firstLineChars="213"/>
        <w:rPr>
          <w:rFonts w:hint="eastAsia"/>
          <w:highlight w:val="none"/>
        </w:rPr>
      </w:pPr>
    </w:p>
    <w:p w14:paraId="43E876FF">
      <w:pPr>
        <w:pStyle w:val="29"/>
        <w:ind w:left="0" w:leftChars="0" w:firstLine="383" w:firstLineChars="213"/>
        <w:rPr>
          <w:highlight w:val="none"/>
        </w:rPr>
      </w:pPr>
    </w:p>
    <w:p w14:paraId="4F00FBC0">
      <w:pPr>
        <w:keepNext w:val="0"/>
        <w:keepLines w:val="0"/>
        <w:pageBreakBefore/>
        <w:widowControl w:val="0"/>
        <w:kinsoku/>
        <w:wordWrap/>
        <w:overflowPunct/>
        <w:topLinePunct w:val="0"/>
        <w:autoSpaceDE/>
        <w:autoSpaceDN/>
        <w:bidi w:val="0"/>
        <w:adjustRightInd/>
        <w:snapToGrid/>
        <w:spacing w:line="360" w:lineRule="auto"/>
        <w:ind w:left="0" w:leftChars="0" w:firstLine="718" w:firstLineChars="213"/>
        <w:jc w:val="center"/>
        <w:textAlignment w:val="auto"/>
        <w:rPr>
          <w:rFonts w:ascii="宋体" w:hAnsi="宋体" w:cs="方正小标宋_GBK"/>
          <w:b/>
          <w:bCs/>
          <w:sz w:val="32"/>
          <w:szCs w:val="32"/>
          <w:highlight w:val="none"/>
        </w:rPr>
      </w:pPr>
      <w:r>
        <w:rPr>
          <w:rFonts w:hint="eastAsia" w:ascii="宋体" w:hAnsi="宋体" w:cs="方正小标宋_GBK"/>
          <w:b/>
          <w:bCs/>
          <w:spacing w:val="8"/>
          <w:sz w:val="32"/>
          <w:szCs w:val="32"/>
          <w:highlight w:val="none"/>
        </w:rPr>
        <w:t>食材配送服务验收清单</w:t>
      </w:r>
    </w:p>
    <w:p w14:paraId="07BF0280">
      <w:pPr>
        <w:spacing w:line="360" w:lineRule="auto"/>
        <w:ind w:left="0" w:leftChars="0" w:firstLine="438" w:firstLineChars="213"/>
        <w:rPr>
          <w:rFonts w:ascii="宋体" w:hAnsi="宋体"/>
          <w:sz w:val="24"/>
          <w:szCs w:val="24"/>
          <w:highlight w:val="none"/>
        </w:rPr>
      </w:pPr>
      <w:r>
        <w:rPr>
          <w:rFonts w:ascii="宋体" w:hAnsi="宋体" w:cs="仿宋"/>
          <w:spacing w:val="-17"/>
          <w:sz w:val="24"/>
          <w:szCs w:val="24"/>
          <w:highlight w:val="none"/>
        </w:rPr>
        <w:t>日</w:t>
      </w:r>
      <w:r>
        <w:rPr>
          <w:rFonts w:ascii="宋体" w:hAnsi="宋体" w:cs="仿宋"/>
          <w:spacing w:val="-15"/>
          <w:sz w:val="24"/>
          <w:szCs w:val="24"/>
          <w:highlight w:val="none"/>
        </w:rPr>
        <w:t>期：</w:t>
      </w:r>
    </w:p>
    <w:tbl>
      <w:tblPr>
        <w:tblStyle w:val="201"/>
        <w:tblW w:w="852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74"/>
        <w:gridCol w:w="1170"/>
        <w:gridCol w:w="6133"/>
        <w:gridCol w:w="549"/>
      </w:tblGrid>
      <w:tr w14:paraId="669FC0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1844" w:type="dxa"/>
            <w:gridSpan w:val="2"/>
          </w:tcPr>
          <w:p w14:paraId="193CD1B2">
            <w:pPr>
              <w:spacing w:line="360" w:lineRule="auto"/>
              <w:ind w:left="0" w:leftChars="0" w:firstLine="519" w:firstLineChars="213"/>
              <w:jc w:val="center"/>
              <w:rPr>
                <w:rFonts w:ascii="宋体" w:hAnsi="宋体" w:cs="仿宋"/>
                <w:sz w:val="24"/>
                <w:szCs w:val="24"/>
                <w:highlight w:val="none"/>
              </w:rPr>
            </w:pPr>
            <w:r>
              <w:rPr>
                <w:rFonts w:ascii="宋体" w:hAnsi="宋体" w:cs="仿宋"/>
                <w:spacing w:val="2"/>
                <w:sz w:val="24"/>
                <w:szCs w:val="24"/>
                <w:highlight w:val="none"/>
              </w:rPr>
              <w:t>项</w:t>
            </w:r>
            <w:r>
              <w:rPr>
                <w:rFonts w:ascii="宋体" w:hAnsi="宋体" w:cs="仿宋"/>
                <w:spacing w:val="1"/>
                <w:sz w:val="24"/>
                <w:szCs w:val="24"/>
                <w:highlight w:val="none"/>
              </w:rPr>
              <w:t>目</w:t>
            </w:r>
          </w:p>
        </w:tc>
        <w:tc>
          <w:tcPr>
            <w:tcW w:w="6133" w:type="dxa"/>
          </w:tcPr>
          <w:p w14:paraId="6A8F6A78">
            <w:pPr>
              <w:spacing w:line="360" w:lineRule="auto"/>
              <w:ind w:left="0" w:leftChars="0" w:firstLine="506" w:firstLineChars="213"/>
              <w:jc w:val="center"/>
              <w:rPr>
                <w:rFonts w:ascii="宋体" w:hAnsi="宋体" w:cs="仿宋"/>
                <w:sz w:val="24"/>
                <w:szCs w:val="24"/>
                <w:highlight w:val="none"/>
              </w:rPr>
            </w:pPr>
            <w:r>
              <w:rPr>
                <w:rFonts w:ascii="宋体" w:hAnsi="宋体" w:cs="仿宋"/>
                <w:spacing w:val="-1"/>
                <w:sz w:val="24"/>
                <w:szCs w:val="24"/>
                <w:highlight w:val="none"/>
              </w:rPr>
              <w:t>细</w:t>
            </w:r>
            <w:r>
              <w:rPr>
                <w:rFonts w:ascii="宋体" w:hAnsi="宋体" w:cs="仿宋"/>
                <w:sz w:val="24"/>
                <w:szCs w:val="24"/>
                <w:highlight w:val="none"/>
              </w:rPr>
              <w:t>则</w:t>
            </w:r>
          </w:p>
        </w:tc>
        <w:tc>
          <w:tcPr>
            <w:tcW w:w="549" w:type="dxa"/>
            <w:textDirection w:val="tbRlV"/>
          </w:tcPr>
          <w:p w14:paraId="4EB1C2A2">
            <w:pPr>
              <w:spacing w:line="360" w:lineRule="auto"/>
              <w:jc w:val="both"/>
              <w:rPr>
                <w:rFonts w:ascii="宋体" w:hAnsi="宋体" w:cs="仿宋"/>
                <w:sz w:val="24"/>
                <w:szCs w:val="24"/>
                <w:highlight w:val="none"/>
              </w:rPr>
            </w:pPr>
            <w:r>
              <w:rPr>
                <w:rFonts w:ascii="宋体" w:hAnsi="宋体" w:cs="仿宋"/>
                <w:spacing w:val="-6"/>
                <w:sz w:val="24"/>
                <w:szCs w:val="24"/>
                <w:highlight w:val="none"/>
              </w:rPr>
              <w:t>扣分</w:t>
            </w:r>
          </w:p>
        </w:tc>
      </w:tr>
      <w:tr w14:paraId="226BCE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674" w:type="dxa"/>
            <w:vMerge w:val="restart"/>
          </w:tcPr>
          <w:p w14:paraId="05C5E4A5">
            <w:pPr>
              <w:spacing w:line="360" w:lineRule="auto"/>
              <w:ind w:left="0" w:leftChars="0" w:firstLine="511" w:firstLineChars="213"/>
              <w:rPr>
                <w:rFonts w:ascii="宋体" w:hAnsi="宋体"/>
                <w:sz w:val="24"/>
                <w:szCs w:val="24"/>
                <w:highlight w:val="none"/>
              </w:rPr>
            </w:pPr>
          </w:p>
          <w:p w14:paraId="109E3CDC">
            <w:pPr>
              <w:spacing w:line="360" w:lineRule="auto"/>
              <w:ind w:left="0" w:leftChars="0" w:firstLine="511" w:firstLineChars="213"/>
              <w:rPr>
                <w:rFonts w:ascii="宋体" w:hAnsi="宋体"/>
                <w:sz w:val="24"/>
                <w:szCs w:val="24"/>
                <w:highlight w:val="none"/>
              </w:rPr>
            </w:pPr>
          </w:p>
          <w:p w14:paraId="2D025D4C">
            <w:pPr>
              <w:spacing w:line="360" w:lineRule="auto"/>
              <w:ind w:left="0" w:leftChars="0" w:firstLine="511" w:firstLineChars="213"/>
              <w:rPr>
                <w:rFonts w:ascii="宋体" w:hAnsi="宋体"/>
                <w:sz w:val="24"/>
                <w:szCs w:val="24"/>
                <w:highlight w:val="none"/>
              </w:rPr>
            </w:pPr>
          </w:p>
          <w:p w14:paraId="388CA0DE">
            <w:pPr>
              <w:spacing w:line="360" w:lineRule="auto"/>
              <w:ind w:left="0" w:leftChars="0" w:firstLine="511" w:firstLineChars="213"/>
              <w:rPr>
                <w:rFonts w:ascii="宋体" w:hAnsi="宋体"/>
                <w:sz w:val="24"/>
                <w:szCs w:val="24"/>
                <w:highlight w:val="none"/>
              </w:rPr>
            </w:pPr>
          </w:p>
          <w:p w14:paraId="318AD0C2">
            <w:pPr>
              <w:spacing w:line="360" w:lineRule="auto"/>
              <w:ind w:left="0" w:leftChars="0" w:firstLine="511" w:firstLineChars="213"/>
              <w:rPr>
                <w:rFonts w:ascii="宋体" w:hAnsi="宋体"/>
                <w:sz w:val="24"/>
                <w:szCs w:val="24"/>
                <w:highlight w:val="none"/>
              </w:rPr>
            </w:pPr>
          </w:p>
          <w:p w14:paraId="35705948">
            <w:pPr>
              <w:spacing w:line="360" w:lineRule="auto"/>
              <w:ind w:left="0" w:leftChars="0" w:firstLine="511" w:firstLineChars="213"/>
              <w:rPr>
                <w:rFonts w:ascii="宋体" w:hAnsi="宋体"/>
                <w:sz w:val="24"/>
                <w:szCs w:val="24"/>
                <w:highlight w:val="none"/>
              </w:rPr>
            </w:pPr>
          </w:p>
          <w:p w14:paraId="7EF63D60">
            <w:pPr>
              <w:spacing w:line="360" w:lineRule="auto"/>
              <w:ind w:left="0" w:leftChars="0" w:firstLine="511" w:firstLineChars="213"/>
              <w:rPr>
                <w:rFonts w:ascii="宋体" w:hAnsi="宋体"/>
                <w:sz w:val="24"/>
                <w:szCs w:val="24"/>
                <w:highlight w:val="none"/>
              </w:rPr>
            </w:pPr>
          </w:p>
          <w:p w14:paraId="59308C67">
            <w:pPr>
              <w:spacing w:line="360" w:lineRule="auto"/>
              <w:ind w:left="0" w:leftChars="0" w:firstLine="511" w:firstLineChars="213"/>
              <w:rPr>
                <w:rFonts w:ascii="宋体" w:hAnsi="宋体"/>
                <w:sz w:val="24"/>
                <w:szCs w:val="24"/>
                <w:highlight w:val="none"/>
              </w:rPr>
            </w:pPr>
          </w:p>
          <w:p w14:paraId="38566D05">
            <w:pPr>
              <w:spacing w:line="360" w:lineRule="auto"/>
              <w:ind w:left="0" w:leftChars="0" w:firstLine="511" w:firstLineChars="213"/>
              <w:rPr>
                <w:rFonts w:ascii="宋体" w:hAnsi="宋体"/>
                <w:sz w:val="24"/>
                <w:szCs w:val="24"/>
                <w:highlight w:val="none"/>
              </w:rPr>
            </w:pPr>
          </w:p>
          <w:p w14:paraId="672353F2">
            <w:pPr>
              <w:spacing w:line="360" w:lineRule="auto"/>
              <w:ind w:left="0" w:leftChars="0" w:firstLine="511" w:firstLineChars="213"/>
              <w:rPr>
                <w:rFonts w:ascii="宋体" w:hAnsi="宋体"/>
                <w:sz w:val="24"/>
                <w:szCs w:val="24"/>
                <w:highlight w:val="none"/>
              </w:rPr>
            </w:pPr>
          </w:p>
          <w:p w14:paraId="14F0BACF">
            <w:pPr>
              <w:spacing w:line="360" w:lineRule="auto"/>
              <w:ind w:left="0" w:leftChars="0" w:firstLine="511" w:firstLineChars="213"/>
              <w:rPr>
                <w:rFonts w:ascii="宋体" w:hAnsi="宋体"/>
                <w:sz w:val="24"/>
                <w:szCs w:val="24"/>
                <w:highlight w:val="none"/>
              </w:rPr>
            </w:pPr>
          </w:p>
          <w:p w14:paraId="73522E16">
            <w:pPr>
              <w:spacing w:line="360" w:lineRule="auto"/>
              <w:ind w:left="0" w:leftChars="0" w:firstLine="511" w:firstLineChars="213"/>
              <w:rPr>
                <w:rFonts w:ascii="宋体" w:hAnsi="宋体"/>
                <w:sz w:val="24"/>
                <w:szCs w:val="24"/>
                <w:highlight w:val="none"/>
              </w:rPr>
            </w:pPr>
          </w:p>
          <w:p w14:paraId="75783DC8">
            <w:pPr>
              <w:spacing w:line="360" w:lineRule="auto"/>
              <w:ind w:left="0" w:leftChars="0" w:firstLine="511" w:firstLineChars="213"/>
              <w:rPr>
                <w:rFonts w:ascii="宋体" w:hAnsi="宋体"/>
                <w:sz w:val="24"/>
                <w:szCs w:val="24"/>
                <w:highlight w:val="none"/>
              </w:rPr>
            </w:pPr>
          </w:p>
          <w:p w14:paraId="45890D97">
            <w:pPr>
              <w:spacing w:line="360" w:lineRule="auto"/>
              <w:ind w:left="0" w:leftChars="0" w:firstLine="511" w:firstLineChars="213"/>
              <w:rPr>
                <w:rFonts w:ascii="宋体" w:hAnsi="宋体"/>
                <w:sz w:val="24"/>
                <w:szCs w:val="24"/>
                <w:highlight w:val="none"/>
              </w:rPr>
            </w:pPr>
          </w:p>
          <w:p w14:paraId="41CC58E5">
            <w:pPr>
              <w:spacing w:line="360" w:lineRule="auto"/>
              <w:ind w:left="0" w:leftChars="0" w:firstLine="511" w:firstLineChars="213"/>
              <w:rPr>
                <w:rFonts w:ascii="宋体" w:hAnsi="宋体"/>
                <w:sz w:val="24"/>
                <w:szCs w:val="24"/>
                <w:highlight w:val="none"/>
              </w:rPr>
            </w:pPr>
          </w:p>
          <w:p w14:paraId="75142018">
            <w:pPr>
              <w:spacing w:line="360" w:lineRule="auto"/>
              <w:ind w:left="0" w:leftChars="0" w:firstLine="511" w:firstLineChars="213"/>
              <w:rPr>
                <w:rFonts w:ascii="宋体" w:hAnsi="宋体"/>
                <w:sz w:val="24"/>
                <w:szCs w:val="24"/>
                <w:highlight w:val="none"/>
              </w:rPr>
            </w:pPr>
          </w:p>
          <w:p w14:paraId="720A6BA0">
            <w:pPr>
              <w:spacing w:line="360" w:lineRule="auto"/>
              <w:ind w:left="0" w:leftChars="0" w:firstLine="511" w:firstLineChars="213"/>
              <w:rPr>
                <w:rFonts w:ascii="宋体" w:hAnsi="宋体"/>
                <w:sz w:val="24"/>
                <w:szCs w:val="24"/>
                <w:highlight w:val="none"/>
              </w:rPr>
            </w:pPr>
          </w:p>
          <w:p w14:paraId="0AA23D03">
            <w:pPr>
              <w:spacing w:line="360" w:lineRule="auto"/>
              <w:ind w:left="0" w:leftChars="0" w:firstLine="511" w:firstLineChars="213"/>
              <w:rPr>
                <w:rFonts w:ascii="宋体" w:hAnsi="宋体"/>
                <w:sz w:val="24"/>
                <w:szCs w:val="24"/>
                <w:highlight w:val="none"/>
              </w:rPr>
            </w:pPr>
          </w:p>
          <w:p w14:paraId="7CD05963">
            <w:pPr>
              <w:spacing w:line="360" w:lineRule="auto"/>
              <w:ind w:left="0" w:leftChars="0" w:firstLine="511" w:firstLineChars="213"/>
              <w:rPr>
                <w:rFonts w:ascii="宋体" w:hAnsi="宋体"/>
                <w:sz w:val="24"/>
                <w:szCs w:val="24"/>
                <w:highlight w:val="none"/>
              </w:rPr>
            </w:pPr>
          </w:p>
          <w:p w14:paraId="4CA338D0">
            <w:pPr>
              <w:spacing w:line="360" w:lineRule="auto"/>
              <w:ind w:left="0" w:leftChars="0" w:firstLine="511" w:firstLineChars="213"/>
              <w:rPr>
                <w:rFonts w:ascii="宋体" w:hAnsi="宋体"/>
                <w:sz w:val="24"/>
                <w:szCs w:val="24"/>
                <w:highlight w:val="none"/>
              </w:rPr>
            </w:pPr>
          </w:p>
          <w:p w14:paraId="3FA95234">
            <w:pPr>
              <w:spacing w:line="360" w:lineRule="auto"/>
              <w:ind w:left="0" w:leftChars="0" w:firstLine="511" w:firstLineChars="213"/>
              <w:rPr>
                <w:rFonts w:ascii="宋体" w:hAnsi="宋体"/>
                <w:sz w:val="24"/>
                <w:szCs w:val="24"/>
                <w:highlight w:val="none"/>
              </w:rPr>
            </w:pPr>
          </w:p>
          <w:p w14:paraId="7C14F77F">
            <w:pPr>
              <w:spacing w:line="360" w:lineRule="auto"/>
              <w:ind w:left="0" w:leftChars="0" w:firstLine="511" w:firstLineChars="213"/>
              <w:rPr>
                <w:rFonts w:ascii="宋体" w:hAnsi="宋体"/>
                <w:sz w:val="24"/>
                <w:szCs w:val="24"/>
                <w:highlight w:val="none"/>
              </w:rPr>
            </w:pPr>
          </w:p>
          <w:p w14:paraId="475D25CF">
            <w:pPr>
              <w:spacing w:line="360" w:lineRule="auto"/>
              <w:rPr>
                <w:rFonts w:ascii="宋体" w:hAnsi="宋体" w:cs="仿宋"/>
                <w:sz w:val="24"/>
                <w:szCs w:val="24"/>
                <w:highlight w:val="none"/>
              </w:rPr>
            </w:pPr>
            <w:r>
              <w:rPr>
                <w:rFonts w:hint="eastAsia" w:ascii="宋体" w:hAnsi="宋体" w:cs="仿宋"/>
                <w:spacing w:val="-19"/>
                <w:sz w:val="24"/>
                <w:szCs w:val="24"/>
                <w:highlight w:val="none"/>
              </w:rPr>
              <w:t>食材</w:t>
            </w:r>
            <w:r>
              <w:rPr>
                <w:rFonts w:ascii="宋体" w:hAnsi="宋体" w:cs="仿宋"/>
                <w:spacing w:val="-19"/>
                <w:sz w:val="24"/>
                <w:szCs w:val="24"/>
                <w:highlight w:val="none"/>
              </w:rPr>
              <w:t>配送</w:t>
            </w:r>
            <w:r>
              <w:rPr>
                <w:rFonts w:hint="eastAsia" w:ascii="宋体" w:hAnsi="宋体" w:cs="仿宋"/>
                <w:spacing w:val="-19"/>
                <w:sz w:val="24"/>
                <w:szCs w:val="24"/>
                <w:highlight w:val="none"/>
              </w:rPr>
              <w:t>服务</w:t>
            </w:r>
            <w:r>
              <w:rPr>
                <w:rFonts w:ascii="宋体" w:hAnsi="宋体" w:cs="仿宋"/>
                <w:spacing w:val="3"/>
                <w:sz w:val="24"/>
                <w:szCs w:val="24"/>
                <w:highlight w:val="none"/>
              </w:rPr>
              <w:t>100</w:t>
            </w:r>
            <w:r>
              <w:rPr>
                <w:rFonts w:ascii="宋体" w:hAnsi="宋体" w:cs="仿宋"/>
                <w:sz w:val="24"/>
                <w:szCs w:val="24"/>
                <w:highlight w:val="none"/>
              </w:rPr>
              <w:t>分</w:t>
            </w:r>
          </w:p>
        </w:tc>
        <w:tc>
          <w:tcPr>
            <w:tcW w:w="1170" w:type="dxa"/>
            <w:vMerge w:val="restart"/>
            <w:tcBorders>
              <w:bottom w:val="nil"/>
            </w:tcBorders>
          </w:tcPr>
          <w:p w14:paraId="4DC2753B">
            <w:pPr>
              <w:spacing w:line="360" w:lineRule="auto"/>
              <w:ind w:left="0" w:leftChars="0" w:firstLine="511" w:firstLineChars="213"/>
              <w:rPr>
                <w:rFonts w:ascii="宋体" w:hAnsi="宋体"/>
                <w:sz w:val="24"/>
                <w:szCs w:val="24"/>
                <w:highlight w:val="none"/>
              </w:rPr>
            </w:pPr>
          </w:p>
          <w:p w14:paraId="49F0AEAC">
            <w:pPr>
              <w:spacing w:line="360" w:lineRule="auto"/>
              <w:ind w:left="0" w:leftChars="0" w:firstLine="511" w:firstLineChars="213"/>
              <w:rPr>
                <w:rFonts w:ascii="宋体" w:hAnsi="宋体"/>
                <w:sz w:val="24"/>
                <w:szCs w:val="24"/>
                <w:highlight w:val="none"/>
              </w:rPr>
            </w:pPr>
          </w:p>
          <w:p w14:paraId="26EC43D4">
            <w:pPr>
              <w:spacing w:line="360" w:lineRule="auto"/>
              <w:ind w:left="0" w:leftChars="0" w:firstLine="511" w:firstLineChars="213"/>
              <w:rPr>
                <w:rFonts w:ascii="宋体" w:hAnsi="宋体"/>
                <w:sz w:val="24"/>
                <w:szCs w:val="24"/>
                <w:highlight w:val="none"/>
              </w:rPr>
            </w:pPr>
          </w:p>
          <w:p w14:paraId="5D237529">
            <w:pPr>
              <w:spacing w:line="360" w:lineRule="auto"/>
              <w:ind w:left="0" w:leftChars="0" w:firstLine="511" w:firstLineChars="213"/>
              <w:rPr>
                <w:rFonts w:ascii="宋体" w:hAnsi="宋体"/>
                <w:sz w:val="24"/>
                <w:szCs w:val="24"/>
                <w:highlight w:val="none"/>
              </w:rPr>
            </w:pPr>
          </w:p>
          <w:p w14:paraId="3E7BE1F3">
            <w:pPr>
              <w:spacing w:line="360" w:lineRule="auto"/>
              <w:ind w:left="0" w:leftChars="0" w:firstLine="511" w:firstLineChars="213"/>
              <w:rPr>
                <w:rFonts w:ascii="宋体" w:hAnsi="宋体"/>
                <w:sz w:val="24"/>
                <w:szCs w:val="24"/>
                <w:highlight w:val="none"/>
              </w:rPr>
            </w:pPr>
          </w:p>
          <w:p w14:paraId="2186DC51">
            <w:pPr>
              <w:spacing w:line="360" w:lineRule="auto"/>
              <w:rPr>
                <w:rFonts w:ascii="宋体" w:hAnsi="宋体" w:cs="仿宋"/>
                <w:sz w:val="24"/>
                <w:szCs w:val="24"/>
                <w:highlight w:val="none"/>
              </w:rPr>
            </w:pPr>
            <w:r>
              <w:rPr>
                <w:rFonts w:ascii="宋体" w:hAnsi="宋体" w:cs="仿宋"/>
                <w:spacing w:val="-8"/>
                <w:sz w:val="24"/>
                <w:szCs w:val="24"/>
                <w:highlight w:val="none"/>
              </w:rPr>
              <w:t>规</w:t>
            </w:r>
            <w:r>
              <w:rPr>
                <w:rFonts w:ascii="宋体" w:hAnsi="宋体" w:cs="仿宋"/>
                <w:spacing w:val="-7"/>
                <w:sz w:val="24"/>
                <w:szCs w:val="24"/>
                <w:highlight w:val="none"/>
              </w:rPr>
              <w:t>章制</w:t>
            </w:r>
            <w:r>
              <w:rPr>
                <w:rFonts w:ascii="宋体" w:hAnsi="宋体" w:cs="仿宋"/>
                <w:sz w:val="24"/>
                <w:szCs w:val="24"/>
                <w:highlight w:val="none"/>
              </w:rPr>
              <w:t>度</w:t>
            </w:r>
          </w:p>
          <w:p w14:paraId="22A94CE6">
            <w:pPr>
              <w:spacing w:line="360" w:lineRule="auto"/>
              <w:ind w:left="0" w:leftChars="0" w:firstLine="451" w:firstLineChars="213"/>
              <w:rPr>
                <w:rFonts w:ascii="宋体" w:hAnsi="宋体" w:cs="仿宋"/>
                <w:sz w:val="24"/>
                <w:szCs w:val="24"/>
                <w:highlight w:val="none"/>
              </w:rPr>
            </w:pPr>
            <w:r>
              <w:rPr>
                <w:rFonts w:ascii="宋体" w:hAnsi="宋体" w:cs="仿宋"/>
                <w:spacing w:val="-14"/>
                <w:sz w:val="24"/>
                <w:szCs w:val="24"/>
                <w:highlight w:val="none"/>
              </w:rPr>
              <w:t>1</w:t>
            </w:r>
            <w:r>
              <w:rPr>
                <w:rFonts w:ascii="宋体" w:hAnsi="宋体" w:cs="仿宋"/>
                <w:spacing w:val="-13"/>
                <w:sz w:val="24"/>
                <w:szCs w:val="24"/>
                <w:highlight w:val="none"/>
              </w:rPr>
              <w:t>0分</w:t>
            </w:r>
          </w:p>
        </w:tc>
        <w:tc>
          <w:tcPr>
            <w:tcW w:w="6133" w:type="dxa"/>
          </w:tcPr>
          <w:p w14:paraId="65A6DB30">
            <w:pPr>
              <w:spacing w:line="360" w:lineRule="auto"/>
              <w:ind w:left="0" w:leftChars="0" w:firstLine="553" w:firstLineChars="213"/>
              <w:rPr>
                <w:rFonts w:ascii="宋体" w:hAnsi="宋体" w:cs="仿宋"/>
                <w:sz w:val="24"/>
                <w:szCs w:val="24"/>
                <w:highlight w:val="none"/>
              </w:rPr>
            </w:pPr>
            <w:r>
              <w:rPr>
                <w:rFonts w:ascii="宋体" w:hAnsi="宋体" w:cs="仿宋"/>
                <w:spacing w:val="10"/>
                <w:sz w:val="24"/>
                <w:szCs w:val="24"/>
                <w:highlight w:val="none"/>
              </w:rPr>
              <w:t>按照</w:t>
            </w:r>
            <w:r>
              <w:rPr>
                <w:rFonts w:hint="eastAsia" w:ascii="宋体" w:hAnsi="宋体" w:cs="仿宋"/>
                <w:spacing w:val="7"/>
                <w:sz w:val="24"/>
                <w:szCs w:val="24"/>
                <w:highlight w:val="none"/>
                <w:lang w:eastAsia="zh-CN"/>
              </w:rPr>
              <w:t>磋商文件</w:t>
            </w:r>
            <w:r>
              <w:rPr>
                <w:rFonts w:ascii="宋体" w:hAnsi="宋体" w:cs="仿宋"/>
                <w:spacing w:val="5"/>
                <w:sz w:val="24"/>
                <w:szCs w:val="24"/>
                <w:highlight w:val="none"/>
              </w:rPr>
              <w:t>要求，建立健全食材配送各项管理制度、</w:t>
            </w:r>
            <w:r>
              <w:rPr>
                <w:rFonts w:ascii="宋体" w:hAnsi="宋体" w:cs="仿宋"/>
                <w:spacing w:val="10"/>
                <w:sz w:val="24"/>
                <w:szCs w:val="24"/>
                <w:highlight w:val="none"/>
              </w:rPr>
              <w:t>各岗</w:t>
            </w:r>
            <w:r>
              <w:rPr>
                <w:rFonts w:ascii="宋体" w:hAnsi="宋体" w:cs="仿宋"/>
                <w:spacing w:val="6"/>
                <w:sz w:val="24"/>
                <w:szCs w:val="24"/>
                <w:highlight w:val="none"/>
              </w:rPr>
              <w:t>位</w:t>
            </w:r>
            <w:r>
              <w:rPr>
                <w:rFonts w:ascii="宋体" w:hAnsi="宋体" w:cs="仿宋"/>
                <w:spacing w:val="5"/>
                <w:sz w:val="24"/>
                <w:szCs w:val="24"/>
                <w:highlight w:val="none"/>
              </w:rPr>
              <w:t>工作标准，并制定具体的落实措施和考核办法。</w:t>
            </w:r>
            <w:r>
              <w:rPr>
                <w:rFonts w:ascii="宋体" w:hAnsi="宋体" w:cs="仿宋"/>
                <w:spacing w:val="-4"/>
                <w:sz w:val="24"/>
                <w:szCs w:val="24"/>
                <w:highlight w:val="none"/>
              </w:rPr>
              <w:t>如有违</w:t>
            </w:r>
            <w:r>
              <w:rPr>
                <w:rFonts w:ascii="宋体" w:hAnsi="宋体" w:cs="仿宋"/>
                <w:spacing w:val="-2"/>
                <w:sz w:val="24"/>
                <w:szCs w:val="24"/>
                <w:highlight w:val="none"/>
              </w:rPr>
              <w:t>反，每次扣</w:t>
            </w:r>
            <w:r>
              <w:rPr>
                <w:rFonts w:hint="eastAsia" w:ascii="宋体" w:hAnsi="宋体" w:cs="仿宋"/>
                <w:spacing w:val="-2"/>
                <w:sz w:val="24"/>
                <w:szCs w:val="24"/>
                <w:highlight w:val="none"/>
              </w:rPr>
              <w:t>2</w:t>
            </w:r>
            <w:r>
              <w:rPr>
                <w:rFonts w:ascii="宋体" w:hAnsi="宋体" w:cs="仿宋"/>
                <w:spacing w:val="-2"/>
                <w:sz w:val="24"/>
                <w:szCs w:val="24"/>
                <w:highlight w:val="none"/>
              </w:rPr>
              <w:t>分。</w:t>
            </w:r>
          </w:p>
        </w:tc>
        <w:tc>
          <w:tcPr>
            <w:tcW w:w="549" w:type="dxa"/>
          </w:tcPr>
          <w:p w14:paraId="6A3BCAE4">
            <w:pPr>
              <w:spacing w:line="360" w:lineRule="auto"/>
              <w:ind w:left="0" w:leftChars="0" w:firstLine="511" w:firstLineChars="213"/>
              <w:rPr>
                <w:rFonts w:ascii="宋体" w:hAnsi="宋体"/>
                <w:sz w:val="24"/>
                <w:szCs w:val="24"/>
                <w:highlight w:val="none"/>
              </w:rPr>
            </w:pPr>
          </w:p>
        </w:tc>
      </w:tr>
      <w:tr w14:paraId="206FC6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9" w:hRule="atLeast"/>
        </w:trPr>
        <w:tc>
          <w:tcPr>
            <w:tcW w:w="674" w:type="dxa"/>
            <w:vMerge w:val="continue"/>
          </w:tcPr>
          <w:p w14:paraId="0B9D300C">
            <w:pPr>
              <w:spacing w:line="360" w:lineRule="auto"/>
              <w:ind w:left="0" w:leftChars="0" w:firstLine="511" w:firstLineChars="213"/>
              <w:rPr>
                <w:rFonts w:ascii="宋体" w:hAnsi="宋体"/>
                <w:sz w:val="24"/>
                <w:szCs w:val="24"/>
                <w:highlight w:val="none"/>
              </w:rPr>
            </w:pPr>
          </w:p>
        </w:tc>
        <w:tc>
          <w:tcPr>
            <w:tcW w:w="1170" w:type="dxa"/>
            <w:vMerge w:val="continue"/>
            <w:tcBorders>
              <w:top w:val="nil"/>
              <w:bottom w:val="nil"/>
            </w:tcBorders>
          </w:tcPr>
          <w:p w14:paraId="5CAD5025">
            <w:pPr>
              <w:spacing w:line="360" w:lineRule="auto"/>
              <w:ind w:left="0" w:leftChars="0" w:firstLine="511" w:firstLineChars="213"/>
              <w:rPr>
                <w:rFonts w:ascii="宋体" w:hAnsi="宋体"/>
                <w:sz w:val="24"/>
                <w:szCs w:val="24"/>
                <w:highlight w:val="none"/>
              </w:rPr>
            </w:pPr>
          </w:p>
        </w:tc>
        <w:tc>
          <w:tcPr>
            <w:tcW w:w="6133" w:type="dxa"/>
          </w:tcPr>
          <w:p w14:paraId="0BF62EDE">
            <w:pPr>
              <w:spacing w:line="360" w:lineRule="auto"/>
              <w:ind w:left="0" w:leftChars="0" w:firstLine="566" w:firstLineChars="213"/>
              <w:rPr>
                <w:rFonts w:ascii="宋体" w:hAnsi="宋体" w:cs="仿宋"/>
                <w:sz w:val="24"/>
                <w:szCs w:val="24"/>
                <w:highlight w:val="none"/>
              </w:rPr>
            </w:pPr>
            <w:r>
              <w:rPr>
                <w:rFonts w:ascii="宋体" w:hAnsi="宋体" w:cs="仿宋"/>
                <w:spacing w:val="13"/>
                <w:sz w:val="24"/>
                <w:szCs w:val="24"/>
                <w:highlight w:val="none"/>
              </w:rPr>
              <w:t>从</w:t>
            </w:r>
            <w:r>
              <w:rPr>
                <w:rFonts w:ascii="宋体" w:hAnsi="宋体" w:cs="仿宋"/>
                <w:spacing w:val="12"/>
                <w:sz w:val="24"/>
                <w:szCs w:val="24"/>
                <w:highlight w:val="none"/>
              </w:rPr>
              <w:t>业人员提供名册并具有有效期内的健康证。如有违</w:t>
            </w:r>
            <w:r>
              <w:rPr>
                <w:rFonts w:ascii="宋体" w:hAnsi="宋体" w:cs="仿宋"/>
                <w:spacing w:val="-8"/>
                <w:sz w:val="24"/>
                <w:szCs w:val="24"/>
                <w:highlight w:val="none"/>
              </w:rPr>
              <w:t>反</w:t>
            </w:r>
            <w:r>
              <w:rPr>
                <w:rFonts w:ascii="宋体" w:hAnsi="宋体" w:cs="仿宋"/>
                <w:spacing w:val="-6"/>
                <w:sz w:val="24"/>
                <w:szCs w:val="24"/>
                <w:highlight w:val="none"/>
              </w:rPr>
              <w:t>，每次扣1分。</w:t>
            </w:r>
          </w:p>
        </w:tc>
        <w:tc>
          <w:tcPr>
            <w:tcW w:w="549" w:type="dxa"/>
          </w:tcPr>
          <w:p w14:paraId="5A710B72">
            <w:pPr>
              <w:spacing w:line="360" w:lineRule="auto"/>
              <w:ind w:left="0" w:leftChars="0" w:firstLine="511" w:firstLineChars="213"/>
              <w:rPr>
                <w:rFonts w:ascii="宋体" w:hAnsi="宋体"/>
                <w:sz w:val="24"/>
                <w:szCs w:val="24"/>
                <w:highlight w:val="none"/>
              </w:rPr>
            </w:pPr>
          </w:p>
        </w:tc>
      </w:tr>
      <w:tr w14:paraId="0247E1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674" w:type="dxa"/>
            <w:vMerge w:val="continue"/>
          </w:tcPr>
          <w:p w14:paraId="51D8B875">
            <w:pPr>
              <w:spacing w:line="360" w:lineRule="auto"/>
              <w:ind w:left="0" w:leftChars="0" w:firstLine="511" w:firstLineChars="213"/>
              <w:rPr>
                <w:rFonts w:ascii="宋体" w:hAnsi="宋体"/>
                <w:sz w:val="24"/>
                <w:szCs w:val="24"/>
                <w:highlight w:val="none"/>
              </w:rPr>
            </w:pPr>
          </w:p>
        </w:tc>
        <w:tc>
          <w:tcPr>
            <w:tcW w:w="1170" w:type="dxa"/>
            <w:vMerge w:val="continue"/>
            <w:tcBorders>
              <w:top w:val="nil"/>
              <w:bottom w:val="nil"/>
            </w:tcBorders>
          </w:tcPr>
          <w:p w14:paraId="34CDAE30">
            <w:pPr>
              <w:spacing w:line="360" w:lineRule="auto"/>
              <w:ind w:left="0" w:leftChars="0" w:firstLine="511" w:firstLineChars="213"/>
              <w:rPr>
                <w:rFonts w:ascii="宋体" w:hAnsi="宋体"/>
                <w:sz w:val="24"/>
                <w:szCs w:val="24"/>
                <w:highlight w:val="none"/>
              </w:rPr>
            </w:pPr>
          </w:p>
        </w:tc>
        <w:tc>
          <w:tcPr>
            <w:tcW w:w="6133" w:type="dxa"/>
          </w:tcPr>
          <w:p w14:paraId="719FC19D">
            <w:pPr>
              <w:spacing w:line="360" w:lineRule="auto"/>
              <w:ind w:left="0" w:leftChars="0" w:firstLine="562" w:firstLineChars="213"/>
              <w:rPr>
                <w:rFonts w:ascii="宋体" w:hAnsi="宋体" w:cs="仿宋"/>
                <w:spacing w:val="12"/>
                <w:sz w:val="24"/>
                <w:szCs w:val="24"/>
                <w:highlight w:val="none"/>
              </w:rPr>
            </w:pPr>
            <w:r>
              <w:rPr>
                <w:rFonts w:ascii="宋体" w:hAnsi="宋体" w:cs="仿宋"/>
                <w:spacing w:val="12"/>
                <w:sz w:val="24"/>
                <w:szCs w:val="24"/>
                <w:highlight w:val="none"/>
              </w:rPr>
              <w:t>驾驶</w:t>
            </w:r>
            <w:r>
              <w:rPr>
                <w:rFonts w:hint="eastAsia" w:ascii="宋体" w:hAnsi="宋体" w:cs="仿宋"/>
                <w:spacing w:val="12"/>
                <w:sz w:val="24"/>
                <w:szCs w:val="24"/>
                <w:highlight w:val="none"/>
              </w:rPr>
              <w:t>等相关操作人员</w:t>
            </w:r>
            <w:r>
              <w:rPr>
                <w:rFonts w:ascii="宋体" w:hAnsi="宋体" w:cs="仿宋"/>
                <w:spacing w:val="12"/>
                <w:sz w:val="24"/>
                <w:szCs w:val="24"/>
                <w:highlight w:val="none"/>
              </w:rPr>
              <w:t>具有</w:t>
            </w:r>
            <w:r>
              <w:rPr>
                <w:rFonts w:hint="eastAsia" w:ascii="宋体" w:hAnsi="宋体" w:cs="仿宋"/>
                <w:spacing w:val="12"/>
                <w:sz w:val="24"/>
                <w:szCs w:val="24"/>
                <w:highlight w:val="none"/>
              </w:rPr>
              <w:t>对应</w:t>
            </w:r>
            <w:r>
              <w:rPr>
                <w:rFonts w:ascii="宋体" w:hAnsi="宋体" w:cs="仿宋"/>
                <w:spacing w:val="12"/>
                <w:sz w:val="24"/>
                <w:szCs w:val="24"/>
                <w:highlight w:val="none"/>
              </w:rPr>
              <w:t>资格证</w:t>
            </w:r>
            <w:r>
              <w:rPr>
                <w:rFonts w:hint="eastAsia" w:ascii="宋体" w:hAnsi="宋体" w:cs="仿宋"/>
                <w:spacing w:val="12"/>
                <w:sz w:val="24"/>
                <w:szCs w:val="24"/>
                <w:highlight w:val="none"/>
              </w:rPr>
              <w:t>书</w:t>
            </w:r>
            <w:r>
              <w:rPr>
                <w:rFonts w:ascii="宋体" w:hAnsi="宋体" w:cs="仿宋"/>
                <w:spacing w:val="12"/>
                <w:sz w:val="24"/>
                <w:szCs w:val="24"/>
                <w:highlight w:val="none"/>
              </w:rPr>
              <w:t>。如有违反，每次扣1分。</w:t>
            </w:r>
          </w:p>
        </w:tc>
        <w:tc>
          <w:tcPr>
            <w:tcW w:w="549" w:type="dxa"/>
          </w:tcPr>
          <w:p w14:paraId="1F02B524">
            <w:pPr>
              <w:spacing w:line="360" w:lineRule="auto"/>
              <w:ind w:left="0" w:leftChars="0" w:firstLine="511" w:firstLineChars="213"/>
              <w:rPr>
                <w:rFonts w:ascii="宋体" w:hAnsi="宋体"/>
                <w:sz w:val="24"/>
                <w:szCs w:val="24"/>
                <w:highlight w:val="none"/>
              </w:rPr>
            </w:pPr>
          </w:p>
        </w:tc>
      </w:tr>
      <w:tr w14:paraId="1E8209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trPr>
        <w:tc>
          <w:tcPr>
            <w:tcW w:w="674" w:type="dxa"/>
            <w:vMerge w:val="continue"/>
          </w:tcPr>
          <w:p w14:paraId="11A39A42">
            <w:pPr>
              <w:spacing w:line="360" w:lineRule="auto"/>
              <w:ind w:left="0" w:leftChars="0" w:firstLine="511" w:firstLineChars="213"/>
              <w:rPr>
                <w:rFonts w:ascii="宋体" w:hAnsi="宋体"/>
                <w:sz w:val="24"/>
                <w:szCs w:val="24"/>
                <w:highlight w:val="none"/>
              </w:rPr>
            </w:pPr>
          </w:p>
        </w:tc>
        <w:tc>
          <w:tcPr>
            <w:tcW w:w="1170" w:type="dxa"/>
            <w:vMerge w:val="continue"/>
            <w:tcBorders>
              <w:top w:val="nil"/>
              <w:bottom w:val="nil"/>
            </w:tcBorders>
          </w:tcPr>
          <w:p w14:paraId="5F329588">
            <w:pPr>
              <w:spacing w:line="360" w:lineRule="auto"/>
              <w:ind w:left="0" w:leftChars="0" w:firstLine="511" w:firstLineChars="213"/>
              <w:rPr>
                <w:rFonts w:ascii="宋体" w:hAnsi="宋体"/>
                <w:sz w:val="24"/>
                <w:szCs w:val="24"/>
                <w:highlight w:val="none"/>
              </w:rPr>
            </w:pPr>
          </w:p>
        </w:tc>
        <w:tc>
          <w:tcPr>
            <w:tcW w:w="6133" w:type="dxa"/>
          </w:tcPr>
          <w:p w14:paraId="67B3A79A">
            <w:pPr>
              <w:spacing w:line="360" w:lineRule="auto"/>
              <w:ind w:left="0" w:leftChars="0" w:firstLine="562" w:firstLineChars="213"/>
              <w:rPr>
                <w:rFonts w:ascii="宋体" w:hAnsi="宋体" w:cs="仿宋"/>
                <w:spacing w:val="12"/>
                <w:sz w:val="24"/>
                <w:szCs w:val="24"/>
                <w:highlight w:val="none"/>
              </w:rPr>
            </w:pPr>
            <w:r>
              <w:rPr>
                <w:rFonts w:ascii="宋体" w:hAnsi="宋体" w:cs="仿宋"/>
                <w:spacing w:val="12"/>
                <w:sz w:val="24"/>
                <w:szCs w:val="24"/>
                <w:highlight w:val="none"/>
              </w:rPr>
              <w:t>车辆、人员每日具有晨检记录。如有违反，每次扣1分。</w:t>
            </w:r>
          </w:p>
        </w:tc>
        <w:tc>
          <w:tcPr>
            <w:tcW w:w="549" w:type="dxa"/>
          </w:tcPr>
          <w:p w14:paraId="79E133E7">
            <w:pPr>
              <w:spacing w:line="360" w:lineRule="auto"/>
              <w:ind w:left="0" w:leftChars="0" w:firstLine="511" w:firstLineChars="213"/>
              <w:rPr>
                <w:rFonts w:ascii="宋体" w:hAnsi="宋体"/>
                <w:sz w:val="24"/>
                <w:szCs w:val="24"/>
                <w:highlight w:val="none"/>
              </w:rPr>
            </w:pPr>
          </w:p>
        </w:tc>
      </w:tr>
      <w:tr w14:paraId="28C363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3" w:hRule="atLeast"/>
        </w:trPr>
        <w:tc>
          <w:tcPr>
            <w:tcW w:w="674" w:type="dxa"/>
            <w:vMerge w:val="continue"/>
          </w:tcPr>
          <w:p w14:paraId="739E0B7C">
            <w:pPr>
              <w:spacing w:line="360" w:lineRule="auto"/>
              <w:ind w:left="0" w:leftChars="0" w:firstLine="511" w:firstLineChars="213"/>
              <w:rPr>
                <w:rFonts w:ascii="宋体" w:hAnsi="宋体"/>
                <w:sz w:val="24"/>
                <w:szCs w:val="24"/>
                <w:highlight w:val="none"/>
              </w:rPr>
            </w:pPr>
          </w:p>
        </w:tc>
        <w:tc>
          <w:tcPr>
            <w:tcW w:w="1170" w:type="dxa"/>
            <w:vMerge w:val="continue"/>
            <w:tcBorders>
              <w:top w:val="nil"/>
            </w:tcBorders>
          </w:tcPr>
          <w:p w14:paraId="460B9ABE">
            <w:pPr>
              <w:spacing w:line="360" w:lineRule="auto"/>
              <w:ind w:left="0" w:leftChars="0" w:firstLine="511" w:firstLineChars="213"/>
              <w:rPr>
                <w:rFonts w:ascii="宋体" w:hAnsi="宋体"/>
                <w:sz w:val="24"/>
                <w:szCs w:val="24"/>
                <w:highlight w:val="none"/>
              </w:rPr>
            </w:pPr>
          </w:p>
        </w:tc>
        <w:tc>
          <w:tcPr>
            <w:tcW w:w="6133" w:type="dxa"/>
          </w:tcPr>
          <w:p w14:paraId="36CF356A">
            <w:pPr>
              <w:spacing w:line="360" w:lineRule="auto"/>
              <w:ind w:left="0" w:leftChars="0" w:firstLine="562" w:firstLineChars="213"/>
              <w:rPr>
                <w:rFonts w:ascii="宋体" w:hAnsi="宋体" w:cs="仿宋"/>
                <w:spacing w:val="12"/>
                <w:sz w:val="24"/>
                <w:szCs w:val="24"/>
                <w:highlight w:val="none"/>
              </w:rPr>
            </w:pPr>
            <w:r>
              <w:rPr>
                <w:rFonts w:ascii="宋体" w:hAnsi="宋体" w:cs="仿宋"/>
                <w:spacing w:val="12"/>
                <w:sz w:val="24"/>
                <w:szCs w:val="24"/>
                <w:highlight w:val="none"/>
              </w:rPr>
              <w:t>领导小组、管理网络健全。如有违反，每次扣1分。</w:t>
            </w:r>
          </w:p>
        </w:tc>
        <w:tc>
          <w:tcPr>
            <w:tcW w:w="549" w:type="dxa"/>
          </w:tcPr>
          <w:p w14:paraId="1289EE37">
            <w:pPr>
              <w:spacing w:line="360" w:lineRule="auto"/>
              <w:ind w:left="0" w:leftChars="0" w:firstLine="511" w:firstLineChars="213"/>
              <w:rPr>
                <w:rFonts w:ascii="宋体" w:hAnsi="宋体"/>
                <w:sz w:val="24"/>
                <w:szCs w:val="24"/>
                <w:highlight w:val="none"/>
              </w:rPr>
            </w:pPr>
          </w:p>
        </w:tc>
      </w:tr>
      <w:tr w14:paraId="3783FE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674" w:type="dxa"/>
            <w:vMerge w:val="continue"/>
          </w:tcPr>
          <w:p w14:paraId="6E0C42E3">
            <w:pPr>
              <w:spacing w:line="360" w:lineRule="auto"/>
              <w:ind w:left="0" w:leftChars="0" w:firstLine="511" w:firstLineChars="213"/>
              <w:rPr>
                <w:rFonts w:ascii="宋体" w:hAnsi="宋体"/>
                <w:sz w:val="24"/>
                <w:szCs w:val="24"/>
                <w:highlight w:val="none"/>
              </w:rPr>
            </w:pPr>
          </w:p>
        </w:tc>
        <w:tc>
          <w:tcPr>
            <w:tcW w:w="1170" w:type="dxa"/>
            <w:vMerge w:val="restart"/>
            <w:tcBorders>
              <w:bottom w:val="nil"/>
            </w:tcBorders>
          </w:tcPr>
          <w:p w14:paraId="0724E4B1">
            <w:pPr>
              <w:spacing w:line="360" w:lineRule="auto"/>
              <w:ind w:left="0" w:leftChars="0" w:firstLine="511" w:firstLineChars="213"/>
              <w:rPr>
                <w:rFonts w:ascii="宋体" w:hAnsi="宋体"/>
                <w:sz w:val="24"/>
                <w:szCs w:val="24"/>
                <w:highlight w:val="none"/>
              </w:rPr>
            </w:pPr>
          </w:p>
          <w:p w14:paraId="65BE0363">
            <w:pPr>
              <w:spacing w:line="360" w:lineRule="auto"/>
              <w:ind w:left="0" w:leftChars="0" w:firstLine="511" w:firstLineChars="213"/>
              <w:rPr>
                <w:rFonts w:ascii="宋体" w:hAnsi="宋体"/>
                <w:sz w:val="24"/>
                <w:szCs w:val="24"/>
                <w:highlight w:val="none"/>
              </w:rPr>
            </w:pPr>
          </w:p>
          <w:p w14:paraId="10DE2161">
            <w:pPr>
              <w:spacing w:line="360" w:lineRule="auto"/>
              <w:rPr>
                <w:rFonts w:ascii="宋体" w:hAnsi="宋体" w:cs="仿宋"/>
                <w:sz w:val="24"/>
                <w:szCs w:val="24"/>
                <w:highlight w:val="none"/>
              </w:rPr>
            </w:pPr>
            <w:r>
              <w:rPr>
                <w:rFonts w:ascii="宋体" w:hAnsi="宋体" w:cs="仿宋"/>
                <w:spacing w:val="-11"/>
                <w:sz w:val="24"/>
                <w:szCs w:val="24"/>
                <w:highlight w:val="none"/>
              </w:rPr>
              <w:t>安</w:t>
            </w:r>
            <w:r>
              <w:rPr>
                <w:rFonts w:ascii="宋体" w:hAnsi="宋体" w:cs="仿宋"/>
                <w:spacing w:val="-7"/>
                <w:sz w:val="24"/>
                <w:szCs w:val="24"/>
                <w:highlight w:val="none"/>
              </w:rPr>
              <w:t>全保</w:t>
            </w:r>
            <w:r>
              <w:rPr>
                <w:rFonts w:ascii="宋体" w:hAnsi="宋体" w:cs="仿宋"/>
                <w:spacing w:val="-21"/>
                <w:sz w:val="24"/>
                <w:szCs w:val="24"/>
                <w:highlight w:val="none"/>
              </w:rPr>
              <w:t>障</w:t>
            </w:r>
            <w:r>
              <w:rPr>
                <w:rFonts w:ascii="宋体" w:hAnsi="宋体" w:cs="仿宋"/>
                <w:spacing w:val="-16"/>
                <w:sz w:val="24"/>
                <w:szCs w:val="24"/>
                <w:highlight w:val="none"/>
              </w:rPr>
              <w:t>10分</w:t>
            </w:r>
          </w:p>
        </w:tc>
        <w:tc>
          <w:tcPr>
            <w:tcW w:w="6133" w:type="dxa"/>
          </w:tcPr>
          <w:p w14:paraId="62A2CC2F">
            <w:pPr>
              <w:spacing w:line="360" w:lineRule="auto"/>
              <w:ind w:left="0" w:leftChars="0" w:firstLine="562" w:firstLineChars="213"/>
              <w:rPr>
                <w:rFonts w:ascii="宋体" w:hAnsi="宋体" w:cs="仿宋"/>
                <w:spacing w:val="12"/>
                <w:sz w:val="24"/>
                <w:szCs w:val="24"/>
                <w:highlight w:val="none"/>
              </w:rPr>
            </w:pPr>
            <w:r>
              <w:rPr>
                <w:rFonts w:ascii="宋体" w:hAnsi="宋体" w:cs="仿宋"/>
                <w:spacing w:val="12"/>
                <w:sz w:val="24"/>
                <w:szCs w:val="24"/>
                <w:highlight w:val="none"/>
              </w:rPr>
              <w:t>配送用具干净卫生，定期清洗消毒，有记录，附图片，交由</w:t>
            </w:r>
            <w:r>
              <w:rPr>
                <w:rFonts w:hint="eastAsia" w:ascii="宋体" w:hAnsi="宋体" w:cs="仿宋"/>
                <w:spacing w:val="12"/>
                <w:sz w:val="24"/>
                <w:szCs w:val="24"/>
                <w:highlight w:val="none"/>
              </w:rPr>
              <w:t>负责处室</w:t>
            </w:r>
            <w:r>
              <w:rPr>
                <w:rFonts w:ascii="宋体" w:hAnsi="宋体" w:cs="仿宋"/>
                <w:spacing w:val="12"/>
                <w:sz w:val="24"/>
                <w:szCs w:val="24"/>
                <w:highlight w:val="none"/>
              </w:rPr>
              <w:t>报备。如有违反，每次扣2分。</w:t>
            </w:r>
          </w:p>
        </w:tc>
        <w:tc>
          <w:tcPr>
            <w:tcW w:w="549" w:type="dxa"/>
          </w:tcPr>
          <w:p w14:paraId="5E0D1BA7">
            <w:pPr>
              <w:spacing w:line="360" w:lineRule="auto"/>
              <w:ind w:left="0" w:leftChars="0" w:firstLine="511" w:firstLineChars="213"/>
              <w:rPr>
                <w:rFonts w:ascii="宋体" w:hAnsi="宋体"/>
                <w:sz w:val="24"/>
                <w:szCs w:val="24"/>
                <w:highlight w:val="none"/>
              </w:rPr>
            </w:pPr>
          </w:p>
        </w:tc>
      </w:tr>
      <w:tr w14:paraId="07BD91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674" w:type="dxa"/>
            <w:vMerge w:val="continue"/>
          </w:tcPr>
          <w:p w14:paraId="6E7BA2A2">
            <w:pPr>
              <w:spacing w:line="360" w:lineRule="auto"/>
              <w:ind w:left="0" w:leftChars="0" w:firstLine="511" w:firstLineChars="213"/>
              <w:rPr>
                <w:rFonts w:ascii="宋体" w:hAnsi="宋体"/>
                <w:sz w:val="24"/>
                <w:szCs w:val="24"/>
                <w:highlight w:val="none"/>
              </w:rPr>
            </w:pPr>
          </w:p>
        </w:tc>
        <w:tc>
          <w:tcPr>
            <w:tcW w:w="1170" w:type="dxa"/>
            <w:vMerge w:val="continue"/>
            <w:tcBorders>
              <w:top w:val="nil"/>
              <w:bottom w:val="nil"/>
            </w:tcBorders>
          </w:tcPr>
          <w:p w14:paraId="602D221E">
            <w:pPr>
              <w:spacing w:line="360" w:lineRule="auto"/>
              <w:ind w:left="0" w:leftChars="0" w:firstLine="511" w:firstLineChars="213"/>
              <w:rPr>
                <w:rFonts w:ascii="宋体" w:hAnsi="宋体"/>
                <w:sz w:val="24"/>
                <w:szCs w:val="24"/>
                <w:highlight w:val="none"/>
              </w:rPr>
            </w:pPr>
          </w:p>
        </w:tc>
        <w:tc>
          <w:tcPr>
            <w:tcW w:w="6133" w:type="dxa"/>
          </w:tcPr>
          <w:p w14:paraId="559F6369">
            <w:pPr>
              <w:spacing w:line="360" w:lineRule="auto"/>
              <w:ind w:left="0" w:leftChars="0" w:firstLine="562" w:firstLineChars="213"/>
              <w:rPr>
                <w:rFonts w:ascii="宋体" w:hAnsi="宋体" w:cs="仿宋"/>
                <w:spacing w:val="12"/>
                <w:sz w:val="24"/>
                <w:szCs w:val="24"/>
                <w:highlight w:val="none"/>
              </w:rPr>
            </w:pPr>
            <w:r>
              <w:rPr>
                <w:rFonts w:ascii="宋体" w:hAnsi="宋体" w:cs="仿宋"/>
                <w:spacing w:val="12"/>
                <w:sz w:val="24"/>
                <w:szCs w:val="24"/>
                <w:highlight w:val="none"/>
              </w:rPr>
              <w:t>配送车辆使用</w:t>
            </w:r>
            <w:r>
              <w:rPr>
                <w:rFonts w:hint="eastAsia" w:ascii="宋体" w:hAnsi="宋体" w:cs="仿宋"/>
                <w:spacing w:val="12"/>
                <w:sz w:val="24"/>
                <w:szCs w:val="24"/>
                <w:highlight w:val="none"/>
              </w:rPr>
              <w:t>专门车</w:t>
            </w:r>
            <w:r>
              <w:rPr>
                <w:rFonts w:ascii="宋体" w:hAnsi="宋体" w:cs="仿宋"/>
                <w:spacing w:val="12"/>
                <w:sz w:val="24"/>
                <w:szCs w:val="24"/>
                <w:highlight w:val="none"/>
              </w:rPr>
              <w:t>车，定期清洗消毒，有记录，附图片，交由</w:t>
            </w:r>
            <w:r>
              <w:rPr>
                <w:rFonts w:hint="eastAsia" w:ascii="宋体" w:hAnsi="宋体" w:cs="仿宋"/>
                <w:spacing w:val="12"/>
                <w:sz w:val="24"/>
                <w:szCs w:val="24"/>
                <w:highlight w:val="none"/>
              </w:rPr>
              <w:t>负责处室</w:t>
            </w:r>
            <w:r>
              <w:rPr>
                <w:rFonts w:ascii="宋体" w:hAnsi="宋体" w:cs="仿宋"/>
                <w:spacing w:val="12"/>
                <w:sz w:val="24"/>
                <w:szCs w:val="24"/>
                <w:highlight w:val="none"/>
              </w:rPr>
              <w:t>报备。如有违反，每次扣2分。</w:t>
            </w:r>
          </w:p>
        </w:tc>
        <w:tc>
          <w:tcPr>
            <w:tcW w:w="549" w:type="dxa"/>
          </w:tcPr>
          <w:p w14:paraId="13C701E9">
            <w:pPr>
              <w:spacing w:line="360" w:lineRule="auto"/>
              <w:ind w:left="0" w:leftChars="0" w:firstLine="511" w:firstLineChars="213"/>
              <w:rPr>
                <w:rFonts w:ascii="宋体" w:hAnsi="宋体"/>
                <w:sz w:val="24"/>
                <w:szCs w:val="24"/>
                <w:highlight w:val="none"/>
              </w:rPr>
            </w:pPr>
          </w:p>
        </w:tc>
      </w:tr>
      <w:tr w14:paraId="189393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674" w:type="dxa"/>
            <w:vMerge w:val="continue"/>
          </w:tcPr>
          <w:p w14:paraId="2F306AD2">
            <w:pPr>
              <w:spacing w:line="360" w:lineRule="auto"/>
              <w:ind w:left="0" w:leftChars="0" w:firstLine="511" w:firstLineChars="213"/>
              <w:rPr>
                <w:rFonts w:ascii="宋体" w:hAnsi="宋体"/>
                <w:sz w:val="24"/>
                <w:szCs w:val="24"/>
                <w:highlight w:val="none"/>
              </w:rPr>
            </w:pPr>
          </w:p>
        </w:tc>
        <w:tc>
          <w:tcPr>
            <w:tcW w:w="1170" w:type="dxa"/>
            <w:vMerge w:val="continue"/>
            <w:tcBorders>
              <w:top w:val="nil"/>
            </w:tcBorders>
          </w:tcPr>
          <w:p w14:paraId="139CC958">
            <w:pPr>
              <w:spacing w:line="360" w:lineRule="auto"/>
              <w:ind w:left="0" w:leftChars="0" w:firstLine="511" w:firstLineChars="213"/>
              <w:rPr>
                <w:rFonts w:ascii="宋体" w:hAnsi="宋体"/>
                <w:sz w:val="24"/>
                <w:szCs w:val="24"/>
                <w:highlight w:val="none"/>
              </w:rPr>
            </w:pPr>
          </w:p>
        </w:tc>
        <w:tc>
          <w:tcPr>
            <w:tcW w:w="6133" w:type="dxa"/>
          </w:tcPr>
          <w:p w14:paraId="699F6D7C">
            <w:pPr>
              <w:spacing w:line="360" w:lineRule="auto"/>
              <w:ind w:left="0" w:leftChars="0" w:firstLine="562" w:firstLineChars="213"/>
              <w:rPr>
                <w:rFonts w:ascii="宋体" w:hAnsi="宋体" w:cs="仿宋"/>
                <w:sz w:val="24"/>
                <w:szCs w:val="24"/>
                <w:highlight w:val="none"/>
              </w:rPr>
            </w:pPr>
            <w:r>
              <w:rPr>
                <w:rFonts w:ascii="宋体" w:hAnsi="宋体" w:cs="仿宋"/>
                <w:spacing w:val="12"/>
                <w:sz w:val="24"/>
                <w:szCs w:val="24"/>
                <w:highlight w:val="none"/>
              </w:rPr>
              <w:t>配送人员统一着装，佩戴好口罩、帽子、手套。如</w:t>
            </w:r>
            <w:r>
              <w:rPr>
                <w:rFonts w:ascii="宋体" w:hAnsi="宋体" w:cs="仿宋"/>
                <w:spacing w:val="8"/>
                <w:sz w:val="24"/>
                <w:szCs w:val="24"/>
                <w:highlight w:val="none"/>
              </w:rPr>
              <w:t>有</w:t>
            </w:r>
            <w:r>
              <w:rPr>
                <w:rFonts w:ascii="宋体" w:hAnsi="宋体" w:cs="仿宋"/>
                <w:spacing w:val="-8"/>
                <w:sz w:val="24"/>
                <w:szCs w:val="24"/>
                <w:highlight w:val="none"/>
              </w:rPr>
              <w:t>违反</w:t>
            </w:r>
            <w:r>
              <w:rPr>
                <w:rFonts w:ascii="宋体" w:hAnsi="宋体" w:cs="仿宋"/>
                <w:spacing w:val="-5"/>
                <w:sz w:val="24"/>
                <w:szCs w:val="24"/>
                <w:highlight w:val="none"/>
              </w:rPr>
              <w:t>，</w:t>
            </w:r>
            <w:r>
              <w:rPr>
                <w:rFonts w:ascii="宋体" w:hAnsi="宋体" w:cs="仿宋"/>
                <w:spacing w:val="-4"/>
                <w:sz w:val="24"/>
                <w:szCs w:val="24"/>
                <w:highlight w:val="none"/>
              </w:rPr>
              <w:t>每次扣2分。</w:t>
            </w:r>
          </w:p>
        </w:tc>
        <w:tc>
          <w:tcPr>
            <w:tcW w:w="549" w:type="dxa"/>
          </w:tcPr>
          <w:p w14:paraId="2F337609">
            <w:pPr>
              <w:spacing w:line="360" w:lineRule="auto"/>
              <w:ind w:left="0" w:leftChars="0" w:firstLine="511" w:firstLineChars="213"/>
              <w:rPr>
                <w:rFonts w:ascii="宋体" w:hAnsi="宋体"/>
                <w:sz w:val="24"/>
                <w:szCs w:val="24"/>
                <w:highlight w:val="none"/>
              </w:rPr>
            </w:pPr>
          </w:p>
        </w:tc>
      </w:tr>
      <w:tr w14:paraId="171586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674" w:type="dxa"/>
            <w:vMerge w:val="continue"/>
          </w:tcPr>
          <w:p w14:paraId="4205C7B2">
            <w:pPr>
              <w:spacing w:line="360" w:lineRule="auto"/>
              <w:ind w:left="0" w:leftChars="0" w:firstLine="511" w:firstLineChars="213"/>
              <w:rPr>
                <w:rFonts w:ascii="宋体" w:hAnsi="宋体"/>
                <w:sz w:val="24"/>
                <w:szCs w:val="24"/>
                <w:highlight w:val="none"/>
              </w:rPr>
            </w:pPr>
          </w:p>
        </w:tc>
        <w:tc>
          <w:tcPr>
            <w:tcW w:w="1170" w:type="dxa"/>
            <w:vMerge w:val="restart"/>
            <w:tcBorders>
              <w:bottom w:val="nil"/>
            </w:tcBorders>
          </w:tcPr>
          <w:p w14:paraId="12AA283D">
            <w:pPr>
              <w:spacing w:line="360" w:lineRule="auto"/>
              <w:ind w:left="0" w:leftChars="0" w:firstLine="511" w:firstLineChars="213"/>
              <w:rPr>
                <w:rFonts w:ascii="宋体" w:hAnsi="宋体"/>
                <w:sz w:val="24"/>
                <w:szCs w:val="24"/>
                <w:highlight w:val="none"/>
              </w:rPr>
            </w:pPr>
          </w:p>
          <w:p w14:paraId="6A32D6D1">
            <w:pPr>
              <w:spacing w:line="360" w:lineRule="auto"/>
              <w:ind w:left="0" w:leftChars="0" w:firstLine="511" w:firstLineChars="213"/>
              <w:rPr>
                <w:rFonts w:ascii="宋体" w:hAnsi="宋体"/>
                <w:sz w:val="24"/>
                <w:szCs w:val="24"/>
                <w:highlight w:val="none"/>
              </w:rPr>
            </w:pPr>
          </w:p>
          <w:p w14:paraId="0F55B970">
            <w:pPr>
              <w:spacing w:line="360" w:lineRule="auto"/>
              <w:ind w:left="0" w:leftChars="0" w:firstLine="511" w:firstLineChars="213"/>
              <w:rPr>
                <w:rFonts w:ascii="宋体" w:hAnsi="宋体"/>
                <w:sz w:val="24"/>
                <w:szCs w:val="24"/>
                <w:highlight w:val="none"/>
              </w:rPr>
            </w:pPr>
          </w:p>
          <w:p w14:paraId="3B5FFFD2">
            <w:pPr>
              <w:spacing w:line="360" w:lineRule="auto"/>
              <w:ind w:left="0" w:leftChars="0" w:firstLine="511" w:firstLineChars="213"/>
              <w:rPr>
                <w:rFonts w:ascii="宋体" w:hAnsi="宋体"/>
                <w:sz w:val="24"/>
                <w:szCs w:val="24"/>
                <w:highlight w:val="none"/>
              </w:rPr>
            </w:pPr>
          </w:p>
          <w:p w14:paraId="5101D92E">
            <w:pPr>
              <w:spacing w:line="360" w:lineRule="auto"/>
              <w:rPr>
                <w:rFonts w:ascii="宋体" w:hAnsi="宋体" w:cs="仿宋"/>
                <w:sz w:val="24"/>
                <w:szCs w:val="24"/>
                <w:highlight w:val="none"/>
              </w:rPr>
            </w:pPr>
            <w:r>
              <w:rPr>
                <w:rFonts w:ascii="宋体" w:hAnsi="宋体" w:cs="仿宋"/>
                <w:spacing w:val="-9"/>
                <w:sz w:val="24"/>
                <w:szCs w:val="24"/>
                <w:highlight w:val="none"/>
              </w:rPr>
              <w:t>货</w:t>
            </w:r>
            <w:r>
              <w:rPr>
                <w:rFonts w:ascii="宋体" w:hAnsi="宋体" w:cs="仿宋"/>
                <w:spacing w:val="-8"/>
                <w:sz w:val="24"/>
                <w:szCs w:val="24"/>
                <w:highlight w:val="none"/>
              </w:rPr>
              <w:t>源质</w:t>
            </w:r>
            <w:r>
              <w:rPr>
                <w:rFonts w:ascii="宋体" w:hAnsi="宋体" w:cs="仿宋"/>
                <w:spacing w:val="-10"/>
                <w:sz w:val="24"/>
                <w:szCs w:val="24"/>
                <w:highlight w:val="none"/>
              </w:rPr>
              <w:t>量</w:t>
            </w:r>
            <w:r>
              <w:rPr>
                <w:rFonts w:ascii="宋体" w:hAnsi="宋体" w:cs="仿宋"/>
                <w:spacing w:val="-6"/>
                <w:sz w:val="24"/>
                <w:szCs w:val="24"/>
                <w:highlight w:val="none"/>
              </w:rPr>
              <w:t>保障</w:t>
            </w:r>
            <w:r>
              <w:rPr>
                <w:rFonts w:ascii="宋体" w:hAnsi="宋体" w:cs="仿宋"/>
                <w:spacing w:val="-10"/>
                <w:sz w:val="24"/>
                <w:szCs w:val="24"/>
                <w:highlight w:val="none"/>
              </w:rPr>
              <w:t>50分</w:t>
            </w:r>
          </w:p>
        </w:tc>
        <w:tc>
          <w:tcPr>
            <w:tcW w:w="6133" w:type="dxa"/>
          </w:tcPr>
          <w:p w14:paraId="5C527F3E">
            <w:pPr>
              <w:spacing w:line="360" w:lineRule="auto"/>
              <w:ind w:left="0" w:leftChars="0" w:firstLine="545" w:firstLineChars="213"/>
              <w:rPr>
                <w:rFonts w:ascii="宋体" w:hAnsi="宋体" w:cs="仿宋"/>
                <w:sz w:val="24"/>
                <w:szCs w:val="24"/>
                <w:highlight w:val="none"/>
              </w:rPr>
            </w:pPr>
            <w:r>
              <w:rPr>
                <w:rFonts w:ascii="宋体" w:hAnsi="宋体" w:cs="仿宋"/>
                <w:spacing w:val="8"/>
                <w:sz w:val="24"/>
                <w:szCs w:val="24"/>
                <w:highlight w:val="none"/>
              </w:rPr>
              <w:t>从符合规</w:t>
            </w:r>
            <w:r>
              <w:rPr>
                <w:rFonts w:ascii="宋体" w:hAnsi="宋体" w:cs="仿宋"/>
                <w:spacing w:val="7"/>
                <w:sz w:val="24"/>
                <w:szCs w:val="24"/>
                <w:highlight w:val="none"/>
              </w:rPr>
              <w:t>定</w:t>
            </w:r>
            <w:r>
              <w:rPr>
                <w:rFonts w:ascii="宋体" w:hAnsi="宋体" w:cs="仿宋"/>
                <w:spacing w:val="4"/>
                <w:sz w:val="24"/>
                <w:szCs w:val="24"/>
                <w:highlight w:val="none"/>
              </w:rPr>
              <w:t>资质的单位进货、有协议及资质证明材料，交由业务</w:t>
            </w:r>
            <w:r>
              <w:rPr>
                <w:rFonts w:ascii="宋体" w:hAnsi="宋体" w:cs="仿宋"/>
                <w:spacing w:val="3"/>
                <w:sz w:val="24"/>
                <w:szCs w:val="24"/>
                <w:highlight w:val="none"/>
              </w:rPr>
              <w:t>科</w:t>
            </w:r>
            <w:r>
              <w:rPr>
                <w:rFonts w:ascii="宋体" w:hAnsi="宋体" w:cs="仿宋"/>
                <w:spacing w:val="2"/>
                <w:sz w:val="24"/>
                <w:szCs w:val="24"/>
                <w:highlight w:val="none"/>
              </w:rPr>
              <w:t>室报备。如有违反，每次扣2分。</w:t>
            </w:r>
          </w:p>
        </w:tc>
        <w:tc>
          <w:tcPr>
            <w:tcW w:w="549" w:type="dxa"/>
          </w:tcPr>
          <w:p w14:paraId="609C1EC4">
            <w:pPr>
              <w:spacing w:line="360" w:lineRule="auto"/>
              <w:ind w:left="0" w:leftChars="0" w:firstLine="511" w:firstLineChars="213"/>
              <w:rPr>
                <w:rFonts w:ascii="宋体" w:hAnsi="宋体"/>
                <w:sz w:val="24"/>
                <w:szCs w:val="24"/>
                <w:highlight w:val="none"/>
              </w:rPr>
            </w:pPr>
          </w:p>
        </w:tc>
      </w:tr>
      <w:tr w14:paraId="7DEEC9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674" w:type="dxa"/>
            <w:vMerge w:val="continue"/>
          </w:tcPr>
          <w:p w14:paraId="6D3F12EE">
            <w:pPr>
              <w:spacing w:line="360" w:lineRule="auto"/>
              <w:ind w:left="0" w:leftChars="0" w:firstLine="511" w:firstLineChars="213"/>
              <w:rPr>
                <w:rFonts w:ascii="宋体" w:hAnsi="宋体"/>
                <w:sz w:val="24"/>
                <w:szCs w:val="24"/>
                <w:highlight w:val="none"/>
              </w:rPr>
            </w:pPr>
          </w:p>
        </w:tc>
        <w:tc>
          <w:tcPr>
            <w:tcW w:w="1170" w:type="dxa"/>
            <w:vMerge w:val="continue"/>
            <w:tcBorders>
              <w:top w:val="nil"/>
              <w:bottom w:val="nil"/>
            </w:tcBorders>
          </w:tcPr>
          <w:p w14:paraId="7D347436">
            <w:pPr>
              <w:spacing w:line="360" w:lineRule="auto"/>
              <w:ind w:left="0" w:leftChars="0" w:firstLine="511" w:firstLineChars="213"/>
              <w:rPr>
                <w:rFonts w:ascii="宋体" w:hAnsi="宋体"/>
                <w:sz w:val="24"/>
                <w:szCs w:val="24"/>
                <w:highlight w:val="none"/>
              </w:rPr>
            </w:pPr>
          </w:p>
        </w:tc>
        <w:tc>
          <w:tcPr>
            <w:tcW w:w="6133" w:type="dxa"/>
          </w:tcPr>
          <w:p w14:paraId="2816FD7B">
            <w:pPr>
              <w:spacing w:line="360" w:lineRule="auto"/>
              <w:ind w:left="0" w:leftChars="0" w:firstLine="592" w:firstLineChars="213"/>
              <w:rPr>
                <w:rFonts w:ascii="宋体" w:hAnsi="宋体" w:cs="仿宋"/>
                <w:sz w:val="24"/>
                <w:szCs w:val="24"/>
                <w:highlight w:val="none"/>
              </w:rPr>
            </w:pPr>
            <w:r>
              <w:rPr>
                <w:rFonts w:ascii="宋体" w:hAnsi="宋体" w:cs="仿宋"/>
                <w:spacing w:val="19"/>
                <w:sz w:val="24"/>
                <w:szCs w:val="24"/>
                <w:highlight w:val="none"/>
              </w:rPr>
              <w:t>配</w:t>
            </w:r>
            <w:r>
              <w:rPr>
                <w:rFonts w:ascii="宋体" w:hAnsi="宋体" w:cs="仿宋"/>
                <w:spacing w:val="11"/>
                <w:sz w:val="24"/>
                <w:szCs w:val="24"/>
                <w:highlight w:val="none"/>
              </w:rPr>
              <w:t>送产品证件(合格证、检疫证、检验报告等原件或</w:t>
            </w:r>
            <w:r>
              <w:rPr>
                <w:rFonts w:ascii="宋体" w:hAnsi="宋体" w:cs="仿宋"/>
                <w:spacing w:val="-6"/>
                <w:sz w:val="24"/>
                <w:szCs w:val="24"/>
                <w:highlight w:val="none"/>
              </w:rPr>
              <w:t>复印件)。如有违反，每次扣2分</w:t>
            </w:r>
            <w:r>
              <w:rPr>
                <w:rFonts w:ascii="宋体" w:hAnsi="宋体" w:cs="仿宋"/>
                <w:spacing w:val="-5"/>
                <w:sz w:val="24"/>
                <w:szCs w:val="24"/>
                <w:highlight w:val="none"/>
              </w:rPr>
              <w:t>。</w:t>
            </w:r>
          </w:p>
        </w:tc>
        <w:tc>
          <w:tcPr>
            <w:tcW w:w="549" w:type="dxa"/>
          </w:tcPr>
          <w:p w14:paraId="2286C0C3">
            <w:pPr>
              <w:spacing w:line="360" w:lineRule="auto"/>
              <w:ind w:left="0" w:leftChars="0" w:firstLine="511" w:firstLineChars="213"/>
              <w:rPr>
                <w:rFonts w:ascii="宋体" w:hAnsi="宋体"/>
                <w:sz w:val="24"/>
                <w:szCs w:val="24"/>
                <w:highlight w:val="none"/>
              </w:rPr>
            </w:pPr>
          </w:p>
        </w:tc>
      </w:tr>
      <w:tr w14:paraId="69F875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trPr>
        <w:tc>
          <w:tcPr>
            <w:tcW w:w="674" w:type="dxa"/>
            <w:vMerge w:val="continue"/>
          </w:tcPr>
          <w:p w14:paraId="7D17C0E3">
            <w:pPr>
              <w:spacing w:line="360" w:lineRule="auto"/>
              <w:ind w:left="0" w:leftChars="0" w:firstLine="511" w:firstLineChars="213"/>
              <w:rPr>
                <w:rFonts w:ascii="宋体" w:hAnsi="宋体"/>
                <w:sz w:val="24"/>
                <w:szCs w:val="24"/>
                <w:highlight w:val="none"/>
              </w:rPr>
            </w:pPr>
          </w:p>
        </w:tc>
        <w:tc>
          <w:tcPr>
            <w:tcW w:w="1170" w:type="dxa"/>
            <w:vMerge w:val="continue"/>
            <w:tcBorders>
              <w:top w:val="nil"/>
              <w:bottom w:val="nil"/>
            </w:tcBorders>
          </w:tcPr>
          <w:p w14:paraId="15363590">
            <w:pPr>
              <w:spacing w:line="360" w:lineRule="auto"/>
              <w:ind w:left="0" w:leftChars="0" w:firstLine="511" w:firstLineChars="213"/>
              <w:rPr>
                <w:rFonts w:ascii="宋体" w:hAnsi="宋体"/>
                <w:sz w:val="24"/>
                <w:szCs w:val="24"/>
                <w:highlight w:val="none"/>
              </w:rPr>
            </w:pPr>
          </w:p>
        </w:tc>
        <w:tc>
          <w:tcPr>
            <w:tcW w:w="6133" w:type="dxa"/>
          </w:tcPr>
          <w:p w14:paraId="0B792FAC">
            <w:pPr>
              <w:spacing w:line="360" w:lineRule="auto"/>
              <w:ind w:left="0" w:leftChars="0" w:firstLine="519" w:firstLineChars="213"/>
              <w:rPr>
                <w:rFonts w:ascii="宋体" w:hAnsi="宋体" w:cs="仿宋"/>
                <w:sz w:val="24"/>
                <w:szCs w:val="24"/>
                <w:highlight w:val="none"/>
              </w:rPr>
            </w:pPr>
            <w:r>
              <w:rPr>
                <w:rFonts w:ascii="宋体" w:hAnsi="宋体" w:cs="仿宋"/>
                <w:spacing w:val="2"/>
                <w:sz w:val="24"/>
                <w:szCs w:val="24"/>
                <w:highlight w:val="none"/>
              </w:rPr>
              <w:t>验收时查看包装产品有</w:t>
            </w:r>
            <w:r>
              <w:rPr>
                <w:rFonts w:ascii="宋体" w:hAnsi="宋体" w:cs="仿宋"/>
                <w:sz w:val="24"/>
                <w:szCs w:val="24"/>
                <w:highlight w:val="none"/>
              </w:rPr>
              <w:t>QS</w:t>
            </w:r>
            <w:r>
              <w:rPr>
                <w:rFonts w:ascii="宋体" w:hAnsi="宋体" w:cs="仿宋"/>
                <w:spacing w:val="2"/>
                <w:sz w:val="24"/>
                <w:szCs w:val="24"/>
                <w:highlight w:val="none"/>
              </w:rPr>
              <w:t>标志。如有违反</w:t>
            </w:r>
            <w:r>
              <w:rPr>
                <w:rFonts w:ascii="宋体" w:hAnsi="宋体" w:cs="仿宋"/>
                <w:spacing w:val="1"/>
                <w:sz w:val="24"/>
                <w:szCs w:val="24"/>
                <w:highlight w:val="none"/>
              </w:rPr>
              <w:t>，每次扣2</w:t>
            </w:r>
            <w:r>
              <w:rPr>
                <w:rFonts w:ascii="宋体" w:hAnsi="宋体" w:cs="仿宋"/>
                <w:spacing w:val="-5"/>
                <w:sz w:val="24"/>
                <w:szCs w:val="24"/>
                <w:highlight w:val="none"/>
              </w:rPr>
              <w:t>分</w:t>
            </w:r>
            <w:r>
              <w:rPr>
                <w:rFonts w:ascii="宋体" w:hAnsi="宋体" w:cs="仿宋"/>
                <w:spacing w:val="-4"/>
                <w:sz w:val="24"/>
                <w:szCs w:val="24"/>
                <w:highlight w:val="none"/>
              </w:rPr>
              <w:t>。</w:t>
            </w:r>
          </w:p>
        </w:tc>
        <w:tc>
          <w:tcPr>
            <w:tcW w:w="549" w:type="dxa"/>
          </w:tcPr>
          <w:p w14:paraId="311B96D9">
            <w:pPr>
              <w:spacing w:line="360" w:lineRule="auto"/>
              <w:ind w:left="0" w:leftChars="0" w:firstLine="511" w:firstLineChars="213"/>
              <w:rPr>
                <w:rFonts w:ascii="宋体" w:hAnsi="宋体"/>
                <w:sz w:val="24"/>
                <w:szCs w:val="24"/>
                <w:highlight w:val="none"/>
              </w:rPr>
            </w:pPr>
          </w:p>
        </w:tc>
      </w:tr>
      <w:tr w14:paraId="21D15F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674" w:type="dxa"/>
            <w:vMerge w:val="continue"/>
          </w:tcPr>
          <w:p w14:paraId="52B5D12D">
            <w:pPr>
              <w:spacing w:line="360" w:lineRule="auto"/>
              <w:ind w:left="0" w:leftChars="0" w:firstLine="511" w:firstLineChars="213"/>
              <w:rPr>
                <w:rFonts w:ascii="宋体" w:hAnsi="宋体"/>
                <w:sz w:val="24"/>
                <w:szCs w:val="24"/>
                <w:highlight w:val="none"/>
              </w:rPr>
            </w:pPr>
          </w:p>
        </w:tc>
        <w:tc>
          <w:tcPr>
            <w:tcW w:w="1170" w:type="dxa"/>
            <w:vMerge w:val="continue"/>
            <w:tcBorders>
              <w:top w:val="nil"/>
              <w:bottom w:val="nil"/>
            </w:tcBorders>
          </w:tcPr>
          <w:p w14:paraId="721F4BD1">
            <w:pPr>
              <w:spacing w:line="360" w:lineRule="auto"/>
              <w:ind w:left="0" w:leftChars="0" w:firstLine="511" w:firstLineChars="213"/>
              <w:rPr>
                <w:rFonts w:ascii="宋体" w:hAnsi="宋体"/>
                <w:sz w:val="24"/>
                <w:szCs w:val="24"/>
                <w:highlight w:val="none"/>
              </w:rPr>
            </w:pPr>
          </w:p>
        </w:tc>
        <w:tc>
          <w:tcPr>
            <w:tcW w:w="6133" w:type="dxa"/>
          </w:tcPr>
          <w:p w14:paraId="5098ACB8">
            <w:pPr>
              <w:spacing w:line="360" w:lineRule="auto"/>
              <w:ind w:left="0" w:leftChars="0" w:firstLine="519" w:firstLineChars="213"/>
              <w:rPr>
                <w:rFonts w:ascii="宋体" w:hAnsi="宋体" w:cs="仿宋"/>
                <w:sz w:val="24"/>
                <w:szCs w:val="24"/>
                <w:highlight w:val="none"/>
              </w:rPr>
            </w:pPr>
            <w:r>
              <w:rPr>
                <w:rFonts w:ascii="宋体" w:hAnsi="宋体" w:cs="仿宋"/>
                <w:spacing w:val="2"/>
                <w:sz w:val="24"/>
                <w:szCs w:val="24"/>
                <w:highlight w:val="none"/>
              </w:rPr>
              <w:t>按照明确的食材品质、规格大小、品牌、品种等</w:t>
            </w:r>
            <w:r>
              <w:rPr>
                <w:rFonts w:ascii="宋体" w:hAnsi="宋体" w:cs="仿宋"/>
                <w:sz w:val="24"/>
                <w:szCs w:val="24"/>
                <w:highlight w:val="none"/>
              </w:rPr>
              <w:t>进行</w:t>
            </w:r>
            <w:r>
              <w:rPr>
                <w:rFonts w:ascii="宋体" w:hAnsi="宋体" w:cs="仿宋"/>
                <w:spacing w:val="-1"/>
                <w:sz w:val="24"/>
                <w:szCs w:val="24"/>
                <w:highlight w:val="none"/>
              </w:rPr>
              <w:t>验</w:t>
            </w:r>
            <w:r>
              <w:rPr>
                <w:rFonts w:ascii="宋体" w:hAnsi="宋体" w:cs="仿宋"/>
                <w:sz w:val="24"/>
                <w:szCs w:val="24"/>
                <w:highlight w:val="none"/>
              </w:rPr>
              <w:t>收。如有违反，每次扣2分。</w:t>
            </w:r>
          </w:p>
        </w:tc>
        <w:tc>
          <w:tcPr>
            <w:tcW w:w="549" w:type="dxa"/>
          </w:tcPr>
          <w:p w14:paraId="0C9D92E1">
            <w:pPr>
              <w:spacing w:line="360" w:lineRule="auto"/>
              <w:ind w:left="0" w:leftChars="0" w:firstLine="511" w:firstLineChars="213"/>
              <w:rPr>
                <w:rFonts w:ascii="宋体" w:hAnsi="宋体"/>
                <w:sz w:val="24"/>
                <w:szCs w:val="24"/>
                <w:highlight w:val="none"/>
              </w:rPr>
            </w:pPr>
          </w:p>
        </w:tc>
      </w:tr>
      <w:tr w14:paraId="3F80BB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674" w:type="dxa"/>
            <w:vMerge w:val="continue"/>
          </w:tcPr>
          <w:p w14:paraId="6CD29B81">
            <w:pPr>
              <w:spacing w:line="360" w:lineRule="auto"/>
              <w:ind w:left="0" w:leftChars="0" w:firstLine="511" w:firstLineChars="213"/>
              <w:rPr>
                <w:rFonts w:ascii="宋体" w:hAnsi="宋体"/>
                <w:sz w:val="24"/>
                <w:szCs w:val="24"/>
                <w:highlight w:val="none"/>
              </w:rPr>
            </w:pPr>
          </w:p>
        </w:tc>
        <w:tc>
          <w:tcPr>
            <w:tcW w:w="1170" w:type="dxa"/>
            <w:vMerge w:val="continue"/>
            <w:tcBorders>
              <w:top w:val="nil"/>
            </w:tcBorders>
          </w:tcPr>
          <w:p w14:paraId="2F9E130C">
            <w:pPr>
              <w:spacing w:line="360" w:lineRule="auto"/>
              <w:ind w:left="0" w:leftChars="0" w:firstLine="511" w:firstLineChars="213"/>
              <w:rPr>
                <w:rFonts w:ascii="宋体" w:hAnsi="宋体"/>
                <w:sz w:val="24"/>
                <w:szCs w:val="24"/>
                <w:highlight w:val="none"/>
              </w:rPr>
            </w:pPr>
          </w:p>
        </w:tc>
        <w:tc>
          <w:tcPr>
            <w:tcW w:w="6133" w:type="dxa"/>
          </w:tcPr>
          <w:p w14:paraId="760A962B">
            <w:pPr>
              <w:spacing w:line="360" w:lineRule="auto"/>
              <w:ind w:left="0" w:leftChars="0" w:firstLine="553" w:firstLineChars="213"/>
              <w:rPr>
                <w:rFonts w:ascii="宋体" w:hAnsi="宋体" w:cs="仿宋"/>
                <w:sz w:val="24"/>
                <w:szCs w:val="24"/>
                <w:highlight w:val="none"/>
              </w:rPr>
            </w:pPr>
            <w:r>
              <w:rPr>
                <w:rFonts w:ascii="宋体" w:hAnsi="宋体" w:cs="仿宋"/>
                <w:spacing w:val="10"/>
                <w:sz w:val="24"/>
                <w:szCs w:val="24"/>
                <w:highlight w:val="none"/>
              </w:rPr>
              <w:t>查看</w:t>
            </w:r>
            <w:r>
              <w:rPr>
                <w:rFonts w:ascii="宋体" w:hAnsi="宋体" w:cs="仿宋"/>
                <w:spacing w:val="5"/>
                <w:sz w:val="24"/>
                <w:szCs w:val="24"/>
                <w:highlight w:val="none"/>
              </w:rPr>
              <w:t>配送的袋装产品有无质量合格证明、生产许可证。</w:t>
            </w:r>
            <w:r>
              <w:rPr>
                <w:rFonts w:ascii="宋体" w:hAnsi="宋体" w:cs="仿宋"/>
                <w:spacing w:val="-4"/>
                <w:sz w:val="24"/>
                <w:szCs w:val="24"/>
                <w:highlight w:val="none"/>
              </w:rPr>
              <w:t>如有违</w:t>
            </w:r>
            <w:r>
              <w:rPr>
                <w:rFonts w:ascii="宋体" w:hAnsi="宋体" w:cs="仿宋"/>
                <w:spacing w:val="-3"/>
                <w:sz w:val="24"/>
                <w:szCs w:val="24"/>
                <w:highlight w:val="none"/>
              </w:rPr>
              <w:t>反</w:t>
            </w:r>
            <w:r>
              <w:rPr>
                <w:rFonts w:ascii="宋体" w:hAnsi="宋体" w:cs="仿宋"/>
                <w:spacing w:val="-2"/>
                <w:sz w:val="24"/>
                <w:szCs w:val="24"/>
                <w:highlight w:val="none"/>
              </w:rPr>
              <w:t>，每次扣2分。</w:t>
            </w:r>
          </w:p>
        </w:tc>
        <w:tc>
          <w:tcPr>
            <w:tcW w:w="549" w:type="dxa"/>
          </w:tcPr>
          <w:p w14:paraId="28AA12CE">
            <w:pPr>
              <w:spacing w:line="360" w:lineRule="auto"/>
              <w:ind w:left="0" w:leftChars="0" w:firstLine="511" w:firstLineChars="213"/>
              <w:rPr>
                <w:rFonts w:ascii="宋体" w:hAnsi="宋体"/>
                <w:sz w:val="24"/>
                <w:szCs w:val="24"/>
                <w:highlight w:val="none"/>
              </w:rPr>
            </w:pPr>
          </w:p>
        </w:tc>
      </w:tr>
      <w:tr w14:paraId="723774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674" w:type="dxa"/>
            <w:vMerge w:val="continue"/>
          </w:tcPr>
          <w:p w14:paraId="38F4CD5D">
            <w:pPr>
              <w:spacing w:line="360" w:lineRule="auto"/>
              <w:ind w:left="0" w:leftChars="0" w:firstLine="511" w:firstLineChars="213"/>
              <w:rPr>
                <w:rFonts w:ascii="宋体" w:hAnsi="宋体"/>
                <w:sz w:val="24"/>
                <w:szCs w:val="24"/>
                <w:highlight w:val="none"/>
              </w:rPr>
            </w:pPr>
          </w:p>
        </w:tc>
        <w:tc>
          <w:tcPr>
            <w:tcW w:w="1170" w:type="dxa"/>
            <w:vMerge w:val="restart"/>
            <w:tcBorders>
              <w:bottom w:val="nil"/>
            </w:tcBorders>
          </w:tcPr>
          <w:p w14:paraId="4FE404F3">
            <w:pPr>
              <w:spacing w:line="360" w:lineRule="auto"/>
              <w:ind w:left="0" w:leftChars="0" w:firstLine="511" w:firstLineChars="213"/>
              <w:rPr>
                <w:rFonts w:ascii="宋体" w:hAnsi="宋体"/>
                <w:sz w:val="24"/>
                <w:szCs w:val="24"/>
                <w:highlight w:val="none"/>
              </w:rPr>
            </w:pPr>
          </w:p>
          <w:p w14:paraId="39F14E4E">
            <w:pPr>
              <w:spacing w:line="360" w:lineRule="auto"/>
              <w:ind w:left="0" w:leftChars="0" w:firstLine="511" w:firstLineChars="213"/>
              <w:rPr>
                <w:rFonts w:ascii="宋体" w:hAnsi="宋体"/>
                <w:sz w:val="24"/>
                <w:szCs w:val="24"/>
                <w:highlight w:val="none"/>
              </w:rPr>
            </w:pPr>
          </w:p>
          <w:p w14:paraId="67613DED">
            <w:pPr>
              <w:spacing w:line="360" w:lineRule="auto"/>
              <w:rPr>
                <w:rFonts w:ascii="宋体" w:hAnsi="宋体" w:cs="仿宋"/>
                <w:sz w:val="24"/>
                <w:szCs w:val="24"/>
                <w:highlight w:val="none"/>
              </w:rPr>
            </w:pPr>
            <w:r>
              <w:rPr>
                <w:rFonts w:ascii="宋体" w:hAnsi="宋体" w:cs="仿宋"/>
                <w:spacing w:val="-15"/>
                <w:sz w:val="24"/>
                <w:szCs w:val="24"/>
                <w:highlight w:val="none"/>
              </w:rPr>
              <w:t>台</w:t>
            </w:r>
            <w:r>
              <w:rPr>
                <w:rFonts w:ascii="宋体" w:hAnsi="宋体" w:cs="仿宋"/>
                <w:spacing w:val="-11"/>
                <w:sz w:val="24"/>
                <w:szCs w:val="24"/>
                <w:highlight w:val="none"/>
              </w:rPr>
              <w:t>账齐</w:t>
            </w:r>
            <w:r>
              <w:rPr>
                <w:rFonts w:ascii="宋体" w:hAnsi="宋体" w:cs="仿宋"/>
                <w:spacing w:val="-18"/>
                <w:sz w:val="24"/>
                <w:szCs w:val="24"/>
                <w:highlight w:val="none"/>
              </w:rPr>
              <w:t>全</w:t>
            </w:r>
            <w:r>
              <w:rPr>
                <w:rFonts w:ascii="宋体" w:hAnsi="宋体" w:cs="仿宋"/>
                <w:spacing w:val="-15"/>
                <w:sz w:val="24"/>
                <w:szCs w:val="24"/>
                <w:highlight w:val="none"/>
              </w:rPr>
              <w:t>20分</w:t>
            </w:r>
          </w:p>
        </w:tc>
        <w:tc>
          <w:tcPr>
            <w:tcW w:w="6133" w:type="dxa"/>
          </w:tcPr>
          <w:p w14:paraId="76C1A836">
            <w:pPr>
              <w:spacing w:line="360" w:lineRule="auto"/>
              <w:ind w:left="0" w:leftChars="0" w:firstLine="528" w:firstLineChars="213"/>
              <w:rPr>
                <w:rFonts w:ascii="宋体" w:hAnsi="宋体" w:cs="仿宋"/>
                <w:sz w:val="24"/>
                <w:szCs w:val="24"/>
                <w:highlight w:val="none"/>
              </w:rPr>
            </w:pPr>
            <w:r>
              <w:rPr>
                <w:rFonts w:ascii="宋体" w:hAnsi="宋体" w:cs="仿宋"/>
                <w:spacing w:val="4"/>
                <w:sz w:val="24"/>
                <w:szCs w:val="24"/>
                <w:highlight w:val="none"/>
              </w:rPr>
              <w:t>进出</w:t>
            </w:r>
            <w:r>
              <w:rPr>
                <w:rFonts w:ascii="宋体" w:hAnsi="宋体" w:cs="仿宋"/>
                <w:spacing w:val="3"/>
                <w:sz w:val="24"/>
                <w:szCs w:val="24"/>
                <w:highlight w:val="none"/>
              </w:rPr>
              <w:t>库</w:t>
            </w:r>
            <w:r>
              <w:rPr>
                <w:rFonts w:ascii="宋体" w:hAnsi="宋体" w:cs="仿宋"/>
                <w:spacing w:val="2"/>
                <w:sz w:val="24"/>
                <w:szCs w:val="24"/>
                <w:highlight w:val="none"/>
              </w:rPr>
              <w:t>记录齐全。如有违反，每次扣1分。</w:t>
            </w:r>
          </w:p>
        </w:tc>
        <w:tc>
          <w:tcPr>
            <w:tcW w:w="549" w:type="dxa"/>
          </w:tcPr>
          <w:p w14:paraId="1067303A">
            <w:pPr>
              <w:spacing w:line="360" w:lineRule="auto"/>
              <w:ind w:left="0" w:leftChars="0" w:firstLine="511" w:firstLineChars="213"/>
              <w:rPr>
                <w:rFonts w:ascii="宋体" w:hAnsi="宋体"/>
                <w:sz w:val="24"/>
                <w:szCs w:val="24"/>
                <w:highlight w:val="none"/>
              </w:rPr>
            </w:pPr>
          </w:p>
        </w:tc>
      </w:tr>
      <w:tr w14:paraId="07B888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674" w:type="dxa"/>
            <w:vMerge w:val="continue"/>
          </w:tcPr>
          <w:p w14:paraId="18F31B24">
            <w:pPr>
              <w:spacing w:line="360" w:lineRule="auto"/>
              <w:ind w:left="0" w:leftChars="0" w:firstLine="511" w:firstLineChars="213"/>
              <w:rPr>
                <w:rFonts w:ascii="宋体" w:hAnsi="宋体"/>
                <w:sz w:val="24"/>
                <w:szCs w:val="24"/>
                <w:highlight w:val="none"/>
              </w:rPr>
            </w:pPr>
          </w:p>
        </w:tc>
        <w:tc>
          <w:tcPr>
            <w:tcW w:w="1170" w:type="dxa"/>
            <w:vMerge w:val="continue"/>
            <w:tcBorders>
              <w:top w:val="nil"/>
              <w:bottom w:val="nil"/>
            </w:tcBorders>
          </w:tcPr>
          <w:p w14:paraId="0422AA5F">
            <w:pPr>
              <w:spacing w:line="360" w:lineRule="auto"/>
              <w:ind w:left="0" w:leftChars="0" w:firstLine="511" w:firstLineChars="213"/>
              <w:rPr>
                <w:rFonts w:ascii="宋体" w:hAnsi="宋体"/>
                <w:sz w:val="24"/>
                <w:szCs w:val="24"/>
                <w:highlight w:val="none"/>
              </w:rPr>
            </w:pPr>
          </w:p>
        </w:tc>
        <w:tc>
          <w:tcPr>
            <w:tcW w:w="6133" w:type="dxa"/>
          </w:tcPr>
          <w:p w14:paraId="58CD63A7">
            <w:pPr>
              <w:spacing w:line="360" w:lineRule="auto"/>
              <w:ind w:left="0" w:leftChars="0" w:firstLine="566" w:firstLineChars="213"/>
              <w:rPr>
                <w:rFonts w:ascii="宋体" w:hAnsi="宋体" w:cs="仿宋"/>
                <w:sz w:val="24"/>
                <w:szCs w:val="24"/>
                <w:highlight w:val="none"/>
              </w:rPr>
            </w:pPr>
            <w:r>
              <w:rPr>
                <w:rFonts w:ascii="宋体" w:hAnsi="宋体" w:cs="仿宋"/>
                <w:spacing w:val="13"/>
                <w:sz w:val="24"/>
                <w:szCs w:val="24"/>
                <w:highlight w:val="none"/>
              </w:rPr>
              <w:t>水</w:t>
            </w:r>
            <w:r>
              <w:rPr>
                <w:rFonts w:ascii="宋体" w:hAnsi="宋体" w:cs="仿宋"/>
                <w:spacing w:val="12"/>
                <w:sz w:val="24"/>
                <w:szCs w:val="24"/>
                <w:highlight w:val="none"/>
              </w:rPr>
              <w:t>果、蔬菜残留农药检验、检测记录。如有违反，每</w:t>
            </w:r>
            <w:r>
              <w:rPr>
                <w:rFonts w:ascii="宋体" w:hAnsi="宋体" w:cs="仿宋"/>
                <w:spacing w:val="-13"/>
                <w:sz w:val="24"/>
                <w:szCs w:val="24"/>
                <w:highlight w:val="none"/>
              </w:rPr>
              <w:t>次扣1分。</w:t>
            </w:r>
          </w:p>
        </w:tc>
        <w:tc>
          <w:tcPr>
            <w:tcW w:w="549" w:type="dxa"/>
          </w:tcPr>
          <w:p w14:paraId="10EAA29A">
            <w:pPr>
              <w:spacing w:line="360" w:lineRule="auto"/>
              <w:ind w:left="0" w:leftChars="0" w:firstLine="511" w:firstLineChars="213"/>
              <w:rPr>
                <w:rFonts w:ascii="宋体" w:hAnsi="宋体"/>
                <w:sz w:val="24"/>
                <w:szCs w:val="24"/>
                <w:highlight w:val="none"/>
              </w:rPr>
            </w:pPr>
          </w:p>
        </w:tc>
      </w:tr>
      <w:tr w14:paraId="0C02F5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674" w:type="dxa"/>
            <w:vMerge w:val="continue"/>
          </w:tcPr>
          <w:p w14:paraId="60A0E30F">
            <w:pPr>
              <w:spacing w:line="360" w:lineRule="auto"/>
              <w:ind w:left="0" w:leftChars="0" w:firstLine="511" w:firstLineChars="213"/>
              <w:rPr>
                <w:rFonts w:ascii="宋体" w:hAnsi="宋体"/>
                <w:sz w:val="24"/>
                <w:szCs w:val="24"/>
                <w:highlight w:val="none"/>
              </w:rPr>
            </w:pPr>
          </w:p>
        </w:tc>
        <w:tc>
          <w:tcPr>
            <w:tcW w:w="1170" w:type="dxa"/>
            <w:vMerge w:val="continue"/>
            <w:tcBorders>
              <w:top w:val="nil"/>
              <w:bottom w:val="nil"/>
            </w:tcBorders>
          </w:tcPr>
          <w:p w14:paraId="2886CF1A">
            <w:pPr>
              <w:spacing w:line="360" w:lineRule="auto"/>
              <w:ind w:left="0" w:leftChars="0" w:firstLine="511" w:firstLineChars="213"/>
              <w:rPr>
                <w:rFonts w:ascii="宋体" w:hAnsi="宋体"/>
                <w:sz w:val="24"/>
                <w:szCs w:val="24"/>
                <w:highlight w:val="none"/>
              </w:rPr>
            </w:pPr>
          </w:p>
        </w:tc>
        <w:tc>
          <w:tcPr>
            <w:tcW w:w="6133" w:type="dxa"/>
          </w:tcPr>
          <w:p w14:paraId="183C01F7">
            <w:pPr>
              <w:spacing w:line="360" w:lineRule="auto"/>
              <w:ind w:left="0" w:leftChars="0" w:firstLine="515" w:firstLineChars="213"/>
              <w:rPr>
                <w:rFonts w:ascii="宋体" w:hAnsi="宋体" w:cs="仿宋"/>
                <w:sz w:val="24"/>
                <w:szCs w:val="24"/>
                <w:highlight w:val="none"/>
              </w:rPr>
            </w:pPr>
            <w:r>
              <w:rPr>
                <w:rFonts w:ascii="宋体" w:hAnsi="宋体" w:cs="仿宋"/>
                <w:spacing w:val="1"/>
                <w:sz w:val="24"/>
                <w:szCs w:val="24"/>
                <w:highlight w:val="none"/>
              </w:rPr>
              <w:t>72小时食品留样记录。如有违</w:t>
            </w:r>
            <w:r>
              <w:rPr>
                <w:rFonts w:ascii="宋体" w:hAnsi="宋体" w:cs="仿宋"/>
                <w:sz w:val="24"/>
                <w:szCs w:val="24"/>
                <w:highlight w:val="none"/>
              </w:rPr>
              <w:t>反，每次扣1分。</w:t>
            </w:r>
          </w:p>
        </w:tc>
        <w:tc>
          <w:tcPr>
            <w:tcW w:w="549" w:type="dxa"/>
          </w:tcPr>
          <w:p w14:paraId="2D8190DB">
            <w:pPr>
              <w:spacing w:line="360" w:lineRule="auto"/>
              <w:ind w:left="0" w:leftChars="0" w:firstLine="511" w:firstLineChars="213"/>
              <w:rPr>
                <w:rFonts w:ascii="宋体" w:hAnsi="宋体"/>
                <w:sz w:val="24"/>
                <w:szCs w:val="24"/>
                <w:highlight w:val="none"/>
              </w:rPr>
            </w:pPr>
          </w:p>
        </w:tc>
      </w:tr>
      <w:tr w14:paraId="3A7D13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674" w:type="dxa"/>
            <w:vMerge w:val="continue"/>
          </w:tcPr>
          <w:p w14:paraId="5561A532">
            <w:pPr>
              <w:spacing w:line="360" w:lineRule="auto"/>
              <w:ind w:left="0" w:leftChars="0" w:firstLine="511" w:firstLineChars="213"/>
              <w:rPr>
                <w:rFonts w:ascii="宋体" w:hAnsi="宋体"/>
                <w:sz w:val="24"/>
                <w:szCs w:val="24"/>
                <w:highlight w:val="none"/>
              </w:rPr>
            </w:pPr>
          </w:p>
        </w:tc>
        <w:tc>
          <w:tcPr>
            <w:tcW w:w="1170" w:type="dxa"/>
            <w:vMerge w:val="continue"/>
            <w:tcBorders>
              <w:top w:val="nil"/>
              <w:bottom w:val="nil"/>
            </w:tcBorders>
          </w:tcPr>
          <w:p w14:paraId="0ED0933D">
            <w:pPr>
              <w:spacing w:line="360" w:lineRule="auto"/>
              <w:ind w:left="0" w:leftChars="0" w:firstLine="511" w:firstLineChars="213"/>
              <w:rPr>
                <w:rFonts w:ascii="宋体" w:hAnsi="宋体"/>
                <w:sz w:val="24"/>
                <w:szCs w:val="24"/>
                <w:highlight w:val="none"/>
              </w:rPr>
            </w:pPr>
          </w:p>
        </w:tc>
        <w:tc>
          <w:tcPr>
            <w:tcW w:w="6133" w:type="dxa"/>
          </w:tcPr>
          <w:p w14:paraId="49ECE9E6">
            <w:pPr>
              <w:spacing w:line="360" w:lineRule="auto"/>
              <w:ind w:left="0" w:leftChars="0" w:firstLine="515" w:firstLineChars="213"/>
              <w:rPr>
                <w:rFonts w:ascii="宋体" w:hAnsi="宋体" w:cs="仿宋"/>
                <w:sz w:val="24"/>
                <w:szCs w:val="24"/>
                <w:highlight w:val="none"/>
              </w:rPr>
            </w:pPr>
            <w:r>
              <w:rPr>
                <w:rFonts w:ascii="宋体" w:hAnsi="宋体" w:cs="仿宋"/>
                <w:spacing w:val="1"/>
                <w:sz w:val="24"/>
                <w:szCs w:val="24"/>
                <w:highlight w:val="none"/>
              </w:rPr>
              <w:t>规范台账、票据规范、及时。如有违反</w:t>
            </w:r>
            <w:r>
              <w:rPr>
                <w:rFonts w:ascii="宋体" w:hAnsi="宋体" w:cs="仿宋"/>
                <w:sz w:val="24"/>
                <w:szCs w:val="24"/>
                <w:highlight w:val="none"/>
              </w:rPr>
              <w:t>，每次扣1分。</w:t>
            </w:r>
          </w:p>
        </w:tc>
        <w:tc>
          <w:tcPr>
            <w:tcW w:w="549" w:type="dxa"/>
          </w:tcPr>
          <w:p w14:paraId="20F87F72">
            <w:pPr>
              <w:spacing w:line="360" w:lineRule="auto"/>
              <w:ind w:left="0" w:leftChars="0" w:firstLine="511" w:firstLineChars="213"/>
              <w:rPr>
                <w:rFonts w:ascii="宋体" w:hAnsi="宋体"/>
                <w:sz w:val="24"/>
                <w:szCs w:val="24"/>
                <w:highlight w:val="none"/>
              </w:rPr>
            </w:pPr>
          </w:p>
        </w:tc>
      </w:tr>
      <w:tr w14:paraId="454ED7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674" w:type="dxa"/>
            <w:vMerge w:val="continue"/>
          </w:tcPr>
          <w:p w14:paraId="780DEF72">
            <w:pPr>
              <w:spacing w:line="360" w:lineRule="auto"/>
              <w:ind w:left="0" w:leftChars="0" w:firstLine="511" w:firstLineChars="213"/>
              <w:rPr>
                <w:rFonts w:ascii="宋体" w:hAnsi="宋体"/>
                <w:sz w:val="24"/>
                <w:szCs w:val="24"/>
                <w:highlight w:val="none"/>
              </w:rPr>
            </w:pPr>
          </w:p>
        </w:tc>
        <w:tc>
          <w:tcPr>
            <w:tcW w:w="1170" w:type="dxa"/>
            <w:vMerge w:val="continue"/>
            <w:tcBorders>
              <w:top w:val="nil"/>
            </w:tcBorders>
          </w:tcPr>
          <w:p w14:paraId="247E07CB">
            <w:pPr>
              <w:spacing w:line="360" w:lineRule="auto"/>
              <w:ind w:left="0" w:leftChars="0" w:firstLine="511" w:firstLineChars="213"/>
              <w:rPr>
                <w:rFonts w:ascii="宋体" w:hAnsi="宋体"/>
                <w:sz w:val="24"/>
                <w:szCs w:val="24"/>
                <w:highlight w:val="none"/>
              </w:rPr>
            </w:pPr>
          </w:p>
        </w:tc>
        <w:tc>
          <w:tcPr>
            <w:tcW w:w="6133" w:type="dxa"/>
          </w:tcPr>
          <w:p w14:paraId="58F82664">
            <w:pPr>
              <w:spacing w:line="360" w:lineRule="auto"/>
              <w:ind w:left="0" w:leftChars="0" w:firstLine="506" w:firstLineChars="213"/>
              <w:rPr>
                <w:rFonts w:ascii="宋体" w:hAnsi="宋体" w:cs="仿宋"/>
                <w:sz w:val="24"/>
                <w:szCs w:val="24"/>
                <w:highlight w:val="none"/>
              </w:rPr>
            </w:pPr>
            <w:r>
              <w:rPr>
                <w:rFonts w:ascii="宋体" w:hAnsi="宋体" w:cs="仿宋"/>
                <w:spacing w:val="-1"/>
                <w:sz w:val="24"/>
                <w:szCs w:val="24"/>
                <w:highlight w:val="none"/>
              </w:rPr>
              <w:t>退换货记录齐全(含图片)。如有违反，每次扣1</w:t>
            </w:r>
            <w:r>
              <w:rPr>
                <w:rFonts w:ascii="宋体" w:hAnsi="宋体" w:cs="仿宋"/>
                <w:sz w:val="24"/>
                <w:szCs w:val="24"/>
                <w:highlight w:val="none"/>
              </w:rPr>
              <w:t>分。</w:t>
            </w:r>
          </w:p>
        </w:tc>
        <w:tc>
          <w:tcPr>
            <w:tcW w:w="549" w:type="dxa"/>
          </w:tcPr>
          <w:p w14:paraId="2DF36176">
            <w:pPr>
              <w:spacing w:line="360" w:lineRule="auto"/>
              <w:ind w:left="0" w:leftChars="0" w:firstLine="511" w:firstLineChars="213"/>
              <w:rPr>
                <w:rFonts w:ascii="宋体" w:hAnsi="宋体"/>
                <w:sz w:val="24"/>
                <w:szCs w:val="24"/>
                <w:highlight w:val="none"/>
              </w:rPr>
            </w:pPr>
          </w:p>
        </w:tc>
      </w:tr>
      <w:tr w14:paraId="6D1C87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674" w:type="dxa"/>
            <w:vMerge w:val="continue"/>
          </w:tcPr>
          <w:p w14:paraId="3F324BFD">
            <w:pPr>
              <w:spacing w:line="360" w:lineRule="auto"/>
              <w:ind w:left="0" w:leftChars="0" w:firstLine="511" w:firstLineChars="213"/>
              <w:rPr>
                <w:rFonts w:ascii="宋体" w:hAnsi="宋体"/>
                <w:sz w:val="24"/>
                <w:szCs w:val="24"/>
                <w:highlight w:val="none"/>
              </w:rPr>
            </w:pPr>
          </w:p>
        </w:tc>
        <w:tc>
          <w:tcPr>
            <w:tcW w:w="1170" w:type="dxa"/>
            <w:vMerge w:val="restart"/>
          </w:tcPr>
          <w:p w14:paraId="2C0DB401">
            <w:pPr>
              <w:spacing w:line="360" w:lineRule="auto"/>
              <w:ind w:left="0" w:leftChars="0" w:firstLine="511" w:firstLineChars="213"/>
              <w:rPr>
                <w:rFonts w:ascii="宋体" w:hAnsi="宋体"/>
                <w:sz w:val="24"/>
                <w:szCs w:val="24"/>
                <w:highlight w:val="none"/>
              </w:rPr>
            </w:pPr>
          </w:p>
          <w:p w14:paraId="6C6BCDC9">
            <w:pPr>
              <w:spacing w:line="360" w:lineRule="auto"/>
              <w:rPr>
                <w:rFonts w:ascii="宋体" w:hAnsi="宋体" w:cs="仿宋"/>
                <w:sz w:val="24"/>
                <w:szCs w:val="24"/>
                <w:highlight w:val="none"/>
              </w:rPr>
            </w:pPr>
            <w:r>
              <w:rPr>
                <w:rFonts w:ascii="宋体" w:hAnsi="宋体" w:cs="仿宋"/>
                <w:spacing w:val="-8"/>
                <w:sz w:val="24"/>
                <w:szCs w:val="24"/>
                <w:highlight w:val="none"/>
              </w:rPr>
              <w:t>服</w:t>
            </w:r>
            <w:r>
              <w:rPr>
                <w:rFonts w:ascii="宋体" w:hAnsi="宋体" w:cs="仿宋"/>
                <w:spacing w:val="-7"/>
                <w:sz w:val="24"/>
                <w:szCs w:val="24"/>
                <w:highlight w:val="none"/>
              </w:rPr>
              <w:t>务管</w:t>
            </w:r>
            <w:r>
              <w:rPr>
                <w:rFonts w:ascii="宋体" w:hAnsi="宋体" w:cs="仿宋"/>
                <w:spacing w:val="-15"/>
                <w:sz w:val="24"/>
                <w:szCs w:val="24"/>
                <w:highlight w:val="none"/>
              </w:rPr>
              <w:t>理10分</w:t>
            </w:r>
          </w:p>
        </w:tc>
        <w:tc>
          <w:tcPr>
            <w:tcW w:w="6133" w:type="dxa"/>
          </w:tcPr>
          <w:p w14:paraId="1B3A5AD7">
            <w:pPr>
              <w:spacing w:line="360" w:lineRule="auto"/>
              <w:ind w:left="0" w:leftChars="0" w:firstLine="532" w:firstLineChars="213"/>
              <w:rPr>
                <w:rFonts w:ascii="宋体" w:hAnsi="宋体" w:cs="仿宋"/>
                <w:sz w:val="24"/>
                <w:szCs w:val="24"/>
                <w:highlight w:val="none"/>
              </w:rPr>
            </w:pPr>
            <w:r>
              <w:rPr>
                <w:rFonts w:ascii="宋体" w:hAnsi="宋体" w:cs="仿宋"/>
                <w:spacing w:val="5"/>
                <w:sz w:val="24"/>
                <w:szCs w:val="24"/>
                <w:highlight w:val="none"/>
              </w:rPr>
              <w:t>到达服务单位后货物摆放按要求：离地、有货物标牌</w:t>
            </w:r>
            <w:r>
              <w:rPr>
                <w:rFonts w:ascii="宋体" w:hAnsi="宋体" w:cs="仿宋"/>
                <w:spacing w:val="2"/>
                <w:sz w:val="24"/>
                <w:szCs w:val="24"/>
                <w:highlight w:val="none"/>
              </w:rPr>
              <w:t>、</w:t>
            </w:r>
            <w:r>
              <w:rPr>
                <w:rFonts w:ascii="宋体" w:hAnsi="宋体" w:cs="仿宋"/>
                <w:spacing w:val="1"/>
                <w:sz w:val="24"/>
                <w:szCs w:val="24"/>
                <w:highlight w:val="none"/>
              </w:rPr>
              <w:t>垫仓板。如</w:t>
            </w:r>
            <w:r>
              <w:rPr>
                <w:rFonts w:ascii="宋体" w:hAnsi="宋体" w:cs="仿宋"/>
                <w:sz w:val="24"/>
                <w:szCs w:val="24"/>
                <w:highlight w:val="none"/>
              </w:rPr>
              <w:t>有违反，每次扣2分。</w:t>
            </w:r>
          </w:p>
        </w:tc>
        <w:tc>
          <w:tcPr>
            <w:tcW w:w="549" w:type="dxa"/>
          </w:tcPr>
          <w:p w14:paraId="23B1AD9E">
            <w:pPr>
              <w:spacing w:line="360" w:lineRule="auto"/>
              <w:ind w:left="0" w:leftChars="0" w:firstLine="511" w:firstLineChars="213"/>
              <w:rPr>
                <w:rFonts w:ascii="宋体" w:hAnsi="宋体"/>
                <w:sz w:val="24"/>
                <w:szCs w:val="24"/>
                <w:highlight w:val="none"/>
              </w:rPr>
            </w:pPr>
          </w:p>
        </w:tc>
      </w:tr>
      <w:tr w14:paraId="2DDBE5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0" w:hRule="atLeast"/>
        </w:trPr>
        <w:tc>
          <w:tcPr>
            <w:tcW w:w="674" w:type="dxa"/>
            <w:vMerge w:val="continue"/>
          </w:tcPr>
          <w:p w14:paraId="277BD004">
            <w:pPr>
              <w:spacing w:line="360" w:lineRule="auto"/>
              <w:ind w:left="0" w:leftChars="0" w:firstLine="511" w:firstLineChars="213"/>
              <w:rPr>
                <w:rFonts w:ascii="宋体" w:hAnsi="宋体"/>
                <w:sz w:val="24"/>
                <w:szCs w:val="24"/>
                <w:highlight w:val="none"/>
              </w:rPr>
            </w:pPr>
          </w:p>
        </w:tc>
        <w:tc>
          <w:tcPr>
            <w:tcW w:w="1170" w:type="dxa"/>
            <w:vMerge w:val="continue"/>
          </w:tcPr>
          <w:p w14:paraId="34DFC65C">
            <w:pPr>
              <w:spacing w:line="360" w:lineRule="auto"/>
              <w:ind w:left="0" w:leftChars="0" w:firstLine="511" w:firstLineChars="213"/>
              <w:rPr>
                <w:rFonts w:ascii="宋体" w:hAnsi="宋体"/>
                <w:sz w:val="24"/>
                <w:szCs w:val="24"/>
                <w:highlight w:val="none"/>
              </w:rPr>
            </w:pPr>
          </w:p>
        </w:tc>
        <w:tc>
          <w:tcPr>
            <w:tcW w:w="6133" w:type="dxa"/>
          </w:tcPr>
          <w:p w14:paraId="60BE1987">
            <w:pPr>
              <w:spacing w:line="360" w:lineRule="auto"/>
              <w:ind w:left="0" w:leftChars="0" w:firstLine="545" w:firstLineChars="213"/>
              <w:rPr>
                <w:rFonts w:ascii="宋体" w:hAnsi="宋体" w:cs="仿宋"/>
                <w:sz w:val="24"/>
                <w:szCs w:val="24"/>
                <w:highlight w:val="none"/>
              </w:rPr>
            </w:pPr>
            <w:r>
              <w:rPr>
                <w:rFonts w:ascii="宋体" w:hAnsi="宋体" w:cs="仿宋"/>
                <w:spacing w:val="8"/>
                <w:sz w:val="24"/>
                <w:szCs w:val="24"/>
                <w:highlight w:val="none"/>
              </w:rPr>
              <w:t>在高温时</w:t>
            </w:r>
            <w:r>
              <w:rPr>
                <w:rFonts w:ascii="宋体" w:hAnsi="宋体" w:cs="仿宋"/>
                <w:spacing w:val="4"/>
                <w:sz w:val="24"/>
                <w:szCs w:val="24"/>
                <w:highlight w:val="none"/>
              </w:rPr>
              <w:t>配送生鲜、生肉时进行保鲜措施。如有违反，</w:t>
            </w:r>
            <w:r>
              <w:rPr>
                <w:rFonts w:ascii="宋体" w:hAnsi="宋体" w:cs="仿宋"/>
                <w:spacing w:val="-13"/>
                <w:sz w:val="24"/>
                <w:szCs w:val="24"/>
                <w:highlight w:val="none"/>
              </w:rPr>
              <w:t>每</w:t>
            </w:r>
            <w:r>
              <w:rPr>
                <w:rFonts w:ascii="宋体" w:hAnsi="宋体" w:cs="仿宋"/>
                <w:spacing w:val="-11"/>
                <w:sz w:val="24"/>
                <w:szCs w:val="24"/>
                <w:highlight w:val="none"/>
              </w:rPr>
              <w:t>次扣2分。</w:t>
            </w:r>
          </w:p>
        </w:tc>
        <w:tc>
          <w:tcPr>
            <w:tcW w:w="549" w:type="dxa"/>
          </w:tcPr>
          <w:p w14:paraId="0D24954F">
            <w:pPr>
              <w:spacing w:line="360" w:lineRule="auto"/>
              <w:ind w:left="0" w:leftChars="0" w:firstLine="511" w:firstLineChars="213"/>
              <w:rPr>
                <w:rFonts w:ascii="宋体" w:hAnsi="宋体"/>
                <w:sz w:val="24"/>
                <w:szCs w:val="24"/>
                <w:highlight w:val="none"/>
              </w:rPr>
            </w:pPr>
          </w:p>
        </w:tc>
      </w:tr>
      <w:tr w14:paraId="7329B9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0" w:hRule="atLeast"/>
        </w:trPr>
        <w:tc>
          <w:tcPr>
            <w:tcW w:w="674" w:type="dxa"/>
            <w:vMerge w:val="continue"/>
          </w:tcPr>
          <w:p w14:paraId="2AF0327C">
            <w:pPr>
              <w:spacing w:line="360" w:lineRule="auto"/>
              <w:ind w:left="0" w:leftChars="0" w:firstLine="511" w:firstLineChars="213"/>
              <w:rPr>
                <w:rFonts w:ascii="宋体" w:hAnsi="宋体"/>
                <w:sz w:val="24"/>
                <w:szCs w:val="24"/>
                <w:highlight w:val="none"/>
              </w:rPr>
            </w:pPr>
          </w:p>
        </w:tc>
        <w:tc>
          <w:tcPr>
            <w:tcW w:w="1170" w:type="dxa"/>
            <w:vMerge w:val="continue"/>
          </w:tcPr>
          <w:p w14:paraId="2668BF0E">
            <w:pPr>
              <w:spacing w:line="360" w:lineRule="auto"/>
              <w:ind w:left="0" w:leftChars="0" w:firstLine="511" w:firstLineChars="213"/>
              <w:rPr>
                <w:rFonts w:ascii="宋体" w:hAnsi="宋体"/>
                <w:sz w:val="24"/>
                <w:szCs w:val="24"/>
                <w:highlight w:val="none"/>
              </w:rPr>
            </w:pPr>
          </w:p>
        </w:tc>
        <w:tc>
          <w:tcPr>
            <w:tcW w:w="6133" w:type="dxa"/>
          </w:tcPr>
          <w:p w14:paraId="06883FDA">
            <w:pPr>
              <w:spacing w:line="360" w:lineRule="auto"/>
              <w:ind w:left="0" w:leftChars="0" w:firstLine="553" w:firstLineChars="213"/>
              <w:rPr>
                <w:rFonts w:ascii="宋体" w:hAnsi="宋体" w:cs="仿宋"/>
                <w:sz w:val="24"/>
                <w:szCs w:val="24"/>
                <w:highlight w:val="none"/>
              </w:rPr>
            </w:pPr>
            <w:r>
              <w:rPr>
                <w:rFonts w:ascii="宋体" w:hAnsi="宋体" w:cs="仿宋"/>
                <w:spacing w:val="10"/>
                <w:sz w:val="24"/>
                <w:szCs w:val="24"/>
                <w:highlight w:val="none"/>
              </w:rPr>
              <w:t>按时</w:t>
            </w:r>
            <w:r>
              <w:rPr>
                <w:rFonts w:ascii="宋体" w:hAnsi="宋体" w:cs="仿宋"/>
                <w:spacing w:val="7"/>
                <w:sz w:val="24"/>
                <w:szCs w:val="24"/>
                <w:highlight w:val="none"/>
              </w:rPr>
              <w:t>到</w:t>
            </w:r>
            <w:r>
              <w:rPr>
                <w:rFonts w:ascii="宋体" w:hAnsi="宋体" w:cs="仿宋"/>
                <w:spacing w:val="5"/>
                <w:sz w:val="24"/>
                <w:szCs w:val="24"/>
                <w:highlight w:val="none"/>
              </w:rPr>
              <w:t>位，有专用配送篮，避免二次伤害，专车专送。</w:t>
            </w:r>
            <w:r>
              <w:rPr>
                <w:rFonts w:ascii="宋体" w:hAnsi="宋体" w:cs="仿宋"/>
                <w:spacing w:val="-4"/>
                <w:sz w:val="24"/>
                <w:szCs w:val="24"/>
                <w:highlight w:val="none"/>
              </w:rPr>
              <w:t>如有违</w:t>
            </w:r>
            <w:r>
              <w:rPr>
                <w:rFonts w:ascii="宋体" w:hAnsi="宋体" w:cs="仿宋"/>
                <w:spacing w:val="-3"/>
                <w:sz w:val="24"/>
                <w:szCs w:val="24"/>
                <w:highlight w:val="none"/>
              </w:rPr>
              <w:t>反</w:t>
            </w:r>
            <w:r>
              <w:rPr>
                <w:rFonts w:ascii="宋体" w:hAnsi="宋体" w:cs="仿宋"/>
                <w:spacing w:val="-2"/>
                <w:sz w:val="24"/>
                <w:szCs w:val="24"/>
                <w:highlight w:val="none"/>
              </w:rPr>
              <w:t>，每次扣2分。</w:t>
            </w:r>
          </w:p>
        </w:tc>
        <w:tc>
          <w:tcPr>
            <w:tcW w:w="549" w:type="dxa"/>
          </w:tcPr>
          <w:p w14:paraId="483708AC">
            <w:pPr>
              <w:spacing w:line="360" w:lineRule="auto"/>
              <w:ind w:left="0" w:leftChars="0" w:firstLine="511" w:firstLineChars="213"/>
              <w:rPr>
                <w:rFonts w:ascii="宋体" w:hAnsi="宋体"/>
                <w:sz w:val="24"/>
                <w:szCs w:val="24"/>
                <w:highlight w:val="none"/>
              </w:rPr>
            </w:pPr>
          </w:p>
        </w:tc>
      </w:tr>
      <w:tr w14:paraId="1B3BD2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0" w:hRule="atLeast"/>
        </w:trPr>
        <w:tc>
          <w:tcPr>
            <w:tcW w:w="674" w:type="dxa"/>
            <w:vMerge w:val="continue"/>
          </w:tcPr>
          <w:p w14:paraId="69DA6B71">
            <w:pPr>
              <w:spacing w:line="360" w:lineRule="auto"/>
              <w:ind w:left="0" w:leftChars="0" w:firstLine="511" w:firstLineChars="213"/>
              <w:rPr>
                <w:rFonts w:ascii="宋体" w:hAnsi="宋体"/>
                <w:sz w:val="24"/>
                <w:szCs w:val="24"/>
                <w:highlight w:val="none"/>
              </w:rPr>
            </w:pPr>
          </w:p>
        </w:tc>
        <w:tc>
          <w:tcPr>
            <w:tcW w:w="1170" w:type="dxa"/>
            <w:vMerge w:val="continue"/>
          </w:tcPr>
          <w:p w14:paraId="5A052225">
            <w:pPr>
              <w:spacing w:line="360" w:lineRule="auto"/>
              <w:ind w:left="0" w:leftChars="0" w:firstLine="511" w:firstLineChars="213"/>
              <w:rPr>
                <w:rFonts w:ascii="宋体" w:hAnsi="宋体"/>
                <w:sz w:val="24"/>
                <w:szCs w:val="24"/>
                <w:highlight w:val="none"/>
              </w:rPr>
            </w:pPr>
          </w:p>
        </w:tc>
        <w:tc>
          <w:tcPr>
            <w:tcW w:w="6133" w:type="dxa"/>
          </w:tcPr>
          <w:p w14:paraId="53049DFC">
            <w:pPr>
              <w:spacing w:line="360" w:lineRule="auto"/>
              <w:ind w:left="0" w:leftChars="0" w:firstLine="545" w:firstLineChars="213"/>
              <w:rPr>
                <w:rFonts w:ascii="宋体" w:hAnsi="宋体" w:cs="仿宋"/>
                <w:sz w:val="24"/>
                <w:szCs w:val="24"/>
                <w:highlight w:val="none"/>
              </w:rPr>
            </w:pPr>
            <w:r>
              <w:rPr>
                <w:rFonts w:ascii="宋体" w:hAnsi="宋体" w:cs="仿宋"/>
                <w:spacing w:val="8"/>
                <w:sz w:val="24"/>
                <w:szCs w:val="24"/>
                <w:highlight w:val="none"/>
              </w:rPr>
              <w:t>按</w:t>
            </w:r>
            <w:r>
              <w:rPr>
                <w:rFonts w:ascii="宋体" w:hAnsi="宋体" w:cs="仿宋"/>
                <w:spacing w:val="4"/>
                <w:sz w:val="24"/>
                <w:szCs w:val="24"/>
                <w:highlight w:val="none"/>
              </w:rPr>
              <w:t>制定品牌食品采购。如有违反，</w:t>
            </w:r>
            <w:r>
              <w:rPr>
                <w:rFonts w:ascii="宋体" w:hAnsi="宋体" w:cs="仿宋"/>
                <w:spacing w:val="-13"/>
                <w:sz w:val="24"/>
                <w:szCs w:val="24"/>
                <w:highlight w:val="none"/>
              </w:rPr>
              <w:t>每</w:t>
            </w:r>
            <w:r>
              <w:rPr>
                <w:rFonts w:ascii="宋体" w:hAnsi="宋体" w:cs="仿宋"/>
                <w:spacing w:val="-11"/>
                <w:sz w:val="24"/>
                <w:szCs w:val="24"/>
                <w:highlight w:val="none"/>
              </w:rPr>
              <w:t>次扣2分。</w:t>
            </w:r>
          </w:p>
        </w:tc>
        <w:tc>
          <w:tcPr>
            <w:tcW w:w="549" w:type="dxa"/>
          </w:tcPr>
          <w:p w14:paraId="1E18B441">
            <w:pPr>
              <w:spacing w:line="360" w:lineRule="auto"/>
              <w:ind w:left="0" w:leftChars="0" w:firstLine="511" w:firstLineChars="213"/>
              <w:rPr>
                <w:rFonts w:ascii="宋体" w:hAnsi="宋体"/>
                <w:sz w:val="24"/>
                <w:szCs w:val="24"/>
                <w:highlight w:val="none"/>
              </w:rPr>
            </w:pPr>
          </w:p>
        </w:tc>
      </w:tr>
      <w:tr w14:paraId="7EC8DE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0" w:hRule="atLeast"/>
        </w:trPr>
        <w:tc>
          <w:tcPr>
            <w:tcW w:w="674" w:type="dxa"/>
            <w:vMerge w:val="continue"/>
          </w:tcPr>
          <w:p w14:paraId="469380C7">
            <w:pPr>
              <w:spacing w:line="360" w:lineRule="auto"/>
              <w:ind w:left="0" w:leftChars="0" w:firstLine="511" w:firstLineChars="213"/>
              <w:rPr>
                <w:rFonts w:ascii="宋体" w:hAnsi="宋体"/>
                <w:sz w:val="24"/>
                <w:szCs w:val="24"/>
                <w:highlight w:val="none"/>
              </w:rPr>
            </w:pPr>
          </w:p>
        </w:tc>
        <w:tc>
          <w:tcPr>
            <w:tcW w:w="1170" w:type="dxa"/>
            <w:vMerge w:val="continue"/>
          </w:tcPr>
          <w:p w14:paraId="6DF7618E">
            <w:pPr>
              <w:spacing w:line="360" w:lineRule="auto"/>
              <w:ind w:left="0" w:leftChars="0" w:firstLine="511" w:firstLineChars="213"/>
              <w:rPr>
                <w:rFonts w:ascii="宋体" w:hAnsi="宋体"/>
                <w:sz w:val="24"/>
                <w:szCs w:val="24"/>
                <w:highlight w:val="none"/>
              </w:rPr>
            </w:pPr>
          </w:p>
        </w:tc>
        <w:tc>
          <w:tcPr>
            <w:tcW w:w="6133" w:type="dxa"/>
          </w:tcPr>
          <w:p w14:paraId="599EF4A0">
            <w:pPr>
              <w:spacing w:line="360" w:lineRule="auto"/>
              <w:ind w:left="0" w:leftChars="0" w:firstLine="515" w:firstLineChars="213"/>
              <w:rPr>
                <w:rFonts w:ascii="宋体" w:hAnsi="宋体" w:cs="仿宋"/>
                <w:sz w:val="24"/>
                <w:szCs w:val="24"/>
                <w:highlight w:val="none"/>
              </w:rPr>
            </w:pPr>
            <w:r>
              <w:rPr>
                <w:rFonts w:ascii="宋体" w:hAnsi="宋体" w:cs="仿宋"/>
                <w:spacing w:val="1"/>
                <w:sz w:val="24"/>
                <w:szCs w:val="24"/>
                <w:highlight w:val="none"/>
              </w:rPr>
              <w:t>退换货及时响应，及时配送</w:t>
            </w:r>
            <w:r>
              <w:rPr>
                <w:rFonts w:ascii="宋体" w:hAnsi="宋体" w:cs="仿宋"/>
                <w:sz w:val="24"/>
                <w:szCs w:val="24"/>
                <w:highlight w:val="none"/>
              </w:rPr>
              <w:t>。如有违反，每次扣2分。</w:t>
            </w:r>
          </w:p>
        </w:tc>
        <w:tc>
          <w:tcPr>
            <w:tcW w:w="549" w:type="dxa"/>
          </w:tcPr>
          <w:p w14:paraId="769AD0EA">
            <w:pPr>
              <w:spacing w:line="360" w:lineRule="auto"/>
              <w:ind w:left="0" w:leftChars="0" w:firstLine="511" w:firstLineChars="213"/>
              <w:rPr>
                <w:rFonts w:ascii="宋体" w:hAnsi="宋体"/>
                <w:sz w:val="24"/>
                <w:szCs w:val="24"/>
                <w:highlight w:val="none"/>
              </w:rPr>
            </w:pPr>
          </w:p>
        </w:tc>
      </w:tr>
      <w:tr w14:paraId="5AEDF1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0" w:hRule="atLeast"/>
        </w:trPr>
        <w:tc>
          <w:tcPr>
            <w:tcW w:w="674" w:type="dxa"/>
            <w:vMerge w:val="continue"/>
          </w:tcPr>
          <w:p w14:paraId="51B948EC">
            <w:pPr>
              <w:spacing w:line="360" w:lineRule="auto"/>
              <w:ind w:left="0" w:leftChars="0" w:firstLine="511" w:firstLineChars="213"/>
              <w:rPr>
                <w:rFonts w:ascii="宋体" w:hAnsi="宋体"/>
                <w:sz w:val="24"/>
                <w:szCs w:val="24"/>
                <w:highlight w:val="none"/>
              </w:rPr>
            </w:pPr>
          </w:p>
        </w:tc>
        <w:tc>
          <w:tcPr>
            <w:tcW w:w="1170" w:type="dxa"/>
            <w:vMerge w:val="continue"/>
          </w:tcPr>
          <w:p w14:paraId="158967E9">
            <w:pPr>
              <w:spacing w:line="360" w:lineRule="auto"/>
              <w:ind w:left="0" w:leftChars="0" w:firstLine="511" w:firstLineChars="213"/>
              <w:rPr>
                <w:rFonts w:ascii="宋体" w:hAnsi="宋体"/>
                <w:sz w:val="24"/>
                <w:szCs w:val="24"/>
                <w:highlight w:val="none"/>
              </w:rPr>
            </w:pPr>
          </w:p>
        </w:tc>
        <w:tc>
          <w:tcPr>
            <w:tcW w:w="6133" w:type="dxa"/>
          </w:tcPr>
          <w:p w14:paraId="531FB5B7">
            <w:pPr>
              <w:spacing w:line="360" w:lineRule="auto"/>
              <w:ind w:left="0" w:leftChars="0" w:firstLine="587" w:firstLineChars="213"/>
              <w:rPr>
                <w:rFonts w:ascii="宋体" w:hAnsi="宋体" w:cs="仿宋"/>
                <w:sz w:val="24"/>
                <w:szCs w:val="24"/>
                <w:highlight w:val="none"/>
              </w:rPr>
            </w:pPr>
            <w:r>
              <w:rPr>
                <w:rFonts w:ascii="宋体" w:hAnsi="宋体" w:cs="仿宋"/>
                <w:spacing w:val="18"/>
                <w:sz w:val="24"/>
                <w:szCs w:val="24"/>
                <w:highlight w:val="none"/>
              </w:rPr>
              <w:t>按</w:t>
            </w:r>
            <w:r>
              <w:rPr>
                <w:rFonts w:ascii="宋体" w:hAnsi="宋体" w:cs="仿宋"/>
                <w:spacing w:val="14"/>
                <w:sz w:val="24"/>
                <w:szCs w:val="24"/>
                <w:highlight w:val="none"/>
              </w:rPr>
              <w:t>机</w:t>
            </w:r>
            <w:r>
              <w:rPr>
                <w:rFonts w:ascii="宋体" w:hAnsi="宋体" w:cs="仿宋"/>
                <w:spacing w:val="9"/>
                <w:sz w:val="24"/>
                <w:szCs w:val="24"/>
                <w:highlight w:val="none"/>
              </w:rPr>
              <w:t>关需要配送，保质保量，及时配送。如有违反，</w:t>
            </w:r>
            <w:r>
              <w:rPr>
                <w:rFonts w:ascii="宋体" w:hAnsi="宋体" w:cs="仿宋"/>
                <w:spacing w:val="-13"/>
                <w:sz w:val="24"/>
                <w:szCs w:val="24"/>
                <w:highlight w:val="none"/>
              </w:rPr>
              <w:t>每</w:t>
            </w:r>
            <w:r>
              <w:rPr>
                <w:rFonts w:ascii="宋体" w:hAnsi="宋体" w:cs="仿宋"/>
                <w:spacing w:val="-11"/>
                <w:sz w:val="24"/>
                <w:szCs w:val="24"/>
                <w:highlight w:val="none"/>
              </w:rPr>
              <w:t>次扣2分。</w:t>
            </w:r>
          </w:p>
        </w:tc>
        <w:tc>
          <w:tcPr>
            <w:tcW w:w="549" w:type="dxa"/>
          </w:tcPr>
          <w:p w14:paraId="56B6798A">
            <w:pPr>
              <w:spacing w:line="360" w:lineRule="auto"/>
              <w:ind w:left="0" w:leftChars="0" w:firstLine="511" w:firstLineChars="213"/>
              <w:rPr>
                <w:rFonts w:ascii="宋体" w:hAnsi="宋体"/>
                <w:sz w:val="24"/>
                <w:szCs w:val="24"/>
                <w:highlight w:val="none"/>
              </w:rPr>
            </w:pPr>
          </w:p>
        </w:tc>
      </w:tr>
      <w:tr w14:paraId="60619E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0" w:hRule="atLeast"/>
        </w:trPr>
        <w:tc>
          <w:tcPr>
            <w:tcW w:w="674" w:type="dxa"/>
            <w:vMerge w:val="continue"/>
          </w:tcPr>
          <w:p w14:paraId="28F164A3">
            <w:pPr>
              <w:spacing w:line="360" w:lineRule="auto"/>
              <w:ind w:left="0" w:leftChars="0" w:firstLine="511" w:firstLineChars="213"/>
              <w:rPr>
                <w:rFonts w:ascii="宋体" w:hAnsi="宋体"/>
                <w:sz w:val="24"/>
                <w:szCs w:val="24"/>
                <w:highlight w:val="none"/>
              </w:rPr>
            </w:pPr>
          </w:p>
        </w:tc>
        <w:tc>
          <w:tcPr>
            <w:tcW w:w="1170" w:type="dxa"/>
            <w:vMerge w:val="continue"/>
          </w:tcPr>
          <w:p w14:paraId="1C125F25">
            <w:pPr>
              <w:spacing w:line="360" w:lineRule="auto"/>
              <w:ind w:left="0" w:leftChars="0" w:firstLine="511" w:firstLineChars="213"/>
              <w:rPr>
                <w:rFonts w:ascii="宋体" w:hAnsi="宋体"/>
                <w:sz w:val="24"/>
                <w:szCs w:val="24"/>
                <w:highlight w:val="none"/>
              </w:rPr>
            </w:pPr>
          </w:p>
        </w:tc>
        <w:tc>
          <w:tcPr>
            <w:tcW w:w="6133" w:type="dxa"/>
          </w:tcPr>
          <w:p w14:paraId="3BD687C8">
            <w:pPr>
              <w:spacing w:line="360" w:lineRule="auto"/>
              <w:ind w:left="0" w:leftChars="0" w:firstLine="519" w:firstLineChars="213"/>
              <w:rPr>
                <w:rFonts w:ascii="宋体" w:hAnsi="宋体" w:cs="仿宋"/>
                <w:sz w:val="24"/>
                <w:szCs w:val="24"/>
                <w:highlight w:val="none"/>
              </w:rPr>
            </w:pPr>
            <w:r>
              <w:rPr>
                <w:rFonts w:ascii="宋体" w:hAnsi="宋体" w:cs="仿宋"/>
                <w:spacing w:val="2"/>
                <w:sz w:val="24"/>
                <w:szCs w:val="24"/>
                <w:highlight w:val="none"/>
              </w:rPr>
              <w:t>设立应急配送点，每次应急配送响应需在</w:t>
            </w:r>
            <w:r>
              <w:rPr>
                <w:rFonts w:hint="eastAsia" w:ascii="宋体" w:hAnsi="宋体" w:cs="仿宋"/>
                <w:spacing w:val="2"/>
                <w:sz w:val="24"/>
                <w:szCs w:val="24"/>
                <w:highlight w:val="none"/>
              </w:rPr>
              <w:t>1小时</w:t>
            </w:r>
            <w:r>
              <w:rPr>
                <w:rFonts w:ascii="宋体" w:hAnsi="宋体" w:cs="仿宋"/>
                <w:spacing w:val="1"/>
                <w:sz w:val="24"/>
                <w:szCs w:val="24"/>
                <w:highlight w:val="none"/>
              </w:rPr>
              <w:t>内</w:t>
            </w:r>
            <w:r>
              <w:rPr>
                <w:rFonts w:ascii="宋体" w:hAnsi="宋体" w:cs="仿宋"/>
                <w:sz w:val="24"/>
                <w:szCs w:val="24"/>
                <w:highlight w:val="none"/>
              </w:rPr>
              <w:t>送</w:t>
            </w:r>
            <w:r>
              <w:rPr>
                <w:rFonts w:ascii="宋体" w:hAnsi="宋体" w:cs="仿宋"/>
                <w:spacing w:val="-2"/>
                <w:sz w:val="24"/>
                <w:szCs w:val="24"/>
                <w:highlight w:val="none"/>
              </w:rPr>
              <w:t>到。如有</w:t>
            </w:r>
            <w:r>
              <w:rPr>
                <w:rFonts w:ascii="宋体" w:hAnsi="宋体" w:cs="仿宋"/>
                <w:spacing w:val="-1"/>
                <w:sz w:val="24"/>
                <w:szCs w:val="24"/>
                <w:highlight w:val="none"/>
              </w:rPr>
              <w:t>违反，每次扣2分。</w:t>
            </w:r>
          </w:p>
        </w:tc>
        <w:tc>
          <w:tcPr>
            <w:tcW w:w="549" w:type="dxa"/>
          </w:tcPr>
          <w:p w14:paraId="62E71CEE">
            <w:pPr>
              <w:spacing w:line="360" w:lineRule="auto"/>
              <w:ind w:left="0" w:leftChars="0" w:firstLine="511" w:firstLineChars="213"/>
              <w:rPr>
                <w:rFonts w:ascii="宋体" w:hAnsi="宋体"/>
                <w:sz w:val="24"/>
                <w:szCs w:val="24"/>
                <w:highlight w:val="none"/>
              </w:rPr>
            </w:pPr>
          </w:p>
        </w:tc>
      </w:tr>
      <w:tr w14:paraId="39DA62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0" w:hRule="atLeast"/>
        </w:trPr>
        <w:tc>
          <w:tcPr>
            <w:tcW w:w="674" w:type="dxa"/>
            <w:vMerge w:val="continue"/>
          </w:tcPr>
          <w:p w14:paraId="4E649216">
            <w:pPr>
              <w:spacing w:line="360" w:lineRule="auto"/>
              <w:ind w:left="0" w:leftChars="0" w:firstLine="511" w:firstLineChars="213"/>
              <w:rPr>
                <w:rFonts w:ascii="宋体" w:hAnsi="宋体"/>
                <w:sz w:val="24"/>
                <w:szCs w:val="24"/>
                <w:highlight w:val="none"/>
              </w:rPr>
            </w:pPr>
          </w:p>
        </w:tc>
        <w:tc>
          <w:tcPr>
            <w:tcW w:w="1170" w:type="dxa"/>
            <w:vMerge w:val="continue"/>
          </w:tcPr>
          <w:p w14:paraId="4D650042">
            <w:pPr>
              <w:spacing w:line="360" w:lineRule="auto"/>
              <w:ind w:left="0" w:leftChars="0" w:firstLine="511" w:firstLineChars="213"/>
              <w:rPr>
                <w:rFonts w:ascii="宋体" w:hAnsi="宋体"/>
                <w:sz w:val="24"/>
                <w:szCs w:val="24"/>
                <w:highlight w:val="none"/>
              </w:rPr>
            </w:pPr>
          </w:p>
        </w:tc>
        <w:tc>
          <w:tcPr>
            <w:tcW w:w="6133" w:type="dxa"/>
          </w:tcPr>
          <w:p w14:paraId="0A41F603">
            <w:pPr>
              <w:spacing w:line="360" w:lineRule="auto"/>
              <w:ind w:left="0" w:leftChars="0" w:firstLine="545" w:firstLineChars="213"/>
              <w:rPr>
                <w:rFonts w:ascii="宋体" w:hAnsi="宋体" w:cs="仿宋"/>
                <w:sz w:val="24"/>
                <w:szCs w:val="24"/>
                <w:highlight w:val="none"/>
              </w:rPr>
            </w:pPr>
            <w:r>
              <w:rPr>
                <w:rFonts w:ascii="宋体" w:hAnsi="宋体" w:cs="仿宋"/>
                <w:spacing w:val="8"/>
                <w:sz w:val="24"/>
                <w:szCs w:val="24"/>
                <w:highlight w:val="none"/>
              </w:rPr>
              <w:t>按照管理</w:t>
            </w:r>
            <w:r>
              <w:rPr>
                <w:rFonts w:ascii="宋体" w:hAnsi="宋体" w:cs="仿宋"/>
                <w:spacing w:val="6"/>
                <w:sz w:val="24"/>
                <w:szCs w:val="24"/>
                <w:highlight w:val="none"/>
              </w:rPr>
              <w:t>科</w:t>
            </w:r>
            <w:r>
              <w:rPr>
                <w:rFonts w:ascii="宋体" w:hAnsi="宋体" w:cs="仿宋"/>
                <w:spacing w:val="4"/>
                <w:sz w:val="24"/>
                <w:szCs w:val="24"/>
                <w:highlight w:val="none"/>
              </w:rPr>
              <w:t>室要求及时报送工作总结，总结内容详细，</w:t>
            </w:r>
            <w:r>
              <w:rPr>
                <w:rFonts w:ascii="宋体" w:hAnsi="宋体" w:cs="仿宋"/>
                <w:spacing w:val="2"/>
                <w:sz w:val="24"/>
                <w:szCs w:val="24"/>
                <w:highlight w:val="none"/>
              </w:rPr>
              <w:t>并符合要求。如</w:t>
            </w:r>
            <w:r>
              <w:rPr>
                <w:rFonts w:ascii="宋体" w:hAnsi="宋体" w:cs="仿宋"/>
                <w:spacing w:val="1"/>
                <w:sz w:val="24"/>
                <w:szCs w:val="24"/>
                <w:highlight w:val="none"/>
              </w:rPr>
              <w:t>有违反，每次扣</w:t>
            </w:r>
            <w:r>
              <w:rPr>
                <w:rFonts w:hint="eastAsia" w:ascii="宋体" w:hAnsi="宋体" w:cs="仿宋"/>
                <w:spacing w:val="1"/>
                <w:sz w:val="24"/>
                <w:szCs w:val="24"/>
                <w:highlight w:val="none"/>
              </w:rPr>
              <w:t>1</w:t>
            </w:r>
            <w:r>
              <w:rPr>
                <w:rFonts w:ascii="宋体" w:hAnsi="宋体" w:cs="仿宋"/>
                <w:spacing w:val="1"/>
                <w:sz w:val="24"/>
                <w:szCs w:val="24"/>
                <w:highlight w:val="none"/>
              </w:rPr>
              <w:t>分。</w:t>
            </w:r>
          </w:p>
        </w:tc>
        <w:tc>
          <w:tcPr>
            <w:tcW w:w="549" w:type="dxa"/>
          </w:tcPr>
          <w:p w14:paraId="0E71171A">
            <w:pPr>
              <w:spacing w:line="360" w:lineRule="auto"/>
              <w:ind w:left="0" w:leftChars="0" w:firstLine="511" w:firstLineChars="213"/>
              <w:rPr>
                <w:rFonts w:ascii="宋体" w:hAnsi="宋体"/>
                <w:sz w:val="24"/>
                <w:szCs w:val="24"/>
                <w:highlight w:val="none"/>
              </w:rPr>
            </w:pPr>
          </w:p>
        </w:tc>
      </w:tr>
    </w:tbl>
    <w:p w14:paraId="3739BE5C">
      <w:pPr>
        <w:spacing w:line="360" w:lineRule="auto"/>
        <w:ind w:left="0" w:leftChars="0" w:firstLine="481" w:firstLineChars="213"/>
        <w:rPr>
          <w:rFonts w:ascii="宋体" w:hAnsi="宋体" w:cs="仿宋"/>
          <w:spacing w:val="-7"/>
          <w:sz w:val="24"/>
          <w:szCs w:val="24"/>
          <w:highlight w:val="none"/>
        </w:rPr>
      </w:pPr>
      <w:r>
        <w:rPr>
          <w:rFonts w:ascii="宋体" w:hAnsi="宋体" w:cs="仿宋"/>
          <w:spacing w:val="-7"/>
          <w:sz w:val="24"/>
          <w:szCs w:val="24"/>
          <w:highlight w:val="none"/>
        </w:rPr>
        <w:t>配送公司：</w:t>
      </w:r>
      <w:r>
        <w:rPr>
          <w:rFonts w:hint="eastAsia" w:ascii="宋体" w:hAnsi="宋体" w:cs="仿宋"/>
          <w:spacing w:val="-7"/>
          <w:sz w:val="24"/>
          <w:szCs w:val="24"/>
          <w:highlight w:val="none"/>
        </w:rPr>
        <w:t xml:space="preserve">                                   </w:t>
      </w:r>
      <w:r>
        <w:rPr>
          <w:rFonts w:ascii="宋体" w:hAnsi="宋体" w:cs="仿宋"/>
          <w:spacing w:val="-7"/>
          <w:sz w:val="24"/>
          <w:szCs w:val="24"/>
          <w:highlight w:val="none"/>
        </w:rPr>
        <w:t>验收人：</w:t>
      </w:r>
      <w:r>
        <w:rPr>
          <w:rFonts w:hint="eastAsia" w:ascii="宋体" w:hAnsi="宋体" w:cs="仿宋"/>
          <w:spacing w:val="-7"/>
          <w:sz w:val="24"/>
          <w:szCs w:val="24"/>
          <w:highlight w:val="none"/>
        </w:rPr>
        <w:t xml:space="preserve"> </w:t>
      </w:r>
    </w:p>
    <w:p w14:paraId="5F860A3F">
      <w:pPr>
        <w:spacing w:line="360" w:lineRule="auto"/>
        <w:ind w:left="0" w:leftChars="0" w:firstLine="481" w:firstLineChars="213"/>
        <w:rPr>
          <w:rFonts w:ascii="宋体" w:hAnsi="宋体" w:cs="仿宋"/>
          <w:spacing w:val="-7"/>
          <w:sz w:val="24"/>
          <w:szCs w:val="24"/>
          <w:highlight w:val="none"/>
        </w:rPr>
      </w:pPr>
      <w:r>
        <w:rPr>
          <w:rFonts w:hint="eastAsia" w:ascii="宋体" w:hAnsi="宋体" w:cs="仿宋"/>
          <w:spacing w:val="-7"/>
          <w:sz w:val="24"/>
          <w:szCs w:val="24"/>
          <w:highlight w:val="none"/>
        </w:rPr>
        <w:t xml:space="preserve">配送员：                                     </w:t>
      </w:r>
      <w:r>
        <w:rPr>
          <w:rFonts w:ascii="宋体" w:hAnsi="宋体" w:cs="仿宋"/>
          <w:spacing w:val="-7"/>
          <w:sz w:val="24"/>
          <w:szCs w:val="24"/>
          <w:highlight w:val="none"/>
        </w:rPr>
        <w:t>责任</w:t>
      </w:r>
      <w:r>
        <w:rPr>
          <w:rFonts w:hint="eastAsia" w:ascii="宋体" w:hAnsi="宋体" w:cs="仿宋"/>
          <w:spacing w:val="-7"/>
          <w:sz w:val="24"/>
          <w:szCs w:val="24"/>
          <w:highlight w:val="none"/>
          <w:lang w:eastAsia="zh-CN"/>
        </w:rPr>
        <w:t>处室</w:t>
      </w:r>
      <w:r>
        <w:rPr>
          <w:rFonts w:hint="eastAsia" w:ascii="宋体" w:hAnsi="宋体" w:cs="仿宋"/>
          <w:spacing w:val="-7"/>
          <w:sz w:val="24"/>
          <w:szCs w:val="24"/>
          <w:highlight w:val="none"/>
        </w:rPr>
        <w:t>负责人：</w:t>
      </w:r>
    </w:p>
    <w:p w14:paraId="14FB1E46">
      <w:pPr>
        <w:pStyle w:val="3"/>
        <w:spacing w:line="360" w:lineRule="auto"/>
        <w:ind w:left="0" w:leftChars="0" w:firstLine="447" w:firstLineChars="213"/>
        <w:rPr>
          <w:highlight w:val="none"/>
        </w:rPr>
      </w:pPr>
    </w:p>
    <w:sectPr>
      <w:type w:val="continuous"/>
      <w:pgSz w:w="11906" w:h="16838"/>
      <w:pgMar w:top="1440" w:right="1686" w:bottom="1440" w:left="16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E3C05C8F-A17C-469C-9594-DE106E95B5EB}"/>
  </w:font>
  <w:font w:name="黑体">
    <w:panose1 w:val="02010609060101010101"/>
    <w:charset w:val="86"/>
    <w:family w:val="auto"/>
    <w:pitch w:val="default"/>
    <w:sig w:usb0="800002BF" w:usb1="38CF7CFA" w:usb2="00000016" w:usb3="00000000" w:csb0="00040001" w:csb1="00000000"/>
    <w:embedRegular r:id="rId2" w:fontKey="{D53DEF13-DF53-4067-90FC-32646A31B62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embedRegular r:id="rId3" w:fontKey="{00AA4C05-6DC6-41FE-BB92-269314B1E2A8}"/>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embedRegular r:id="rId4" w:fontKey="{E624DB95-E5A9-42E3-98A9-DAF5FF719A8B}"/>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Helvetica Neue">
    <w:altName w:val="Corbel"/>
    <w:panose1 w:val="00000000000000000000"/>
    <w:charset w:val="00"/>
    <w:family w:val="auto"/>
    <w:pitch w:val="default"/>
    <w:sig w:usb0="00000000" w:usb1="00000000" w:usb2="00000000" w:usb3="00000000" w:csb0="00040001" w:csb1="00000000"/>
  </w:font>
  <w:font w:name="Corbel">
    <w:panose1 w:val="020B0503020204020204"/>
    <w:charset w:val="00"/>
    <w:family w:val="auto"/>
    <w:pitch w:val="default"/>
    <w:sig w:usb0="A00002EF" w:usb1="4000A44B" w:usb2="00000000" w:usb3="00000000" w:csb0="2000019F" w:csb1="00000000"/>
  </w:font>
  <w:font w:name="方正黑体_GBK">
    <w:altName w:val="微软雅黑"/>
    <w:panose1 w:val="02000000000000000000"/>
    <w:charset w:val="86"/>
    <w:family w:val="script"/>
    <w:pitch w:val="default"/>
    <w:sig w:usb0="00000000" w:usb1="00000000" w:usb2="00082016" w:usb3="00000000" w:csb0="00040001" w:csb1="00000000"/>
  </w:font>
  <w:font w:name="微软雅黑">
    <w:panose1 w:val="020B0503020204020204"/>
    <w:charset w:val="86"/>
    <w:family w:val="auto"/>
    <w:pitch w:val="default"/>
    <w:sig w:usb0="80000287" w:usb1="2ACF3C50" w:usb2="00000016" w:usb3="00000000" w:csb0="0004001F" w:csb1="00000000"/>
  </w:font>
  <w:font w:name="Arial Unicode MS">
    <w:altName w:val="宋体"/>
    <w:panose1 w:val="020B0604020202020204"/>
    <w:charset w:val="86"/>
    <w:family w:val="swiss"/>
    <w:pitch w:val="default"/>
    <w:sig w:usb0="00000000" w:usb1="00000000" w:usb2="0000003F" w:usb3="00000000" w:csb0="603F01FF" w:csb1="FFFF0000"/>
  </w:font>
  <w:font w:name="方正小标宋_GBK">
    <w:panose1 w:val="02000000000000000000"/>
    <w:charset w:val="86"/>
    <w:family w:val="auto"/>
    <w:pitch w:val="default"/>
    <w:sig w:usb0="A00002BF" w:usb1="38CF7CFA" w:usb2="00082016" w:usb3="00000000" w:csb0="00040001" w:csb1="00000000"/>
    <w:embedRegular r:id="rId5" w:fontKey="{004C5187-E25D-450F-8CEA-7B3FBEF79B7E}"/>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Cambria">
    <w:panose1 w:val="02040503050406030204"/>
    <w:charset w:val="00"/>
    <w:family w:val="roman"/>
    <w:pitch w:val="default"/>
    <w:sig w:usb0="E00006FF" w:usb1="420024FF" w:usb2="02000000" w:usb3="00000000" w:csb0="2000019F" w:csb1="00000000"/>
  </w:font>
  <w:font w:name="方正仿宋简体">
    <w:altName w:val="微软雅黑"/>
    <w:panose1 w:val="02000000000000000000"/>
    <w:charset w:val="86"/>
    <w:family w:val="auto"/>
    <w:pitch w:val="default"/>
    <w:sig w:usb0="00000000" w:usb1="00000000" w:usb2="00000012" w:usb3="00000000" w:csb0="00040001" w:csb1="00000000"/>
  </w:font>
  <w:font w:name="新宋体">
    <w:panose1 w:val="02010609030101010101"/>
    <w:charset w:val="86"/>
    <w:family w:val="modern"/>
    <w:pitch w:val="default"/>
    <w:sig w:usb0="00000203" w:usb1="288F0000" w:usb2="00000006" w:usb3="00000000" w:csb0="00040001" w:csb1="00000000"/>
    <w:embedRegular r:id="rId6" w:fontKey="{E96A24AF-C521-44AE-B082-D7446CB63BD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B6EBB1">
    <w:pPr>
      <w:pStyle w:val="25"/>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152F12">
    <w:pPr>
      <w:pStyle w:val="2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E24876">
                          <w:pPr>
                            <w:pStyle w:val="25"/>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38E24876">
                    <w:pPr>
                      <w:pStyle w:val="25"/>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2E502F">
    <w:pPr>
      <w:pStyle w:val="2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6587C4">
                          <w:pPr>
                            <w:pStyle w:val="25"/>
                          </w:pPr>
                          <w:r>
                            <w:rPr>
                              <w:rFonts w:hint="eastAsia"/>
                            </w:rPr>
                            <w:fldChar w:fldCharType="begin"/>
                          </w:r>
                          <w:r>
                            <w:rPr>
                              <w:rFonts w:hint="eastAsia"/>
                            </w:rPr>
                            <w:instrText xml:space="preserve"> PAGE  \* MERGEFORMAT </w:instrText>
                          </w:r>
                          <w:r>
                            <w:rPr>
                              <w:rFonts w:hint="eastAsia"/>
                            </w:rPr>
                            <w:fldChar w:fldCharType="separate"/>
                          </w:r>
                          <w:r>
                            <w:rPr>
                              <w:rFonts w:hint="eastAsia"/>
                            </w:rPr>
                            <w:t>2</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176587C4">
                    <w:pPr>
                      <w:pStyle w:val="25"/>
                    </w:pPr>
                    <w:r>
                      <w:rPr>
                        <w:rFonts w:hint="eastAsia"/>
                      </w:rPr>
                      <w:fldChar w:fldCharType="begin"/>
                    </w:r>
                    <w:r>
                      <w:rPr>
                        <w:rFonts w:hint="eastAsia"/>
                      </w:rPr>
                      <w:instrText xml:space="preserve"> PAGE  \* MERGEFORMAT </w:instrText>
                    </w:r>
                    <w:r>
                      <w:rPr>
                        <w:rFonts w:hint="eastAsia"/>
                      </w:rPr>
                      <w:fldChar w:fldCharType="separate"/>
                    </w:r>
                    <w:r>
                      <w:rPr>
                        <w:rFonts w:hint="eastAsia"/>
                      </w:rPr>
                      <w:t>2</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C60192">
    <w:pPr>
      <w:ind w:right="36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FB4846">
                          <w:pPr>
                            <w:pStyle w:val="25"/>
                          </w:pPr>
                          <w:r>
                            <w:rPr>
                              <w:rFonts w:hint="eastAsia"/>
                            </w:rPr>
                            <w:fldChar w:fldCharType="begin"/>
                          </w:r>
                          <w:r>
                            <w:rPr>
                              <w:rFonts w:hint="eastAsia"/>
                            </w:rPr>
                            <w:instrText xml:space="preserve"> PAGE  \* MERGEFORMAT </w:instrText>
                          </w:r>
                          <w:r>
                            <w:rPr>
                              <w:rFonts w:hint="eastAsia"/>
                            </w:rPr>
                            <w:fldChar w:fldCharType="separate"/>
                          </w:r>
                          <w:r>
                            <w:rPr>
                              <w:rFonts w:hint="eastAsia"/>
                            </w:rPr>
                            <w:t>35</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10FB4846">
                    <w:pPr>
                      <w:pStyle w:val="25"/>
                    </w:pPr>
                    <w:r>
                      <w:rPr>
                        <w:rFonts w:hint="eastAsia"/>
                      </w:rPr>
                      <w:fldChar w:fldCharType="begin"/>
                    </w:r>
                    <w:r>
                      <w:rPr>
                        <w:rFonts w:hint="eastAsia"/>
                      </w:rPr>
                      <w:instrText xml:space="preserve"> PAGE  \* MERGEFORMAT </w:instrText>
                    </w:r>
                    <w:r>
                      <w:rPr>
                        <w:rFonts w:hint="eastAsia"/>
                      </w:rPr>
                      <w:fldChar w:fldCharType="separate"/>
                    </w:r>
                    <w:r>
                      <w:rPr>
                        <w:rFonts w:hint="eastAsia"/>
                      </w:rPr>
                      <w:t>35</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2D7109">
    <w:pPr>
      <w:pStyle w:val="2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A88F2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66F9E3"/>
    <w:multiLevelType w:val="singleLevel"/>
    <w:tmpl w:val="A466F9E3"/>
    <w:lvl w:ilvl="0" w:tentative="0">
      <w:start w:val="6"/>
      <w:numFmt w:val="decimal"/>
      <w:suff w:val="nothing"/>
      <w:lvlText w:val="%1、"/>
      <w:lvlJc w:val="left"/>
    </w:lvl>
  </w:abstractNum>
  <w:abstractNum w:abstractNumId="1">
    <w:nsid w:val="D10AD01E"/>
    <w:multiLevelType w:val="singleLevel"/>
    <w:tmpl w:val="D10AD01E"/>
    <w:lvl w:ilvl="0" w:tentative="0">
      <w:start w:val="2"/>
      <w:numFmt w:val="chineseCounting"/>
      <w:suff w:val="nothing"/>
      <w:lvlText w:val="%1、"/>
      <w:lvlJc w:val="left"/>
      <w:rPr>
        <w:rFonts w:hint="eastAsia"/>
      </w:rPr>
    </w:lvl>
  </w:abstractNum>
  <w:abstractNum w:abstractNumId="2">
    <w:nsid w:val="06784D56"/>
    <w:multiLevelType w:val="singleLevel"/>
    <w:tmpl w:val="06784D56"/>
    <w:lvl w:ilvl="0" w:tentative="0">
      <w:start w:val="1"/>
      <w:numFmt w:val="upperLetter"/>
      <w:pStyle w:val="116"/>
      <w:lvlText w:val="附录%1."/>
      <w:lvlJc w:val="left"/>
      <w:pPr>
        <w:tabs>
          <w:tab w:val="left" w:pos="907"/>
        </w:tabs>
        <w:ind w:left="907" w:hanging="907"/>
      </w:pPr>
      <w:rPr>
        <w:rFonts w:hint="eastAsia"/>
      </w:rPr>
    </w:lvl>
  </w:abstractNum>
  <w:abstractNum w:abstractNumId="3">
    <w:nsid w:val="253E05EF"/>
    <w:multiLevelType w:val="multilevel"/>
    <w:tmpl w:val="253E05EF"/>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4">
    <w:nsid w:val="3A15682F"/>
    <w:multiLevelType w:val="singleLevel"/>
    <w:tmpl w:val="3A15682F"/>
    <w:lvl w:ilvl="0" w:tentative="0">
      <w:start w:val="0"/>
      <w:numFmt w:val="none"/>
      <w:lvlText w:val=""/>
      <w:lvlJc w:val="left"/>
      <w:pPr>
        <w:tabs>
          <w:tab w:val="left" w:pos="360"/>
        </w:tabs>
      </w:pPr>
    </w:lvl>
  </w:abstractNum>
  <w:abstractNum w:abstractNumId="5">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57"/>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6">
    <w:nsid w:val="420C153B"/>
    <w:multiLevelType w:val="multilevel"/>
    <w:tmpl w:val="420C153B"/>
    <w:lvl w:ilvl="0" w:tentative="0">
      <w:start w:val="1"/>
      <w:numFmt w:val="decimal"/>
      <w:pStyle w:val="95"/>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7">
    <w:nsid w:val="46137EDD"/>
    <w:multiLevelType w:val="multilevel"/>
    <w:tmpl w:val="46137EDD"/>
    <w:lvl w:ilvl="0" w:tentative="0">
      <w:start w:val="1"/>
      <w:numFmt w:val="decimal"/>
      <w:lvlText w:val="%1"/>
      <w:lvlJc w:val="left"/>
      <w:pPr>
        <w:tabs>
          <w:tab w:val="left" w:pos="432"/>
        </w:tabs>
        <w:ind w:left="432" w:hanging="432"/>
        <w:textAlignment w:val="baseline"/>
      </w:pPr>
    </w:lvl>
    <w:lvl w:ilvl="1" w:tentative="0">
      <w:start w:val="1"/>
      <w:numFmt w:val="decimal"/>
      <w:pStyle w:val="56"/>
      <w:lvlText w:val="%1.%2"/>
      <w:lvlJc w:val="left"/>
      <w:pPr>
        <w:tabs>
          <w:tab w:val="left" w:pos="1002"/>
        </w:tabs>
        <w:ind w:left="1002" w:hanging="576"/>
        <w:textAlignment w:val="baseline"/>
      </w:pPr>
    </w:lvl>
    <w:lvl w:ilvl="2" w:tentative="0">
      <w:start w:val="1"/>
      <w:numFmt w:val="decimal"/>
      <w:lvlText w:val="%1.%2.%3"/>
      <w:lvlJc w:val="left"/>
      <w:pPr>
        <w:tabs>
          <w:tab w:val="left" w:pos="720"/>
        </w:tabs>
        <w:ind w:left="720" w:hanging="720"/>
        <w:textAlignment w:val="baseline"/>
      </w:pPr>
    </w:lvl>
    <w:lvl w:ilvl="3" w:tentative="0">
      <w:start w:val="1"/>
      <w:numFmt w:val="decimal"/>
      <w:lvlText w:val="%1.%2.%3.%4"/>
      <w:lvlJc w:val="left"/>
      <w:pPr>
        <w:tabs>
          <w:tab w:val="left" w:pos="864"/>
        </w:tabs>
        <w:ind w:left="864" w:hanging="864"/>
        <w:textAlignment w:val="baseline"/>
      </w:pPr>
    </w:lvl>
    <w:lvl w:ilvl="4" w:tentative="0">
      <w:start w:val="1"/>
      <w:numFmt w:val="decimal"/>
      <w:lvlText w:val="%1.%2.%3.%4.%5"/>
      <w:lvlJc w:val="left"/>
      <w:pPr>
        <w:tabs>
          <w:tab w:val="left" w:pos="1008"/>
        </w:tabs>
        <w:ind w:left="1008" w:hanging="1008"/>
        <w:textAlignment w:val="baseline"/>
      </w:pPr>
    </w:lvl>
    <w:lvl w:ilvl="5" w:tentative="0">
      <w:start w:val="1"/>
      <w:numFmt w:val="decimal"/>
      <w:lvlText w:val="%1.%2.%3.%4.%5.%6"/>
      <w:lvlJc w:val="left"/>
      <w:pPr>
        <w:tabs>
          <w:tab w:val="left" w:pos="1152"/>
        </w:tabs>
        <w:ind w:left="1152" w:hanging="1152"/>
        <w:textAlignment w:val="baseline"/>
      </w:pPr>
    </w:lvl>
    <w:lvl w:ilvl="6" w:tentative="0">
      <w:start w:val="1"/>
      <w:numFmt w:val="decimal"/>
      <w:lvlText w:val="%1.%2.%3.%4.%5.%6.%7"/>
      <w:lvlJc w:val="left"/>
      <w:pPr>
        <w:tabs>
          <w:tab w:val="left" w:pos="1296"/>
        </w:tabs>
        <w:ind w:left="1296" w:hanging="1296"/>
        <w:textAlignment w:val="baseline"/>
      </w:pPr>
    </w:lvl>
    <w:lvl w:ilvl="7" w:tentative="0">
      <w:start w:val="1"/>
      <w:numFmt w:val="decimal"/>
      <w:lvlText w:val="%1.%2.%3.%4.%5.%6.%7.%8"/>
      <w:lvlJc w:val="left"/>
      <w:pPr>
        <w:tabs>
          <w:tab w:val="left" w:pos="1440"/>
        </w:tabs>
        <w:ind w:left="1440" w:hanging="1440"/>
        <w:textAlignment w:val="baseline"/>
      </w:pPr>
    </w:lvl>
    <w:lvl w:ilvl="8" w:tentative="0">
      <w:start w:val="1"/>
      <w:numFmt w:val="decimal"/>
      <w:lvlText w:val="%1.%2.%3.%4.%5.%6.%7.%8.%9"/>
      <w:lvlJc w:val="left"/>
      <w:pPr>
        <w:tabs>
          <w:tab w:val="left" w:pos="1584"/>
        </w:tabs>
        <w:ind w:left="1584" w:hanging="1584"/>
        <w:textAlignment w:val="baseline"/>
      </w:pPr>
    </w:lvl>
  </w:abstractNum>
  <w:abstractNum w:abstractNumId="8">
    <w:nsid w:val="4C0C1BFB"/>
    <w:multiLevelType w:val="singleLevel"/>
    <w:tmpl w:val="4C0C1BFB"/>
    <w:lvl w:ilvl="0" w:tentative="0">
      <w:start w:val="1"/>
      <w:numFmt w:val="decimal"/>
      <w:pStyle w:val="121"/>
      <w:lvlText w:val="（%1）"/>
      <w:lvlJc w:val="left"/>
      <w:pPr>
        <w:tabs>
          <w:tab w:val="left" w:pos="810"/>
        </w:tabs>
        <w:ind w:left="810" w:hanging="810"/>
      </w:pPr>
      <w:rPr>
        <w:rFonts w:hint="eastAsia"/>
      </w:rPr>
    </w:lvl>
  </w:abstractNum>
  <w:abstractNum w:abstractNumId="9">
    <w:nsid w:val="5C7E0EE5"/>
    <w:multiLevelType w:val="multilevel"/>
    <w:tmpl w:val="5C7E0EE5"/>
    <w:lvl w:ilvl="0" w:tentative="0">
      <w:start w:val="1"/>
      <w:numFmt w:val="chineseCountingThousand"/>
      <w:suff w:val="nothing"/>
      <w:lvlText w:val="第%1章 "/>
      <w:lvlJc w:val="left"/>
      <w:pPr>
        <w:ind w:left="0" w:firstLine="0"/>
      </w:pPr>
      <w:rPr>
        <w:rFonts w:hint="eastAsia"/>
      </w:rPr>
    </w:lvl>
    <w:lvl w:ilvl="1" w:tentative="0">
      <w:start w:val="1"/>
      <w:numFmt w:val="decimal"/>
      <w:suff w:val="nothing"/>
      <w:lvlText w:val="%2、"/>
      <w:lvlJc w:val="left"/>
      <w:pPr>
        <w:ind w:left="0" w:firstLine="0"/>
      </w:pPr>
      <w:rPr>
        <w:rFonts w:hint="eastAsia"/>
      </w:rPr>
    </w:lvl>
    <w:lvl w:ilvl="2" w:tentative="0">
      <w:start w:val="1"/>
      <w:numFmt w:val="decimal"/>
      <w:suff w:val="nothing"/>
      <w:lvlText w:val="%2.%3 "/>
      <w:lvlJc w:val="left"/>
      <w:pPr>
        <w:ind w:left="0" w:firstLine="0"/>
      </w:pPr>
      <w:rPr>
        <w:rFonts w:hint="eastAsia"/>
      </w:rPr>
    </w:lvl>
    <w:lvl w:ilvl="3" w:tentative="0">
      <w:start w:val="1"/>
      <w:numFmt w:val="decimal"/>
      <w:suff w:val="nothing"/>
      <w:lvlText w:val="%2.%3.%4 "/>
      <w:lvlJc w:val="left"/>
      <w:pPr>
        <w:ind w:left="0" w:firstLine="0"/>
      </w:pPr>
      <w:rPr>
        <w:rFonts w:hint="eastAsia"/>
      </w:rPr>
    </w:lvl>
    <w:lvl w:ilvl="4" w:tentative="0">
      <w:start w:val="1"/>
      <w:numFmt w:val="decimal"/>
      <w:suff w:val="nothing"/>
      <w:lvlText w:val="%2.%3.%4.%5 "/>
      <w:lvlJc w:val="left"/>
      <w:pPr>
        <w:ind w:left="0" w:firstLine="0"/>
      </w:pPr>
      <w:rPr>
        <w:rFonts w:hint="eastAsia"/>
      </w:rPr>
    </w:lvl>
    <w:lvl w:ilvl="5" w:tentative="0">
      <w:start w:val="1"/>
      <w:numFmt w:val="none"/>
      <w:pStyle w:val="8"/>
      <w:suff w:val="nothing"/>
      <w:lvlText w:val=""/>
      <w:lvlJc w:val="left"/>
      <w:pPr>
        <w:ind w:left="0" w:firstLine="0"/>
      </w:pPr>
      <w:rPr>
        <w:rFonts w:hint="eastAsia"/>
      </w:rPr>
    </w:lvl>
    <w:lvl w:ilvl="6" w:tentative="0">
      <w:start w:val="1"/>
      <w:numFmt w:val="none"/>
      <w:pStyle w:val="9"/>
      <w:suff w:val="nothing"/>
      <w:lvlText w:val=""/>
      <w:lvlJc w:val="left"/>
      <w:pPr>
        <w:ind w:left="0" w:firstLine="0"/>
      </w:pPr>
      <w:rPr>
        <w:rFonts w:hint="eastAsia"/>
      </w:rPr>
    </w:lvl>
    <w:lvl w:ilvl="7" w:tentative="0">
      <w:start w:val="1"/>
      <w:numFmt w:val="none"/>
      <w:pStyle w:val="10"/>
      <w:suff w:val="nothing"/>
      <w:lvlText w:val=""/>
      <w:lvlJc w:val="left"/>
      <w:pPr>
        <w:ind w:left="0" w:firstLine="0"/>
      </w:pPr>
      <w:rPr>
        <w:rFonts w:hint="eastAsia"/>
      </w:rPr>
    </w:lvl>
    <w:lvl w:ilvl="8" w:tentative="0">
      <w:start w:val="1"/>
      <w:numFmt w:val="none"/>
      <w:pStyle w:val="11"/>
      <w:suff w:val="nothing"/>
      <w:lvlText w:val=""/>
      <w:lvlJc w:val="left"/>
      <w:pPr>
        <w:ind w:left="0" w:firstLine="0"/>
      </w:pPr>
      <w:rPr>
        <w:rFonts w:hint="eastAsia"/>
      </w:rPr>
    </w:lvl>
  </w:abstractNum>
  <w:num w:numId="1">
    <w:abstractNumId w:val="9"/>
  </w:num>
  <w:num w:numId="2">
    <w:abstractNumId w:val="7"/>
  </w:num>
  <w:num w:numId="3">
    <w:abstractNumId w:val="5"/>
  </w:num>
  <w:num w:numId="4">
    <w:abstractNumId w:val="6"/>
  </w:num>
  <w:num w:numId="5">
    <w:abstractNumId w:val="2"/>
  </w:num>
  <w:num w:numId="6">
    <w:abstractNumId w:val="8"/>
  </w:num>
  <w:num w:numId="7">
    <w:abstractNumId w:val="1"/>
  </w:num>
  <w:num w:numId="8">
    <w:abstractNumId w:val="3"/>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5ZDFmZmNjMzlkYzcyNzY5YzgwYTFlMGIyZjE2OTIifQ=="/>
  </w:docVars>
  <w:rsids>
    <w:rsidRoot w:val="00172A27"/>
    <w:rsid w:val="00000B50"/>
    <w:rsid w:val="000012AD"/>
    <w:rsid w:val="00002023"/>
    <w:rsid w:val="00002A41"/>
    <w:rsid w:val="00003038"/>
    <w:rsid w:val="000036FB"/>
    <w:rsid w:val="00003E3B"/>
    <w:rsid w:val="000040E6"/>
    <w:rsid w:val="00004833"/>
    <w:rsid w:val="00004C7F"/>
    <w:rsid w:val="00006327"/>
    <w:rsid w:val="00006AA3"/>
    <w:rsid w:val="00006E32"/>
    <w:rsid w:val="00010521"/>
    <w:rsid w:val="00010E39"/>
    <w:rsid w:val="00010EC6"/>
    <w:rsid w:val="00011619"/>
    <w:rsid w:val="00011FF2"/>
    <w:rsid w:val="00012BC2"/>
    <w:rsid w:val="0001340E"/>
    <w:rsid w:val="000144A3"/>
    <w:rsid w:val="00015CBB"/>
    <w:rsid w:val="000178E0"/>
    <w:rsid w:val="00017D33"/>
    <w:rsid w:val="000209DD"/>
    <w:rsid w:val="000214BA"/>
    <w:rsid w:val="000217F4"/>
    <w:rsid w:val="00023805"/>
    <w:rsid w:val="0002607A"/>
    <w:rsid w:val="00026720"/>
    <w:rsid w:val="000269AE"/>
    <w:rsid w:val="000270C5"/>
    <w:rsid w:val="0002771F"/>
    <w:rsid w:val="000300C7"/>
    <w:rsid w:val="00031135"/>
    <w:rsid w:val="000313D5"/>
    <w:rsid w:val="00031400"/>
    <w:rsid w:val="00033D51"/>
    <w:rsid w:val="00034EE1"/>
    <w:rsid w:val="00035B84"/>
    <w:rsid w:val="00035DB5"/>
    <w:rsid w:val="00035FD3"/>
    <w:rsid w:val="0003628F"/>
    <w:rsid w:val="00036464"/>
    <w:rsid w:val="000368D5"/>
    <w:rsid w:val="000403E2"/>
    <w:rsid w:val="000404B4"/>
    <w:rsid w:val="00041C0C"/>
    <w:rsid w:val="00045FCC"/>
    <w:rsid w:val="0004682D"/>
    <w:rsid w:val="00050598"/>
    <w:rsid w:val="000523C9"/>
    <w:rsid w:val="000527CA"/>
    <w:rsid w:val="00052F6E"/>
    <w:rsid w:val="000533AB"/>
    <w:rsid w:val="00054001"/>
    <w:rsid w:val="00055613"/>
    <w:rsid w:val="00055942"/>
    <w:rsid w:val="00055E74"/>
    <w:rsid w:val="000574F5"/>
    <w:rsid w:val="0006136C"/>
    <w:rsid w:val="00063CEE"/>
    <w:rsid w:val="00063F19"/>
    <w:rsid w:val="000640A5"/>
    <w:rsid w:val="00064391"/>
    <w:rsid w:val="0006639D"/>
    <w:rsid w:val="000664B9"/>
    <w:rsid w:val="0006714F"/>
    <w:rsid w:val="00071811"/>
    <w:rsid w:val="00071CEE"/>
    <w:rsid w:val="00072713"/>
    <w:rsid w:val="0007307E"/>
    <w:rsid w:val="00073596"/>
    <w:rsid w:val="00075DBF"/>
    <w:rsid w:val="000760C9"/>
    <w:rsid w:val="00076D7B"/>
    <w:rsid w:val="00076DB5"/>
    <w:rsid w:val="0007732F"/>
    <w:rsid w:val="00077725"/>
    <w:rsid w:val="00083A9A"/>
    <w:rsid w:val="00083F9C"/>
    <w:rsid w:val="00084F92"/>
    <w:rsid w:val="00087583"/>
    <w:rsid w:val="00091368"/>
    <w:rsid w:val="00091374"/>
    <w:rsid w:val="0009190E"/>
    <w:rsid w:val="000920C7"/>
    <w:rsid w:val="00094CF9"/>
    <w:rsid w:val="0009585A"/>
    <w:rsid w:val="00095E05"/>
    <w:rsid w:val="00097697"/>
    <w:rsid w:val="000A1DC0"/>
    <w:rsid w:val="000A437C"/>
    <w:rsid w:val="000B09F2"/>
    <w:rsid w:val="000B0F3D"/>
    <w:rsid w:val="000B1318"/>
    <w:rsid w:val="000B2104"/>
    <w:rsid w:val="000B51A5"/>
    <w:rsid w:val="000B6C52"/>
    <w:rsid w:val="000C095E"/>
    <w:rsid w:val="000C0CB7"/>
    <w:rsid w:val="000C26EA"/>
    <w:rsid w:val="000C4195"/>
    <w:rsid w:val="000C42B7"/>
    <w:rsid w:val="000C5411"/>
    <w:rsid w:val="000C54F2"/>
    <w:rsid w:val="000C676C"/>
    <w:rsid w:val="000C77A1"/>
    <w:rsid w:val="000D0BBA"/>
    <w:rsid w:val="000D2400"/>
    <w:rsid w:val="000D26C1"/>
    <w:rsid w:val="000D26D8"/>
    <w:rsid w:val="000D3EE4"/>
    <w:rsid w:val="000D4D2B"/>
    <w:rsid w:val="000D7692"/>
    <w:rsid w:val="000D7A92"/>
    <w:rsid w:val="000E0173"/>
    <w:rsid w:val="000E0F51"/>
    <w:rsid w:val="000E157E"/>
    <w:rsid w:val="000E1A22"/>
    <w:rsid w:val="000E5078"/>
    <w:rsid w:val="000F0EB5"/>
    <w:rsid w:val="000F3923"/>
    <w:rsid w:val="000F4D9E"/>
    <w:rsid w:val="000F5CDE"/>
    <w:rsid w:val="000F7537"/>
    <w:rsid w:val="00100053"/>
    <w:rsid w:val="00100A5E"/>
    <w:rsid w:val="00101DB7"/>
    <w:rsid w:val="00102619"/>
    <w:rsid w:val="00102D5E"/>
    <w:rsid w:val="00103454"/>
    <w:rsid w:val="00105903"/>
    <w:rsid w:val="001101E9"/>
    <w:rsid w:val="00111226"/>
    <w:rsid w:val="00111F3D"/>
    <w:rsid w:val="001131F0"/>
    <w:rsid w:val="00114CA6"/>
    <w:rsid w:val="001160D7"/>
    <w:rsid w:val="00120A69"/>
    <w:rsid w:val="00121CC9"/>
    <w:rsid w:val="00124CD5"/>
    <w:rsid w:val="00124F52"/>
    <w:rsid w:val="001252B0"/>
    <w:rsid w:val="00127A72"/>
    <w:rsid w:val="00127C63"/>
    <w:rsid w:val="00131277"/>
    <w:rsid w:val="00131881"/>
    <w:rsid w:val="00131A58"/>
    <w:rsid w:val="001333E9"/>
    <w:rsid w:val="0013433C"/>
    <w:rsid w:val="00134831"/>
    <w:rsid w:val="001372D8"/>
    <w:rsid w:val="00140DFA"/>
    <w:rsid w:val="00141F88"/>
    <w:rsid w:val="0014204A"/>
    <w:rsid w:val="00143575"/>
    <w:rsid w:val="0014483C"/>
    <w:rsid w:val="00146F7C"/>
    <w:rsid w:val="001477FB"/>
    <w:rsid w:val="001510B7"/>
    <w:rsid w:val="0015158B"/>
    <w:rsid w:val="00152F20"/>
    <w:rsid w:val="00152FA5"/>
    <w:rsid w:val="001541B9"/>
    <w:rsid w:val="001542B1"/>
    <w:rsid w:val="001544A4"/>
    <w:rsid w:val="0015497E"/>
    <w:rsid w:val="00154CA1"/>
    <w:rsid w:val="001551BF"/>
    <w:rsid w:val="00157E5B"/>
    <w:rsid w:val="00160AE5"/>
    <w:rsid w:val="001637D2"/>
    <w:rsid w:val="0016437E"/>
    <w:rsid w:val="00164C69"/>
    <w:rsid w:val="00166EFF"/>
    <w:rsid w:val="00170A2D"/>
    <w:rsid w:val="00171360"/>
    <w:rsid w:val="00171D87"/>
    <w:rsid w:val="00172A27"/>
    <w:rsid w:val="001749B6"/>
    <w:rsid w:val="0017505E"/>
    <w:rsid w:val="00176950"/>
    <w:rsid w:val="0018156A"/>
    <w:rsid w:val="00182E37"/>
    <w:rsid w:val="00183EB5"/>
    <w:rsid w:val="00187B49"/>
    <w:rsid w:val="00187C1F"/>
    <w:rsid w:val="00187DC4"/>
    <w:rsid w:val="0019076F"/>
    <w:rsid w:val="00193274"/>
    <w:rsid w:val="00193DAC"/>
    <w:rsid w:val="00194202"/>
    <w:rsid w:val="001946FF"/>
    <w:rsid w:val="001947C5"/>
    <w:rsid w:val="001953B0"/>
    <w:rsid w:val="00195808"/>
    <w:rsid w:val="00195A83"/>
    <w:rsid w:val="001A1033"/>
    <w:rsid w:val="001A187D"/>
    <w:rsid w:val="001A18C0"/>
    <w:rsid w:val="001A1D99"/>
    <w:rsid w:val="001A26B5"/>
    <w:rsid w:val="001A57FF"/>
    <w:rsid w:val="001A6C7F"/>
    <w:rsid w:val="001A7BA0"/>
    <w:rsid w:val="001A7F3C"/>
    <w:rsid w:val="001B2822"/>
    <w:rsid w:val="001B34C4"/>
    <w:rsid w:val="001B37C7"/>
    <w:rsid w:val="001B4172"/>
    <w:rsid w:val="001B4A8B"/>
    <w:rsid w:val="001B52A8"/>
    <w:rsid w:val="001B5378"/>
    <w:rsid w:val="001B6B93"/>
    <w:rsid w:val="001B79B5"/>
    <w:rsid w:val="001C02D6"/>
    <w:rsid w:val="001C21EF"/>
    <w:rsid w:val="001C2404"/>
    <w:rsid w:val="001C2454"/>
    <w:rsid w:val="001C3136"/>
    <w:rsid w:val="001C37D3"/>
    <w:rsid w:val="001C6670"/>
    <w:rsid w:val="001C7269"/>
    <w:rsid w:val="001D03CD"/>
    <w:rsid w:val="001D0B04"/>
    <w:rsid w:val="001D1087"/>
    <w:rsid w:val="001D1E13"/>
    <w:rsid w:val="001D3DF4"/>
    <w:rsid w:val="001D4B6D"/>
    <w:rsid w:val="001D5588"/>
    <w:rsid w:val="001D6F14"/>
    <w:rsid w:val="001E07C0"/>
    <w:rsid w:val="001E1785"/>
    <w:rsid w:val="001E19C0"/>
    <w:rsid w:val="001E2A27"/>
    <w:rsid w:val="001E48AF"/>
    <w:rsid w:val="001E4C69"/>
    <w:rsid w:val="001E6CFD"/>
    <w:rsid w:val="001F35A1"/>
    <w:rsid w:val="001F4946"/>
    <w:rsid w:val="001F4B41"/>
    <w:rsid w:val="001F58DB"/>
    <w:rsid w:val="001F64B1"/>
    <w:rsid w:val="001F6652"/>
    <w:rsid w:val="00200726"/>
    <w:rsid w:val="00201570"/>
    <w:rsid w:val="00201AAD"/>
    <w:rsid w:val="002026FD"/>
    <w:rsid w:val="002029A0"/>
    <w:rsid w:val="00203FDB"/>
    <w:rsid w:val="00204503"/>
    <w:rsid w:val="00204B0E"/>
    <w:rsid w:val="00207854"/>
    <w:rsid w:val="002114C5"/>
    <w:rsid w:val="0021150E"/>
    <w:rsid w:val="00211D84"/>
    <w:rsid w:val="002129B4"/>
    <w:rsid w:val="00213554"/>
    <w:rsid w:val="002135F1"/>
    <w:rsid w:val="00213952"/>
    <w:rsid w:val="0021413E"/>
    <w:rsid w:val="002150AA"/>
    <w:rsid w:val="00215D7A"/>
    <w:rsid w:val="0021681C"/>
    <w:rsid w:val="00216D78"/>
    <w:rsid w:val="0022068B"/>
    <w:rsid w:val="00224BF6"/>
    <w:rsid w:val="00224D56"/>
    <w:rsid w:val="002250E1"/>
    <w:rsid w:val="0022514B"/>
    <w:rsid w:val="002251B2"/>
    <w:rsid w:val="00225592"/>
    <w:rsid w:val="00225CD5"/>
    <w:rsid w:val="00227982"/>
    <w:rsid w:val="00227C43"/>
    <w:rsid w:val="0023202D"/>
    <w:rsid w:val="00232077"/>
    <w:rsid w:val="0023283A"/>
    <w:rsid w:val="00232880"/>
    <w:rsid w:val="002331F2"/>
    <w:rsid w:val="00235603"/>
    <w:rsid w:val="002369AF"/>
    <w:rsid w:val="00241187"/>
    <w:rsid w:val="00241203"/>
    <w:rsid w:val="002412FF"/>
    <w:rsid w:val="00241671"/>
    <w:rsid w:val="00243079"/>
    <w:rsid w:val="00243975"/>
    <w:rsid w:val="002447BD"/>
    <w:rsid w:val="00246C19"/>
    <w:rsid w:val="00252722"/>
    <w:rsid w:val="002537B2"/>
    <w:rsid w:val="00254207"/>
    <w:rsid w:val="00255C8D"/>
    <w:rsid w:val="00255FEB"/>
    <w:rsid w:val="00261A7E"/>
    <w:rsid w:val="00262DC3"/>
    <w:rsid w:val="002640B2"/>
    <w:rsid w:val="00264902"/>
    <w:rsid w:val="00264FAC"/>
    <w:rsid w:val="002657FF"/>
    <w:rsid w:val="00267D06"/>
    <w:rsid w:val="00267D13"/>
    <w:rsid w:val="002702B6"/>
    <w:rsid w:val="00270609"/>
    <w:rsid w:val="002707A9"/>
    <w:rsid w:val="00270858"/>
    <w:rsid w:val="00270E78"/>
    <w:rsid w:val="00270EEE"/>
    <w:rsid w:val="00270F7A"/>
    <w:rsid w:val="0027159B"/>
    <w:rsid w:val="002750C2"/>
    <w:rsid w:val="00275F24"/>
    <w:rsid w:val="0027611E"/>
    <w:rsid w:val="00276467"/>
    <w:rsid w:val="002767AF"/>
    <w:rsid w:val="00276C85"/>
    <w:rsid w:val="002773BE"/>
    <w:rsid w:val="00280CC5"/>
    <w:rsid w:val="00280F9F"/>
    <w:rsid w:val="00282FDE"/>
    <w:rsid w:val="0028368D"/>
    <w:rsid w:val="00284F56"/>
    <w:rsid w:val="0028524A"/>
    <w:rsid w:val="00285266"/>
    <w:rsid w:val="0028532D"/>
    <w:rsid w:val="00286E46"/>
    <w:rsid w:val="00287A23"/>
    <w:rsid w:val="00291D3D"/>
    <w:rsid w:val="0029224A"/>
    <w:rsid w:val="0029269B"/>
    <w:rsid w:val="00293ED7"/>
    <w:rsid w:val="00296520"/>
    <w:rsid w:val="00296EE7"/>
    <w:rsid w:val="00297C93"/>
    <w:rsid w:val="002A1B0C"/>
    <w:rsid w:val="002A35C8"/>
    <w:rsid w:val="002A67A6"/>
    <w:rsid w:val="002A693A"/>
    <w:rsid w:val="002A7962"/>
    <w:rsid w:val="002B084C"/>
    <w:rsid w:val="002B0891"/>
    <w:rsid w:val="002B11E6"/>
    <w:rsid w:val="002B1B75"/>
    <w:rsid w:val="002B3E53"/>
    <w:rsid w:val="002B6716"/>
    <w:rsid w:val="002B70EF"/>
    <w:rsid w:val="002C00C1"/>
    <w:rsid w:val="002C067B"/>
    <w:rsid w:val="002C29A7"/>
    <w:rsid w:val="002C3863"/>
    <w:rsid w:val="002C4418"/>
    <w:rsid w:val="002C75A7"/>
    <w:rsid w:val="002D046F"/>
    <w:rsid w:val="002D0C68"/>
    <w:rsid w:val="002D1163"/>
    <w:rsid w:val="002D15D0"/>
    <w:rsid w:val="002D3E1D"/>
    <w:rsid w:val="002D4138"/>
    <w:rsid w:val="002D44AA"/>
    <w:rsid w:val="002D703B"/>
    <w:rsid w:val="002D78A6"/>
    <w:rsid w:val="002D7B1C"/>
    <w:rsid w:val="002E0200"/>
    <w:rsid w:val="002E0546"/>
    <w:rsid w:val="002E1397"/>
    <w:rsid w:val="002E192A"/>
    <w:rsid w:val="002E2B69"/>
    <w:rsid w:val="002E3028"/>
    <w:rsid w:val="002E4A67"/>
    <w:rsid w:val="002E4B77"/>
    <w:rsid w:val="002E4D8D"/>
    <w:rsid w:val="002E7638"/>
    <w:rsid w:val="002E7FEC"/>
    <w:rsid w:val="002F080F"/>
    <w:rsid w:val="002F0B59"/>
    <w:rsid w:val="002F0E29"/>
    <w:rsid w:val="002F2018"/>
    <w:rsid w:val="002F3C42"/>
    <w:rsid w:val="002F3DAA"/>
    <w:rsid w:val="002F45B0"/>
    <w:rsid w:val="002F56BB"/>
    <w:rsid w:val="002F57C5"/>
    <w:rsid w:val="002F5A9D"/>
    <w:rsid w:val="002F7C78"/>
    <w:rsid w:val="002F7F15"/>
    <w:rsid w:val="00302002"/>
    <w:rsid w:val="00303AB3"/>
    <w:rsid w:val="00303E18"/>
    <w:rsid w:val="00304294"/>
    <w:rsid w:val="003065CE"/>
    <w:rsid w:val="003077D7"/>
    <w:rsid w:val="00310052"/>
    <w:rsid w:val="00310924"/>
    <w:rsid w:val="003119DF"/>
    <w:rsid w:val="00313D00"/>
    <w:rsid w:val="00315BB3"/>
    <w:rsid w:val="00315D25"/>
    <w:rsid w:val="00316838"/>
    <w:rsid w:val="003176F0"/>
    <w:rsid w:val="00317A43"/>
    <w:rsid w:val="00317CA3"/>
    <w:rsid w:val="00320A43"/>
    <w:rsid w:val="00320F55"/>
    <w:rsid w:val="00321DA1"/>
    <w:rsid w:val="003238EE"/>
    <w:rsid w:val="003267CD"/>
    <w:rsid w:val="0033053E"/>
    <w:rsid w:val="003306B8"/>
    <w:rsid w:val="003306B9"/>
    <w:rsid w:val="003320F3"/>
    <w:rsid w:val="003346DE"/>
    <w:rsid w:val="00336151"/>
    <w:rsid w:val="0033681E"/>
    <w:rsid w:val="003407EA"/>
    <w:rsid w:val="0034142F"/>
    <w:rsid w:val="00341757"/>
    <w:rsid w:val="00342DCC"/>
    <w:rsid w:val="00343BB6"/>
    <w:rsid w:val="00344805"/>
    <w:rsid w:val="00344B6D"/>
    <w:rsid w:val="0034542F"/>
    <w:rsid w:val="003458F9"/>
    <w:rsid w:val="0034648C"/>
    <w:rsid w:val="0034699A"/>
    <w:rsid w:val="00346D70"/>
    <w:rsid w:val="00347AB6"/>
    <w:rsid w:val="0035011B"/>
    <w:rsid w:val="00350189"/>
    <w:rsid w:val="003508CE"/>
    <w:rsid w:val="0035183D"/>
    <w:rsid w:val="00351988"/>
    <w:rsid w:val="00351C56"/>
    <w:rsid w:val="00352EFB"/>
    <w:rsid w:val="00353080"/>
    <w:rsid w:val="003543A9"/>
    <w:rsid w:val="00356239"/>
    <w:rsid w:val="003570D2"/>
    <w:rsid w:val="00357549"/>
    <w:rsid w:val="00357F4D"/>
    <w:rsid w:val="00361201"/>
    <w:rsid w:val="00362C38"/>
    <w:rsid w:val="00363F37"/>
    <w:rsid w:val="003646CC"/>
    <w:rsid w:val="00364EDB"/>
    <w:rsid w:val="00366A96"/>
    <w:rsid w:val="0036776C"/>
    <w:rsid w:val="003715B6"/>
    <w:rsid w:val="00373601"/>
    <w:rsid w:val="00373708"/>
    <w:rsid w:val="00373911"/>
    <w:rsid w:val="00375F18"/>
    <w:rsid w:val="003761F7"/>
    <w:rsid w:val="0037721C"/>
    <w:rsid w:val="00377CC7"/>
    <w:rsid w:val="00381306"/>
    <w:rsid w:val="0038282F"/>
    <w:rsid w:val="00382FB7"/>
    <w:rsid w:val="003849D4"/>
    <w:rsid w:val="00385B86"/>
    <w:rsid w:val="00386ACE"/>
    <w:rsid w:val="003872C9"/>
    <w:rsid w:val="003919D8"/>
    <w:rsid w:val="00391DF3"/>
    <w:rsid w:val="003931D2"/>
    <w:rsid w:val="00393A1F"/>
    <w:rsid w:val="00394D4B"/>
    <w:rsid w:val="0039611D"/>
    <w:rsid w:val="00396C2C"/>
    <w:rsid w:val="003979B3"/>
    <w:rsid w:val="003A0914"/>
    <w:rsid w:val="003A0F75"/>
    <w:rsid w:val="003A201F"/>
    <w:rsid w:val="003A2A26"/>
    <w:rsid w:val="003A359F"/>
    <w:rsid w:val="003A3E40"/>
    <w:rsid w:val="003A543B"/>
    <w:rsid w:val="003A6131"/>
    <w:rsid w:val="003A6696"/>
    <w:rsid w:val="003A787B"/>
    <w:rsid w:val="003B1B8D"/>
    <w:rsid w:val="003B2DBA"/>
    <w:rsid w:val="003B3157"/>
    <w:rsid w:val="003B4334"/>
    <w:rsid w:val="003B43AD"/>
    <w:rsid w:val="003B515E"/>
    <w:rsid w:val="003B529D"/>
    <w:rsid w:val="003B5AD2"/>
    <w:rsid w:val="003B5EF0"/>
    <w:rsid w:val="003B7727"/>
    <w:rsid w:val="003C0167"/>
    <w:rsid w:val="003C1167"/>
    <w:rsid w:val="003C1CD0"/>
    <w:rsid w:val="003C2871"/>
    <w:rsid w:val="003C351A"/>
    <w:rsid w:val="003C3C93"/>
    <w:rsid w:val="003C45FD"/>
    <w:rsid w:val="003C4D5A"/>
    <w:rsid w:val="003C56E8"/>
    <w:rsid w:val="003C5C27"/>
    <w:rsid w:val="003C693E"/>
    <w:rsid w:val="003C70E2"/>
    <w:rsid w:val="003D2469"/>
    <w:rsid w:val="003D3B66"/>
    <w:rsid w:val="003E1622"/>
    <w:rsid w:val="003E18FC"/>
    <w:rsid w:val="003E1E7B"/>
    <w:rsid w:val="003E2237"/>
    <w:rsid w:val="003E264C"/>
    <w:rsid w:val="003E2E2E"/>
    <w:rsid w:val="003E3E53"/>
    <w:rsid w:val="003E4E2B"/>
    <w:rsid w:val="003F0211"/>
    <w:rsid w:val="003F121A"/>
    <w:rsid w:val="003F4303"/>
    <w:rsid w:val="003F4C69"/>
    <w:rsid w:val="003F518D"/>
    <w:rsid w:val="003F5F28"/>
    <w:rsid w:val="00401CB7"/>
    <w:rsid w:val="00401E65"/>
    <w:rsid w:val="0040243C"/>
    <w:rsid w:val="00402F1F"/>
    <w:rsid w:val="00407C08"/>
    <w:rsid w:val="00411EE8"/>
    <w:rsid w:val="004132F7"/>
    <w:rsid w:val="00413748"/>
    <w:rsid w:val="004177AB"/>
    <w:rsid w:val="00417D89"/>
    <w:rsid w:val="00420F30"/>
    <w:rsid w:val="0042107D"/>
    <w:rsid w:val="00422896"/>
    <w:rsid w:val="00424246"/>
    <w:rsid w:val="0042442B"/>
    <w:rsid w:val="00425878"/>
    <w:rsid w:val="00426093"/>
    <w:rsid w:val="004263B3"/>
    <w:rsid w:val="00426987"/>
    <w:rsid w:val="0043085D"/>
    <w:rsid w:val="00430CEA"/>
    <w:rsid w:val="0043137F"/>
    <w:rsid w:val="00432B25"/>
    <w:rsid w:val="00433E58"/>
    <w:rsid w:val="004342CE"/>
    <w:rsid w:val="004365F0"/>
    <w:rsid w:val="004372D1"/>
    <w:rsid w:val="00441C99"/>
    <w:rsid w:val="00442013"/>
    <w:rsid w:val="0044504A"/>
    <w:rsid w:val="00445D20"/>
    <w:rsid w:val="0044618B"/>
    <w:rsid w:val="004472F6"/>
    <w:rsid w:val="004474F1"/>
    <w:rsid w:val="00451285"/>
    <w:rsid w:val="00451C2C"/>
    <w:rsid w:val="00454102"/>
    <w:rsid w:val="00455551"/>
    <w:rsid w:val="004559D5"/>
    <w:rsid w:val="00460782"/>
    <w:rsid w:val="00461077"/>
    <w:rsid w:val="004613FD"/>
    <w:rsid w:val="00461967"/>
    <w:rsid w:val="00461A67"/>
    <w:rsid w:val="0046211E"/>
    <w:rsid w:val="004629B0"/>
    <w:rsid w:val="004639B1"/>
    <w:rsid w:val="00463AFA"/>
    <w:rsid w:val="004710C4"/>
    <w:rsid w:val="0047189B"/>
    <w:rsid w:val="0047253D"/>
    <w:rsid w:val="00472CBE"/>
    <w:rsid w:val="00473367"/>
    <w:rsid w:val="0047381F"/>
    <w:rsid w:val="00473C95"/>
    <w:rsid w:val="00476ACD"/>
    <w:rsid w:val="0047734E"/>
    <w:rsid w:val="00477ADD"/>
    <w:rsid w:val="00477F45"/>
    <w:rsid w:val="00480325"/>
    <w:rsid w:val="004803B5"/>
    <w:rsid w:val="0048086B"/>
    <w:rsid w:val="00480999"/>
    <w:rsid w:val="00482268"/>
    <w:rsid w:val="00482632"/>
    <w:rsid w:val="00482710"/>
    <w:rsid w:val="00482774"/>
    <w:rsid w:val="004839E9"/>
    <w:rsid w:val="00484112"/>
    <w:rsid w:val="00484166"/>
    <w:rsid w:val="00484277"/>
    <w:rsid w:val="0048538E"/>
    <w:rsid w:val="00486582"/>
    <w:rsid w:val="00486E6C"/>
    <w:rsid w:val="00486FDA"/>
    <w:rsid w:val="00487BD0"/>
    <w:rsid w:val="00487C85"/>
    <w:rsid w:val="00490194"/>
    <w:rsid w:val="00491209"/>
    <w:rsid w:val="004917D5"/>
    <w:rsid w:val="00491927"/>
    <w:rsid w:val="0049277B"/>
    <w:rsid w:val="00492C84"/>
    <w:rsid w:val="00493684"/>
    <w:rsid w:val="0049420D"/>
    <w:rsid w:val="00495FD5"/>
    <w:rsid w:val="004A00A9"/>
    <w:rsid w:val="004A147C"/>
    <w:rsid w:val="004A1507"/>
    <w:rsid w:val="004A16D9"/>
    <w:rsid w:val="004A1865"/>
    <w:rsid w:val="004A21EF"/>
    <w:rsid w:val="004A2DA5"/>
    <w:rsid w:val="004B246E"/>
    <w:rsid w:val="004B4AF9"/>
    <w:rsid w:val="004B4CC3"/>
    <w:rsid w:val="004B6B93"/>
    <w:rsid w:val="004B6D38"/>
    <w:rsid w:val="004B6FBF"/>
    <w:rsid w:val="004C0C79"/>
    <w:rsid w:val="004C1EDB"/>
    <w:rsid w:val="004C35DD"/>
    <w:rsid w:val="004C44BC"/>
    <w:rsid w:val="004C5E96"/>
    <w:rsid w:val="004C64CB"/>
    <w:rsid w:val="004C6900"/>
    <w:rsid w:val="004C6B7A"/>
    <w:rsid w:val="004C70CE"/>
    <w:rsid w:val="004C774A"/>
    <w:rsid w:val="004C7A80"/>
    <w:rsid w:val="004D10CE"/>
    <w:rsid w:val="004D1DAE"/>
    <w:rsid w:val="004D20D8"/>
    <w:rsid w:val="004D3D3B"/>
    <w:rsid w:val="004D4416"/>
    <w:rsid w:val="004D5A75"/>
    <w:rsid w:val="004D6F55"/>
    <w:rsid w:val="004E1641"/>
    <w:rsid w:val="004E1780"/>
    <w:rsid w:val="004E2B96"/>
    <w:rsid w:val="004E3C8C"/>
    <w:rsid w:val="004E4069"/>
    <w:rsid w:val="004E42B6"/>
    <w:rsid w:val="004E59D5"/>
    <w:rsid w:val="004F05EC"/>
    <w:rsid w:val="004F0B8C"/>
    <w:rsid w:val="004F1130"/>
    <w:rsid w:val="004F2D73"/>
    <w:rsid w:val="004F2FEF"/>
    <w:rsid w:val="004F3277"/>
    <w:rsid w:val="004F543A"/>
    <w:rsid w:val="004F5FE8"/>
    <w:rsid w:val="004F6692"/>
    <w:rsid w:val="005000AE"/>
    <w:rsid w:val="00500F24"/>
    <w:rsid w:val="0050144C"/>
    <w:rsid w:val="00502618"/>
    <w:rsid w:val="00503D2C"/>
    <w:rsid w:val="005056C0"/>
    <w:rsid w:val="005069E2"/>
    <w:rsid w:val="00506DCB"/>
    <w:rsid w:val="00512587"/>
    <w:rsid w:val="005130CC"/>
    <w:rsid w:val="005140BE"/>
    <w:rsid w:val="0051457B"/>
    <w:rsid w:val="0051588C"/>
    <w:rsid w:val="00516F0A"/>
    <w:rsid w:val="00517791"/>
    <w:rsid w:val="0052372F"/>
    <w:rsid w:val="005241ED"/>
    <w:rsid w:val="00524999"/>
    <w:rsid w:val="00525ABC"/>
    <w:rsid w:val="005274DB"/>
    <w:rsid w:val="0052786A"/>
    <w:rsid w:val="00531126"/>
    <w:rsid w:val="00531461"/>
    <w:rsid w:val="00531AB3"/>
    <w:rsid w:val="00532144"/>
    <w:rsid w:val="00532583"/>
    <w:rsid w:val="00533C4E"/>
    <w:rsid w:val="0053652A"/>
    <w:rsid w:val="005370DA"/>
    <w:rsid w:val="00541234"/>
    <w:rsid w:val="005413F9"/>
    <w:rsid w:val="00541D72"/>
    <w:rsid w:val="00542948"/>
    <w:rsid w:val="00544C26"/>
    <w:rsid w:val="0054560C"/>
    <w:rsid w:val="00550E5A"/>
    <w:rsid w:val="00551CC7"/>
    <w:rsid w:val="00551FA0"/>
    <w:rsid w:val="00555955"/>
    <w:rsid w:val="00556BA5"/>
    <w:rsid w:val="00557558"/>
    <w:rsid w:val="0056019B"/>
    <w:rsid w:val="00560D0C"/>
    <w:rsid w:val="00561076"/>
    <w:rsid w:val="0056140C"/>
    <w:rsid w:val="00562990"/>
    <w:rsid w:val="00562D2C"/>
    <w:rsid w:val="00563224"/>
    <w:rsid w:val="0056324E"/>
    <w:rsid w:val="005641A4"/>
    <w:rsid w:val="005644FD"/>
    <w:rsid w:val="00564883"/>
    <w:rsid w:val="00564F7B"/>
    <w:rsid w:val="00564F9A"/>
    <w:rsid w:val="00570226"/>
    <w:rsid w:val="00571918"/>
    <w:rsid w:val="0057213D"/>
    <w:rsid w:val="00573D5C"/>
    <w:rsid w:val="00574032"/>
    <w:rsid w:val="0057530D"/>
    <w:rsid w:val="00576232"/>
    <w:rsid w:val="0057660D"/>
    <w:rsid w:val="0057737B"/>
    <w:rsid w:val="00580612"/>
    <w:rsid w:val="00580814"/>
    <w:rsid w:val="00580A8F"/>
    <w:rsid w:val="00581985"/>
    <w:rsid w:val="00581A36"/>
    <w:rsid w:val="00581CC3"/>
    <w:rsid w:val="005821DF"/>
    <w:rsid w:val="00583D3B"/>
    <w:rsid w:val="00584298"/>
    <w:rsid w:val="005862F7"/>
    <w:rsid w:val="00587127"/>
    <w:rsid w:val="005879B9"/>
    <w:rsid w:val="00587EC6"/>
    <w:rsid w:val="00590EE1"/>
    <w:rsid w:val="00594C98"/>
    <w:rsid w:val="005957FD"/>
    <w:rsid w:val="00595D5A"/>
    <w:rsid w:val="00597277"/>
    <w:rsid w:val="005A1802"/>
    <w:rsid w:val="005A1FD8"/>
    <w:rsid w:val="005A4DAF"/>
    <w:rsid w:val="005B0D40"/>
    <w:rsid w:val="005B0D5A"/>
    <w:rsid w:val="005B1A8B"/>
    <w:rsid w:val="005B20EB"/>
    <w:rsid w:val="005B2186"/>
    <w:rsid w:val="005B2208"/>
    <w:rsid w:val="005B25E7"/>
    <w:rsid w:val="005B284F"/>
    <w:rsid w:val="005B3EE0"/>
    <w:rsid w:val="005B3F4A"/>
    <w:rsid w:val="005B41AD"/>
    <w:rsid w:val="005B520E"/>
    <w:rsid w:val="005B6F17"/>
    <w:rsid w:val="005C19D0"/>
    <w:rsid w:val="005C2806"/>
    <w:rsid w:val="005C2941"/>
    <w:rsid w:val="005C3FA5"/>
    <w:rsid w:val="005C6801"/>
    <w:rsid w:val="005C7A3E"/>
    <w:rsid w:val="005C7DD2"/>
    <w:rsid w:val="005D197A"/>
    <w:rsid w:val="005D27E4"/>
    <w:rsid w:val="005D3303"/>
    <w:rsid w:val="005D34D5"/>
    <w:rsid w:val="005D452A"/>
    <w:rsid w:val="005D59C2"/>
    <w:rsid w:val="005D7200"/>
    <w:rsid w:val="005E22B7"/>
    <w:rsid w:val="005E232E"/>
    <w:rsid w:val="005E6055"/>
    <w:rsid w:val="005E79EF"/>
    <w:rsid w:val="005E7D55"/>
    <w:rsid w:val="005F0CA7"/>
    <w:rsid w:val="005F4E1F"/>
    <w:rsid w:val="005F50AA"/>
    <w:rsid w:val="005F6E74"/>
    <w:rsid w:val="005F7393"/>
    <w:rsid w:val="00601800"/>
    <w:rsid w:val="006026CF"/>
    <w:rsid w:val="006037E7"/>
    <w:rsid w:val="00604122"/>
    <w:rsid w:val="00604EE1"/>
    <w:rsid w:val="0060514E"/>
    <w:rsid w:val="00605499"/>
    <w:rsid w:val="00606153"/>
    <w:rsid w:val="00606829"/>
    <w:rsid w:val="00607BDE"/>
    <w:rsid w:val="00610478"/>
    <w:rsid w:val="00611B7B"/>
    <w:rsid w:val="006125F6"/>
    <w:rsid w:val="00613EC9"/>
    <w:rsid w:val="00615C60"/>
    <w:rsid w:val="00616B9A"/>
    <w:rsid w:val="00620798"/>
    <w:rsid w:val="00620A02"/>
    <w:rsid w:val="00620FB8"/>
    <w:rsid w:val="0062161E"/>
    <w:rsid w:val="00622100"/>
    <w:rsid w:val="00622BBE"/>
    <w:rsid w:val="006233F1"/>
    <w:rsid w:val="006235A4"/>
    <w:rsid w:val="0063168A"/>
    <w:rsid w:val="006334DB"/>
    <w:rsid w:val="0063359A"/>
    <w:rsid w:val="0063389F"/>
    <w:rsid w:val="0063484A"/>
    <w:rsid w:val="006366D3"/>
    <w:rsid w:val="00636D68"/>
    <w:rsid w:val="00636F10"/>
    <w:rsid w:val="0063764D"/>
    <w:rsid w:val="00637F29"/>
    <w:rsid w:val="00640A52"/>
    <w:rsid w:val="006414AE"/>
    <w:rsid w:val="00641D5B"/>
    <w:rsid w:val="00642C5D"/>
    <w:rsid w:val="00643113"/>
    <w:rsid w:val="00643235"/>
    <w:rsid w:val="00643A99"/>
    <w:rsid w:val="00644264"/>
    <w:rsid w:val="006444FB"/>
    <w:rsid w:val="00644F9E"/>
    <w:rsid w:val="00646E6B"/>
    <w:rsid w:val="006470D3"/>
    <w:rsid w:val="00647B5F"/>
    <w:rsid w:val="00652D1E"/>
    <w:rsid w:val="0065333B"/>
    <w:rsid w:val="00654EC5"/>
    <w:rsid w:val="00656E91"/>
    <w:rsid w:val="006625D5"/>
    <w:rsid w:val="006666E7"/>
    <w:rsid w:val="006669B9"/>
    <w:rsid w:val="00666D45"/>
    <w:rsid w:val="00666E2E"/>
    <w:rsid w:val="0067155D"/>
    <w:rsid w:val="00671D55"/>
    <w:rsid w:val="00672174"/>
    <w:rsid w:val="00672511"/>
    <w:rsid w:val="006727DB"/>
    <w:rsid w:val="00672AC0"/>
    <w:rsid w:val="0067457D"/>
    <w:rsid w:val="00677215"/>
    <w:rsid w:val="00677A9C"/>
    <w:rsid w:val="00677D3C"/>
    <w:rsid w:val="006806A0"/>
    <w:rsid w:val="00680FBF"/>
    <w:rsid w:val="00680FD5"/>
    <w:rsid w:val="006821F1"/>
    <w:rsid w:val="0068231F"/>
    <w:rsid w:val="006835EF"/>
    <w:rsid w:val="00683881"/>
    <w:rsid w:val="00683D2C"/>
    <w:rsid w:val="00684443"/>
    <w:rsid w:val="0068608D"/>
    <w:rsid w:val="00691E5A"/>
    <w:rsid w:val="00692790"/>
    <w:rsid w:val="006932A6"/>
    <w:rsid w:val="006952FE"/>
    <w:rsid w:val="0069530B"/>
    <w:rsid w:val="006965B4"/>
    <w:rsid w:val="00697F18"/>
    <w:rsid w:val="006A0DFB"/>
    <w:rsid w:val="006A2053"/>
    <w:rsid w:val="006A20A7"/>
    <w:rsid w:val="006A2213"/>
    <w:rsid w:val="006A530E"/>
    <w:rsid w:val="006A7659"/>
    <w:rsid w:val="006A77B9"/>
    <w:rsid w:val="006A7E1D"/>
    <w:rsid w:val="006B014A"/>
    <w:rsid w:val="006B2E16"/>
    <w:rsid w:val="006B39DB"/>
    <w:rsid w:val="006B442F"/>
    <w:rsid w:val="006C010E"/>
    <w:rsid w:val="006C24A6"/>
    <w:rsid w:val="006C29A8"/>
    <w:rsid w:val="006C3D35"/>
    <w:rsid w:val="006C6406"/>
    <w:rsid w:val="006D1BFF"/>
    <w:rsid w:val="006D2BBC"/>
    <w:rsid w:val="006D2E1F"/>
    <w:rsid w:val="006D2FBF"/>
    <w:rsid w:val="006D3A19"/>
    <w:rsid w:val="006D577B"/>
    <w:rsid w:val="006D5D29"/>
    <w:rsid w:val="006D5E0C"/>
    <w:rsid w:val="006D6BB0"/>
    <w:rsid w:val="006D6D4D"/>
    <w:rsid w:val="006E1B1C"/>
    <w:rsid w:val="006E1E98"/>
    <w:rsid w:val="006E2AB6"/>
    <w:rsid w:val="006E311E"/>
    <w:rsid w:val="006E48D6"/>
    <w:rsid w:val="006E62B8"/>
    <w:rsid w:val="006E74AB"/>
    <w:rsid w:val="006F0737"/>
    <w:rsid w:val="006F0BB9"/>
    <w:rsid w:val="006F109E"/>
    <w:rsid w:val="006F2BF0"/>
    <w:rsid w:val="006F4160"/>
    <w:rsid w:val="006F4417"/>
    <w:rsid w:val="006F4A43"/>
    <w:rsid w:val="006F5368"/>
    <w:rsid w:val="006F60F7"/>
    <w:rsid w:val="006F7BDC"/>
    <w:rsid w:val="007000A4"/>
    <w:rsid w:val="00702618"/>
    <w:rsid w:val="00703E9E"/>
    <w:rsid w:val="00704E67"/>
    <w:rsid w:val="00705115"/>
    <w:rsid w:val="0070651C"/>
    <w:rsid w:val="00711C3B"/>
    <w:rsid w:val="00711E18"/>
    <w:rsid w:val="00713FFA"/>
    <w:rsid w:val="0071427C"/>
    <w:rsid w:val="007146F7"/>
    <w:rsid w:val="0071631E"/>
    <w:rsid w:val="00716632"/>
    <w:rsid w:val="00716702"/>
    <w:rsid w:val="00720115"/>
    <w:rsid w:val="00722A7B"/>
    <w:rsid w:val="00726C14"/>
    <w:rsid w:val="007277F0"/>
    <w:rsid w:val="00727A7D"/>
    <w:rsid w:val="00727D39"/>
    <w:rsid w:val="00731417"/>
    <w:rsid w:val="00733908"/>
    <w:rsid w:val="00734AA6"/>
    <w:rsid w:val="00735288"/>
    <w:rsid w:val="00737EBA"/>
    <w:rsid w:val="00740C8C"/>
    <w:rsid w:val="0074531B"/>
    <w:rsid w:val="0074572F"/>
    <w:rsid w:val="007501AF"/>
    <w:rsid w:val="00751574"/>
    <w:rsid w:val="007515CC"/>
    <w:rsid w:val="00752B83"/>
    <w:rsid w:val="00753568"/>
    <w:rsid w:val="00753D56"/>
    <w:rsid w:val="00755371"/>
    <w:rsid w:val="00761DEC"/>
    <w:rsid w:val="00762CE9"/>
    <w:rsid w:val="007638CF"/>
    <w:rsid w:val="0076480E"/>
    <w:rsid w:val="00764B15"/>
    <w:rsid w:val="00766A0D"/>
    <w:rsid w:val="0076701E"/>
    <w:rsid w:val="00767FBB"/>
    <w:rsid w:val="007721EB"/>
    <w:rsid w:val="00774164"/>
    <w:rsid w:val="00775A41"/>
    <w:rsid w:val="00777893"/>
    <w:rsid w:val="00777D52"/>
    <w:rsid w:val="00780CDB"/>
    <w:rsid w:val="00781A33"/>
    <w:rsid w:val="0078474D"/>
    <w:rsid w:val="00785A40"/>
    <w:rsid w:val="00790661"/>
    <w:rsid w:val="00791230"/>
    <w:rsid w:val="00791649"/>
    <w:rsid w:val="00794260"/>
    <w:rsid w:val="00794C51"/>
    <w:rsid w:val="007952DF"/>
    <w:rsid w:val="00795557"/>
    <w:rsid w:val="00795A57"/>
    <w:rsid w:val="007A08E7"/>
    <w:rsid w:val="007A1C29"/>
    <w:rsid w:val="007A383E"/>
    <w:rsid w:val="007A7A18"/>
    <w:rsid w:val="007B14B1"/>
    <w:rsid w:val="007B16DD"/>
    <w:rsid w:val="007B7ABF"/>
    <w:rsid w:val="007C1569"/>
    <w:rsid w:val="007D1506"/>
    <w:rsid w:val="007D40E2"/>
    <w:rsid w:val="007D490C"/>
    <w:rsid w:val="007D5132"/>
    <w:rsid w:val="007D5221"/>
    <w:rsid w:val="007D6351"/>
    <w:rsid w:val="007D68FB"/>
    <w:rsid w:val="007E1466"/>
    <w:rsid w:val="007E2571"/>
    <w:rsid w:val="007E325F"/>
    <w:rsid w:val="007E4A08"/>
    <w:rsid w:val="007E4FAB"/>
    <w:rsid w:val="007E5799"/>
    <w:rsid w:val="007E5A1C"/>
    <w:rsid w:val="007E5CFD"/>
    <w:rsid w:val="007E7CC0"/>
    <w:rsid w:val="007E7E9F"/>
    <w:rsid w:val="007F2020"/>
    <w:rsid w:val="007F2FB0"/>
    <w:rsid w:val="007F4C3B"/>
    <w:rsid w:val="007F53E2"/>
    <w:rsid w:val="007F561B"/>
    <w:rsid w:val="007F5749"/>
    <w:rsid w:val="007F6F33"/>
    <w:rsid w:val="00800BAC"/>
    <w:rsid w:val="00801272"/>
    <w:rsid w:val="0080467D"/>
    <w:rsid w:val="00805C95"/>
    <w:rsid w:val="00806153"/>
    <w:rsid w:val="008063C6"/>
    <w:rsid w:val="008063CB"/>
    <w:rsid w:val="00810100"/>
    <w:rsid w:val="008109B0"/>
    <w:rsid w:val="00810C91"/>
    <w:rsid w:val="00815852"/>
    <w:rsid w:val="008158EF"/>
    <w:rsid w:val="00816EE6"/>
    <w:rsid w:val="0081732B"/>
    <w:rsid w:val="00820D79"/>
    <w:rsid w:val="008210D4"/>
    <w:rsid w:val="00821AEF"/>
    <w:rsid w:val="00821FA6"/>
    <w:rsid w:val="00822573"/>
    <w:rsid w:val="00822AC8"/>
    <w:rsid w:val="00822B35"/>
    <w:rsid w:val="00823272"/>
    <w:rsid w:val="008232BD"/>
    <w:rsid w:val="00826134"/>
    <w:rsid w:val="008263E2"/>
    <w:rsid w:val="00831B06"/>
    <w:rsid w:val="00832016"/>
    <w:rsid w:val="00832B8C"/>
    <w:rsid w:val="00832E5D"/>
    <w:rsid w:val="0083356B"/>
    <w:rsid w:val="008338D8"/>
    <w:rsid w:val="008355D4"/>
    <w:rsid w:val="008370C1"/>
    <w:rsid w:val="00840894"/>
    <w:rsid w:val="00843EED"/>
    <w:rsid w:val="0084407C"/>
    <w:rsid w:val="00844875"/>
    <w:rsid w:val="008453A7"/>
    <w:rsid w:val="00845A4C"/>
    <w:rsid w:val="00846062"/>
    <w:rsid w:val="0084647B"/>
    <w:rsid w:val="0084796E"/>
    <w:rsid w:val="00850B80"/>
    <w:rsid w:val="00851E51"/>
    <w:rsid w:val="008520C9"/>
    <w:rsid w:val="008539C7"/>
    <w:rsid w:val="008547DC"/>
    <w:rsid w:val="00854A2D"/>
    <w:rsid w:val="00854A8D"/>
    <w:rsid w:val="008568AC"/>
    <w:rsid w:val="00861F00"/>
    <w:rsid w:val="0086232B"/>
    <w:rsid w:val="00863D85"/>
    <w:rsid w:val="00866672"/>
    <w:rsid w:val="0086712E"/>
    <w:rsid w:val="00870AAD"/>
    <w:rsid w:val="008715E0"/>
    <w:rsid w:val="00875931"/>
    <w:rsid w:val="00876248"/>
    <w:rsid w:val="0087713C"/>
    <w:rsid w:val="0087740E"/>
    <w:rsid w:val="00885FC4"/>
    <w:rsid w:val="00887E94"/>
    <w:rsid w:val="00892DC1"/>
    <w:rsid w:val="00894558"/>
    <w:rsid w:val="0089738C"/>
    <w:rsid w:val="008A067E"/>
    <w:rsid w:val="008A0C4A"/>
    <w:rsid w:val="008A1810"/>
    <w:rsid w:val="008A1C8E"/>
    <w:rsid w:val="008A212F"/>
    <w:rsid w:val="008A21EC"/>
    <w:rsid w:val="008A291B"/>
    <w:rsid w:val="008A318E"/>
    <w:rsid w:val="008A4841"/>
    <w:rsid w:val="008A70C8"/>
    <w:rsid w:val="008A793D"/>
    <w:rsid w:val="008A7B56"/>
    <w:rsid w:val="008B0885"/>
    <w:rsid w:val="008B4097"/>
    <w:rsid w:val="008B45DD"/>
    <w:rsid w:val="008B4FAE"/>
    <w:rsid w:val="008C0EFC"/>
    <w:rsid w:val="008C2A57"/>
    <w:rsid w:val="008C399B"/>
    <w:rsid w:val="008C4171"/>
    <w:rsid w:val="008C675A"/>
    <w:rsid w:val="008C70A7"/>
    <w:rsid w:val="008C7BF9"/>
    <w:rsid w:val="008D055B"/>
    <w:rsid w:val="008D0E82"/>
    <w:rsid w:val="008D199A"/>
    <w:rsid w:val="008D29E2"/>
    <w:rsid w:val="008D4366"/>
    <w:rsid w:val="008D4D96"/>
    <w:rsid w:val="008D7C24"/>
    <w:rsid w:val="008E0F85"/>
    <w:rsid w:val="008E206E"/>
    <w:rsid w:val="008E211B"/>
    <w:rsid w:val="008E22E9"/>
    <w:rsid w:val="008E296A"/>
    <w:rsid w:val="008E35A7"/>
    <w:rsid w:val="008E3E12"/>
    <w:rsid w:val="008E4BC0"/>
    <w:rsid w:val="008E538F"/>
    <w:rsid w:val="008E5B0E"/>
    <w:rsid w:val="008E5E3A"/>
    <w:rsid w:val="008E72FC"/>
    <w:rsid w:val="008F00AF"/>
    <w:rsid w:val="008F01A8"/>
    <w:rsid w:val="008F1CAA"/>
    <w:rsid w:val="008F1CB9"/>
    <w:rsid w:val="008F2197"/>
    <w:rsid w:val="008F3B99"/>
    <w:rsid w:val="008F445F"/>
    <w:rsid w:val="008F5128"/>
    <w:rsid w:val="008F5184"/>
    <w:rsid w:val="008F5D65"/>
    <w:rsid w:val="008F628A"/>
    <w:rsid w:val="008F67D0"/>
    <w:rsid w:val="008F6BC2"/>
    <w:rsid w:val="008F6F05"/>
    <w:rsid w:val="00902139"/>
    <w:rsid w:val="00902860"/>
    <w:rsid w:val="00902D61"/>
    <w:rsid w:val="00910D58"/>
    <w:rsid w:val="00912C3E"/>
    <w:rsid w:val="0091343D"/>
    <w:rsid w:val="00917A79"/>
    <w:rsid w:val="00917F8A"/>
    <w:rsid w:val="0092024E"/>
    <w:rsid w:val="00920842"/>
    <w:rsid w:val="00921D77"/>
    <w:rsid w:val="0092428A"/>
    <w:rsid w:val="009249B4"/>
    <w:rsid w:val="00927FE6"/>
    <w:rsid w:val="009316D2"/>
    <w:rsid w:val="00931CE7"/>
    <w:rsid w:val="009334EE"/>
    <w:rsid w:val="00935971"/>
    <w:rsid w:val="009364DE"/>
    <w:rsid w:val="00936B2E"/>
    <w:rsid w:val="00937108"/>
    <w:rsid w:val="00937B24"/>
    <w:rsid w:val="00941790"/>
    <w:rsid w:val="009438EB"/>
    <w:rsid w:val="00943A59"/>
    <w:rsid w:val="00943F44"/>
    <w:rsid w:val="009448EB"/>
    <w:rsid w:val="00945114"/>
    <w:rsid w:val="00945370"/>
    <w:rsid w:val="00946ABA"/>
    <w:rsid w:val="00946C15"/>
    <w:rsid w:val="00947663"/>
    <w:rsid w:val="00947E99"/>
    <w:rsid w:val="009525C3"/>
    <w:rsid w:val="0095341B"/>
    <w:rsid w:val="00953BBB"/>
    <w:rsid w:val="00954BFE"/>
    <w:rsid w:val="00954E69"/>
    <w:rsid w:val="00956694"/>
    <w:rsid w:val="009625D4"/>
    <w:rsid w:val="0096362C"/>
    <w:rsid w:val="009668C2"/>
    <w:rsid w:val="00971E52"/>
    <w:rsid w:val="00971FF7"/>
    <w:rsid w:val="00972AF9"/>
    <w:rsid w:val="00975A18"/>
    <w:rsid w:val="00976359"/>
    <w:rsid w:val="009803F5"/>
    <w:rsid w:val="0098223A"/>
    <w:rsid w:val="00982397"/>
    <w:rsid w:val="009828F8"/>
    <w:rsid w:val="009835BB"/>
    <w:rsid w:val="00983904"/>
    <w:rsid w:val="0098642B"/>
    <w:rsid w:val="00987188"/>
    <w:rsid w:val="00987369"/>
    <w:rsid w:val="00987EEB"/>
    <w:rsid w:val="00990672"/>
    <w:rsid w:val="00992D59"/>
    <w:rsid w:val="00994812"/>
    <w:rsid w:val="009948ED"/>
    <w:rsid w:val="00995AF3"/>
    <w:rsid w:val="00995B1C"/>
    <w:rsid w:val="00997041"/>
    <w:rsid w:val="009A0FE1"/>
    <w:rsid w:val="009A1207"/>
    <w:rsid w:val="009A12CC"/>
    <w:rsid w:val="009A1E6A"/>
    <w:rsid w:val="009A322D"/>
    <w:rsid w:val="009A4021"/>
    <w:rsid w:val="009A5A12"/>
    <w:rsid w:val="009A5E63"/>
    <w:rsid w:val="009A6718"/>
    <w:rsid w:val="009B00F8"/>
    <w:rsid w:val="009B0EBA"/>
    <w:rsid w:val="009B2512"/>
    <w:rsid w:val="009B4072"/>
    <w:rsid w:val="009B4657"/>
    <w:rsid w:val="009B5096"/>
    <w:rsid w:val="009B79E5"/>
    <w:rsid w:val="009B7E34"/>
    <w:rsid w:val="009B7FEF"/>
    <w:rsid w:val="009C2B21"/>
    <w:rsid w:val="009C3CC4"/>
    <w:rsid w:val="009C57D2"/>
    <w:rsid w:val="009C6D07"/>
    <w:rsid w:val="009C7CC2"/>
    <w:rsid w:val="009D4EA6"/>
    <w:rsid w:val="009D4EB3"/>
    <w:rsid w:val="009D6298"/>
    <w:rsid w:val="009D6C9B"/>
    <w:rsid w:val="009D7D5C"/>
    <w:rsid w:val="009D7F85"/>
    <w:rsid w:val="009E32D9"/>
    <w:rsid w:val="009E50F7"/>
    <w:rsid w:val="009E7800"/>
    <w:rsid w:val="009F3B3B"/>
    <w:rsid w:val="009F512E"/>
    <w:rsid w:val="009F583E"/>
    <w:rsid w:val="009F7CB7"/>
    <w:rsid w:val="00A019F4"/>
    <w:rsid w:val="00A01BA0"/>
    <w:rsid w:val="00A02040"/>
    <w:rsid w:val="00A0357B"/>
    <w:rsid w:val="00A037B8"/>
    <w:rsid w:val="00A03C0A"/>
    <w:rsid w:val="00A03DE2"/>
    <w:rsid w:val="00A05F20"/>
    <w:rsid w:val="00A11095"/>
    <w:rsid w:val="00A122DF"/>
    <w:rsid w:val="00A13BEA"/>
    <w:rsid w:val="00A14171"/>
    <w:rsid w:val="00A15232"/>
    <w:rsid w:val="00A15EDE"/>
    <w:rsid w:val="00A16B79"/>
    <w:rsid w:val="00A16E24"/>
    <w:rsid w:val="00A22C11"/>
    <w:rsid w:val="00A25378"/>
    <w:rsid w:val="00A269BE"/>
    <w:rsid w:val="00A26F02"/>
    <w:rsid w:val="00A27013"/>
    <w:rsid w:val="00A2716D"/>
    <w:rsid w:val="00A273E5"/>
    <w:rsid w:val="00A27EDD"/>
    <w:rsid w:val="00A33A76"/>
    <w:rsid w:val="00A33BAB"/>
    <w:rsid w:val="00A34A44"/>
    <w:rsid w:val="00A35926"/>
    <w:rsid w:val="00A35BA2"/>
    <w:rsid w:val="00A35C68"/>
    <w:rsid w:val="00A37278"/>
    <w:rsid w:val="00A37D8B"/>
    <w:rsid w:val="00A40BCD"/>
    <w:rsid w:val="00A411A3"/>
    <w:rsid w:val="00A42755"/>
    <w:rsid w:val="00A438A7"/>
    <w:rsid w:val="00A467C8"/>
    <w:rsid w:val="00A51444"/>
    <w:rsid w:val="00A51E42"/>
    <w:rsid w:val="00A52F13"/>
    <w:rsid w:val="00A5322E"/>
    <w:rsid w:val="00A53677"/>
    <w:rsid w:val="00A548B5"/>
    <w:rsid w:val="00A56003"/>
    <w:rsid w:val="00A56D55"/>
    <w:rsid w:val="00A60265"/>
    <w:rsid w:val="00A6109B"/>
    <w:rsid w:val="00A63987"/>
    <w:rsid w:val="00A6507F"/>
    <w:rsid w:val="00A65B8C"/>
    <w:rsid w:val="00A70CA8"/>
    <w:rsid w:val="00A71E75"/>
    <w:rsid w:val="00A74DBB"/>
    <w:rsid w:val="00A765DF"/>
    <w:rsid w:val="00A808DD"/>
    <w:rsid w:val="00A820A8"/>
    <w:rsid w:val="00A821B5"/>
    <w:rsid w:val="00A869AC"/>
    <w:rsid w:val="00A86C3B"/>
    <w:rsid w:val="00A87912"/>
    <w:rsid w:val="00A90235"/>
    <w:rsid w:val="00A902F6"/>
    <w:rsid w:val="00A90CBF"/>
    <w:rsid w:val="00A90E4D"/>
    <w:rsid w:val="00A93945"/>
    <w:rsid w:val="00A97A13"/>
    <w:rsid w:val="00AA0091"/>
    <w:rsid w:val="00AA00AD"/>
    <w:rsid w:val="00AA0888"/>
    <w:rsid w:val="00AA12D7"/>
    <w:rsid w:val="00AA45A7"/>
    <w:rsid w:val="00AA46B9"/>
    <w:rsid w:val="00AA4F80"/>
    <w:rsid w:val="00AA575E"/>
    <w:rsid w:val="00AA5ADD"/>
    <w:rsid w:val="00AA5D39"/>
    <w:rsid w:val="00AB0265"/>
    <w:rsid w:val="00AB03C2"/>
    <w:rsid w:val="00AB1105"/>
    <w:rsid w:val="00AB2564"/>
    <w:rsid w:val="00AB3BA3"/>
    <w:rsid w:val="00AB490F"/>
    <w:rsid w:val="00AB547D"/>
    <w:rsid w:val="00AB7AC1"/>
    <w:rsid w:val="00AC01B5"/>
    <w:rsid w:val="00AC0CA1"/>
    <w:rsid w:val="00AC13F4"/>
    <w:rsid w:val="00AC25D1"/>
    <w:rsid w:val="00AC3044"/>
    <w:rsid w:val="00AC3EAF"/>
    <w:rsid w:val="00AC6560"/>
    <w:rsid w:val="00AC70DD"/>
    <w:rsid w:val="00AD107E"/>
    <w:rsid w:val="00AD1611"/>
    <w:rsid w:val="00AD3297"/>
    <w:rsid w:val="00AD3405"/>
    <w:rsid w:val="00AD394E"/>
    <w:rsid w:val="00AD4493"/>
    <w:rsid w:val="00AD5653"/>
    <w:rsid w:val="00AE24D0"/>
    <w:rsid w:val="00AE666E"/>
    <w:rsid w:val="00AE6D69"/>
    <w:rsid w:val="00AF2825"/>
    <w:rsid w:val="00AF2E9A"/>
    <w:rsid w:val="00AF3FB7"/>
    <w:rsid w:val="00AF4183"/>
    <w:rsid w:val="00AF4DC6"/>
    <w:rsid w:val="00AF4DEC"/>
    <w:rsid w:val="00AF4FF8"/>
    <w:rsid w:val="00AF50B7"/>
    <w:rsid w:val="00AF6367"/>
    <w:rsid w:val="00B00498"/>
    <w:rsid w:val="00B00823"/>
    <w:rsid w:val="00B01606"/>
    <w:rsid w:val="00B0452E"/>
    <w:rsid w:val="00B05012"/>
    <w:rsid w:val="00B05BB3"/>
    <w:rsid w:val="00B10DDB"/>
    <w:rsid w:val="00B10F04"/>
    <w:rsid w:val="00B1130A"/>
    <w:rsid w:val="00B11DC0"/>
    <w:rsid w:val="00B12AF7"/>
    <w:rsid w:val="00B12BDA"/>
    <w:rsid w:val="00B13827"/>
    <w:rsid w:val="00B15380"/>
    <w:rsid w:val="00B175A0"/>
    <w:rsid w:val="00B214D3"/>
    <w:rsid w:val="00B2406E"/>
    <w:rsid w:val="00B25B24"/>
    <w:rsid w:val="00B27108"/>
    <w:rsid w:val="00B3037F"/>
    <w:rsid w:val="00B30769"/>
    <w:rsid w:val="00B319DD"/>
    <w:rsid w:val="00B329B6"/>
    <w:rsid w:val="00B3349F"/>
    <w:rsid w:val="00B33DCE"/>
    <w:rsid w:val="00B34013"/>
    <w:rsid w:val="00B34F8F"/>
    <w:rsid w:val="00B353E9"/>
    <w:rsid w:val="00B3738F"/>
    <w:rsid w:val="00B4071D"/>
    <w:rsid w:val="00B41D59"/>
    <w:rsid w:val="00B42AC5"/>
    <w:rsid w:val="00B43774"/>
    <w:rsid w:val="00B43C1B"/>
    <w:rsid w:val="00B444B6"/>
    <w:rsid w:val="00B44752"/>
    <w:rsid w:val="00B447B4"/>
    <w:rsid w:val="00B45AEE"/>
    <w:rsid w:val="00B465BD"/>
    <w:rsid w:val="00B469E5"/>
    <w:rsid w:val="00B471A4"/>
    <w:rsid w:val="00B47BD3"/>
    <w:rsid w:val="00B500DB"/>
    <w:rsid w:val="00B5089C"/>
    <w:rsid w:val="00B51AA4"/>
    <w:rsid w:val="00B54EFD"/>
    <w:rsid w:val="00B555CE"/>
    <w:rsid w:val="00B55870"/>
    <w:rsid w:val="00B5651F"/>
    <w:rsid w:val="00B56C7F"/>
    <w:rsid w:val="00B579E5"/>
    <w:rsid w:val="00B60ECC"/>
    <w:rsid w:val="00B62EA8"/>
    <w:rsid w:val="00B63002"/>
    <w:rsid w:val="00B64F87"/>
    <w:rsid w:val="00B64FE3"/>
    <w:rsid w:val="00B66533"/>
    <w:rsid w:val="00B66B50"/>
    <w:rsid w:val="00B6704D"/>
    <w:rsid w:val="00B71427"/>
    <w:rsid w:val="00B71AD4"/>
    <w:rsid w:val="00B72829"/>
    <w:rsid w:val="00B72948"/>
    <w:rsid w:val="00B73520"/>
    <w:rsid w:val="00B7368F"/>
    <w:rsid w:val="00B745FB"/>
    <w:rsid w:val="00B76488"/>
    <w:rsid w:val="00B764B0"/>
    <w:rsid w:val="00B76726"/>
    <w:rsid w:val="00B77D12"/>
    <w:rsid w:val="00B803CF"/>
    <w:rsid w:val="00B8043E"/>
    <w:rsid w:val="00B80864"/>
    <w:rsid w:val="00B817CF"/>
    <w:rsid w:val="00B8269F"/>
    <w:rsid w:val="00B830EF"/>
    <w:rsid w:val="00B83201"/>
    <w:rsid w:val="00B8338B"/>
    <w:rsid w:val="00B83C43"/>
    <w:rsid w:val="00B83E72"/>
    <w:rsid w:val="00B851FB"/>
    <w:rsid w:val="00B908E7"/>
    <w:rsid w:val="00B91CB9"/>
    <w:rsid w:val="00B93186"/>
    <w:rsid w:val="00B9472A"/>
    <w:rsid w:val="00B94780"/>
    <w:rsid w:val="00B974E5"/>
    <w:rsid w:val="00BA0A43"/>
    <w:rsid w:val="00BA2102"/>
    <w:rsid w:val="00BA4D63"/>
    <w:rsid w:val="00BB0257"/>
    <w:rsid w:val="00BB02DB"/>
    <w:rsid w:val="00BB19B7"/>
    <w:rsid w:val="00BB32B8"/>
    <w:rsid w:val="00BB4322"/>
    <w:rsid w:val="00BB465A"/>
    <w:rsid w:val="00BB5B80"/>
    <w:rsid w:val="00BB60B8"/>
    <w:rsid w:val="00BC085E"/>
    <w:rsid w:val="00BC5FDF"/>
    <w:rsid w:val="00BC634D"/>
    <w:rsid w:val="00BC7FE9"/>
    <w:rsid w:val="00BD3E0D"/>
    <w:rsid w:val="00BD4529"/>
    <w:rsid w:val="00BD4CA2"/>
    <w:rsid w:val="00BD4E96"/>
    <w:rsid w:val="00BD589C"/>
    <w:rsid w:val="00BE095B"/>
    <w:rsid w:val="00BE22B6"/>
    <w:rsid w:val="00BE4C09"/>
    <w:rsid w:val="00BE4D08"/>
    <w:rsid w:val="00BE4FC8"/>
    <w:rsid w:val="00BE5551"/>
    <w:rsid w:val="00BE5DB0"/>
    <w:rsid w:val="00BE766E"/>
    <w:rsid w:val="00BE7F6A"/>
    <w:rsid w:val="00BF063B"/>
    <w:rsid w:val="00BF08F0"/>
    <w:rsid w:val="00BF195B"/>
    <w:rsid w:val="00BF2B03"/>
    <w:rsid w:val="00BF2D29"/>
    <w:rsid w:val="00BF32B7"/>
    <w:rsid w:val="00BF3DA2"/>
    <w:rsid w:val="00BF4F27"/>
    <w:rsid w:val="00BF6D0B"/>
    <w:rsid w:val="00BF7E18"/>
    <w:rsid w:val="00C00C3B"/>
    <w:rsid w:val="00C0268E"/>
    <w:rsid w:val="00C0358B"/>
    <w:rsid w:val="00C0449D"/>
    <w:rsid w:val="00C064A7"/>
    <w:rsid w:val="00C102D6"/>
    <w:rsid w:val="00C103E2"/>
    <w:rsid w:val="00C110AA"/>
    <w:rsid w:val="00C11385"/>
    <w:rsid w:val="00C11843"/>
    <w:rsid w:val="00C11AF0"/>
    <w:rsid w:val="00C12152"/>
    <w:rsid w:val="00C1217A"/>
    <w:rsid w:val="00C12ED0"/>
    <w:rsid w:val="00C13613"/>
    <w:rsid w:val="00C14128"/>
    <w:rsid w:val="00C16CA0"/>
    <w:rsid w:val="00C17A47"/>
    <w:rsid w:val="00C2149B"/>
    <w:rsid w:val="00C22419"/>
    <w:rsid w:val="00C245D1"/>
    <w:rsid w:val="00C262BA"/>
    <w:rsid w:val="00C27D64"/>
    <w:rsid w:val="00C30E16"/>
    <w:rsid w:val="00C35E83"/>
    <w:rsid w:val="00C410A8"/>
    <w:rsid w:val="00C41C1F"/>
    <w:rsid w:val="00C4245A"/>
    <w:rsid w:val="00C44C80"/>
    <w:rsid w:val="00C45335"/>
    <w:rsid w:val="00C52130"/>
    <w:rsid w:val="00C52361"/>
    <w:rsid w:val="00C524ED"/>
    <w:rsid w:val="00C52A0B"/>
    <w:rsid w:val="00C57489"/>
    <w:rsid w:val="00C604BD"/>
    <w:rsid w:val="00C61872"/>
    <w:rsid w:val="00C61A15"/>
    <w:rsid w:val="00C631D2"/>
    <w:rsid w:val="00C63E2A"/>
    <w:rsid w:val="00C6614D"/>
    <w:rsid w:val="00C67350"/>
    <w:rsid w:val="00C67F47"/>
    <w:rsid w:val="00C71983"/>
    <w:rsid w:val="00C7234D"/>
    <w:rsid w:val="00C74171"/>
    <w:rsid w:val="00C74338"/>
    <w:rsid w:val="00C74C4D"/>
    <w:rsid w:val="00C77337"/>
    <w:rsid w:val="00C801A7"/>
    <w:rsid w:val="00C8036D"/>
    <w:rsid w:val="00C80A33"/>
    <w:rsid w:val="00C80DCA"/>
    <w:rsid w:val="00C81C4F"/>
    <w:rsid w:val="00C84E9B"/>
    <w:rsid w:val="00C86851"/>
    <w:rsid w:val="00C86BF0"/>
    <w:rsid w:val="00C926A4"/>
    <w:rsid w:val="00C92B56"/>
    <w:rsid w:val="00C930DF"/>
    <w:rsid w:val="00C93737"/>
    <w:rsid w:val="00C9461A"/>
    <w:rsid w:val="00C94F87"/>
    <w:rsid w:val="00C969D1"/>
    <w:rsid w:val="00C97927"/>
    <w:rsid w:val="00C97A9F"/>
    <w:rsid w:val="00C97AE2"/>
    <w:rsid w:val="00CA0D6F"/>
    <w:rsid w:val="00CA33F8"/>
    <w:rsid w:val="00CA3A65"/>
    <w:rsid w:val="00CA735A"/>
    <w:rsid w:val="00CB04A4"/>
    <w:rsid w:val="00CB0C94"/>
    <w:rsid w:val="00CB28E7"/>
    <w:rsid w:val="00CB2DEE"/>
    <w:rsid w:val="00CB538C"/>
    <w:rsid w:val="00CB5475"/>
    <w:rsid w:val="00CB54F4"/>
    <w:rsid w:val="00CB649B"/>
    <w:rsid w:val="00CB6718"/>
    <w:rsid w:val="00CC0807"/>
    <w:rsid w:val="00CC0852"/>
    <w:rsid w:val="00CC09C8"/>
    <w:rsid w:val="00CC0DF1"/>
    <w:rsid w:val="00CC1DED"/>
    <w:rsid w:val="00CC1E5D"/>
    <w:rsid w:val="00CC257A"/>
    <w:rsid w:val="00CC2C53"/>
    <w:rsid w:val="00CC48AC"/>
    <w:rsid w:val="00CC4CA4"/>
    <w:rsid w:val="00CC513F"/>
    <w:rsid w:val="00CD17D5"/>
    <w:rsid w:val="00CD3B53"/>
    <w:rsid w:val="00CD46F7"/>
    <w:rsid w:val="00CD5B08"/>
    <w:rsid w:val="00CD76A5"/>
    <w:rsid w:val="00CE08E1"/>
    <w:rsid w:val="00CE114E"/>
    <w:rsid w:val="00CE3355"/>
    <w:rsid w:val="00CE36C3"/>
    <w:rsid w:val="00CE43FB"/>
    <w:rsid w:val="00CE55F3"/>
    <w:rsid w:val="00CE660C"/>
    <w:rsid w:val="00CE66EA"/>
    <w:rsid w:val="00CE720B"/>
    <w:rsid w:val="00CE7C56"/>
    <w:rsid w:val="00CE7ED3"/>
    <w:rsid w:val="00CF170D"/>
    <w:rsid w:val="00CF3F63"/>
    <w:rsid w:val="00CF4C60"/>
    <w:rsid w:val="00CF60E0"/>
    <w:rsid w:val="00CF716B"/>
    <w:rsid w:val="00D00673"/>
    <w:rsid w:val="00D0198A"/>
    <w:rsid w:val="00D03AF1"/>
    <w:rsid w:val="00D0437F"/>
    <w:rsid w:val="00D06750"/>
    <w:rsid w:val="00D06C89"/>
    <w:rsid w:val="00D06FC1"/>
    <w:rsid w:val="00D106B9"/>
    <w:rsid w:val="00D14C64"/>
    <w:rsid w:val="00D16B57"/>
    <w:rsid w:val="00D16B59"/>
    <w:rsid w:val="00D21203"/>
    <w:rsid w:val="00D224A3"/>
    <w:rsid w:val="00D2329C"/>
    <w:rsid w:val="00D23717"/>
    <w:rsid w:val="00D23D3B"/>
    <w:rsid w:val="00D24BF5"/>
    <w:rsid w:val="00D25C8B"/>
    <w:rsid w:val="00D25D12"/>
    <w:rsid w:val="00D27188"/>
    <w:rsid w:val="00D27859"/>
    <w:rsid w:val="00D30AEA"/>
    <w:rsid w:val="00D31430"/>
    <w:rsid w:val="00D32057"/>
    <w:rsid w:val="00D33ACB"/>
    <w:rsid w:val="00D352A3"/>
    <w:rsid w:val="00D363FD"/>
    <w:rsid w:val="00D37234"/>
    <w:rsid w:val="00D37FE6"/>
    <w:rsid w:val="00D4096C"/>
    <w:rsid w:val="00D40EB1"/>
    <w:rsid w:val="00D416E3"/>
    <w:rsid w:val="00D41EDC"/>
    <w:rsid w:val="00D41F7E"/>
    <w:rsid w:val="00D428A0"/>
    <w:rsid w:val="00D43564"/>
    <w:rsid w:val="00D43750"/>
    <w:rsid w:val="00D44AF3"/>
    <w:rsid w:val="00D47001"/>
    <w:rsid w:val="00D5001E"/>
    <w:rsid w:val="00D504EE"/>
    <w:rsid w:val="00D51AFA"/>
    <w:rsid w:val="00D51B3B"/>
    <w:rsid w:val="00D52153"/>
    <w:rsid w:val="00D5327B"/>
    <w:rsid w:val="00D5379A"/>
    <w:rsid w:val="00D565C9"/>
    <w:rsid w:val="00D57629"/>
    <w:rsid w:val="00D60878"/>
    <w:rsid w:val="00D60ECA"/>
    <w:rsid w:val="00D63B86"/>
    <w:rsid w:val="00D64531"/>
    <w:rsid w:val="00D647E8"/>
    <w:rsid w:val="00D64944"/>
    <w:rsid w:val="00D664E3"/>
    <w:rsid w:val="00D67710"/>
    <w:rsid w:val="00D74984"/>
    <w:rsid w:val="00D750F5"/>
    <w:rsid w:val="00D775DD"/>
    <w:rsid w:val="00D775EF"/>
    <w:rsid w:val="00D77E69"/>
    <w:rsid w:val="00D803E8"/>
    <w:rsid w:val="00D805DB"/>
    <w:rsid w:val="00D80F0A"/>
    <w:rsid w:val="00D819E2"/>
    <w:rsid w:val="00D822F1"/>
    <w:rsid w:val="00D824F4"/>
    <w:rsid w:val="00D8372F"/>
    <w:rsid w:val="00D90332"/>
    <w:rsid w:val="00D9073B"/>
    <w:rsid w:val="00D92988"/>
    <w:rsid w:val="00D9377B"/>
    <w:rsid w:val="00D9484B"/>
    <w:rsid w:val="00D94EAB"/>
    <w:rsid w:val="00D96031"/>
    <w:rsid w:val="00D96ABC"/>
    <w:rsid w:val="00D9727A"/>
    <w:rsid w:val="00D97622"/>
    <w:rsid w:val="00DA003A"/>
    <w:rsid w:val="00DA2415"/>
    <w:rsid w:val="00DA27AF"/>
    <w:rsid w:val="00DA3A59"/>
    <w:rsid w:val="00DA3CED"/>
    <w:rsid w:val="00DA421F"/>
    <w:rsid w:val="00DA5245"/>
    <w:rsid w:val="00DA5D20"/>
    <w:rsid w:val="00DA6586"/>
    <w:rsid w:val="00DA66CE"/>
    <w:rsid w:val="00DA6B93"/>
    <w:rsid w:val="00DB1413"/>
    <w:rsid w:val="00DB3AA4"/>
    <w:rsid w:val="00DB50FF"/>
    <w:rsid w:val="00DB5495"/>
    <w:rsid w:val="00DB5C36"/>
    <w:rsid w:val="00DB7367"/>
    <w:rsid w:val="00DC0208"/>
    <w:rsid w:val="00DC09F8"/>
    <w:rsid w:val="00DC195D"/>
    <w:rsid w:val="00DC25D6"/>
    <w:rsid w:val="00DC3351"/>
    <w:rsid w:val="00DC3C3D"/>
    <w:rsid w:val="00DC4761"/>
    <w:rsid w:val="00DC54A5"/>
    <w:rsid w:val="00DC55B3"/>
    <w:rsid w:val="00DC5853"/>
    <w:rsid w:val="00DC5DCA"/>
    <w:rsid w:val="00DC79F4"/>
    <w:rsid w:val="00DD16BB"/>
    <w:rsid w:val="00DD32B0"/>
    <w:rsid w:val="00DD341D"/>
    <w:rsid w:val="00DD45D1"/>
    <w:rsid w:val="00DD4895"/>
    <w:rsid w:val="00DE106B"/>
    <w:rsid w:val="00DE19C0"/>
    <w:rsid w:val="00DE2F57"/>
    <w:rsid w:val="00DE496D"/>
    <w:rsid w:val="00DE4D98"/>
    <w:rsid w:val="00DE515C"/>
    <w:rsid w:val="00DE5BB1"/>
    <w:rsid w:val="00DE60C5"/>
    <w:rsid w:val="00DE6E8A"/>
    <w:rsid w:val="00DF073F"/>
    <w:rsid w:val="00DF28B5"/>
    <w:rsid w:val="00DF2D4B"/>
    <w:rsid w:val="00DF3107"/>
    <w:rsid w:val="00DF3E3C"/>
    <w:rsid w:val="00DF3E6E"/>
    <w:rsid w:val="00DF47D8"/>
    <w:rsid w:val="00DF4C89"/>
    <w:rsid w:val="00DF617D"/>
    <w:rsid w:val="00E0089B"/>
    <w:rsid w:val="00E01093"/>
    <w:rsid w:val="00E0185C"/>
    <w:rsid w:val="00E02A6B"/>
    <w:rsid w:val="00E02E0E"/>
    <w:rsid w:val="00E0302B"/>
    <w:rsid w:val="00E030E1"/>
    <w:rsid w:val="00E033BE"/>
    <w:rsid w:val="00E042A2"/>
    <w:rsid w:val="00E04CB5"/>
    <w:rsid w:val="00E06D95"/>
    <w:rsid w:val="00E075CF"/>
    <w:rsid w:val="00E10563"/>
    <w:rsid w:val="00E10FD4"/>
    <w:rsid w:val="00E118A4"/>
    <w:rsid w:val="00E11C4A"/>
    <w:rsid w:val="00E11DEF"/>
    <w:rsid w:val="00E12F28"/>
    <w:rsid w:val="00E13183"/>
    <w:rsid w:val="00E1445A"/>
    <w:rsid w:val="00E160F7"/>
    <w:rsid w:val="00E1696F"/>
    <w:rsid w:val="00E17F27"/>
    <w:rsid w:val="00E20A8B"/>
    <w:rsid w:val="00E2125F"/>
    <w:rsid w:val="00E21D8C"/>
    <w:rsid w:val="00E22B48"/>
    <w:rsid w:val="00E233FF"/>
    <w:rsid w:val="00E25019"/>
    <w:rsid w:val="00E2511A"/>
    <w:rsid w:val="00E27092"/>
    <w:rsid w:val="00E31792"/>
    <w:rsid w:val="00E32577"/>
    <w:rsid w:val="00E33FBD"/>
    <w:rsid w:val="00E34C91"/>
    <w:rsid w:val="00E35C21"/>
    <w:rsid w:val="00E360F0"/>
    <w:rsid w:val="00E36B2F"/>
    <w:rsid w:val="00E370FB"/>
    <w:rsid w:val="00E37BDE"/>
    <w:rsid w:val="00E42A0C"/>
    <w:rsid w:val="00E42BF9"/>
    <w:rsid w:val="00E43DB0"/>
    <w:rsid w:val="00E4613C"/>
    <w:rsid w:val="00E4629B"/>
    <w:rsid w:val="00E478EE"/>
    <w:rsid w:val="00E51CE6"/>
    <w:rsid w:val="00E5230E"/>
    <w:rsid w:val="00E52D43"/>
    <w:rsid w:val="00E5551B"/>
    <w:rsid w:val="00E55610"/>
    <w:rsid w:val="00E55E9F"/>
    <w:rsid w:val="00E562AB"/>
    <w:rsid w:val="00E56C8B"/>
    <w:rsid w:val="00E601A3"/>
    <w:rsid w:val="00E60794"/>
    <w:rsid w:val="00E60E34"/>
    <w:rsid w:val="00E613FD"/>
    <w:rsid w:val="00E61B17"/>
    <w:rsid w:val="00E6227E"/>
    <w:rsid w:val="00E62669"/>
    <w:rsid w:val="00E638F7"/>
    <w:rsid w:val="00E640E5"/>
    <w:rsid w:val="00E65370"/>
    <w:rsid w:val="00E65BF4"/>
    <w:rsid w:val="00E663BB"/>
    <w:rsid w:val="00E664A2"/>
    <w:rsid w:val="00E669BF"/>
    <w:rsid w:val="00E72582"/>
    <w:rsid w:val="00E72D56"/>
    <w:rsid w:val="00E72F5C"/>
    <w:rsid w:val="00E73AB0"/>
    <w:rsid w:val="00E747B3"/>
    <w:rsid w:val="00E74A51"/>
    <w:rsid w:val="00E75210"/>
    <w:rsid w:val="00E800B0"/>
    <w:rsid w:val="00E81067"/>
    <w:rsid w:val="00E82405"/>
    <w:rsid w:val="00E83644"/>
    <w:rsid w:val="00E83C7C"/>
    <w:rsid w:val="00E83CC4"/>
    <w:rsid w:val="00E84EF4"/>
    <w:rsid w:val="00E86820"/>
    <w:rsid w:val="00E87244"/>
    <w:rsid w:val="00E873DB"/>
    <w:rsid w:val="00E906F2"/>
    <w:rsid w:val="00E911E7"/>
    <w:rsid w:val="00E91CB2"/>
    <w:rsid w:val="00E94FF5"/>
    <w:rsid w:val="00E96E22"/>
    <w:rsid w:val="00E97C51"/>
    <w:rsid w:val="00E97D4D"/>
    <w:rsid w:val="00EA0150"/>
    <w:rsid w:val="00EA3015"/>
    <w:rsid w:val="00EA33D9"/>
    <w:rsid w:val="00EA3579"/>
    <w:rsid w:val="00EA3B91"/>
    <w:rsid w:val="00EA3FFB"/>
    <w:rsid w:val="00EA49EF"/>
    <w:rsid w:val="00EA4A0F"/>
    <w:rsid w:val="00EA563D"/>
    <w:rsid w:val="00EA6769"/>
    <w:rsid w:val="00EA6BFD"/>
    <w:rsid w:val="00EB0ADA"/>
    <w:rsid w:val="00EB18C1"/>
    <w:rsid w:val="00EB3DA1"/>
    <w:rsid w:val="00EB3ED3"/>
    <w:rsid w:val="00EB44E2"/>
    <w:rsid w:val="00EB6AB1"/>
    <w:rsid w:val="00EB6E10"/>
    <w:rsid w:val="00EB7A1B"/>
    <w:rsid w:val="00EC021F"/>
    <w:rsid w:val="00EC0C4E"/>
    <w:rsid w:val="00EC21F9"/>
    <w:rsid w:val="00EC44AB"/>
    <w:rsid w:val="00EC4A1F"/>
    <w:rsid w:val="00EC4CA9"/>
    <w:rsid w:val="00EC6204"/>
    <w:rsid w:val="00EC720C"/>
    <w:rsid w:val="00EC7C03"/>
    <w:rsid w:val="00ED0230"/>
    <w:rsid w:val="00ED2C73"/>
    <w:rsid w:val="00ED2D71"/>
    <w:rsid w:val="00ED498B"/>
    <w:rsid w:val="00ED58B2"/>
    <w:rsid w:val="00ED5A1C"/>
    <w:rsid w:val="00ED6A6E"/>
    <w:rsid w:val="00ED78C9"/>
    <w:rsid w:val="00ED7FA7"/>
    <w:rsid w:val="00EE0555"/>
    <w:rsid w:val="00EE3ED6"/>
    <w:rsid w:val="00EE5504"/>
    <w:rsid w:val="00EE6C71"/>
    <w:rsid w:val="00EE7B20"/>
    <w:rsid w:val="00EF0017"/>
    <w:rsid w:val="00EF2464"/>
    <w:rsid w:val="00EF2999"/>
    <w:rsid w:val="00EF4A01"/>
    <w:rsid w:val="00EF6956"/>
    <w:rsid w:val="00F02004"/>
    <w:rsid w:val="00F02034"/>
    <w:rsid w:val="00F044BE"/>
    <w:rsid w:val="00F05B56"/>
    <w:rsid w:val="00F0624B"/>
    <w:rsid w:val="00F0711A"/>
    <w:rsid w:val="00F10334"/>
    <w:rsid w:val="00F1056F"/>
    <w:rsid w:val="00F11686"/>
    <w:rsid w:val="00F11EC8"/>
    <w:rsid w:val="00F12B32"/>
    <w:rsid w:val="00F1330A"/>
    <w:rsid w:val="00F14F0B"/>
    <w:rsid w:val="00F15061"/>
    <w:rsid w:val="00F150FA"/>
    <w:rsid w:val="00F15826"/>
    <w:rsid w:val="00F20A51"/>
    <w:rsid w:val="00F2131E"/>
    <w:rsid w:val="00F23C3B"/>
    <w:rsid w:val="00F26400"/>
    <w:rsid w:val="00F30066"/>
    <w:rsid w:val="00F31969"/>
    <w:rsid w:val="00F32880"/>
    <w:rsid w:val="00F334FF"/>
    <w:rsid w:val="00F33A69"/>
    <w:rsid w:val="00F370C1"/>
    <w:rsid w:val="00F40D6E"/>
    <w:rsid w:val="00F4207B"/>
    <w:rsid w:val="00F43F73"/>
    <w:rsid w:val="00F4475E"/>
    <w:rsid w:val="00F44C48"/>
    <w:rsid w:val="00F44C84"/>
    <w:rsid w:val="00F44EF3"/>
    <w:rsid w:val="00F4581C"/>
    <w:rsid w:val="00F524CD"/>
    <w:rsid w:val="00F53CA2"/>
    <w:rsid w:val="00F5401C"/>
    <w:rsid w:val="00F542CA"/>
    <w:rsid w:val="00F5466F"/>
    <w:rsid w:val="00F54DCB"/>
    <w:rsid w:val="00F56116"/>
    <w:rsid w:val="00F56661"/>
    <w:rsid w:val="00F60457"/>
    <w:rsid w:val="00F60F9B"/>
    <w:rsid w:val="00F61917"/>
    <w:rsid w:val="00F62167"/>
    <w:rsid w:val="00F62CC1"/>
    <w:rsid w:val="00F6339C"/>
    <w:rsid w:val="00F636A8"/>
    <w:rsid w:val="00F63B77"/>
    <w:rsid w:val="00F64DDC"/>
    <w:rsid w:val="00F653D7"/>
    <w:rsid w:val="00F6609A"/>
    <w:rsid w:val="00F66557"/>
    <w:rsid w:val="00F71770"/>
    <w:rsid w:val="00F717A5"/>
    <w:rsid w:val="00F7304D"/>
    <w:rsid w:val="00F73C1D"/>
    <w:rsid w:val="00F748DD"/>
    <w:rsid w:val="00F753A9"/>
    <w:rsid w:val="00F75E96"/>
    <w:rsid w:val="00F766B8"/>
    <w:rsid w:val="00F77FA4"/>
    <w:rsid w:val="00F829A0"/>
    <w:rsid w:val="00F830BF"/>
    <w:rsid w:val="00F8496D"/>
    <w:rsid w:val="00F855DC"/>
    <w:rsid w:val="00F90B9C"/>
    <w:rsid w:val="00F91316"/>
    <w:rsid w:val="00F91828"/>
    <w:rsid w:val="00F91D71"/>
    <w:rsid w:val="00F91DD2"/>
    <w:rsid w:val="00F93137"/>
    <w:rsid w:val="00F9322C"/>
    <w:rsid w:val="00F94E07"/>
    <w:rsid w:val="00F94F34"/>
    <w:rsid w:val="00F94F3F"/>
    <w:rsid w:val="00F9567C"/>
    <w:rsid w:val="00F95967"/>
    <w:rsid w:val="00F9605D"/>
    <w:rsid w:val="00F96BC7"/>
    <w:rsid w:val="00FA09E1"/>
    <w:rsid w:val="00FA15BA"/>
    <w:rsid w:val="00FA2C0E"/>
    <w:rsid w:val="00FA4D54"/>
    <w:rsid w:val="00FA5745"/>
    <w:rsid w:val="00FA67C1"/>
    <w:rsid w:val="00FA7FE2"/>
    <w:rsid w:val="00FB1683"/>
    <w:rsid w:val="00FB391B"/>
    <w:rsid w:val="00FB402B"/>
    <w:rsid w:val="00FB40CB"/>
    <w:rsid w:val="00FB457A"/>
    <w:rsid w:val="00FB629C"/>
    <w:rsid w:val="00FB772E"/>
    <w:rsid w:val="00FC0948"/>
    <w:rsid w:val="00FC188D"/>
    <w:rsid w:val="00FC4BB2"/>
    <w:rsid w:val="00FC796E"/>
    <w:rsid w:val="00FD104A"/>
    <w:rsid w:val="00FD207C"/>
    <w:rsid w:val="00FD2B77"/>
    <w:rsid w:val="00FD3E2A"/>
    <w:rsid w:val="00FD4832"/>
    <w:rsid w:val="00FD5311"/>
    <w:rsid w:val="00FD54C6"/>
    <w:rsid w:val="00FD55E9"/>
    <w:rsid w:val="00FF03A7"/>
    <w:rsid w:val="00FF2FAE"/>
    <w:rsid w:val="00FF38FA"/>
    <w:rsid w:val="00FF5A92"/>
    <w:rsid w:val="00FF5B2A"/>
    <w:rsid w:val="00FF6DB0"/>
    <w:rsid w:val="00FF74FF"/>
    <w:rsid w:val="00FF76BA"/>
    <w:rsid w:val="01087389"/>
    <w:rsid w:val="011B099B"/>
    <w:rsid w:val="01200505"/>
    <w:rsid w:val="0122216F"/>
    <w:rsid w:val="013516BE"/>
    <w:rsid w:val="014A0D22"/>
    <w:rsid w:val="015B06C0"/>
    <w:rsid w:val="016271D5"/>
    <w:rsid w:val="01747137"/>
    <w:rsid w:val="01822573"/>
    <w:rsid w:val="01885D3F"/>
    <w:rsid w:val="01B076A2"/>
    <w:rsid w:val="01B56C12"/>
    <w:rsid w:val="01BB5FED"/>
    <w:rsid w:val="01D922B3"/>
    <w:rsid w:val="01DE6BC6"/>
    <w:rsid w:val="01F45C2B"/>
    <w:rsid w:val="01F66E9B"/>
    <w:rsid w:val="01FB1BFF"/>
    <w:rsid w:val="02047348"/>
    <w:rsid w:val="0205056A"/>
    <w:rsid w:val="02190BBE"/>
    <w:rsid w:val="021B6D21"/>
    <w:rsid w:val="02322F28"/>
    <w:rsid w:val="023F388C"/>
    <w:rsid w:val="02421CC3"/>
    <w:rsid w:val="024E68F9"/>
    <w:rsid w:val="02561DE2"/>
    <w:rsid w:val="02625786"/>
    <w:rsid w:val="02627689"/>
    <w:rsid w:val="02681EBF"/>
    <w:rsid w:val="026E66DD"/>
    <w:rsid w:val="02725E2D"/>
    <w:rsid w:val="02771407"/>
    <w:rsid w:val="028227B2"/>
    <w:rsid w:val="0286314D"/>
    <w:rsid w:val="02905F74"/>
    <w:rsid w:val="02935814"/>
    <w:rsid w:val="02941E6B"/>
    <w:rsid w:val="02993987"/>
    <w:rsid w:val="02AE013F"/>
    <w:rsid w:val="02AF5DDB"/>
    <w:rsid w:val="02C32118"/>
    <w:rsid w:val="02C53913"/>
    <w:rsid w:val="02C96B71"/>
    <w:rsid w:val="02CA6108"/>
    <w:rsid w:val="02D76984"/>
    <w:rsid w:val="02D81B1C"/>
    <w:rsid w:val="02E107F4"/>
    <w:rsid w:val="02E85072"/>
    <w:rsid w:val="02F333A9"/>
    <w:rsid w:val="030247BA"/>
    <w:rsid w:val="030D1793"/>
    <w:rsid w:val="030E29BA"/>
    <w:rsid w:val="031505AC"/>
    <w:rsid w:val="03357038"/>
    <w:rsid w:val="033A0C2B"/>
    <w:rsid w:val="033A7D1F"/>
    <w:rsid w:val="03654039"/>
    <w:rsid w:val="03663018"/>
    <w:rsid w:val="036C7F7C"/>
    <w:rsid w:val="03704A13"/>
    <w:rsid w:val="03766036"/>
    <w:rsid w:val="038F4F54"/>
    <w:rsid w:val="03956C25"/>
    <w:rsid w:val="03982D25"/>
    <w:rsid w:val="03A30167"/>
    <w:rsid w:val="03AA04B8"/>
    <w:rsid w:val="03AF714B"/>
    <w:rsid w:val="03B57082"/>
    <w:rsid w:val="03BE0B37"/>
    <w:rsid w:val="03C345D9"/>
    <w:rsid w:val="03C35C1E"/>
    <w:rsid w:val="03E22717"/>
    <w:rsid w:val="03E80CD8"/>
    <w:rsid w:val="03F34100"/>
    <w:rsid w:val="040366F7"/>
    <w:rsid w:val="04161F26"/>
    <w:rsid w:val="0417427D"/>
    <w:rsid w:val="0417773A"/>
    <w:rsid w:val="042B35BD"/>
    <w:rsid w:val="043D5D21"/>
    <w:rsid w:val="04483D61"/>
    <w:rsid w:val="0464638C"/>
    <w:rsid w:val="047821E2"/>
    <w:rsid w:val="04947470"/>
    <w:rsid w:val="0495523C"/>
    <w:rsid w:val="049A0157"/>
    <w:rsid w:val="04A44347"/>
    <w:rsid w:val="04A611F7"/>
    <w:rsid w:val="04A90BDC"/>
    <w:rsid w:val="04B157C7"/>
    <w:rsid w:val="04D66201"/>
    <w:rsid w:val="04E522FE"/>
    <w:rsid w:val="04F451D0"/>
    <w:rsid w:val="04FF5314"/>
    <w:rsid w:val="050D76A8"/>
    <w:rsid w:val="051517A1"/>
    <w:rsid w:val="051A2ED2"/>
    <w:rsid w:val="052413D1"/>
    <w:rsid w:val="053013D0"/>
    <w:rsid w:val="05441662"/>
    <w:rsid w:val="055275A7"/>
    <w:rsid w:val="05614B56"/>
    <w:rsid w:val="0568654A"/>
    <w:rsid w:val="057679A8"/>
    <w:rsid w:val="058E53D3"/>
    <w:rsid w:val="059565D4"/>
    <w:rsid w:val="05A66B8C"/>
    <w:rsid w:val="05AE159E"/>
    <w:rsid w:val="05B37535"/>
    <w:rsid w:val="05CC6348"/>
    <w:rsid w:val="05D0560F"/>
    <w:rsid w:val="05DD1A6D"/>
    <w:rsid w:val="060035A3"/>
    <w:rsid w:val="060646BB"/>
    <w:rsid w:val="061638AD"/>
    <w:rsid w:val="061C53B3"/>
    <w:rsid w:val="062346C4"/>
    <w:rsid w:val="06243245"/>
    <w:rsid w:val="0635183B"/>
    <w:rsid w:val="06394CE7"/>
    <w:rsid w:val="064017F2"/>
    <w:rsid w:val="0640668D"/>
    <w:rsid w:val="06626E56"/>
    <w:rsid w:val="06776843"/>
    <w:rsid w:val="06835943"/>
    <w:rsid w:val="0686299B"/>
    <w:rsid w:val="068A2316"/>
    <w:rsid w:val="068B1A95"/>
    <w:rsid w:val="069B4513"/>
    <w:rsid w:val="06A17F3E"/>
    <w:rsid w:val="06A20FC1"/>
    <w:rsid w:val="06A833F4"/>
    <w:rsid w:val="06B17C10"/>
    <w:rsid w:val="06B95AC7"/>
    <w:rsid w:val="06C35334"/>
    <w:rsid w:val="06C74C9F"/>
    <w:rsid w:val="06CF34CB"/>
    <w:rsid w:val="06F313BF"/>
    <w:rsid w:val="07095076"/>
    <w:rsid w:val="070A31D0"/>
    <w:rsid w:val="071C0C28"/>
    <w:rsid w:val="0721165F"/>
    <w:rsid w:val="074B379C"/>
    <w:rsid w:val="076C4500"/>
    <w:rsid w:val="0777098F"/>
    <w:rsid w:val="07844925"/>
    <w:rsid w:val="0786398B"/>
    <w:rsid w:val="078E31EB"/>
    <w:rsid w:val="079C6284"/>
    <w:rsid w:val="07A06126"/>
    <w:rsid w:val="07B224B6"/>
    <w:rsid w:val="07B65BA0"/>
    <w:rsid w:val="07B75BB0"/>
    <w:rsid w:val="07BE1054"/>
    <w:rsid w:val="07BF3D6F"/>
    <w:rsid w:val="07D12B5A"/>
    <w:rsid w:val="07E037EB"/>
    <w:rsid w:val="07F27688"/>
    <w:rsid w:val="07F53F9D"/>
    <w:rsid w:val="07FA0547"/>
    <w:rsid w:val="07FD62B5"/>
    <w:rsid w:val="080571A2"/>
    <w:rsid w:val="080D777F"/>
    <w:rsid w:val="0814117C"/>
    <w:rsid w:val="081A7627"/>
    <w:rsid w:val="081D2487"/>
    <w:rsid w:val="0828314D"/>
    <w:rsid w:val="084E0BD6"/>
    <w:rsid w:val="086428B3"/>
    <w:rsid w:val="087F5E7D"/>
    <w:rsid w:val="088C43CF"/>
    <w:rsid w:val="08BC7D00"/>
    <w:rsid w:val="08D36A48"/>
    <w:rsid w:val="08E81182"/>
    <w:rsid w:val="08E85080"/>
    <w:rsid w:val="08FE3870"/>
    <w:rsid w:val="08FF7DDD"/>
    <w:rsid w:val="0900262B"/>
    <w:rsid w:val="090D5D07"/>
    <w:rsid w:val="094A5FCB"/>
    <w:rsid w:val="0952183D"/>
    <w:rsid w:val="096D038B"/>
    <w:rsid w:val="097342D3"/>
    <w:rsid w:val="09853824"/>
    <w:rsid w:val="09921460"/>
    <w:rsid w:val="09946213"/>
    <w:rsid w:val="099F7FEA"/>
    <w:rsid w:val="09A25220"/>
    <w:rsid w:val="09AC15AA"/>
    <w:rsid w:val="09B65D38"/>
    <w:rsid w:val="09CB3C0A"/>
    <w:rsid w:val="09D24C53"/>
    <w:rsid w:val="09D84FE1"/>
    <w:rsid w:val="09E00A53"/>
    <w:rsid w:val="09EC5B7D"/>
    <w:rsid w:val="09FA3203"/>
    <w:rsid w:val="09FB6395"/>
    <w:rsid w:val="09FF7BFE"/>
    <w:rsid w:val="0A074EB1"/>
    <w:rsid w:val="0A0F392B"/>
    <w:rsid w:val="0A28637F"/>
    <w:rsid w:val="0A3D09F8"/>
    <w:rsid w:val="0A3D1A29"/>
    <w:rsid w:val="0A523CCE"/>
    <w:rsid w:val="0A5644C6"/>
    <w:rsid w:val="0A5A637B"/>
    <w:rsid w:val="0A772C29"/>
    <w:rsid w:val="0A790624"/>
    <w:rsid w:val="0A7C228C"/>
    <w:rsid w:val="0A9B6453"/>
    <w:rsid w:val="0AA67FBB"/>
    <w:rsid w:val="0AA75FC4"/>
    <w:rsid w:val="0AD753AF"/>
    <w:rsid w:val="0AD754CD"/>
    <w:rsid w:val="0AE83ED5"/>
    <w:rsid w:val="0AF61D68"/>
    <w:rsid w:val="0B0634FA"/>
    <w:rsid w:val="0B0C5CC4"/>
    <w:rsid w:val="0B212588"/>
    <w:rsid w:val="0B25406E"/>
    <w:rsid w:val="0B2C6CAB"/>
    <w:rsid w:val="0B302B20"/>
    <w:rsid w:val="0B3F2C19"/>
    <w:rsid w:val="0B473882"/>
    <w:rsid w:val="0B520A86"/>
    <w:rsid w:val="0B523A95"/>
    <w:rsid w:val="0B681ED1"/>
    <w:rsid w:val="0B6B0FB6"/>
    <w:rsid w:val="0B6B22C9"/>
    <w:rsid w:val="0B72147D"/>
    <w:rsid w:val="0B8D406C"/>
    <w:rsid w:val="0B933268"/>
    <w:rsid w:val="0B951D43"/>
    <w:rsid w:val="0B9A1F23"/>
    <w:rsid w:val="0BA706AC"/>
    <w:rsid w:val="0BB02E2A"/>
    <w:rsid w:val="0BB43F28"/>
    <w:rsid w:val="0BB8526F"/>
    <w:rsid w:val="0BC71C64"/>
    <w:rsid w:val="0BC8644B"/>
    <w:rsid w:val="0BFF7F8F"/>
    <w:rsid w:val="0C0F154C"/>
    <w:rsid w:val="0C175FBD"/>
    <w:rsid w:val="0C1904B9"/>
    <w:rsid w:val="0C1A74BA"/>
    <w:rsid w:val="0C225ED7"/>
    <w:rsid w:val="0C357AE8"/>
    <w:rsid w:val="0C3F7447"/>
    <w:rsid w:val="0C45257B"/>
    <w:rsid w:val="0C477D93"/>
    <w:rsid w:val="0C55652A"/>
    <w:rsid w:val="0C5E1BFD"/>
    <w:rsid w:val="0C7042B9"/>
    <w:rsid w:val="0C7512C7"/>
    <w:rsid w:val="0C855328"/>
    <w:rsid w:val="0C992063"/>
    <w:rsid w:val="0C9A2757"/>
    <w:rsid w:val="0C9F6118"/>
    <w:rsid w:val="0CA14B3C"/>
    <w:rsid w:val="0CA53B24"/>
    <w:rsid w:val="0CA65848"/>
    <w:rsid w:val="0CAC41F5"/>
    <w:rsid w:val="0CCD169F"/>
    <w:rsid w:val="0CCD5722"/>
    <w:rsid w:val="0CDC0754"/>
    <w:rsid w:val="0CE831C7"/>
    <w:rsid w:val="0D1A0B50"/>
    <w:rsid w:val="0D1B0AB3"/>
    <w:rsid w:val="0D2407B0"/>
    <w:rsid w:val="0D2C070A"/>
    <w:rsid w:val="0D2C767A"/>
    <w:rsid w:val="0D3756E1"/>
    <w:rsid w:val="0D4F346B"/>
    <w:rsid w:val="0D694F5F"/>
    <w:rsid w:val="0D8A38D4"/>
    <w:rsid w:val="0D8C6527"/>
    <w:rsid w:val="0D9068BA"/>
    <w:rsid w:val="0DAE75C1"/>
    <w:rsid w:val="0DD13F1B"/>
    <w:rsid w:val="0DD417D4"/>
    <w:rsid w:val="0DD50E1E"/>
    <w:rsid w:val="0DE657DA"/>
    <w:rsid w:val="0DF42895"/>
    <w:rsid w:val="0E0B0E89"/>
    <w:rsid w:val="0E2162CB"/>
    <w:rsid w:val="0E227B23"/>
    <w:rsid w:val="0E337B41"/>
    <w:rsid w:val="0E3C27CF"/>
    <w:rsid w:val="0E5D364A"/>
    <w:rsid w:val="0E610E67"/>
    <w:rsid w:val="0E8C4006"/>
    <w:rsid w:val="0EA86FBB"/>
    <w:rsid w:val="0EC842D6"/>
    <w:rsid w:val="0ED93D4A"/>
    <w:rsid w:val="0EED0C82"/>
    <w:rsid w:val="0EF869C7"/>
    <w:rsid w:val="0F000735"/>
    <w:rsid w:val="0F052A35"/>
    <w:rsid w:val="0F2D739E"/>
    <w:rsid w:val="0F343334"/>
    <w:rsid w:val="0F375BC5"/>
    <w:rsid w:val="0F3B242E"/>
    <w:rsid w:val="0F661A9F"/>
    <w:rsid w:val="0F743A91"/>
    <w:rsid w:val="0F766141"/>
    <w:rsid w:val="0F8F1D65"/>
    <w:rsid w:val="0F9D3430"/>
    <w:rsid w:val="0FAB5DF3"/>
    <w:rsid w:val="0FB74FE7"/>
    <w:rsid w:val="0FD01A0A"/>
    <w:rsid w:val="0FD757AD"/>
    <w:rsid w:val="0FDD05D2"/>
    <w:rsid w:val="0FE906C2"/>
    <w:rsid w:val="0FF82F10"/>
    <w:rsid w:val="0FFE6DE3"/>
    <w:rsid w:val="100C4023"/>
    <w:rsid w:val="10132D37"/>
    <w:rsid w:val="102121B6"/>
    <w:rsid w:val="102510B3"/>
    <w:rsid w:val="1025161D"/>
    <w:rsid w:val="102748C3"/>
    <w:rsid w:val="105B2754"/>
    <w:rsid w:val="106F60DD"/>
    <w:rsid w:val="10830B54"/>
    <w:rsid w:val="108D2CE2"/>
    <w:rsid w:val="109D6E12"/>
    <w:rsid w:val="10A2754B"/>
    <w:rsid w:val="10BE21EF"/>
    <w:rsid w:val="10EE5508"/>
    <w:rsid w:val="10FB6431"/>
    <w:rsid w:val="1106136E"/>
    <w:rsid w:val="11091C01"/>
    <w:rsid w:val="110E0A00"/>
    <w:rsid w:val="111431D1"/>
    <w:rsid w:val="11234C9C"/>
    <w:rsid w:val="112C3B78"/>
    <w:rsid w:val="113F131D"/>
    <w:rsid w:val="11402938"/>
    <w:rsid w:val="1147141B"/>
    <w:rsid w:val="11512B20"/>
    <w:rsid w:val="11610A29"/>
    <w:rsid w:val="11671A45"/>
    <w:rsid w:val="1173012A"/>
    <w:rsid w:val="11916E01"/>
    <w:rsid w:val="11A106A1"/>
    <w:rsid w:val="11A40971"/>
    <w:rsid w:val="11A97B89"/>
    <w:rsid w:val="11AE223C"/>
    <w:rsid w:val="11BB40C4"/>
    <w:rsid w:val="11BE7373"/>
    <w:rsid w:val="11BF511D"/>
    <w:rsid w:val="11DF4A1B"/>
    <w:rsid w:val="11F8018E"/>
    <w:rsid w:val="11FA5A8C"/>
    <w:rsid w:val="11FF2687"/>
    <w:rsid w:val="12050458"/>
    <w:rsid w:val="121718FB"/>
    <w:rsid w:val="121B7FC0"/>
    <w:rsid w:val="121C4D18"/>
    <w:rsid w:val="12254F57"/>
    <w:rsid w:val="124F3FCF"/>
    <w:rsid w:val="125B3327"/>
    <w:rsid w:val="12601EFA"/>
    <w:rsid w:val="12605A76"/>
    <w:rsid w:val="12707CCD"/>
    <w:rsid w:val="12713FF9"/>
    <w:rsid w:val="127614B6"/>
    <w:rsid w:val="127F42ED"/>
    <w:rsid w:val="12917963"/>
    <w:rsid w:val="129206AA"/>
    <w:rsid w:val="12A7080A"/>
    <w:rsid w:val="12A70C59"/>
    <w:rsid w:val="12B950A5"/>
    <w:rsid w:val="12C55307"/>
    <w:rsid w:val="12CF4A28"/>
    <w:rsid w:val="12D13428"/>
    <w:rsid w:val="12E259CD"/>
    <w:rsid w:val="12FD414F"/>
    <w:rsid w:val="13013A04"/>
    <w:rsid w:val="1308104E"/>
    <w:rsid w:val="13114CF4"/>
    <w:rsid w:val="13142C82"/>
    <w:rsid w:val="13146D78"/>
    <w:rsid w:val="131775A9"/>
    <w:rsid w:val="132E3653"/>
    <w:rsid w:val="133026BA"/>
    <w:rsid w:val="13315AEB"/>
    <w:rsid w:val="133B323C"/>
    <w:rsid w:val="134A7B3F"/>
    <w:rsid w:val="13524BCD"/>
    <w:rsid w:val="136649CE"/>
    <w:rsid w:val="137D5290"/>
    <w:rsid w:val="13AA53FC"/>
    <w:rsid w:val="13B07F63"/>
    <w:rsid w:val="13BC523B"/>
    <w:rsid w:val="13C76879"/>
    <w:rsid w:val="13C90091"/>
    <w:rsid w:val="13D562D3"/>
    <w:rsid w:val="13D94B3B"/>
    <w:rsid w:val="13F31769"/>
    <w:rsid w:val="141708DB"/>
    <w:rsid w:val="14193E17"/>
    <w:rsid w:val="143464F5"/>
    <w:rsid w:val="1440200A"/>
    <w:rsid w:val="144241F3"/>
    <w:rsid w:val="1450411B"/>
    <w:rsid w:val="1454459A"/>
    <w:rsid w:val="145C7AB8"/>
    <w:rsid w:val="146D358C"/>
    <w:rsid w:val="14751C07"/>
    <w:rsid w:val="147B7D72"/>
    <w:rsid w:val="1490033B"/>
    <w:rsid w:val="14A2036B"/>
    <w:rsid w:val="14A6471E"/>
    <w:rsid w:val="14A81CBB"/>
    <w:rsid w:val="14AE1156"/>
    <w:rsid w:val="14C11A02"/>
    <w:rsid w:val="14CB13CC"/>
    <w:rsid w:val="14CD70C3"/>
    <w:rsid w:val="14D4384B"/>
    <w:rsid w:val="14DC1B42"/>
    <w:rsid w:val="14E43D9D"/>
    <w:rsid w:val="14E63360"/>
    <w:rsid w:val="14F357C4"/>
    <w:rsid w:val="14F41ED9"/>
    <w:rsid w:val="1500607F"/>
    <w:rsid w:val="15170F0F"/>
    <w:rsid w:val="15206984"/>
    <w:rsid w:val="154B6AD5"/>
    <w:rsid w:val="15564BDB"/>
    <w:rsid w:val="15565FED"/>
    <w:rsid w:val="15575F73"/>
    <w:rsid w:val="157C2002"/>
    <w:rsid w:val="157E4F9F"/>
    <w:rsid w:val="15A9411A"/>
    <w:rsid w:val="15AB1A37"/>
    <w:rsid w:val="15AD1CD9"/>
    <w:rsid w:val="15C26708"/>
    <w:rsid w:val="15DB4E8B"/>
    <w:rsid w:val="15E46608"/>
    <w:rsid w:val="15EB6E4D"/>
    <w:rsid w:val="16023749"/>
    <w:rsid w:val="160908DB"/>
    <w:rsid w:val="162733B2"/>
    <w:rsid w:val="1631014E"/>
    <w:rsid w:val="16390BF0"/>
    <w:rsid w:val="16394F6A"/>
    <w:rsid w:val="163A5649"/>
    <w:rsid w:val="1644797B"/>
    <w:rsid w:val="164C1F4C"/>
    <w:rsid w:val="165C63EB"/>
    <w:rsid w:val="166169AF"/>
    <w:rsid w:val="166712E5"/>
    <w:rsid w:val="166D5CF9"/>
    <w:rsid w:val="1679677C"/>
    <w:rsid w:val="167D7AE0"/>
    <w:rsid w:val="16806F5F"/>
    <w:rsid w:val="16891110"/>
    <w:rsid w:val="169052DA"/>
    <w:rsid w:val="169515BF"/>
    <w:rsid w:val="16B200D8"/>
    <w:rsid w:val="16BD0272"/>
    <w:rsid w:val="16BE4228"/>
    <w:rsid w:val="16C333ED"/>
    <w:rsid w:val="16CD3860"/>
    <w:rsid w:val="16D30DE4"/>
    <w:rsid w:val="16D53A3A"/>
    <w:rsid w:val="16DD14BC"/>
    <w:rsid w:val="16EB7D04"/>
    <w:rsid w:val="16EC69F2"/>
    <w:rsid w:val="16F46BD4"/>
    <w:rsid w:val="17011FF5"/>
    <w:rsid w:val="17082077"/>
    <w:rsid w:val="17086A04"/>
    <w:rsid w:val="170C79EF"/>
    <w:rsid w:val="17194510"/>
    <w:rsid w:val="171A01B6"/>
    <w:rsid w:val="17223106"/>
    <w:rsid w:val="1733704F"/>
    <w:rsid w:val="1739584F"/>
    <w:rsid w:val="173962D4"/>
    <w:rsid w:val="175C34DC"/>
    <w:rsid w:val="175D2140"/>
    <w:rsid w:val="17704AAB"/>
    <w:rsid w:val="178C3CB9"/>
    <w:rsid w:val="17A047A2"/>
    <w:rsid w:val="17A36B40"/>
    <w:rsid w:val="17B10699"/>
    <w:rsid w:val="17B434CE"/>
    <w:rsid w:val="17B920AF"/>
    <w:rsid w:val="17BE4DD5"/>
    <w:rsid w:val="17BF6C68"/>
    <w:rsid w:val="17C122C3"/>
    <w:rsid w:val="17CB456D"/>
    <w:rsid w:val="17D23C27"/>
    <w:rsid w:val="17DC4088"/>
    <w:rsid w:val="17F30B19"/>
    <w:rsid w:val="18044B34"/>
    <w:rsid w:val="180D3C25"/>
    <w:rsid w:val="183C5897"/>
    <w:rsid w:val="1846062A"/>
    <w:rsid w:val="184B2CE6"/>
    <w:rsid w:val="185524EF"/>
    <w:rsid w:val="18557212"/>
    <w:rsid w:val="18572000"/>
    <w:rsid w:val="18572ED0"/>
    <w:rsid w:val="186B4D4A"/>
    <w:rsid w:val="188F5CA0"/>
    <w:rsid w:val="18A15213"/>
    <w:rsid w:val="18A4208A"/>
    <w:rsid w:val="18BB248B"/>
    <w:rsid w:val="18C33FDF"/>
    <w:rsid w:val="18CD25A4"/>
    <w:rsid w:val="18D22D5A"/>
    <w:rsid w:val="18D3152C"/>
    <w:rsid w:val="18D82E24"/>
    <w:rsid w:val="18DB68CA"/>
    <w:rsid w:val="18FE3820"/>
    <w:rsid w:val="19130E36"/>
    <w:rsid w:val="191562B9"/>
    <w:rsid w:val="1927455E"/>
    <w:rsid w:val="192B2B26"/>
    <w:rsid w:val="19441483"/>
    <w:rsid w:val="19550C97"/>
    <w:rsid w:val="1969069E"/>
    <w:rsid w:val="19775154"/>
    <w:rsid w:val="198364F1"/>
    <w:rsid w:val="198D4077"/>
    <w:rsid w:val="19AB225A"/>
    <w:rsid w:val="19C4368A"/>
    <w:rsid w:val="19E268F1"/>
    <w:rsid w:val="19FB5C4A"/>
    <w:rsid w:val="1A012B03"/>
    <w:rsid w:val="1A0A4ACB"/>
    <w:rsid w:val="1A1846F1"/>
    <w:rsid w:val="1A2062AD"/>
    <w:rsid w:val="1A2C70C8"/>
    <w:rsid w:val="1A674FC0"/>
    <w:rsid w:val="1A6B4B3A"/>
    <w:rsid w:val="1A8210AD"/>
    <w:rsid w:val="1A8C2C51"/>
    <w:rsid w:val="1A8F7A89"/>
    <w:rsid w:val="1A9021AA"/>
    <w:rsid w:val="1A920900"/>
    <w:rsid w:val="1A9349CE"/>
    <w:rsid w:val="1A942CB7"/>
    <w:rsid w:val="1A955525"/>
    <w:rsid w:val="1AA103DE"/>
    <w:rsid w:val="1AA151CF"/>
    <w:rsid w:val="1AA2653D"/>
    <w:rsid w:val="1AD244DF"/>
    <w:rsid w:val="1AD43F82"/>
    <w:rsid w:val="1AD54B25"/>
    <w:rsid w:val="1ADC3B75"/>
    <w:rsid w:val="1ADD2281"/>
    <w:rsid w:val="1AF06026"/>
    <w:rsid w:val="1AF54F22"/>
    <w:rsid w:val="1B050529"/>
    <w:rsid w:val="1B0B7197"/>
    <w:rsid w:val="1B17706B"/>
    <w:rsid w:val="1B270D19"/>
    <w:rsid w:val="1B312411"/>
    <w:rsid w:val="1B3157F0"/>
    <w:rsid w:val="1B35192A"/>
    <w:rsid w:val="1B3F048A"/>
    <w:rsid w:val="1B4120DC"/>
    <w:rsid w:val="1B5230EB"/>
    <w:rsid w:val="1B593292"/>
    <w:rsid w:val="1B5B3A17"/>
    <w:rsid w:val="1B6B1CE4"/>
    <w:rsid w:val="1B701516"/>
    <w:rsid w:val="1B754A9E"/>
    <w:rsid w:val="1B7927FA"/>
    <w:rsid w:val="1B830CEF"/>
    <w:rsid w:val="1B873604"/>
    <w:rsid w:val="1B9008DD"/>
    <w:rsid w:val="1BA72145"/>
    <w:rsid w:val="1BB37002"/>
    <w:rsid w:val="1BBC2E22"/>
    <w:rsid w:val="1BC51079"/>
    <w:rsid w:val="1BC573F6"/>
    <w:rsid w:val="1BCE6E6D"/>
    <w:rsid w:val="1BE22A42"/>
    <w:rsid w:val="1BE771B6"/>
    <w:rsid w:val="1C026332"/>
    <w:rsid w:val="1C120291"/>
    <w:rsid w:val="1C122B82"/>
    <w:rsid w:val="1C226D51"/>
    <w:rsid w:val="1C4F7566"/>
    <w:rsid w:val="1C5300CD"/>
    <w:rsid w:val="1C647E62"/>
    <w:rsid w:val="1C713E01"/>
    <w:rsid w:val="1C8211B4"/>
    <w:rsid w:val="1C833FF9"/>
    <w:rsid w:val="1C8D5047"/>
    <w:rsid w:val="1CB518F3"/>
    <w:rsid w:val="1CC00E4E"/>
    <w:rsid w:val="1CC25859"/>
    <w:rsid w:val="1CDB373E"/>
    <w:rsid w:val="1CF052D1"/>
    <w:rsid w:val="1CFA4F1E"/>
    <w:rsid w:val="1D090ADB"/>
    <w:rsid w:val="1D0E00EC"/>
    <w:rsid w:val="1D1D5825"/>
    <w:rsid w:val="1D2101C2"/>
    <w:rsid w:val="1D246241"/>
    <w:rsid w:val="1D306B8D"/>
    <w:rsid w:val="1D4134DF"/>
    <w:rsid w:val="1D496E2C"/>
    <w:rsid w:val="1D4F5953"/>
    <w:rsid w:val="1D5613CC"/>
    <w:rsid w:val="1D657F1B"/>
    <w:rsid w:val="1D6926C1"/>
    <w:rsid w:val="1D7A117D"/>
    <w:rsid w:val="1D7B00B8"/>
    <w:rsid w:val="1D837D20"/>
    <w:rsid w:val="1D880D96"/>
    <w:rsid w:val="1D8B167A"/>
    <w:rsid w:val="1D9E241B"/>
    <w:rsid w:val="1DA014B3"/>
    <w:rsid w:val="1DB213DC"/>
    <w:rsid w:val="1DB73599"/>
    <w:rsid w:val="1DC520E4"/>
    <w:rsid w:val="1DCE7F11"/>
    <w:rsid w:val="1DDB6AE9"/>
    <w:rsid w:val="1E021E39"/>
    <w:rsid w:val="1E0925CC"/>
    <w:rsid w:val="1E244853"/>
    <w:rsid w:val="1E2D10E0"/>
    <w:rsid w:val="1E377695"/>
    <w:rsid w:val="1E3E4FF3"/>
    <w:rsid w:val="1E4A5DCD"/>
    <w:rsid w:val="1E4B7FEE"/>
    <w:rsid w:val="1E4F234C"/>
    <w:rsid w:val="1E501ECF"/>
    <w:rsid w:val="1E5D2340"/>
    <w:rsid w:val="1E620067"/>
    <w:rsid w:val="1E6220C0"/>
    <w:rsid w:val="1E727ECB"/>
    <w:rsid w:val="1E735EAF"/>
    <w:rsid w:val="1E9004FA"/>
    <w:rsid w:val="1E9367E1"/>
    <w:rsid w:val="1E9646FF"/>
    <w:rsid w:val="1E966318"/>
    <w:rsid w:val="1E973481"/>
    <w:rsid w:val="1EA11680"/>
    <w:rsid w:val="1EAA4A5F"/>
    <w:rsid w:val="1EC3007D"/>
    <w:rsid w:val="1ED53FC9"/>
    <w:rsid w:val="1EF04728"/>
    <w:rsid w:val="1F045F88"/>
    <w:rsid w:val="1F203BB5"/>
    <w:rsid w:val="1F205B60"/>
    <w:rsid w:val="1F2465DD"/>
    <w:rsid w:val="1F2A6D90"/>
    <w:rsid w:val="1F4010A6"/>
    <w:rsid w:val="1F422AE4"/>
    <w:rsid w:val="1F434323"/>
    <w:rsid w:val="1F445F4F"/>
    <w:rsid w:val="1F4E0DE8"/>
    <w:rsid w:val="1F52019C"/>
    <w:rsid w:val="1F695BBB"/>
    <w:rsid w:val="1F743743"/>
    <w:rsid w:val="1F77383F"/>
    <w:rsid w:val="1F7B7339"/>
    <w:rsid w:val="1F7E73A9"/>
    <w:rsid w:val="1F896D6A"/>
    <w:rsid w:val="1F9560B4"/>
    <w:rsid w:val="1F9C790C"/>
    <w:rsid w:val="1F9D1525"/>
    <w:rsid w:val="1FB72D07"/>
    <w:rsid w:val="1FC03B53"/>
    <w:rsid w:val="1FD54EF5"/>
    <w:rsid w:val="1FED10A7"/>
    <w:rsid w:val="1FF52A08"/>
    <w:rsid w:val="2003179C"/>
    <w:rsid w:val="200D1367"/>
    <w:rsid w:val="20150AF2"/>
    <w:rsid w:val="203246CA"/>
    <w:rsid w:val="204D1B46"/>
    <w:rsid w:val="20605472"/>
    <w:rsid w:val="206551F4"/>
    <w:rsid w:val="206D6F3E"/>
    <w:rsid w:val="207D3B26"/>
    <w:rsid w:val="20841DFC"/>
    <w:rsid w:val="20862200"/>
    <w:rsid w:val="20B20BF1"/>
    <w:rsid w:val="20B35BED"/>
    <w:rsid w:val="20BD4F1E"/>
    <w:rsid w:val="20ED5FC1"/>
    <w:rsid w:val="20F94D60"/>
    <w:rsid w:val="20FD0978"/>
    <w:rsid w:val="210B61CC"/>
    <w:rsid w:val="2111758B"/>
    <w:rsid w:val="211774B6"/>
    <w:rsid w:val="212B1CCB"/>
    <w:rsid w:val="212D5B2C"/>
    <w:rsid w:val="21461CFE"/>
    <w:rsid w:val="215D7383"/>
    <w:rsid w:val="217A3CEB"/>
    <w:rsid w:val="218E3BDA"/>
    <w:rsid w:val="2191073C"/>
    <w:rsid w:val="2194182A"/>
    <w:rsid w:val="21A77AE0"/>
    <w:rsid w:val="21B667D4"/>
    <w:rsid w:val="21B87BA4"/>
    <w:rsid w:val="21C2691B"/>
    <w:rsid w:val="21E16A37"/>
    <w:rsid w:val="21FD7367"/>
    <w:rsid w:val="221406F1"/>
    <w:rsid w:val="221B2DE6"/>
    <w:rsid w:val="221D4306"/>
    <w:rsid w:val="22224D86"/>
    <w:rsid w:val="22386FD2"/>
    <w:rsid w:val="223A5DC0"/>
    <w:rsid w:val="22410FAB"/>
    <w:rsid w:val="224263F9"/>
    <w:rsid w:val="22440002"/>
    <w:rsid w:val="22483E22"/>
    <w:rsid w:val="2249304D"/>
    <w:rsid w:val="224C30CF"/>
    <w:rsid w:val="224F2D6A"/>
    <w:rsid w:val="225116B9"/>
    <w:rsid w:val="2255205B"/>
    <w:rsid w:val="225666A3"/>
    <w:rsid w:val="228C0017"/>
    <w:rsid w:val="22B150FD"/>
    <w:rsid w:val="22C7230E"/>
    <w:rsid w:val="22D842DA"/>
    <w:rsid w:val="22E90926"/>
    <w:rsid w:val="22EA0933"/>
    <w:rsid w:val="22F063CB"/>
    <w:rsid w:val="23175E94"/>
    <w:rsid w:val="231A6657"/>
    <w:rsid w:val="23355A4B"/>
    <w:rsid w:val="233D0BA3"/>
    <w:rsid w:val="23405518"/>
    <w:rsid w:val="23425054"/>
    <w:rsid w:val="235B5E01"/>
    <w:rsid w:val="236B4301"/>
    <w:rsid w:val="237B1CCA"/>
    <w:rsid w:val="23804D03"/>
    <w:rsid w:val="2385084E"/>
    <w:rsid w:val="23972649"/>
    <w:rsid w:val="23AE3F32"/>
    <w:rsid w:val="23B64704"/>
    <w:rsid w:val="23CA51A8"/>
    <w:rsid w:val="23CC7174"/>
    <w:rsid w:val="23DF1584"/>
    <w:rsid w:val="23E519D3"/>
    <w:rsid w:val="23EB3CA6"/>
    <w:rsid w:val="23ED3163"/>
    <w:rsid w:val="23F16EBF"/>
    <w:rsid w:val="23F67800"/>
    <w:rsid w:val="23FA639B"/>
    <w:rsid w:val="23FD4981"/>
    <w:rsid w:val="2409410C"/>
    <w:rsid w:val="24094F3E"/>
    <w:rsid w:val="241C3500"/>
    <w:rsid w:val="241C3808"/>
    <w:rsid w:val="242530D9"/>
    <w:rsid w:val="242C77E2"/>
    <w:rsid w:val="2431582D"/>
    <w:rsid w:val="243A2CDC"/>
    <w:rsid w:val="24450C8E"/>
    <w:rsid w:val="244B586A"/>
    <w:rsid w:val="24505030"/>
    <w:rsid w:val="24520539"/>
    <w:rsid w:val="245D7E71"/>
    <w:rsid w:val="2461747E"/>
    <w:rsid w:val="246254F1"/>
    <w:rsid w:val="246256CC"/>
    <w:rsid w:val="2473265A"/>
    <w:rsid w:val="2480376B"/>
    <w:rsid w:val="248760E9"/>
    <w:rsid w:val="24AA572C"/>
    <w:rsid w:val="24AD7F8E"/>
    <w:rsid w:val="24B11A33"/>
    <w:rsid w:val="24B553E5"/>
    <w:rsid w:val="24BC2687"/>
    <w:rsid w:val="24C142FD"/>
    <w:rsid w:val="24CF393F"/>
    <w:rsid w:val="24D37D3A"/>
    <w:rsid w:val="24DF60E9"/>
    <w:rsid w:val="24F77329"/>
    <w:rsid w:val="2500047C"/>
    <w:rsid w:val="250107BC"/>
    <w:rsid w:val="250C1416"/>
    <w:rsid w:val="250D0B4D"/>
    <w:rsid w:val="25215F5B"/>
    <w:rsid w:val="25287EFC"/>
    <w:rsid w:val="2534762C"/>
    <w:rsid w:val="253506B3"/>
    <w:rsid w:val="255710E7"/>
    <w:rsid w:val="25675507"/>
    <w:rsid w:val="25780C30"/>
    <w:rsid w:val="258A2B5E"/>
    <w:rsid w:val="25A04D0A"/>
    <w:rsid w:val="25B306C7"/>
    <w:rsid w:val="25C33C43"/>
    <w:rsid w:val="25D21BEB"/>
    <w:rsid w:val="25D22228"/>
    <w:rsid w:val="25D72DF6"/>
    <w:rsid w:val="25E0679D"/>
    <w:rsid w:val="25E26281"/>
    <w:rsid w:val="25EA3912"/>
    <w:rsid w:val="25EB64B4"/>
    <w:rsid w:val="25EF17CB"/>
    <w:rsid w:val="25FA7F47"/>
    <w:rsid w:val="26123E85"/>
    <w:rsid w:val="262449BE"/>
    <w:rsid w:val="26265F8F"/>
    <w:rsid w:val="262E79BC"/>
    <w:rsid w:val="26477405"/>
    <w:rsid w:val="26510FD6"/>
    <w:rsid w:val="265911BA"/>
    <w:rsid w:val="265E5FBA"/>
    <w:rsid w:val="266000AB"/>
    <w:rsid w:val="266735D0"/>
    <w:rsid w:val="266C74E3"/>
    <w:rsid w:val="268A268F"/>
    <w:rsid w:val="26973777"/>
    <w:rsid w:val="269A4AD7"/>
    <w:rsid w:val="269C4E0B"/>
    <w:rsid w:val="26B62D95"/>
    <w:rsid w:val="26B70BA5"/>
    <w:rsid w:val="26C33FFE"/>
    <w:rsid w:val="26C64400"/>
    <w:rsid w:val="26CE36E5"/>
    <w:rsid w:val="26E31B06"/>
    <w:rsid w:val="26E74F51"/>
    <w:rsid w:val="26FC7D13"/>
    <w:rsid w:val="26FF6276"/>
    <w:rsid w:val="27454D17"/>
    <w:rsid w:val="276B3D64"/>
    <w:rsid w:val="27876136"/>
    <w:rsid w:val="279462F5"/>
    <w:rsid w:val="27A3667D"/>
    <w:rsid w:val="27B34755"/>
    <w:rsid w:val="27BF51CC"/>
    <w:rsid w:val="27C112E1"/>
    <w:rsid w:val="27CC124A"/>
    <w:rsid w:val="27CD22D4"/>
    <w:rsid w:val="27DB14BA"/>
    <w:rsid w:val="27DD6376"/>
    <w:rsid w:val="27E862A2"/>
    <w:rsid w:val="27EF19B8"/>
    <w:rsid w:val="27F161CA"/>
    <w:rsid w:val="2804309E"/>
    <w:rsid w:val="28130274"/>
    <w:rsid w:val="281B655A"/>
    <w:rsid w:val="282A744D"/>
    <w:rsid w:val="28305E85"/>
    <w:rsid w:val="283D74B4"/>
    <w:rsid w:val="28454B2D"/>
    <w:rsid w:val="28525378"/>
    <w:rsid w:val="28603EB7"/>
    <w:rsid w:val="286A5D40"/>
    <w:rsid w:val="287F2905"/>
    <w:rsid w:val="28927BA9"/>
    <w:rsid w:val="28942AA9"/>
    <w:rsid w:val="28942C0A"/>
    <w:rsid w:val="28945E3B"/>
    <w:rsid w:val="28AC4758"/>
    <w:rsid w:val="28C2020D"/>
    <w:rsid w:val="28C34B97"/>
    <w:rsid w:val="28C82DD8"/>
    <w:rsid w:val="28D24B8F"/>
    <w:rsid w:val="28D257DD"/>
    <w:rsid w:val="28D61B79"/>
    <w:rsid w:val="28D76EC0"/>
    <w:rsid w:val="28E07697"/>
    <w:rsid w:val="28E824C9"/>
    <w:rsid w:val="28EC4FBD"/>
    <w:rsid w:val="291268CF"/>
    <w:rsid w:val="29255E6A"/>
    <w:rsid w:val="292A3D9E"/>
    <w:rsid w:val="292E2186"/>
    <w:rsid w:val="293372BB"/>
    <w:rsid w:val="29340781"/>
    <w:rsid w:val="296D4F76"/>
    <w:rsid w:val="298040D2"/>
    <w:rsid w:val="298A22A7"/>
    <w:rsid w:val="298E1846"/>
    <w:rsid w:val="29930F11"/>
    <w:rsid w:val="29A009BF"/>
    <w:rsid w:val="29A03A03"/>
    <w:rsid w:val="29A60CD1"/>
    <w:rsid w:val="29B011D5"/>
    <w:rsid w:val="29C10806"/>
    <w:rsid w:val="29C27643"/>
    <w:rsid w:val="29C773D6"/>
    <w:rsid w:val="29CF6E85"/>
    <w:rsid w:val="29E17A78"/>
    <w:rsid w:val="29ED5C61"/>
    <w:rsid w:val="29FC4171"/>
    <w:rsid w:val="2A0F7329"/>
    <w:rsid w:val="2A132508"/>
    <w:rsid w:val="2A1D0B14"/>
    <w:rsid w:val="2A243F4E"/>
    <w:rsid w:val="2A3A79B3"/>
    <w:rsid w:val="2A4E2BAB"/>
    <w:rsid w:val="2A53234C"/>
    <w:rsid w:val="2A5534B9"/>
    <w:rsid w:val="2A6673D0"/>
    <w:rsid w:val="2A6E2B20"/>
    <w:rsid w:val="2A755211"/>
    <w:rsid w:val="2A7A1212"/>
    <w:rsid w:val="2A8525B1"/>
    <w:rsid w:val="2AA1252A"/>
    <w:rsid w:val="2AAF72FB"/>
    <w:rsid w:val="2AC309F8"/>
    <w:rsid w:val="2ACA3121"/>
    <w:rsid w:val="2AD17ECB"/>
    <w:rsid w:val="2AE2557C"/>
    <w:rsid w:val="2AE863AE"/>
    <w:rsid w:val="2AFC0500"/>
    <w:rsid w:val="2B0A3186"/>
    <w:rsid w:val="2B1E714B"/>
    <w:rsid w:val="2B2D2A77"/>
    <w:rsid w:val="2B2D3681"/>
    <w:rsid w:val="2B4A5600"/>
    <w:rsid w:val="2B50728E"/>
    <w:rsid w:val="2B520F1D"/>
    <w:rsid w:val="2B532927"/>
    <w:rsid w:val="2B5818C1"/>
    <w:rsid w:val="2B610AD3"/>
    <w:rsid w:val="2B614BB2"/>
    <w:rsid w:val="2B7625E7"/>
    <w:rsid w:val="2B9E2864"/>
    <w:rsid w:val="2BB53941"/>
    <w:rsid w:val="2BBE3BE5"/>
    <w:rsid w:val="2BC25159"/>
    <w:rsid w:val="2BC3553F"/>
    <w:rsid w:val="2BD92E3F"/>
    <w:rsid w:val="2BD96F73"/>
    <w:rsid w:val="2BDE12CD"/>
    <w:rsid w:val="2BDF043E"/>
    <w:rsid w:val="2BE86CA8"/>
    <w:rsid w:val="2BEC7697"/>
    <w:rsid w:val="2BF56003"/>
    <w:rsid w:val="2C1F6032"/>
    <w:rsid w:val="2C207C57"/>
    <w:rsid w:val="2C214342"/>
    <w:rsid w:val="2C226E29"/>
    <w:rsid w:val="2C3116CD"/>
    <w:rsid w:val="2C592872"/>
    <w:rsid w:val="2C5B42D7"/>
    <w:rsid w:val="2C5D18CE"/>
    <w:rsid w:val="2C676E85"/>
    <w:rsid w:val="2C6A4974"/>
    <w:rsid w:val="2C6E278A"/>
    <w:rsid w:val="2C825C0E"/>
    <w:rsid w:val="2C9B4492"/>
    <w:rsid w:val="2C9E5590"/>
    <w:rsid w:val="2CA0428D"/>
    <w:rsid w:val="2CA60204"/>
    <w:rsid w:val="2CA6506D"/>
    <w:rsid w:val="2CA84910"/>
    <w:rsid w:val="2CD31603"/>
    <w:rsid w:val="2CD566E0"/>
    <w:rsid w:val="2CEE5D0C"/>
    <w:rsid w:val="2CF85F27"/>
    <w:rsid w:val="2CFB1ACD"/>
    <w:rsid w:val="2D0C4370"/>
    <w:rsid w:val="2D19422F"/>
    <w:rsid w:val="2D1A6F43"/>
    <w:rsid w:val="2D1B612E"/>
    <w:rsid w:val="2D272A78"/>
    <w:rsid w:val="2D2D77E4"/>
    <w:rsid w:val="2D340907"/>
    <w:rsid w:val="2D351A60"/>
    <w:rsid w:val="2D5C7521"/>
    <w:rsid w:val="2D7149C3"/>
    <w:rsid w:val="2D747094"/>
    <w:rsid w:val="2D796E81"/>
    <w:rsid w:val="2D88284A"/>
    <w:rsid w:val="2D9422C4"/>
    <w:rsid w:val="2D97716F"/>
    <w:rsid w:val="2D992C03"/>
    <w:rsid w:val="2D9B4960"/>
    <w:rsid w:val="2DA216C6"/>
    <w:rsid w:val="2DA57465"/>
    <w:rsid w:val="2DB50AD8"/>
    <w:rsid w:val="2DB653BC"/>
    <w:rsid w:val="2DB7430F"/>
    <w:rsid w:val="2DCD47F7"/>
    <w:rsid w:val="2DD451E9"/>
    <w:rsid w:val="2DDB3DCB"/>
    <w:rsid w:val="2DE456C7"/>
    <w:rsid w:val="2DEB7E4B"/>
    <w:rsid w:val="2DFB0C12"/>
    <w:rsid w:val="2DFF2185"/>
    <w:rsid w:val="2E085CB1"/>
    <w:rsid w:val="2E11532A"/>
    <w:rsid w:val="2E1849B3"/>
    <w:rsid w:val="2E1A5A81"/>
    <w:rsid w:val="2E1F6B6E"/>
    <w:rsid w:val="2E245AF9"/>
    <w:rsid w:val="2E2A2F7C"/>
    <w:rsid w:val="2E2C7B59"/>
    <w:rsid w:val="2E46575E"/>
    <w:rsid w:val="2E512381"/>
    <w:rsid w:val="2E891C75"/>
    <w:rsid w:val="2E896136"/>
    <w:rsid w:val="2E921142"/>
    <w:rsid w:val="2E9238C2"/>
    <w:rsid w:val="2EA72980"/>
    <w:rsid w:val="2EB50224"/>
    <w:rsid w:val="2EBC312F"/>
    <w:rsid w:val="2EC03C07"/>
    <w:rsid w:val="2EC579EC"/>
    <w:rsid w:val="2ECB149F"/>
    <w:rsid w:val="2ED66297"/>
    <w:rsid w:val="2EE62071"/>
    <w:rsid w:val="2F136812"/>
    <w:rsid w:val="2F181834"/>
    <w:rsid w:val="2F1D3166"/>
    <w:rsid w:val="2F1E0559"/>
    <w:rsid w:val="2F1E4AC6"/>
    <w:rsid w:val="2F2C2E35"/>
    <w:rsid w:val="2F5F62CE"/>
    <w:rsid w:val="2F5F6DC2"/>
    <w:rsid w:val="2F715124"/>
    <w:rsid w:val="2F7920F6"/>
    <w:rsid w:val="2F7D0E36"/>
    <w:rsid w:val="2F8057B8"/>
    <w:rsid w:val="2F905899"/>
    <w:rsid w:val="2F941D65"/>
    <w:rsid w:val="2F9509FC"/>
    <w:rsid w:val="2F9A480A"/>
    <w:rsid w:val="2FA43F61"/>
    <w:rsid w:val="2FA5288E"/>
    <w:rsid w:val="2FA96F2B"/>
    <w:rsid w:val="2FAA4B87"/>
    <w:rsid w:val="2FB8111E"/>
    <w:rsid w:val="2FD52866"/>
    <w:rsid w:val="2FD9085A"/>
    <w:rsid w:val="2FEB358B"/>
    <w:rsid w:val="2FF946AE"/>
    <w:rsid w:val="302D2C96"/>
    <w:rsid w:val="302F7D03"/>
    <w:rsid w:val="303B0E0C"/>
    <w:rsid w:val="30406D41"/>
    <w:rsid w:val="30423CCD"/>
    <w:rsid w:val="304537EB"/>
    <w:rsid w:val="305059B1"/>
    <w:rsid w:val="30726515"/>
    <w:rsid w:val="307D6477"/>
    <w:rsid w:val="30846BFC"/>
    <w:rsid w:val="3088031D"/>
    <w:rsid w:val="30AD1516"/>
    <w:rsid w:val="30B55E59"/>
    <w:rsid w:val="30B81A88"/>
    <w:rsid w:val="30C0620D"/>
    <w:rsid w:val="30C46EC6"/>
    <w:rsid w:val="30D34409"/>
    <w:rsid w:val="30E43E01"/>
    <w:rsid w:val="30ED1D02"/>
    <w:rsid w:val="30ED44D8"/>
    <w:rsid w:val="30FD59F3"/>
    <w:rsid w:val="30FE700B"/>
    <w:rsid w:val="311E654B"/>
    <w:rsid w:val="313A1CEC"/>
    <w:rsid w:val="313B489A"/>
    <w:rsid w:val="313C051A"/>
    <w:rsid w:val="315C56BE"/>
    <w:rsid w:val="31647AFA"/>
    <w:rsid w:val="316D2C86"/>
    <w:rsid w:val="316D71E4"/>
    <w:rsid w:val="317D58B8"/>
    <w:rsid w:val="318B193E"/>
    <w:rsid w:val="31931ABF"/>
    <w:rsid w:val="31950D3D"/>
    <w:rsid w:val="319A4032"/>
    <w:rsid w:val="31A10BF5"/>
    <w:rsid w:val="31A970A8"/>
    <w:rsid w:val="31AB1E21"/>
    <w:rsid w:val="31B75CB4"/>
    <w:rsid w:val="31CA483D"/>
    <w:rsid w:val="31E15E19"/>
    <w:rsid w:val="31FC75F8"/>
    <w:rsid w:val="32013D71"/>
    <w:rsid w:val="3202553D"/>
    <w:rsid w:val="321043B9"/>
    <w:rsid w:val="322713CA"/>
    <w:rsid w:val="323166F0"/>
    <w:rsid w:val="324451C3"/>
    <w:rsid w:val="32486D06"/>
    <w:rsid w:val="324C3076"/>
    <w:rsid w:val="32522469"/>
    <w:rsid w:val="32623AF8"/>
    <w:rsid w:val="32776BA9"/>
    <w:rsid w:val="32776D22"/>
    <w:rsid w:val="327B2A0D"/>
    <w:rsid w:val="328A7AA0"/>
    <w:rsid w:val="329B06D9"/>
    <w:rsid w:val="32A44C22"/>
    <w:rsid w:val="32C5561F"/>
    <w:rsid w:val="32F669C8"/>
    <w:rsid w:val="33001B7A"/>
    <w:rsid w:val="3304078A"/>
    <w:rsid w:val="3314069C"/>
    <w:rsid w:val="331535A7"/>
    <w:rsid w:val="33182DFB"/>
    <w:rsid w:val="331A0CC8"/>
    <w:rsid w:val="331A7AF8"/>
    <w:rsid w:val="3324614F"/>
    <w:rsid w:val="333110F6"/>
    <w:rsid w:val="333C2DF4"/>
    <w:rsid w:val="33543521"/>
    <w:rsid w:val="33547948"/>
    <w:rsid w:val="3358467B"/>
    <w:rsid w:val="33686602"/>
    <w:rsid w:val="336A7882"/>
    <w:rsid w:val="336E2D38"/>
    <w:rsid w:val="33751688"/>
    <w:rsid w:val="33827279"/>
    <w:rsid w:val="339771F4"/>
    <w:rsid w:val="33987EC4"/>
    <w:rsid w:val="33B71F93"/>
    <w:rsid w:val="33BA1401"/>
    <w:rsid w:val="33C32230"/>
    <w:rsid w:val="33C800E9"/>
    <w:rsid w:val="33E473DC"/>
    <w:rsid w:val="33E50298"/>
    <w:rsid w:val="33EF10C6"/>
    <w:rsid w:val="33F07711"/>
    <w:rsid w:val="33FC203D"/>
    <w:rsid w:val="34042076"/>
    <w:rsid w:val="34222A44"/>
    <w:rsid w:val="343C0F97"/>
    <w:rsid w:val="34534D3D"/>
    <w:rsid w:val="3464291B"/>
    <w:rsid w:val="34755471"/>
    <w:rsid w:val="34890588"/>
    <w:rsid w:val="34911926"/>
    <w:rsid w:val="34927084"/>
    <w:rsid w:val="34BD1711"/>
    <w:rsid w:val="34BD44FA"/>
    <w:rsid w:val="34C368B5"/>
    <w:rsid w:val="34CD4B64"/>
    <w:rsid w:val="34D72B0D"/>
    <w:rsid w:val="34DF5BDE"/>
    <w:rsid w:val="34EC4B76"/>
    <w:rsid w:val="34EE06B7"/>
    <w:rsid w:val="350559A0"/>
    <w:rsid w:val="350D3441"/>
    <w:rsid w:val="35164CDB"/>
    <w:rsid w:val="351C0EA2"/>
    <w:rsid w:val="35255512"/>
    <w:rsid w:val="35280DC0"/>
    <w:rsid w:val="353B6C18"/>
    <w:rsid w:val="35461EBC"/>
    <w:rsid w:val="354B5BB0"/>
    <w:rsid w:val="354D7F75"/>
    <w:rsid w:val="35683581"/>
    <w:rsid w:val="357777A8"/>
    <w:rsid w:val="358D30B5"/>
    <w:rsid w:val="358F21E7"/>
    <w:rsid w:val="35921F18"/>
    <w:rsid w:val="359706D2"/>
    <w:rsid w:val="35A303EA"/>
    <w:rsid w:val="35A80566"/>
    <w:rsid w:val="35AA4F6C"/>
    <w:rsid w:val="35BE2E72"/>
    <w:rsid w:val="35C229C2"/>
    <w:rsid w:val="35C800FE"/>
    <w:rsid w:val="35F73CF2"/>
    <w:rsid w:val="36034304"/>
    <w:rsid w:val="360407DE"/>
    <w:rsid w:val="3609175A"/>
    <w:rsid w:val="362236CD"/>
    <w:rsid w:val="36325713"/>
    <w:rsid w:val="365628C0"/>
    <w:rsid w:val="36741C91"/>
    <w:rsid w:val="36745F37"/>
    <w:rsid w:val="36826C73"/>
    <w:rsid w:val="3689740F"/>
    <w:rsid w:val="369D3512"/>
    <w:rsid w:val="36AD7FE4"/>
    <w:rsid w:val="36B6196C"/>
    <w:rsid w:val="36D93D93"/>
    <w:rsid w:val="36E1641D"/>
    <w:rsid w:val="36EB1203"/>
    <w:rsid w:val="37043F73"/>
    <w:rsid w:val="37101BB1"/>
    <w:rsid w:val="372F0DF2"/>
    <w:rsid w:val="37312B16"/>
    <w:rsid w:val="37340F54"/>
    <w:rsid w:val="373677D5"/>
    <w:rsid w:val="373D1408"/>
    <w:rsid w:val="37433BFB"/>
    <w:rsid w:val="37471BEF"/>
    <w:rsid w:val="374A42A3"/>
    <w:rsid w:val="37587BB2"/>
    <w:rsid w:val="37733813"/>
    <w:rsid w:val="37827214"/>
    <w:rsid w:val="37945822"/>
    <w:rsid w:val="37990A35"/>
    <w:rsid w:val="379F0E37"/>
    <w:rsid w:val="37A12891"/>
    <w:rsid w:val="37A2582C"/>
    <w:rsid w:val="37B6649A"/>
    <w:rsid w:val="37C35F96"/>
    <w:rsid w:val="37CF4354"/>
    <w:rsid w:val="37D17EF4"/>
    <w:rsid w:val="37D67A57"/>
    <w:rsid w:val="37E963EB"/>
    <w:rsid w:val="37ED7A7D"/>
    <w:rsid w:val="37EF5BAE"/>
    <w:rsid w:val="37F5270D"/>
    <w:rsid w:val="381309C6"/>
    <w:rsid w:val="381408EC"/>
    <w:rsid w:val="382519F8"/>
    <w:rsid w:val="38395DFA"/>
    <w:rsid w:val="38752784"/>
    <w:rsid w:val="38774AC4"/>
    <w:rsid w:val="387A2AEC"/>
    <w:rsid w:val="38930889"/>
    <w:rsid w:val="38941947"/>
    <w:rsid w:val="389A67CB"/>
    <w:rsid w:val="38A50319"/>
    <w:rsid w:val="38B32926"/>
    <w:rsid w:val="38D143E1"/>
    <w:rsid w:val="38F35E2A"/>
    <w:rsid w:val="3908258A"/>
    <w:rsid w:val="391369AB"/>
    <w:rsid w:val="392502E5"/>
    <w:rsid w:val="39265356"/>
    <w:rsid w:val="392D6171"/>
    <w:rsid w:val="393741B4"/>
    <w:rsid w:val="39531710"/>
    <w:rsid w:val="395D3D25"/>
    <w:rsid w:val="39621B9B"/>
    <w:rsid w:val="396C3CF1"/>
    <w:rsid w:val="39A836F9"/>
    <w:rsid w:val="39AC75EE"/>
    <w:rsid w:val="39B05EDD"/>
    <w:rsid w:val="39B916DF"/>
    <w:rsid w:val="39BB0FFD"/>
    <w:rsid w:val="39DD0D52"/>
    <w:rsid w:val="39E81252"/>
    <w:rsid w:val="39EA73C4"/>
    <w:rsid w:val="39EE69BC"/>
    <w:rsid w:val="39F01DE6"/>
    <w:rsid w:val="3A00359B"/>
    <w:rsid w:val="3A235C5C"/>
    <w:rsid w:val="3A2C6C8B"/>
    <w:rsid w:val="3A32102D"/>
    <w:rsid w:val="3A3B2EB6"/>
    <w:rsid w:val="3A4660AA"/>
    <w:rsid w:val="3A5900C4"/>
    <w:rsid w:val="3A64520B"/>
    <w:rsid w:val="3A723347"/>
    <w:rsid w:val="3A83468A"/>
    <w:rsid w:val="3A9F77C4"/>
    <w:rsid w:val="3AB96ECF"/>
    <w:rsid w:val="3AE8089A"/>
    <w:rsid w:val="3B1919AB"/>
    <w:rsid w:val="3B322AFF"/>
    <w:rsid w:val="3B362ECF"/>
    <w:rsid w:val="3B5B60A8"/>
    <w:rsid w:val="3B5E09F6"/>
    <w:rsid w:val="3B6B12B0"/>
    <w:rsid w:val="3B7265B1"/>
    <w:rsid w:val="3B790184"/>
    <w:rsid w:val="3B88270F"/>
    <w:rsid w:val="3B905BC8"/>
    <w:rsid w:val="3BAF1F01"/>
    <w:rsid w:val="3BB40B48"/>
    <w:rsid w:val="3BBE60C2"/>
    <w:rsid w:val="3BC34952"/>
    <w:rsid w:val="3BCF1F1A"/>
    <w:rsid w:val="3BE27D0A"/>
    <w:rsid w:val="3C05618E"/>
    <w:rsid w:val="3C2C06BD"/>
    <w:rsid w:val="3C343788"/>
    <w:rsid w:val="3C4171E0"/>
    <w:rsid w:val="3C5B4206"/>
    <w:rsid w:val="3C5E1FAA"/>
    <w:rsid w:val="3C64645A"/>
    <w:rsid w:val="3C656018"/>
    <w:rsid w:val="3C7446D1"/>
    <w:rsid w:val="3C7B68BB"/>
    <w:rsid w:val="3C946D71"/>
    <w:rsid w:val="3CAE79D6"/>
    <w:rsid w:val="3CB6173C"/>
    <w:rsid w:val="3CBE6F53"/>
    <w:rsid w:val="3CBF393D"/>
    <w:rsid w:val="3CC106AE"/>
    <w:rsid w:val="3CC87632"/>
    <w:rsid w:val="3CEE4EA3"/>
    <w:rsid w:val="3CF31CA1"/>
    <w:rsid w:val="3CFE7CE0"/>
    <w:rsid w:val="3D006AB5"/>
    <w:rsid w:val="3D186BA6"/>
    <w:rsid w:val="3D1E14E7"/>
    <w:rsid w:val="3D382461"/>
    <w:rsid w:val="3D3A558F"/>
    <w:rsid w:val="3D3C3A49"/>
    <w:rsid w:val="3D3D225B"/>
    <w:rsid w:val="3D4F5238"/>
    <w:rsid w:val="3D577E3C"/>
    <w:rsid w:val="3D7A74DC"/>
    <w:rsid w:val="3D8252C4"/>
    <w:rsid w:val="3D8C2AD7"/>
    <w:rsid w:val="3D996C27"/>
    <w:rsid w:val="3D9B0069"/>
    <w:rsid w:val="3D9E3B53"/>
    <w:rsid w:val="3DAD2DA7"/>
    <w:rsid w:val="3DBD6105"/>
    <w:rsid w:val="3DDB77FC"/>
    <w:rsid w:val="3DFF3C37"/>
    <w:rsid w:val="3E270C44"/>
    <w:rsid w:val="3E3B08E6"/>
    <w:rsid w:val="3E4D26B6"/>
    <w:rsid w:val="3E4F16F2"/>
    <w:rsid w:val="3E50322D"/>
    <w:rsid w:val="3E6A7D33"/>
    <w:rsid w:val="3E6C643E"/>
    <w:rsid w:val="3E7E6423"/>
    <w:rsid w:val="3E860A1C"/>
    <w:rsid w:val="3E8C0F72"/>
    <w:rsid w:val="3EA13331"/>
    <w:rsid w:val="3EA8295F"/>
    <w:rsid w:val="3EBD4D79"/>
    <w:rsid w:val="3EBE1794"/>
    <w:rsid w:val="3EC571FD"/>
    <w:rsid w:val="3EE3701C"/>
    <w:rsid w:val="3EEB4417"/>
    <w:rsid w:val="3EEF7C81"/>
    <w:rsid w:val="3EF806C7"/>
    <w:rsid w:val="3EFC73B7"/>
    <w:rsid w:val="3F136EB2"/>
    <w:rsid w:val="3F222851"/>
    <w:rsid w:val="3F2311A6"/>
    <w:rsid w:val="3F304E08"/>
    <w:rsid w:val="3F3D4A3D"/>
    <w:rsid w:val="3F4A797C"/>
    <w:rsid w:val="3F50175B"/>
    <w:rsid w:val="3F5D0170"/>
    <w:rsid w:val="3F5F0663"/>
    <w:rsid w:val="3F6206BA"/>
    <w:rsid w:val="3F7722E4"/>
    <w:rsid w:val="3F7C73E1"/>
    <w:rsid w:val="3F88009A"/>
    <w:rsid w:val="3F976986"/>
    <w:rsid w:val="3F9D725A"/>
    <w:rsid w:val="3F9E25CD"/>
    <w:rsid w:val="3FA708C6"/>
    <w:rsid w:val="3FAC46C9"/>
    <w:rsid w:val="3FB26B1A"/>
    <w:rsid w:val="3FC04688"/>
    <w:rsid w:val="3FCE355B"/>
    <w:rsid w:val="3FD64346"/>
    <w:rsid w:val="3FE063E8"/>
    <w:rsid w:val="3FEE7D7D"/>
    <w:rsid w:val="3FF94E2C"/>
    <w:rsid w:val="40035149"/>
    <w:rsid w:val="4005743D"/>
    <w:rsid w:val="40130235"/>
    <w:rsid w:val="40266073"/>
    <w:rsid w:val="404A445A"/>
    <w:rsid w:val="404A52B1"/>
    <w:rsid w:val="404E4321"/>
    <w:rsid w:val="40636835"/>
    <w:rsid w:val="407A7A41"/>
    <w:rsid w:val="409A1F76"/>
    <w:rsid w:val="40A219AE"/>
    <w:rsid w:val="40A86B36"/>
    <w:rsid w:val="40BB10F2"/>
    <w:rsid w:val="40CA5AEE"/>
    <w:rsid w:val="40DC4E34"/>
    <w:rsid w:val="40F461DB"/>
    <w:rsid w:val="4103272C"/>
    <w:rsid w:val="41087C06"/>
    <w:rsid w:val="410F300B"/>
    <w:rsid w:val="41213589"/>
    <w:rsid w:val="4125450E"/>
    <w:rsid w:val="41270D3A"/>
    <w:rsid w:val="41354FC3"/>
    <w:rsid w:val="413556D1"/>
    <w:rsid w:val="41713E0B"/>
    <w:rsid w:val="41715C76"/>
    <w:rsid w:val="41744B76"/>
    <w:rsid w:val="419B5315"/>
    <w:rsid w:val="41DA54BD"/>
    <w:rsid w:val="41E8185E"/>
    <w:rsid w:val="41E9547F"/>
    <w:rsid w:val="42084E7C"/>
    <w:rsid w:val="42120D04"/>
    <w:rsid w:val="422372BD"/>
    <w:rsid w:val="422A0AB9"/>
    <w:rsid w:val="423645EA"/>
    <w:rsid w:val="423F1FDD"/>
    <w:rsid w:val="42434B6E"/>
    <w:rsid w:val="42435B11"/>
    <w:rsid w:val="42584A8A"/>
    <w:rsid w:val="4260551B"/>
    <w:rsid w:val="426B1C1C"/>
    <w:rsid w:val="42785E73"/>
    <w:rsid w:val="42786A51"/>
    <w:rsid w:val="42793AFC"/>
    <w:rsid w:val="42886EC3"/>
    <w:rsid w:val="429163FD"/>
    <w:rsid w:val="42957CA8"/>
    <w:rsid w:val="42A13850"/>
    <w:rsid w:val="42A2091D"/>
    <w:rsid w:val="42AF2E88"/>
    <w:rsid w:val="42B14668"/>
    <w:rsid w:val="42C164A4"/>
    <w:rsid w:val="42D05F71"/>
    <w:rsid w:val="42EF6589"/>
    <w:rsid w:val="42F231CD"/>
    <w:rsid w:val="430339C5"/>
    <w:rsid w:val="43171E14"/>
    <w:rsid w:val="43280991"/>
    <w:rsid w:val="432F53AF"/>
    <w:rsid w:val="433E0D7B"/>
    <w:rsid w:val="4349305F"/>
    <w:rsid w:val="43524702"/>
    <w:rsid w:val="435C66E7"/>
    <w:rsid w:val="436379C5"/>
    <w:rsid w:val="436421BC"/>
    <w:rsid w:val="438A50B6"/>
    <w:rsid w:val="43960894"/>
    <w:rsid w:val="43960DBD"/>
    <w:rsid w:val="43992916"/>
    <w:rsid w:val="43C107B4"/>
    <w:rsid w:val="43CA33AE"/>
    <w:rsid w:val="43CC5F2C"/>
    <w:rsid w:val="43D3647D"/>
    <w:rsid w:val="43DA4392"/>
    <w:rsid w:val="43E234DF"/>
    <w:rsid w:val="43E925CB"/>
    <w:rsid w:val="43E960F8"/>
    <w:rsid w:val="43EC292D"/>
    <w:rsid w:val="43FC25A4"/>
    <w:rsid w:val="43FF2AD0"/>
    <w:rsid w:val="44052CBA"/>
    <w:rsid w:val="44142F49"/>
    <w:rsid w:val="44255148"/>
    <w:rsid w:val="442C7144"/>
    <w:rsid w:val="444A6E63"/>
    <w:rsid w:val="44606BE0"/>
    <w:rsid w:val="44620E2F"/>
    <w:rsid w:val="44722D6D"/>
    <w:rsid w:val="4475210F"/>
    <w:rsid w:val="449D3C54"/>
    <w:rsid w:val="44B61AE3"/>
    <w:rsid w:val="44C07216"/>
    <w:rsid w:val="44CF764A"/>
    <w:rsid w:val="44D41F91"/>
    <w:rsid w:val="44DC2DC4"/>
    <w:rsid w:val="44DD0CDA"/>
    <w:rsid w:val="44E87738"/>
    <w:rsid w:val="44EA0AE1"/>
    <w:rsid w:val="44EF3479"/>
    <w:rsid w:val="44F66110"/>
    <w:rsid w:val="450C4522"/>
    <w:rsid w:val="451D4B80"/>
    <w:rsid w:val="4520354E"/>
    <w:rsid w:val="4527745F"/>
    <w:rsid w:val="452926E8"/>
    <w:rsid w:val="45302B84"/>
    <w:rsid w:val="45340E1B"/>
    <w:rsid w:val="453871FE"/>
    <w:rsid w:val="45512375"/>
    <w:rsid w:val="45654AEE"/>
    <w:rsid w:val="4572709D"/>
    <w:rsid w:val="458E242F"/>
    <w:rsid w:val="459C0CF6"/>
    <w:rsid w:val="459D0F13"/>
    <w:rsid w:val="45A813FE"/>
    <w:rsid w:val="45AE7782"/>
    <w:rsid w:val="45D02B0C"/>
    <w:rsid w:val="45D97854"/>
    <w:rsid w:val="45DC1C6E"/>
    <w:rsid w:val="45DD1335"/>
    <w:rsid w:val="45E21FE7"/>
    <w:rsid w:val="45ED40E2"/>
    <w:rsid w:val="45F865A3"/>
    <w:rsid w:val="45F96B4E"/>
    <w:rsid w:val="45FB3DE7"/>
    <w:rsid w:val="460A2471"/>
    <w:rsid w:val="463D737A"/>
    <w:rsid w:val="465511B3"/>
    <w:rsid w:val="466F0F43"/>
    <w:rsid w:val="46737C6F"/>
    <w:rsid w:val="46752093"/>
    <w:rsid w:val="4693603D"/>
    <w:rsid w:val="469A6631"/>
    <w:rsid w:val="469B6A1E"/>
    <w:rsid w:val="469D6236"/>
    <w:rsid w:val="46B42048"/>
    <w:rsid w:val="46C338DD"/>
    <w:rsid w:val="46CB5C37"/>
    <w:rsid w:val="46D049AF"/>
    <w:rsid w:val="46D05B31"/>
    <w:rsid w:val="46E559AA"/>
    <w:rsid w:val="46EE0EDA"/>
    <w:rsid w:val="46F9303C"/>
    <w:rsid w:val="47182D40"/>
    <w:rsid w:val="47210AB5"/>
    <w:rsid w:val="473B58E1"/>
    <w:rsid w:val="47423169"/>
    <w:rsid w:val="475048B6"/>
    <w:rsid w:val="47573040"/>
    <w:rsid w:val="47583D74"/>
    <w:rsid w:val="47734C48"/>
    <w:rsid w:val="478326E5"/>
    <w:rsid w:val="479653C5"/>
    <w:rsid w:val="47A714C5"/>
    <w:rsid w:val="47A97235"/>
    <w:rsid w:val="47B307E9"/>
    <w:rsid w:val="47B72BD9"/>
    <w:rsid w:val="47BE24AA"/>
    <w:rsid w:val="47BF7E31"/>
    <w:rsid w:val="47E77A11"/>
    <w:rsid w:val="480338BB"/>
    <w:rsid w:val="480D3C6B"/>
    <w:rsid w:val="481C6DA3"/>
    <w:rsid w:val="482B24EA"/>
    <w:rsid w:val="48365623"/>
    <w:rsid w:val="48377C8A"/>
    <w:rsid w:val="48412A31"/>
    <w:rsid w:val="484900A5"/>
    <w:rsid w:val="485C3CF5"/>
    <w:rsid w:val="4860425D"/>
    <w:rsid w:val="486924B1"/>
    <w:rsid w:val="486A6A5F"/>
    <w:rsid w:val="486A71E0"/>
    <w:rsid w:val="487970CD"/>
    <w:rsid w:val="48902B3C"/>
    <w:rsid w:val="48A12EA7"/>
    <w:rsid w:val="48AB58C3"/>
    <w:rsid w:val="48AC6643"/>
    <w:rsid w:val="48AF1997"/>
    <w:rsid w:val="48BA10EF"/>
    <w:rsid w:val="48C4391C"/>
    <w:rsid w:val="48C61D90"/>
    <w:rsid w:val="48C76FBE"/>
    <w:rsid w:val="48C93E5F"/>
    <w:rsid w:val="48CB3363"/>
    <w:rsid w:val="48CB72EB"/>
    <w:rsid w:val="48DB0B30"/>
    <w:rsid w:val="48F10FE7"/>
    <w:rsid w:val="48FF04F9"/>
    <w:rsid w:val="4903586B"/>
    <w:rsid w:val="49062F22"/>
    <w:rsid w:val="49131BB2"/>
    <w:rsid w:val="49215F2C"/>
    <w:rsid w:val="492822E2"/>
    <w:rsid w:val="492843AD"/>
    <w:rsid w:val="492D2391"/>
    <w:rsid w:val="492E4E74"/>
    <w:rsid w:val="49394B23"/>
    <w:rsid w:val="493D03D0"/>
    <w:rsid w:val="4961011A"/>
    <w:rsid w:val="49612B4C"/>
    <w:rsid w:val="4961713A"/>
    <w:rsid w:val="49767D0E"/>
    <w:rsid w:val="497751F7"/>
    <w:rsid w:val="4985747C"/>
    <w:rsid w:val="498D467D"/>
    <w:rsid w:val="499A2986"/>
    <w:rsid w:val="499F7F0B"/>
    <w:rsid w:val="49AD58E5"/>
    <w:rsid w:val="49B133BD"/>
    <w:rsid w:val="49B74D0A"/>
    <w:rsid w:val="49B75190"/>
    <w:rsid w:val="49BC3149"/>
    <w:rsid w:val="49D60DA0"/>
    <w:rsid w:val="49D9121F"/>
    <w:rsid w:val="49DA4842"/>
    <w:rsid w:val="49DC64FA"/>
    <w:rsid w:val="49DD13EB"/>
    <w:rsid w:val="49E54DA3"/>
    <w:rsid w:val="49F15863"/>
    <w:rsid w:val="49F242C9"/>
    <w:rsid w:val="49F44FF0"/>
    <w:rsid w:val="49FF70EB"/>
    <w:rsid w:val="4A030844"/>
    <w:rsid w:val="4A070C66"/>
    <w:rsid w:val="4A2A2D74"/>
    <w:rsid w:val="4A2F1048"/>
    <w:rsid w:val="4A3A493D"/>
    <w:rsid w:val="4A46383F"/>
    <w:rsid w:val="4A5B5829"/>
    <w:rsid w:val="4A666BC0"/>
    <w:rsid w:val="4A6E5D02"/>
    <w:rsid w:val="4A7E3A64"/>
    <w:rsid w:val="4A8D56DE"/>
    <w:rsid w:val="4A9E3173"/>
    <w:rsid w:val="4AAC6C31"/>
    <w:rsid w:val="4AB5080E"/>
    <w:rsid w:val="4ABE260E"/>
    <w:rsid w:val="4AC32626"/>
    <w:rsid w:val="4AD05992"/>
    <w:rsid w:val="4AD74653"/>
    <w:rsid w:val="4AEF24ED"/>
    <w:rsid w:val="4AF96CB6"/>
    <w:rsid w:val="4AFD5169"/>
    <w:rsid w:val="4B055F70"/>
    <w:rsid w:val="4B093295"/>
    <w:rsid w:val="4B0C06DC"/>
    <w:rsid w:val="4B185DEE"/>
    <w:rsid w:val="4B285F31"/>
    <w:rsid w:val="4B3C4FB3"/>
    <w:rsid w:val="4B492A3B"/>
    <w:rsid w:val="4B497029"/>
    <w:rsid w:val="4B5C74E9"/>
    <w:rsid w:val="4B5F3ED9"/>
    <w:rsid w:val="4B605F8F"/>
    <w:rsid w:val="4B634726"/>
    <w:rsid w:val="4B7A6A28"/>
    <w:rsid w:val="4B7D0C82"/>
    <w:rsid w:val="4BAF3A48"/>
    <w:rsid w:val="4BBB33A6"/>
    <w:rsid w:val="4BBE46DB"/>
    <w:rsid w:val="4BC472D1"/>
    <w:rsid w:val="4BC93CAA"/>
    <w:rsid w:val="4BCD57A7"/>
    <w:rsid w:val="4BCF788F"/>
    <w:rsid w:val="4BD14BB6"/>
    <w:rsid w:val="4BD7229E"/>
    <w:rsid w:val="4BDC5224"/>
    <w:rsid w:val="4BF149C3"/>
    <w:rsid w:val="4BFA4125"/>
    <w:rsid w:val="4C2F5AA9"/>
    <w:rsid w:val="4C345224"/>
    <w:rsid w:val="4C591D2F"/>
    <w:rsid w:val="4C5B5382"/>
    <w:rsid w:val="4C5B77CA"/>
    <w:rsid w:val="4C644E8C"/>
    <w:rsid w:val="4C6F4332"/>
    <w:rsid w:val="4C7C48A7"/>
    <w:rsid w:val="4C7C506B"/>
    <w:rsid w:val="4C834293"/>
    <w:rsid w:val="4C884723"/>
    <w:rsid w:val="4C893410"/>
    <w:rsid w:val="4C9A4DA4"/>
    <w:rsid w:val="4CA349E2"/>
    <w:rsid w:val="4CBA411F"/>
    <w:rsid w:val="4CBB5E8E"/>
    <w:rsid w:val="4CBD58E1"/>
    <w:rsid w:val="4CC20B69"/>
    <w:rsid w:val="4CC4109E"/>
    <w:rsid w:val="4CC8142A"/>
    <w:rsid w:val="4CCB4740"/>
    <w:rsid w:val="4CCD19CD"/>
    <w:rsid w:val="4CD52E3E"/>
    <w:rsid w:val="4CE02479"/>
    <w:rsid w:val="4CE57A8E"/>
    <w:rsid w:val="4CFB55CD"/>
    <w:rsid w:val="4D106E1D"/>
    <w:rsid w:val="4D1F4F74"/>
    <w:rsid w:val="4D2C015A"/>
    <w:rsid w:val="4D334A9B"/>
    <w:rsid w:val="4D4B71D5"/>
    <w:rsid w:val="4D525598"/>
    <w:rsid w:val="4D5544C8"/>
    <w:rsid w:val="4D700D45"/>
    <w:rsid w:val="4D73778C"/>
    <w:rsid w:val="4D745DFC"/>
    <w:rsid w:val="4D746DBD"/>
    <w:rsid w:val="4D7E58AA"/>
    <w:rsid w:val="4D822CB5"/>
    <w:rsid w:val="4DA226DD"/>
    <w:rsid w:val="4DB30BB6"/>
    <w:rsid w:val="4DB45739"/>
    <w:rsid w:val="4DB71E35"/>
    <w:rsid w:val="4DCC2FCA"/>
    <w:rsid w:val="4DF633EF"/>
    <w:rsid w:val="4DFF6541"/>
    <w:rsid w:val="4E0B4471"/>
    <w:rsid w:val="4E0E225C"/>
    <w:rsid w:val="4E131941"/>
    <w:rsid w:val="4E1754F7"/>
    <w:rsid w:val="4E19286F"/>
    <w:rsid w:val="4E1D5A2B"/>
    <w:rsid w:val="4E34712A"/>
    <w:rsid w:val="4E37534F"/>
    <w:rsid w:val="4E3A1C2D"/>
    <w:rsid w:val="4E3D1EB2"/>
    <w:rsid w:val="4E433B0D"/>
    <w:rsid w:val="4E5879FD"/>
    <w:rsid w:val="4E5B246B"/>
    <w:rsid w:val="4E6A7AAB"/>
    <w:rsid w:val="4E6F7F3D"/>
    <w:rsid w:val="4E870CEC"/>
    <w:rsid w:val="4E951779"/>
    <w:rsid w:val="4EA736D2"/>
    <w:rsid w:val="4EAB7B87"/>
    <w:rsid w:val="4EB5401D"/>
    <w:rsid w:val="4ECA4D18"/>
    <w:rsid w:val="4ED81E62"/>
    <w:rsid w:val="4EDC18E4"/>
    <w:rsid w:val="4EE417EC"/>
    <w:rsid w:val="4EE53B97"/>
    <w:rsid w:val="4EF82C0F"/>
    <w:rsid w:val="4F135B85"/>
    <w:rsid w:val="4F1705ED"/>
    <w:rsid w:val="4F1B405C"/>
    <w:rsid w:val="4F202B4E"/>
    <w:rsid w:val="4F221450"/>
    <w:rsid w:val="4F47166F"/>
    <w:rsid w:val="4F766114"/>
    <w:rsid w:val="4F944AF3"/>
    <w:rsid w:val="4F9B48E0"/>
    <w:rsid w:val="4FA84835"/>
    <w:rsid w:val="4FB03DDF"/>
    <w:rsid w:val="4FD46E5C"/>
    <w:rsid w:val="4FD518A8"/>
    <w:rsid w:val="4FEE6343"/>
    <w:rsid w:val="4FF95E0D"/>
    <w:rsid w:val="4FFB4A12"/>
    <w:rsid w:val="50086FCF"/>
    <w:rsid w:val="501123CA"/>
    <w:rsid w:val="50136893"/>
    <w:rsid w:val="501804FE"/>
    <w:rsid w:val="501A6B51"/>
    <w:rsid w:val="50224726"/>
    <w:rsid w:val="50271C76"/>
    <w:rsid w:val="50402003"/>
    <w:rsid w:val="50435E55"/>
    <w:rsid w:val="50486282"/>
    <w:rsid w:val="50511B72"/>
    <w:rsid w:val="505718CC"/>
    <w:rsid w:val="50693BBD"/>
    <w:rsid w:val="506C3E06"/>
    <w:rsid w:val="506F42A8"/>
    <w:rsid w:val="50700EA1"/>
    <w:rsid w:val="50795EBC"/>
    <w:rsid w:val="50796B3B"/>
    <w:rsid w:val="508B23DD"/>
    <w:rsid w:val="509325E2"/>
    <w:rsid w:val="50AF5D81"/>
    <w:rsid w:val="50B109AF"/>
    <w:rsid w:val="50C33C65"/>
    <w:rsid w:val="50C954CC"/>
    <w:rsid w:val="50CC5CB8"/>
    <w:rsid w:val="50CE6591"/>
    <w:rsid w:val="50D856A5"/>
    <w:rsid w:val="50E20B5E"/>
    <w:rsid w:val="50F71D08"/>
    <w:rsid w:val="51032714"/>
    <w:rsid w:val="51201995"/>
    <w:rsid w:val="51255290"/>
    <w:rsid w:val="51475B9B"/>
    <w:rsid w:val="514A22F1"/>
    <w:rsid w:val="514F764A"/>
    <w:rsid w:val="515064CE"/>
    <w:rsid w:val="515446F4"/>
    <w:rsid w:val="515720E4"/>
    <w:rsid w:val="515C44D2"/>
    <w:rsid w:val="515F115A"/>
    <w:rsid w:val="51601B72"/>
    <w:rsid w:val="51607C8A"/>
    <w:rsid w:val="51627715"/>
    <w:rsid w:val="5173358C"/>
    <w:rsid w:val="518D4710"/>
    <w:rsid w:val="519E06BD"/>
    <w:rsid w:val="51A3028F"/>
    <w:rsid w:val="51A94649"/>
    <w:rsid w:val="51C67451"/>
    <w:rsid w:val="51D37172"/>
    <w:rsid w:val="51D5695D"/>
    <w:rsid w:val="51DD18D8"/>
    <w:rsid w:val="520A2059"/>
    <w:rsid w:val="52115C1C"/>
    <w:rsid w:val="52133673"/>
    <w:rsid w:val="52165C71"/>
    <w:rsid w:val="521E385D"/>
    <w:rsid w:val="522A6D57"/>
    <w:rsid w:val="522F077A"/>
    <w:rsid w:val="52344788"/>
    <w:rsid w:val="52362C70"/>
    <w:rsid w:val="523C05BE"/>
    <w:rsid w:val="52414F95"/>
    <w:rsid w:val="524B7A29"/>
    <w:rsid w:val="524E1C99"/>
    <w:rsid w:val="525316A2"/>
    <w:rsid w:val="525700F4"/>
    <w:rsid w:val="525A5EFE"/>
    <w:rsid w:val="526724C9"/>
    <w:rsid w:val="527E1DD7"/>
    <w:rsid w:val="527F727E"/>
    <w:rsid w:val="528F2045"/>
    <w:rsid w:val="529261A1"/>
    <w:rsid w:val="529B40A3"/>
    <w:rsid w:val="529C12EE"/>
    <w:rsid w:val="52AC20F1"/>
    <w:rsid w:val="52B34C0E"/>
    <w:rsid w:val="52BD4667"/>
    <w:rsid w:val="52C25C21"/>
    <w:rsid w:val="52C9432D"/>
    <w:rsid w:val="52CF13E4"/>
    <w:rsid w:val="52D16FF2"/>
    <w:rsid w:val="52DB5A3F"/>
    <w:rsid w:val="52DC25C7"/>
    <w:rsid w:val="52E609B1"/>
    <w:rsid w:val="52E75B46"/>
    <w:rsid w:val="52EE12B2"/>
    <w:rsid w:val="52FC255E"/>
    <w:rsid w:val="53003FA4"/>
    <w:rsid w:val="53222E14"/>
    <w:rsid w:val="53300FB6"/>
    <w:rsid w:val="533019DA"/>
    <w:rsid w:val="53475D3A"/>
    <w:rsid w:val="534C2B00"/>
    <w:rsid w:val="534E5033"/>
    <w:rsid w:val="53570E0C"/>
    <w:rsid w:val="53594D32"/>
    <w:rsid w:val="535B581C"/>
    <w:rsid w:val="536651BE"/>
    <w:rsid w:val="536E187B"/>
    <w:rsid w:val="53907B19"/>
    <w:rsid w:val="539408D1"/>
    <w:rsid w:val="53955A24"/>
    <w:rsid w:val="53A87967"/>
    <w:rsid w:val="53AF7520"/>
    <w:rsid w:val="53C55248"/>
    <w:rsid w:val="53C86D41"/>
    <w:rsid w:val="53D127E7"/>
    <w:rsid w:val="53DC7670"/>
    <w:rsid w:val="53F76048"/>
    <w:rsid w:val="54190A50"/>
    <w:rsid w:val="541A02FB"/>
    <w:rsid w:val="542102AD"/>
    <w:rsid w:val="54272184"/>
    <w:rsid w:val="542F444C"/>
    <w:rsid w:val="542F716A"/>
    <w:rsid w:val="543468DE"/>
    <w:rsid w:val="543B69DA"/>
    <w:rsid w:val="543C7CB2"/>
    <w:rsid w:val="544D2D5E"/>
    <w:rsid w:val="54576514"/>
    <w:rsid w:val="545A4A77"/>
    <w:rsid w:val="545F6B68"/>
    <w:rsid w:val="54703B76"/>
    <w:rsid w:val="54741273"/>
    <w:rsid w:val="54A95949"/>
    <w:rsid w:val="54A970B0"/>
    <w:rsid w:val="54B302D8"/>
    <w:rsid w:val="54B83597"/>
    <w:rsid w:val="54BB6C00"/>
    <w:rsid w:val="54C16897"/>
    <w:rsid w:val="54C621A0"/>
    <w:rsid w:val="54CB73AC"/>
    <w:rsid w:val="54CF1AAB"/>
    <w:rsid w:val="54ED448D"/>
    <w:rsid w:val="54F45690"/>
    <w:rsid w:val="54FB1595"/>
    <w:rsid w:val="55010C6B"/>
    <w:rsid w:val="55025A45"/>
    <w:rsid w:val="55037C62"/>
    <w:rsid w:val="55092FAD"/>
    <w:rsid w:val="55194651"/>
    <w:rsid w:val="55265C97"/>
    <w:rsid w:val="553C1A4F"/>
    <w:rsid w:val="55472ED3"/>
    <w:rsid w:val="55603AEE"/>
    <w:rsid w:val="556154BA"/>
    <w:rsid w:val="55647426"/>
    <w:rsid w:val="55795559"/>
    <w:rsid w:val="557F0BCA"/>
    <w:rsid w:val="55840E7F"/>
    <w:rsid w:val="559912AF"/>
    <w:rsid w:val="55AE6718"/>
    <w:rsid w:val="55B02EBA"/>
    <w:rsid w:val="55BF27AD"/>
    <w:rsid w:val="55F94F8E"/>
    <w:rsid w:val="560674C5"/>
    <w:rsid w:val="56110C10"/>
    <w:rsid w:val="561428C1"/>
    <w:rsid w:val="561901FA"/>
    <w:rsid w:val="562700DC"/>
    <w:rsid w:val="562C3CC5"/>
    <w:rsid w:val="56445472"/>
    <w:rsid w:val="56505EBE"/>
    <w:rsid w:val="56610AAE"/>
    <w:rsid w:val="566A2CA4"/>
    <w:rsid w:val="566F2473"/>
    <w:rsid w:val="56796C5B"/>
    <w:rsid w:val="567D6228"/>
    <w:rsid w:val="5683494A"/>
    <w:rsid w:val="5687026B"/>
    <w:rsid w:val="568E2E2E"/>
    <w:rsid w:val="569550F5"/>
    <w:rsid w:val="56955916"/>
    <w:rsid w:val="56A30F05"/>
    <w:rsid w:val="56AC0BC4"/>
    <w:rsid w:val="56AE6EA8"/>
    <w:rsid w:val="56B636D2"/>
    <w:rsid w:val="56BE4F90"/>
    <w:rsid w:val="56C312AF"/>
    <w:rsid w:val="56C37D0D"/>
    <w:rsid w:val="56DF626B"/>
    <w:rsid w:val="56FB3FF9"/>
    <w:rsid w:val="57114899"/>
    <w:rsid w:val="57145DB8"/>
    <w:rsid w:val="571725EE"/>
    <w:rsid w:val="571F4340"/>
    <w:rsid w:val="571F608F"/>
    <w:rsid w:val="57335496"/>
    <w:rsid w:val="57380C37"/>
    <w:rsid w:val="57405985"/>
    <w:rsid w:val="57460BD5"/>
    <w:rsid w:val="574717EA"/>
    <w:rsid w:val="574E13AD"/>
    <w:rsid w:val="574F41D0"/>
    <w:rsid w:val="575017D1"/>
    <w:rsid w:val="5750692A"/>
    <w:rsid w:val="57524C4F"/>
    <w:rsid w:val="57564336"/>
    <w:rsid w:val="575C5963"/>
    <w:rsid w:val="576D2432"/>
    <w:rsid w:val="5789573D"/>
    <w:rsid w:val="57981B34"/>
    <w:rsid w:val="579A4FB5"/>
    <w:rsid w:val="579B7EDC"/>
    <w:rsid w:val="57A13883"/>
    <w:rsid w:val="57A2525D"/>
    <w:rsid w:val="57A332CC"/>
    <w:rsid w:val="57B671D8"/>
    <w:rsid w:val="57C117BF"/>
    <w:rsid w:val="57DE76A3"/>
    <w:rsid w:val="57E74CF7"/>
    <w:rsid w:val="57F05E05"/>
    <w:rsid w:val="581329DA"/>
    <w:rsid w:val="581F0437"/>
    <w:rsid w:val="58230D38"/>
    <w:rsid w:val="5831536C"/>
    <w:rsid w:val="583634CB"/>
    <w:rsid w:val="583B5B3E"/>
    <w:rsid w:val="583B6401"/>
    <w:rsid w:val="584331DC"/>
    <w:rsid w:val="584C05F2"/>
    <w:rsid w:val="584C357C"/>
    <w:rsid w:val="586036A7"/>
    <w:rsid w:val="586263BA"/>
    <w:rsid w:val="586D0393"/>
    <w:rsid w:val="588318B8"/>
    <w:rsid w:val="588D1F54"/>
    <w:rsid w:val="589D1671"/>
    <w:rsid w:val="589D49D4"/>
    <w:rsid w:val="589D5EBC"/>
    <w:rsid w:val="58A45E46"/>
    <w:rsid w:val="58BD47BF"/>
    <w:rsid w:val="58C06677"/>
    <w:rsid w:val="58D10A3E"/>
    <w:rsid w:val="58D646B0"/>
    <w:rsid w:val="58E51DC4"/>
    <w:rsid w:val="58E911DC"/>
    <w:rsid w:val="58E93DFA"/>
    <w:rsid w:val="58F95410"/>
    <w:rsid w:val="590E7B63"/>
    <w:rsid w:val="5911704A"/>
    <w:rsid w:val="591C38DB"/>
    <w:rsid w:val="591E31B2"/>
    <w:rsid w:val="59406BBC"/>
    <w:rsid w:val="59434133"/>
    <w:rsid w:val="594E2803"/>
    <w:rsid w:val="597E1DFE"/>
    <w:rsid w:val="59AA1E54"/>
    <w:rsid w:val="59B86BB4"/>
    <w:rsid w:val="59C52172"/>
    <w:rsid w:val="59CB3D58"/>
    <w:rsid w:val="59D16AD2"/>
    <w:rsid w:val="59DD0BC9"/>
    <w:rsid w:val="59DE647C"/>
    <w:rsid w:val="59EC3697"/>
    <w:rsid w:val="59F04499"/>
    <w:rsid w:val="59F24F64"/>
    <w:rsid w:val="59F83A7F"/>
    <w:rsid w:val="5A063D38"/>
    <w:rsid w:val="5A0A5D9C"/>
    <w:rsid w:val="5A2B00AB"/>
    <w:rsid w:val="5A3C575A"/>
    <w:rsid w:val="5A517945"/>
    <w:rsid w:val="5A586C18"/>
    <w:rsid w:val="5A60354C"/>
    <w:rsid w:val="5A684474"/>
    <w:rsid w:val="5A792FCB"/>
    <w:rsid w:val="5A8B483A"/>
    <w:rsid w:val="5A952134"/>
    <w:rsid w:val="5A9B5668"/>
    <w:rsid w:val="5A9F0FA1"/>
    <w:rsid w:val="5AAD0BDB"/>
    <w:rsid w:val="5AB10E32"/>
    <w:rsid w:val="5AC44599"/>
    <w:rsid w:val="5AD106DB"/>
    <w:rsid w:val="5AE82945"/>
    <w:rsid w:val="5AE979C9"/>
    <w:rsid w:val="5AEC6396"/>
    <w:rsid w:val="5AF52CFC"/>
    <w:rsid w:val="5AFB1518"/>
    <w:rsid w:val="5B07328E"/>
    <w:rsid w:val="5B1E7F9D"/>
    <w:rsid w:val="5B275ACE"/>
    <w:rsid w:val="5B415EB8"/>
    <w:rsid w:val="5B4165B4"/>
    <w:rsid w:val="5B4A6723"/>
    <w:rsid w:val="5B4A6CEE"/>
    <w:rsid w:val="5B502172"/>
    <w:rsid w:val="5B521D58"/>
    <w:rsid w:val="5B5F159B"/>
    <w:rsid w:val="5B686702"/>
    <w:rsid w:val="5B7537C7"/>
    <w:rsid w:val="5BA624B1"/>
    <w:rsid w:val="5BB43D99"/>
    <w:rsid w:val="5BB94FA9"/>
    <w:rsid w:val="5BC37B5D"/>
    <w:rsid w:val="5BDF10EC"/>
    <w:rsid w:val="5BE10C60"/>
    <w:rsid w:val="5BE11AD0"/>
    <w:rsid w:val="5BEE533C"/>
    <w:rsid w:val="5BF838D1"/>
    <w:rsid w:val="5BFB6499"/>
    <w:rsid w:val="5C01491E"/>
    <w:rsid w:val="5C031C08"/>
    <w:rsid w:val="5C074819"/>
    <w:rsid w:val="5C0A5E6C"/>
    <w:rsid w:val="5C271679"/>
    <w:rsid w:val="5C277A24"/>
    <w:rsid w:val="5C293910"/>
    <w:rsid w:val="5C3071E6"/>
    <w:rsid w:val="5C3443FA"/>
    <w:rsid w:val="5C3B3BC5"/>
    <w:rsid w:val="5C406E6E"/>
    <w:rsid w:val="5C4142D4"/>
    <w:rsid w:val="5C480C8F"/>
    <w:rsid w:val="5C526139"/>
    <w:rsid w:val="5C5675E5"/>
    <w:rsid w:val="5C5A1297"/>
    <w:rsid w:val="5C5F5E7F"/>
    <w:rsid w:val="5C6712D1"/>
    <w:rsid w:val="5C6B6FF8"/>
    <w:rsid w:val="5C6E10FA"/>
    <w:rsid w:val="5C6F156E"/>
    <w:rsid w:val="5C7569AD"/>
    <w:rsid w:val="5CA447F5"/>
    <w:rsid w:val="5CBA205B"/>
    <w:rsid w:val="5CC271BC"/>
    <w:rsid w:val="5CCE26CC"/>
    <w:rsid w:val="5CD062DF"/>
    <w:rsid w:val="5CD27D37"/>
    <w:rsid w:val="5CD4779E"/>
    <w:rsid w:val="5CD677DA"/>
    <w:rsid w:val="5CDE27BC"/>
    <w:rsid w:val="5D121B47"/>
    <w:rsid w:val="5D137532"/>
    <w:rsid w:val="5D157C88"/>
    <w:rsid w:val="5D374EE4"/>
    <w:rsid w:val="5D392C4A"/>
    <w:rsid w:val="5D45621E"/>
    <w:rsid w:val="5D621109"/>
    <w:rsid w:val="5D700A32"/>
    <w:rsid w:val="5D842A1D"/>
    <w:rsid w:val="5DAD7FD7"/>
    <w:rsid w:val="5DDF4326"/>
    <w:rsid w:val="5DF31E43"/>
    <w:rsid w:val="5DFA35BB"/>
    <w:rsid w:val="5E017EA5"/>
    <w:rsid w:val="5E04757B"/>
    <w:rsid w:val="5E087B7C"/>
    <w:rsid w:val="5E0F7E5F"/>
    <w:rsid w:val="5E207E63"/>
    <w:rsid w:val="5E3C2C63"/>
    <w:rsid w:val="5E4B0A93"/>
    <w:rsid w:val="5E531E0C"/>
    <w:rsid w:val="5E6E7358"/>
    <w:rsid w:val="5E7720B0"/>
    <w:rsid w:val="5E7E1766"/>
    <w:rsid w:val="5E8064B4"/>
    <w:rsid w:val="5E83471D"/>
    <w:rsid w:val="5E927AEF"/>
    <w:rsid w:val="5EB07688"/>
    <w:rsid w:val="5EB41C06"/>
    <w:rsid w:val="5EC4031F"/>
    <w:rsid w:val="5EC6445F"/>
    <w:rsid w:val="5ED57114"/>
    <w:rsid w:val="5EDE1B90"/>
    <w:rsid w:val="5EEB5E61"/>
    <w:rsid w:val="5F122FDA"/>
    <w:rsid w:val="5F2141F8"/>
    <w:rsid w:val="5F2D765C"/>
    <w:rsid w:val="5F46047A"/>
    <w:rsid w:val="5F4A68D0"/>
    <w:rsid w:val="5F532846"/>
    <w:rsid w:val="5F573B6C"/>
    <w:rsid w:val="5F843E24"/>
    <w:rsid w:val="5F8F7341"/>
    <w:rsid w:val="5F9E1C57"/>
    <w:rsid w:val="5FA27D44"/>
    <w:rsid w:val="5FA9323E"/>
    <w:rsid w:val="5FAF7865"/>
    <w:rsid w:val="5FB5B2C3"/>
    <w:rsid w:val="5FB73F3B"/>
    <w:rsid w:val="5FD046CB"/>
    <w:rsid w:val="5FE73D0E"/>
    <w:rsid w:val="5FF3223B"/>
    <w:rsid w:val="60067040"/>
    <w:rsid w:val="6008140F"/>
    <w:rsid w:val="60086F0A"/>
    <w:rsid w:val="601B4A47"/>
    <w:rsid w:val="60217A1A"/>
    <w:rsid w:val="604270E5"/>
    <w:rsid w:val="604638E0"/>
    <w:rsid w:val="604D05E2"/>
    <w:rsid w:val="606D2AE2"/>
    <w:rsid w:val="606F2F21"/>
    <w:rsid w:val="60761A02"/>
    <w:rsid w:val="607704D1"/>
    <w:rsid w:val="609A3072"/>
    <w:rsid w:val="60A70051"/>
    <w:rsid w:val="60A80CA6"/>
    <w:rsid w:val="60B26B24"/>
    <w:rsid w:val="60B322B3"/>
    <w:rsid w:val="60BF1DF9"/>
    <w:rsid w:val="60CC028A"/>
    <w:rsid w:val="60D61DC8"/>
    <w:rsid w:val="60E520D8"/>
    <w:rsid w:val="60FA0837"/>
    <w:rsid w:val="60FA4B1B"/>
    <w:rsid w:val="61091E5D"/>
    <w:rsid w:val="611672AF"/>
    <w:rsid w:val="611F56E1"/>
    <w:rsid w:val="61243B88"/>
    <w:rsid w:val="61262BE9"/>
    <w:rsid w:val="61300D94"/>
    <w:rsid w:val="61353591"/>
    <w:rsid w:val="613A4D85"/>
    <w:rsid w:val="614400CA"/>
    <w:rsid w:val="6160227E"/>
    <w:rsid w:val="616F678F"/>
    <w:rsid w:val="61716B82"/>
    <w:rsid w:val="61832A34"/>
    <w:rsid w:val="61833B99"/>
    <w:rsid w:val="618C32E6"/>
    <w:rsid w:val="61A00B30"/>
    <w:rsid w:val="61AF4938"/>
    <w:rsid w:val="61B17E42"/>
    <w:rsid w:val="61B46457"/>
    <w:rsid w:val="61DA5641"/>
    <w:rsid w:val="62034E3F"/>
    <w:rsid w:val="6209072B"/>
    <w:rsid w:val="621078B3"/>
    <w:rsid w:val="621A2E5F"/>
    <w:rsid w:val="621E7193"/>
    <w:rsid w:val="6226668F"/>
    <w:rsid w:val="62267436"/>
    <w:rsid w:val="623624F2"/>
    <w:rsid w:val="624D57B3"/>
    <w:rsid w:val="62577A6A"/>
    <w:rsid w:val="6263296C"/>
    <w:rsid w:val="626F4CF9"/>
    <w:rsid w:val="62875AAB"/>
    <w:rsid w:val="62926E60"/>
    <w:rsid w:val="62A80877"/>
    <w:rsid w:val="62B75904"/>
    <w:rsid w:val="62BC0D55"/>
    <w:rsid w:val="62BC6E3C"/>
    <w:rsid w:val="62D358B5"/>
    <w:rsid w:val="62E0150F"/>
    <w:rsid w:val="62F526E7"/>
    <w:rsid w:val="62F63C6F"/>
    <w:rsid w:val="62FC20EC"/>
    <w:rsid w:val="63021233"/>
    <w:rsid w:val="63021BA9"/>
    <w:rsid w:val="630B7DA3"/>
    <w:rsid w:val="63121846"/>
    <w:rsid w:val="63396158"/>
    <w:rsid w:val="633C5B98"/>
    <w:rsid w:val="63430D2A"/>
    <w:rsid w:val="634807C2"/>
    <w:rsid w:val="63564EC8"/>
    <w:rsid w:val="635C4C57"/>
    <w:rsid w:val="63674CA4"/>
    <w:rsid w:val="637F5CBF"/>
    <w:rsid w:val="63862EBF"/>
    <w:rsid w:val="638A551D"/>
    <w:rsid w:val="63A47A53"/>
    <w:rsid w:val="63A54F06"/>
    <w:rsid w:val="63A6685E"/>
    <w:rsid w:val="63B16962"/>
    <w:rsid w:val="63BA2EDA"/>
    <w:rsid w:val="63BB7CF6"/>
    <w:rsid w:val="63CC601E"/>
    <w:rsid w:val="63D719DB"/>
    <w:rsid w:val="63F8494C"/>
    <w:rsid w:val="63FF6FFC"/>
    <w:rsid w:val="64001A81"/>
    <w:rsid w:val="6401697C"/>
    <w:rsid w:val="64026854"/>
    <w:rsid w:val="64470CBB"/>
    <w:rsid w:val="644857E1"/>
    <w:rsid w:val="644A226C"/>
    <w:rsid w:val="64525187"/>
    <w:rsid w:val="64554BC6"/>
    <w:rsid w:val="6462771D"/>
    <w:rsid w:val="64632BD2"/>
    <w:rsid w:val="646350C6"/>
    <w:rsid w:val="646E5103"/>
    <w:rsid w:val="647E4892"/>
    <w:rsid w:val="648F4603"/>
    <w:rsid w:val="64940BBC"/>
    <w:rsid w:val="649D6000"/>
    <w:rsid w:val="64A22D34"/>
    <w:rsid w:val="64B114DD"/>
    <w:rsid w:val="64B2181C"/>
    <w:rsid w:val="64B62C61"/>
    <w:rsid w:val="64BD6D1E"/>
    <w:rsid w:val="64C17881"/>
    <w:rsid w:val="64D8700C"/>
    <w:rsid w:val="64DA642E"/>
    <w:rsid w:val="64FB1BDE"/>
    <w:rsid w:val="65103F08"/>
    <w:rsid w:val="651A5F91"/>
    <w:rsid w:val="65270F40"/>
    <w:rsid w:val="6542681A"/>
    <w:rsid w:val="65516D9A"/>
    <w:rsid w:val="655231A6"/>
    <w:rsid w:val="6556509D"/>
    <w:rsid w:val="65680726"/>
    <w:rsid w:val="656D208E"/>
    <w:rsid w:val="65786C38"/>
    <w:rsid w:val="658159DC"/>
    <w:rsid w:val="65962484"/>
    <w:rsid w:val="65AE3DA1"/>
    <w:rsid w:val="65BA079C"/>
    <w:rsid w:val="65BD1335"/>
    <w:rsid w:val="65D44268"/>
    <w:rsid w:val="65DA4FFB"/>
    <w:rsid w:val="65DD63EF"/>
    <w:rsid w:val="65FA1534"/>
    <w:rsid w:val="65FA5D55"/>
    <w:rsid w:val="65FA7EAD"/>
    <w:rsid w:val="66020B60"/>
    <w:rsid w:val="660255FB"/>
    <w:rsid w:val="66123D10"/>
    <w:rsid w:val="664541E6"/>
    <w:rsid w:val="66474970"/>
    <w:rsid w:val="6648514C"/>
    <w:rsid w:val="66595919"/>
    <w:rsid w:val="666010EB"/>
    <w:rsid w:val="666D150C"/>
    <w:rsid w:val="66747232"/>
    <w:rsid w:val="667D15A4"/>
    <w:rsid w:val="66837765"/>
    <w:rsid w:val="66851FFF"/>
    <w:rsid w:val="66886107"/>
    <w:rsid w:val="668D1554"/>
    <w:rsid w:val="66A129BA"/>
    <w:rsid w:val="66A57836"/>
    <w:rsid w:val="66A90CF7"/>
    <w:rsid w:val="66A93610"/>
    <w:rsid w:val="66BB7BD8"/>
    <w:rsid w:val="66BC4E04"/>
    <w:rsid w:val="66D5590D"/>
    <w:rsid w:val="66D8711C"/>
    <w:rsid w:val="66DA1819"/>
    <w:rsid w:val="66DE6634"/>
    <w:rsid w:val="66EF1215"/>
    <w:rsid w:val="66F30D69"/>
    <w:rsid w:val="66FC72F7"/>
    <w:rsid w:val="67120309"/>
    <w:rsid w:val="67443AE9"/>
    <w:rsid w:val="67572F8F"/>
    <w:rsid w:val="6758179B"/>
    <w:rsid w:val="675E333F"/>
    <w:rsid w:val="676147C0"/>
    <w:rsid w:val="676200FD"/>
    <w:rsid w:val="67635896"/>
    <w:rsid w:val="6767608A"/>
    <w:rsid w:val="676C35DB"/>
    <w:rsid w:val="6775322B"/>
    <w:rsid w:val="6782144D"/>
    <w:rsid w:val="67893596"/>
    <w:rsid w:val="678A1E5D"/>
    <w:rsid w:val="679752AE"/>
    <w:rsid w:val="679B20FE"/>
    <w:rsid w:val="67B50F3A"/>
    <w:rsid w:val="67CF0D73"/>
    <w:rsid w:val="67D5557E"/>
    <w:rsid w:val="67E0047E"/>
    <w:rsid w:val="67F0558C"/>
    <w:rsid w:val="67F233E1"/>
    <w:rsid w:val="68063EAF"/>
    <w:rsid w:val="680A3786"/>
    <w:rsid w:val="6811019B"/>
    <w:rsid w:val="68142795"/>
    <w:rsid w:val="681905F8"/>
    <w:rsid w:val="681C1AF7"/>
    <w:rsid w:val="68296DF9"/>
    <w:rsid w:val="68374D1F"/>
    <w:rsid w:val="683D48DA"/>
    <w:rsid w:val="684F4B81"/>
    <w:rsid w:val="685131EE"/>
    <w:rsid w:val="68523329"/>
    <w:rsid w:val="68571975"/>
    <w:rsid w:val="68611261"/>
    <w:rsid w:val="686A5EB8"/>
    <w:rsid w:val="686C612B"/>
    <w:rsid w:val="686E0827"/>
    <w:rsid w:val="68790585"/>
    <w:rsid w:val="68830836"/>
    <w:rsid w:val="688F672B"/>
    <w:rsid w:val="689717A8"/>
    <w:rsid w:val="68A17AAF"/>
    <w:rsid w:val="68A3083D"/>
    <w:rsid w:val="68B027B4"/>
    <w:rsid w:val="68B42494"/>
    <w:rsid w:val="68B47758"/>
    <w:rsid w:val="68C01E97"/>
    <w:rsid w:val="68D14BD9"/>
    <w:rsid w:val="68DB11A2"/>
    <w:rsid w:val="68E05863"/>
    <w:rsid w:val="68EF06A2"/>
    <w:rsid w:val="68FD2095"/>
    <w:rsid w:val="69030B1E"/>
    <w:rsid w:val="69085C0C"/>
    <w:rsid w:val="690A6405"/>
    <w:rsid w:val="691954F3"/>
    <w:rsid w:val="6920283B"/>
    <w:rsid w:val="693B41FE"/>
    <w:rsid w:val="693B4D7F"/>
    <w:rsid w:val="693B7CF0"/>
    <w:rsid w:val="6941314D"/>
    <w:rsid w:val="69502846"/>
    <w:rsid w:val="69662AFA"/>
    <w:rsid w:val="696A29B9"/>
    <w:rsid w:val="69770527"/>
    <w:rsid w:val="698222FD"/>
    <w:rsid w:val="698F0E57"/>
    <w:rsid w:val="699C65A5"/>
    <w:rsid w:val="69B1765F"/>
    <w:rsid w:val="69BE2A63"/>
    <w:rsid w:val="69CB3BD3"/>
    <w:rsid w:val="69CD1726"/>
    <w:rsid w:val="69E61C24"/>
    <w:rsid w:val="69ED5C25"/>
    <w:rsid w:val="6A0328F5"/>
    <w:rsid w:val="6A1D3560"/>
    <w:rsid w:val="6A282952"/>
    <w:rsid w:val="6A2E0B47"/>
    <w:rsid w:val="6A3029B8"/>
    <w:rsid w:val="6A35394F"/>
    <w:rsid w:val="6A4C4802"/>
    <w:rsid w:val="6A5779AC"/>
    <w:rsid w:val="6A581090"/>
    <w:rsid w:val="6A5D314A"/>
    <w:rsid w:val="6A6547B0"/>
    <w:rsid w:val="6A6C42F6"/>
    <w:rsid w:val="6A7513A2"/>
    <w:rsid w:val="6A8C267C"/>
    <w:rsid w:val="6A9F79B3"/>
    <w:rsid w:val="6AA84B5B"/>
    <w:rsid w:val="6AAB3624"/>
    <w:rsid w:val="6AC75641"/>
    <w:rsid w:val="6AC95F89"/>
    <w:rsid w:val="6AE01BEC"/>
    <w:rsid w:val="6AE22AC5"/>
    <w:rsid w:val="6AE2604B"/>
    <w:rsid w:val="6AE44653"/>
    <w:rsid w:val="6AF05185"/>
    <w:rsid w:val="6AF129B2"/>
    <w:rsid w:val="6B026E73"/>
    <w:rsid w:val="6B0B2385"/>
    <w:rsid w:val="6B1430EB"/>
    <w:rsid w:val="6B2040B3"/>
    <w:rsid w:val="6B3C7067"/>
    <w:rsid w:val="6B453FFA"/>
    <w:rsid w:val="6B4E07E9"/>
    <w:rsid w:val="6B652E01"/>
    <w:rsid w:val="6B724231"/>
    <w:rsid w:val="6B74202F"/>
    <w:rsid w:val="6B7840F8"/>
    <w:rsid w:val="6B7F724A"/>
    <w:rsid w:val="6B81450D"/>
    <w:rsid w:val="6B8232A4"/>
    <w:rsid w:val="6B8F6A97"/>
    <w:rsid w:val="6B933CF8"/>
    <w:rsid w:val="6B9568EC"/>
    <w:rsid w:val="6BA547BD"/>
    <w:rsid w:val="6BB25434"/>
    <w:rsid w:val="6BCA3B7F"/>
    <w:rsid w:val="6BCB1C20"/>
    <w:rsid w:val="6BD15092"/>
    <w:rsid w:val="6BDD6E03"/>
    <w:rsid w:val="6BE45057"/>
    <w:rsid w:val="6C056342"/>
    <w:rsid w:val="6C1F12F7"/>
    <w:rsid w:val="6C1F2656"/>
    <w:rsid w:val="6C1F356F"/>
    <w:rsid w:val="6C217B7A"/>
    <w:rsid w:val="6C2366CF"/>
    <w:rsid w:val="6C285F16"/>
    <w:rsid w:val="6C2B087F"/>
    <w:rsid w:val="6C325AE6"/>
    <w:rsid w:val="6C3548F7"/>
    <w:rsid w:val="6C48010D"/>
    <w:rsid w:val="6C53341F"/>
    <w:rsid w:val="6C671106"/>
    <w:rsid w:val="6C734546"/>
    <w:rsid w:val="6C855037"/>
    <w:rsid w:val="6CA47A7F"/>
    <w:rsid w:val="6CAF6F5E"/>
    <w:rsid w:val="6CB218AD"/>
    <w:rsid w:val="6CB60E58"/>
    <w:rsid w:val="6CB90ABC"/>
    <w:rsid w:val="6CBF08C6"/>
    <w:rsid w:val="6CCC1D14"/>
    <w:rsid w:val="6CE071E6"/>
    <w:rsid w:val="6CE1750C"/>
    <w:rsid w:val="6CED4B8F"/>
    <w:rsid w:val="6CF50CAC"/>
    <w:rsid w:val="6CF873D0"/>
    <w:rsid w:val="6CF9507D"/>
    <w:rsid w:val="6CFE6031"/>
    <w:rsid w:val="6D013069"/>
    <w:rsid w:val="6D09637F"/>
    <w:rsid w:val="6D0A4253"/>
    <w:rsid w:val="6D2B42EF"/>
    <w:rsid w:val="6D406DDC"/>
    <w:rsid w:val="6D5E3A64"/>
    <w:rsid w:val="6D5F1476"/>
    <w:rsid w:val="6D6131F6"/>
    <w:rsid w:val="6D6362FF"/>
    <w:rsid w:val="6D684518"/>
    <w:rsid w:val="6D714064"/>
    <w:rsid w:val="6D74547B"/>
    <w:rsid w:val="6DAA1953"/>
    <w:rsid w:val="6DBA383E"/>
    <w:rsid w:val="6DBC5D91"/>
    <w:rsid w:val="6DBF4F8D"/>
    <w:rsid w:val="6DC40F6C"/>
    <w:rsid w:val="6DC83CD1"/>
    <w:rsid w:val="6DF4133C"/>
    <w:rsid w:val="6DF757D9"/>
    <w:rsid w:val="6E046D6A"/>
    <w:rsid w:val="6E0A4EE7"/>
    <w:rsid w:val="6E1D77C2"/>
    <w:rsid w:val="6E2D6A2F"/>
    <w:rsid w:val="6E3020D9"/>
    <w:rsid w:val="6E475170"/>
    <w:rsid w:val="6E4B7BC4"/>
    <w:rsid w:val="6E680F30"/>
    <w:rsid w:val="6E7361E8"/>
    <w:rsid w:val="6E7605DC"/>
    <w:rsid w:val="6E7C0A18"/>
    <w:rsid w:val="6E816EBD"/>
    <w:rsid w:val="6E892BF0"/>
    <w:rsid w:val="6E922738"/>
    <w:rsid w:val="6EA92903"/>
    <w:rsid w:val="6EDD12F1"/>
    <w:rsid w:val="6EE175F6"/>
    <w:rsid w:val="6EF241C6"/>
    <w:rsid w:val="6EF92B17"/>
    <w:rsid w:val="6F0519CE"/>
    <w:rsid w:val="6F0A3059"/>
    <w:rsid w:val="6F1837DD"/>
    <w:rsid w:val="6F282B2F"/>
    <w:rsid w:val="6F286EFB"/>
    <w:rsid w:val="6F2E559A"/>
    <w:rsid w:val="6F3732CE"/>
    <w:rsid w:val="6F4266DF"/>
    <w:rsid w:val="6F602771"/>
    <w:rsid w:val="6F657ADB"/>
    <w:rsid w:val="6F881695"/>
    <w:rsid w:val="6F8C16B9"/>
    <w:rsid w:val="6F8F73A6"/>
    <w:rsid w:val="6FA70AB9"/>
    <w:rsid w:val="6FAC2382"/>
    <w:rsid w:val="6FC13DD2"/>
    <w:rsid w:val="6FE83720"/>
    <w:rsid w:val="6FF82C9C"/>
    <w:rsid w:val="6FFD2BE7"/>
    <w:rsid w:val="70006A1E"/>
    <w:rsid w:val="70014F35"/>
    <w:rsid w:val="70076EA8"/>
    <w:rsid w:val="70354513"/>
    <w:rsid w:val="703B317D"/>
    <w:rsid w:val="70405B55"/>
    <w:rsid w:val="70421B68"/>
    <w:rsid w:val="70486DDE"/>
    <w:rsid w:val="705E118D"/>
    <w:rsid w:val="706A0FD7"/>
    <w:rsid w:val="70762356"/>
    <w:rsid w:val="70827379"/>
    <w:rsid w:val="7083445E"/>
    <w:rsid w:val="708F5CC6"/>
    <w:rsid w:val="709426C9"/>
    <w:rsid w:val="70A94695"/>
    <w:rsid w:val="70AE1665"/>
    <w:rsid w:val="70F57258"/>
    <w:rsid w:val="70F629B6"/>
    <w:rsid w:val="710D3A95"/>
    <w:rsid w:val="712636B9"/>
    <w:rsid w:val="71291BDB"/>
    <w:rsid w:val="712949F3"/>
    <w:rsid w:val="71295015"/>
    <w:rsid w:val="7132584C"/>
    <w:rsid w:val="71405C9D"/>
    <w:rsid w:val="716A0E09"/>
    <w:rsid w:val="717E1D7F"/>
    <w:rsid w:val="71861D20"/>
    <w:rsid w:val="7186437F"/>
    <w:rsid w:val="719B36AD"/>
    <w:rsid w:val="71A45894"/>
    <w:rsid w:val="71B13CC6"/>
    <w:rsid w:val="71BA0287"/>
    <w:rsid w:val="71DE1D77"/>
    <w:rsid w:val="71E96735"/>
    <w:rsid w:val="71EE2413"/>
    <w:rsid w:val="720106D5"/>
    <w:rsid w:val="720C5AA8"/>
    <w:rsid w:val="721463E4"/>
    <w:rsid w:val="721F0BC0"/>
    <w:rsid w:val="72356EEA"/>
    <w:rsid w:val="723E1C92"/>
    <w:rsid w:val="72493B52"/>
    <w:rsid w:val="72587BBA"/>
    <w:rsid w:val="726A35DE"/>
    <w:rsid w:val="726C29D6"/>
    <w:rsid w:val="728021FD"/>
    <w:rsid w:val="72812BB6"/>
    <w:rsid w:val="7282257C"/>
    <w:rsid w:val="7293225F"/>
    <w:rsid w:val="729525F7"/>
    <w:rsid w:val="72992DCB"/>
    <w:rsid w:val="72997C1F"/>
    <w:rsid w:val="72A44CE0"/>
    <w:rsid w:val="72B1600D"/>
    <w:rsid w:val="72B51F43"/>
    <w:rsid w:val="72B67A89"/>
    <w:rsid w:val="72BD7A32"/>
    <w:rsid w:val="72BE0926"/>
    <w:rsid w:val="72C00449"/>
    <w:rsid w:val="72C405CA"/>
    <w:rsid w:val="72C928AF"/>
    <w:rsid w:val="72E10B87"/>
    <w:rsid w:val="72E17BC5"/>
    <w:rsid w:val="72F924D7"/>
    <w:rsid w:val="72FF7DFC"/>
    <w:rsid w:val="730A4D01"/>
    <w:rsid w:val="731A788A"/>
    <w:rsid w:val="731C7BCD"/>
    <w:rsid w:val="731D44F3"/>
    <w:rsid w:val="731D49AA"/>
    <w:rsid w:val="731E1436"/>
    <w:rsid w:val="7320715C"/>
    <w:rsid w:val="732E26DE"/>
    <w:rsid w:val="7332362C"/>
    <w:rsid w:val="733A4081"/>
    <w:rsid w:val="734A21EE"/>
    <w:rsid w:val="73513CCA"/>
    <w:rsid w:val="736A2E27"/>
    <w:rsid w:val="739C132B"/>
    <w:rsid w:val="739E3DD5"/>
    <w:rsid w:val="73AA4C42"/>
    <w:rsid w:val="73B60A10"/>
    <w:rsid w:val="73BF628B"/>
    <w:rsid w:val="73C05B2F"/>
    <w:rsid w:val="73CC5B9E"/>
    <w:rsid w:val="73DE05EE"/>
    <w:rsid w:val="73EA297C"/>
    <w:rsid w:val="73EF0660"/>
    <w:rsid w:val="73F21CD6"/>
    <w:rsid w:val="74011DAF"/>
    <w:rsid w:val="741369EC"/>
    <w:rsid w:val="741761A6"/>
    <w:rsid w:val="741B10F0"/>
    <w:rsid w:val="741B479F"/>
    <w:rsid w:val="7423349B"/>
    <w:rsid w:val="74251284"/>
    <w:rsid w:val="74393EA2"/>
    <w:rsid w:val="745D2251"/>
    <w:rsid w:val="74661EF8"/>
    <w:rsid w:val="74795BDB"/>
    <w:rsid w:val="747A3B5C"/>
    <w:rsid w:val="74941B1E"/>
    <w:rsid w:val="74965505"/>
    <w:rsid w:val="74A369C6"/>
    <w:rsid w:val="74AE3348"/>
    <w:rsid w:val="74BF6576"/>
    <w:rsid w:val="74D75E35"/>
    <w:rsid w:val="74E5179E"/>
    <w:rsid w:val="74E56480"/>
    <w:rsid w:val="74EB7080"/>
    <w:rsid w:val="7501337F"/>
    <w:rsid w:val="750C4206"/>
    <w:rsid w:val="75130B97"/>
    <w:rsid w:val="751B6AA8"/>
    <w:rsid w:val="75202B2C"/>
    <w:rsid w:val="75354371"/>
    <w:rsid w:val="753559BF"/>
    <w:rsid w:val="754247CE"/>
    <w:rsid w:val="754801F8"/>
    <w:rsid w:val="755C4BC4"/>
    <w:rsid w:val="755C7D32"/>
    <w:rsid w:val="75660855"/>
    <w:rsid w:val="756625A9"/>
    <w:rsid w:val="75687183"/>
    <w:rsid w:val="756E4E38"/>
    <w:rsid w:val="757F5E29"/>
    <w:rsid w:val="75A4572F"/>
    <w:rsid w:val="75A97B92"/>
    <w:rsid w:val="75BA354D"/>
    <w:rsid w:val="75BD6556"/>
    <w:rsid w:val="75BE2C13"/>
    <w:rsid w:val="75C867D8"/>
    <w:rsid w:val="75CC1F36"/>
    <w:rsid w:val="75E35A02"/>
    <w:rsid w:val="760756D8"/>
    <w:rsid w:val="763E0E8A"/>
    <w:rsid w:val="764D5853"/>
    <w:rsid w:val="765274F1"/>
    <w:rsid w:val="765D0BA3"/>
    <w:rsid w:val="76663442"/>
    <w:rsid w:val="76672689"/>
    <w:rsid w:val="766A483D"/>
    <w:rsid w:val="766F54E7"/>
    <w:rsid w:val="76715FC4"/>
    <w:rsid w:val="767D2360"/>
    <w:rsid w:val="768F2D84"/>
    <w:rsid w:val="769250DD"/>
    <w:rsid w:val="7699612B"/>
    <w:rsid w:val="76A80580"/>
    <w:rsid w:val="76AD7DBE"/>
    <w:rsid w:val="76B36E87"/>
    <w:rsid w:val="76B65EF5"/>
    <w:rsid w:val="76BF19C6"/>
    <w:rsid w:val="76C124D2"/>
    <w:rsid w:val="76C86371"/>
    <w:rsid w:val="76D80722"/>
    <w:rsid w:val="76DB6788"/>
    <w:rsid w:val="76F70599"/>
    <w:rsid w:val="76FF643E"/>
    <w:rsid w:val="771732C7"/>
    <w:rsid w:val="771B0987"/>
    <w:rsid w:val="772A380A"/>
    <w:rsid w:val="772B6736"/>
    <w:rsid w:val="7744382A"/>
    <w:rsid w:val="775771A0"/>
    <w:rsid w:val="775B2B18"/>
    <w:rsid w:val="775D6AA2"/>
    <w:rsid w:val="77601172"/>
    <w:rsid w:val="777A7832"/>
    <w:rsid w:val="77970C2C"/>
    <w:rsid w:val="779F63A2"/>
    <w:rsid w:val="77AA6FC1"/>
    <w:rsid w:val="77BF46A4"/>
    <w:rsid w:val="77C11E85"/>
    <w:rsid w:val="77E80025"/>
    <w:rsid w:val="77E83A9B"/>
    <w:rsid w:val="77F92DC6"/>
    <w:rsid w:val="780947F4"/>
    <w:rsid w:val="780B7492"/>
    <w:rsid w:val="780E5553"/>
    <w:rsid w:val="780F6F82"/>
    <w:rsid w:val="78284AA1"/>
    <w:rsid w:val="78342BFE"/>
    <w:rsid w:val="78381BDF"/>
    <w:rsid w:val="783F561E"/>
    <w:rsid w:val="784D6313"/>
    <w:rsid w:val="78627D0B"/>
    <w:rsid w:val="7865065D"/>
    <w:rsid w:val="786B0414"/>
    <w:rsid w:val="78732237"/>
    <w:rsid w:val="78764892"/>
    <w:rsid w:val="787A3C88"/>
    <w:rsid w:val="78830E7E"/>
    <w:rsid w:val="78930909"/>
    <w:rsid w:val="78935C12"/>
    <w:rsid w:val="78980533"/>
    <w:rsid w:val="78B01E75"/>
    <w:rsid w:val="78B269B8"/>
    <w:rsid w:val="78BE05D7"/>
    <w:rsid w:val="78D0025B"/>
    <w:rsid w:val="78D5711D"/>
    <w:rsid w:val="78E421BD"/>
    <w:rsid w:val="78F71E76"/>
    <w:rsid w:val="791D12D7"/>
    <w:rsid w:val="792339A0"/>
    <w:rsid w:val="79242220"/>
    <w:rsid w:val="79336CA0"/>
    <w:rsid w:val="793E5AB3"/>
    <w:rsid w:val="794530C2"/>
    <w:rsid w:val="79592F24"/>
    <w:rsid w:val="79725D75"/>
    <w:rsid w:val="797711F5"/>
    <w:rsid w:val="799678E9"/>
    <w:rsid w:val="79AC3ABC"/>
    <w:rsid w:val="79B23EA0"/>
    <w:rsid w:val="79BC1E65"/>
    <w:rsid w:val="79BC691E"/>
    <w:rsid w:val="79CA04AE"/>
    <w:rsid w:val="79CB4015"/>
    <w:rsid w:val="79E107F2"/>
    <w:rsid w:val="79E223FA"/>
    <w:rsid w:val="79EA7D45"/>
    <w:rsid w:val="79EC2752"/>
    <w:rsid w:val="79F129E0"/>
    <w:rsid w:val="79FB205B"/>
    <w:rsid w:val="7A0278A5"/>
    <w:rsid w:val="7A3000FF"/>
    <w:rsid w:val="7A543209"/>
    <w:rsid w:val="7A573A78"/>
    <w:rsid w:val="7A606E61"/>
    <w:rsid w:val="7A67066B"/>
    <w:rsid w:val="7A75630B"/>
    <w:rsid w:val="7A820CB5"/>
    <w:rsid w:val="7A847E30"/>
    <w:rsid w:val="7A866B97"/>
    <w:rsid w:val="7A97371C"/>
    <w:rsid w:val="7AA0686D"/>
    <w:rsid w:val="7AA42764"/>
    <w:rsid w:val="7AAF1B0B"/>
    <w:rsid w:val="7AB3181F"/>
    <w:rsid w:val="7ACA6FE9"/>
    <w:rsid w:val="7AD3138B"/>
    <w:rsid w:val="7AEB6EE8"/>
    <w:rsid w:val="7AEE57BB"/>
    <w:rsid w:val="7AEF76CB"/>
    <w:rsid w:val="7AF8248C"/>
    <w:rsid w:val="7AFD55AE"/>
    <w:rsid w:val="7AFE32DE"/>
    <w:rsid w:val="7B056A7F"/>
    <w:rsid w:val="7B082DB3"/>
    <w:rsid w:val="7B1435E3"/>
    <w:rsid w:val="7B1F5234"/>
    <w:rsid w:val="7B234DF6"/>
    <w:rsid w:val="7B2429F8"/>
    <w:rsid w:val="7B265958"/>
    <w:rsid w:val="7B3E5BD9"/>
    <w:rsid w:val="7B411828"/>
    <w:rsid w:val="7B4229E6"/>
    <w:rsid w:val="7B460053"/>
    <w:rsid w:val="7B544DC6"/>
    <w:rsid w:val="7B5810C9"/>
    <w:rsid w:val="7B5826D3"/>
    <w:rsid w:val="7B5A4A42"/>
    <w:rsid w:val="7B616B01"/>
    <w:rsid w:val="7B681541"/>
    <w:rsid w:val="7BA44318"/>
    <w:rsid w:val="7BAB66C5"/>
    <w:rsid w:val="7BAE2D8D"/>
    <w:rsid w:val="7BBE70D0"/>
    <w:rsid w:val="7BD44EE3"/>
    <w:rsid w:val="7BDE7643"/>
    <w:rsid w:val="7BE45866"/>
    <w:rsid w:val="7BEE023D"/>
    <w:rsid w:val="7BF40907"/>
    <w:rsid w:val="7C2036C5"/>
    <w:rsid w:val="7C21033A"/>
    <w:rsid w:val="7C291376"/>
    <w:rsid w:val="7C3932D8"/>
    <w:rsid w:val="7C5062E6"/>
    <w:rsid w:val="7C5D1D0E"/>
    <w:rsid w:val="7C5E7893"/>
    <w:rsid w:val="7C636CC4"/>
    <w:rsid w:val="7C76130F"/>
    <w:rsid w:val="7C777448"/>
    <w:rsid w:val="7C82417D"/>
    <w:rsid w:val="7C8F12C6"/>
    <w:rsid w:val="7C904C17"/>
    <w:rsid w:val="7C9415C8"/>
    <w:rsid w:val="7C992D45"/>
    <w:rsid w:val="7C993C6F"/>
    <w:rsid w:val="7CA55987"/>
    <w:rsid w:val="7CE83102"/>
    <w:rsid w:val="7CEF535B"/>
    <w:rsid w:val="7CFB23A0"/>
    <w:rsid w:val="7D1D7B5D"/>
    <w:rsid w:val="7D28172F"/>
    <w:rsid w:val="7D412929"/>
    <w:rsid w:val="7D6A441D"/>
    <w:rsid w:val="7D6C5851"/>
    <w:rsid w:val="7D742B7F"/>
    <w:rsid w:val="7D79512E"/>
    <w:rsid w:val="7D7C2291"/>
    <w:rsid w:val="7D882D00"/>
    <w:rsid w:val="7D8C48C4"/>
    <w:rsid w:val="7D900D66"/>
    <w:rsid w:val="7D973F94"/>
    <w:rsid w:val="7D9D2594"/>
    <w:rsid w:val="7DA02D82"/>
    <w:rsid w:val="7DA64309"/>
    <w:rsid w:val="7DB01E1E"/>
    <w:rsid w:val="7DC57AA2"/>
    <w:rsid w:val="7DD36B30"/>
    <w:rsid w:val="7DD65438"/>
    <w:rsid w:val="7DD84B42"/>
    <w:rsid w:val="7DE0472A"/>
    <w:rsid w:val="7DE41C45"/>
    <w:rsid w:val="7DF749B1"/>
    <w:rsid w:val="7DFB3292"/>
    <w:rsid w:val="7E0F6B7C"/>
    <w:rsid w:val="7E1741FF"/>
    <w:rsid w:val="7E183080"/>
    <w:rsid w:val="7E1B168A"/>
    <w:rsid w:val="7E2A696C"/>
    <w:rsid w:val="7E2F1CBD"/>
    <w:rsid w:val="7E336A9D"/>
    <w:rsid w:val="7E353631"/>
    <w:rsid w:val="7E405738"/>
    <w:rsid w:val="7E451FB6"/>
    <w:rsid w:val="7E510CBD"/>
    <w:rsid w:val="7E5155FB"/>
    <w:rsid w:val="7E582E84"/>
    <w:rsid w:val="7E5E609E"/>
    <w:rsid w:val="7E5F5FE3"/>
    <w:rsid w:val="7E6D347C"/>
    <w:rsid w:val="7E7354F5"/>
    <w:rsid w:val="7E854637"/>
    <w:rsid w:val="7E943510"/>
    <w:rsid w:val="7E986A37"/>
    <w:rsid w:val="7EA163CB"/>
    <w:rsid w:val="7EA87DAF"/>
    <w:rsid w:val="7EBF07DD"/>
    <w:rsid w:val="7ED927A8"/>
    <w:rsid w:val="7EEDB6B1"/>
    <w:rsid w:val="7EEE0B50"/>
    <w:rsid w:val="7EEF3B62"/>
    <w:rsid w:val="7EF31942"/>
    <w:rsid w:val="7EF3529E"/>
    <w:rsid w:val="7EF555B2"/>
    <w:rsid w:val="7EFB4FD9"/>
    <w:rsid w:val="7EFC61FB"/>
    <w:rsid w:val="7EFD02AE"/>
    <w:rsid w:val="7EFD2A44"/>
    <w:rsid w:val="7F011AFE"/>
    <w:rsid w:val="7F0C3BD0"/>
    <w:rsid w:val="7F116D1B"/>
    <w:rsid w:val="7F214795"/>
    <w:rsid w:val="7F303107"/>
    <w:rsid w:val="7F33157B"/>
    <w:rsid w:val="7F3A575B"/>
    <w:rsid w:val="7F4E4945"/>
    <w:rsid w:val="7F593BCF"/>
    <w:rsid w:val="7F6F502C"/>
    <w:rsid w:val="7F716CF7"/>
    <w:rsid w:val="7F727385"/>
    <w:rsid w:val="7F7C2FEC"/>
    <w:rsid w:val="7F9B243B"/>
    <w:rsid w:val="7F9B46CA"/>
    <w:rsid w:val="7F9E3BC6"/>
    <w:rsid w:val="7FB468A0"/>
    <w:rsid w:val="7FB52032"/>
    <w:rsid w:val="7FBC103A"/>
    <w:rsid w:val="7FD259CF"/>
    <w:rsid w:val="7FE20B4D"/>
    <w:rsid w:val="7FEE05B1"/>
    <w:rsid w:val="7FF20382"/>
    <w:rsid w:val="B77F19D3"/>
    <w:rsid w:val="DF6E69CF"/>
    <w:rsid w:val="ED7C43D2"/>
    <w:rsid w:val="F7EB0086"/>
    <w:rsid w:val="FD5FC4D6"/>
    <w:rsid w:val="FFE7245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3"/>
    <w:link w:val="54"/>
    <w:qFormat/>
    <w:uiPriority w:val="9"/>
    <w:pPr>
      <w:keepNext/>
      <w:jc w:val="center"/>
      <w:outlineLvl w:val="0"/>
    </w:pPr>
    <w:rPr>
      <w:rFonts w:ascii="楷体_GB2312" w:hAnsi="楷体_GB2312"/>
      <w:b/>
      <w:sz w:val="32"/>
      <w:szCs w:val="32"/>
    </w:rPr>
  </w:style>
  <w:style w:type="paragraph" w:styleId="4">
    <w:name w:val="heading 2"/>
    <w:basedOn w:val="1"/>
    <w:link w:val="88"/>
    <w:qFormat/>
    <w:uiPriority w:val="0"/>
    <w:pPr>
      <w:keepNext/>
      <w:keepLines/>
      <w:spacing w:before="200" w:after="200" w:line="480" w:lineRule="auto"/>
      <w:jc w:val="left"/>
      <w:outlineLvl w:val="1"/>
    </w:pPr>
    <w:rPr>
      <w:rFonts w:ascii="Arial" w:hAnsi="Arial" w:cs="Arial"/>
      <w:b/>
      <w:bCs/>
      <w:sz w:val="30"/>
      <w:szCs w:val="30"/>
    </w:rPr>
  </w:style>
  <w:style w:type="paragraph" w:styleId="5">
    <w:name w:val="heading 3"/>
    <w:basedOn w:val="1"/>
    <w:next w:val="3"/>
    <w:link w:val="83"/>
    <w:qFormat/>
    <w:uiPriority w:val="0"/>
    <w:pPr>
      <w:keepNext/>
      <w:keepLines/>
      <w:spacing w:before="200" w:after="100" w:line="480" w:lineRule="auto"/>
      <w:jc w:val="left"/>
      <w:outlineLvl w:val="2"/>
    </w:pPr>
    <w:rPr>
      <w:b/>
      <w:bCs/>
      <w:sz w:val="28"/>
      <w:szCs w:val="32"/>
    </w:rPr>
  </w:style>
  <w:style w:type="paragraph" w:styleId="6">
    <w:name w:val="heading 4"/>
    <w:basedOn w:val="1"/>
    <w:next w:val="1"/>
    <w:link w:val="55"/>
    <w:qFormat/>
    <w:uiPriority w:val="0"/>
    <w:pPr>
      <w:keepNext/>
      <w:keepLines/>
      <w:ind w:firstLine="420" w:firstLineChars="150"/>
      <w:outlineLvl w:val="3"/>
    </w:pPr>
    <w:rPr>
      <w:rFonts w:ascii="Arial" w:hAnsi="Arial" w:cs="Arial"/>
      <w:b/>
      <w:sz w:val="28"/>
      <w:szCs w:val="28"/>
    </w:rPr>
  </w:style>
  <w:style w:type="paragraph" w:styleId="7">
    <w:name w:val="heading 5"/>
    <w:basedOn w:val="1"/>
    <w:next w:val="3"/>
    <w:link w:val="93"/>
    <w:qFormat/>
    <w:uiPriority w:val="0"/>
    <w:pPr>
      <w:keepNext/>
      <w:autoSpaceDE w:val="0"/>
      <w:autoSpaceDN w:val="0"/>
      <w:adjustRightInd w:val="0"/>
      <w:outlineLvl w:val="4"/>
    </w:pPr>
    <w:rPr>
      <w:rFonts w:ascii="宋体"/>
      <w:color w:val="000000"/>
      <w:kern w:val="0"/>
      <w:sz w:val="28"/>
      <w:szCs w:val="28"/>
    </w:rPr>
  </w:style>
  <w:style w:type="paragraph" w:styleId="8">
    <w:name w:val="heading 6"/>
    <w:basedOn w:val="1"/>
    <w:next w:val="1"/>
    <w:link w:val="84"/>
    <w:qFormat/>
    <w:uiPriority w:val="0"/>
    <w:pPr>
      <w:keepNext/>
      <w:keepLines/>
      <w:numPr>
        <w:ilvl w:val="5"/>
        <w:numId w:val="1"/>
      </w:numPr>
      <w:spacing w:before="240" w:after="64" w:line="320" w:lineRule="auto"/>
      <w:outlineLvl w:val="5"/>
    </w:pPr>
    <w:rPr>
      <w:rFonts w:ascii="Arial" w:hAnsi="Arial" w:eastAsia="黑体"/>
      <w:b/>
      <w:bCs/>
      <w:sz w:val="24"/>
      <w:szCs w:val="24"/>
    </w:rPr>
  </w:style>
  <w:style w:type="paragraph" w:styleId="9">
    <w:name w:val="heading 7"/>
    <w:basedOn w:val="1"/>
    <w:next w:val="1"/>
    <w:link w:val="64"/>
    <w:qFormat/>
    <w:uiPriority w:val="0"/>
    <w:pPr>
      <w:keepNext/>
      <w:keepLines/>
      <w:numPr>
        <w:ilvl w:val="6"/>
        <w:numId w:val="1"/>
      </w:numPr>
      <w:spacing w:before="240" w:after="64" w:line="320" w:lineRule="auto"/>
      <w:outlineLvl w:val="6"/>
    </w:pPr>
    <w:rPr>
      <w:b/>
      <w:bCs/>
      <w:sz w:val="24"/>
      <w:szCs w:val="24"/>
    </w:rPr>
  </w:style>
  <w:style w:type="paragraph" w:styleId="10">
    <w:name w:val="heading 8"/>
    <w:basedOn w:val="1"/>
    <w:next w:val="1"/>
    <w:link w:val="65"/>
    <w:qFormat/>
    <w:uiPriority w:val="0"/>
    <w:pPr>
      <w:keepNext/>
      <w:keepLines/>
      <w:numPr>
        <w:ilvl w:val="7"/>
        <w:numId w:val="1"/>
      </w:numPr>
      <w:spacing w:before="240" w:after="64" w:line="320" w:lineRule="auto"/>
      <w:outlineLvl w:val="7"/>
    </w:pPr>
    <w:rPr>
      <w:rFonts w:ascii="Arial" w:hAnsi="Arial" w:eastAsia="黑体"/>
      <w:sz w:val="24"/>
      <w:szCs w:val="24"/>
    </w:rPr>
  </w:style>
  <w:style w:type="paragraph" w:styleId="11">
    <w:name w:val="heading 9"/>
    <w:basedOn w:val="1"/>
    <w:next w:val="1"/>
    <w:link w:val="59"/>
    <w:qFormat/>
    <w:uiPriority w:val="0"/>
    <w:pPr>
      <w:keepNext/>
      <w:keepLines/>
      <w:numPr>
        <w:ilvl w:val="8"/>
        <w:numId w:val="1"/>
      </w:numPr>
      <w:spacing w:before="240" w:after="64" w:line="320" w:lineRule="auto"/>
      <w:outlineLvl w:val="8"/>
    </w:pPr>
    <w:rPr>
      <w:rFonts w:ascii="Arial" w:hAnsi="Arial" w:eastAsia="黑体"/>
    </w:rPr>
  </w:style>
  <w:style w:type="character" w:default="1" w:styleId="39">
    <w:name w:val="Default Paragraph Font"/>
    <w:semiHidden/>
    <w:unhideWhenUsed/>
    <w:qFormat/>
    <w:uiPriority w:val="1"/>
  </w:style>
  <w:style w:type="table" w:default="1" w:styleId="37">
    <w:name w:val="Normal Table"/>
    <w:semiHidden/>
    <w:unhideWhenUsed/>
    <w:qFormat/>
    <w:uiPriority w:val="99"/>
    <w:tblPr>
      <w:tblCellMar>
        <w:top w:w="0" w:type="dxa"/>
        <w:left w:w="108" w:type="dxa"/>
        <w:bottom w:w="0" w:type="dxa"/>
        <w:right w:w="108" w:type="dxa"/>
      </w:tblCellMar>
    </w:tblPr>
  </w:style>
  <w:style w:type="paragraph" w:styleId="3">
    <w:name w:val="Normal Indent"/>
    <w:basedOn w:val="1"/>
    <w:next w:val="1"/>
    <w:link w:val="71"/>
    <w:qFormat/>
    <w:uiPriority w:val="0"/>
    <w:pPr>
      <w:ind w:firstLine="420"/>
    </w:pPr>
  </w:style>
  <w:style w:type="paragraph" w:styleId="12">
    <w:name w:val="List 3"/>
    <w:basedOn w:val="1"/>
    <w:qFormat/>
    <w:uiPriority w:val="0"/>
    <w:pPr>
      <w:ind w:left="100" w:leftChars="400" w:hanging="200" w:hangingChars="200"/>
    </w:pPr>
  </w:style>
  <w:style w:type="paragraph" w:styleId="13">
    <w:name w:val="Document Map"/>
    <w:basedOn w:val="1"/>
    <w:link w:val="90"/>
    <w:semiHidden/>
    <w:qFormat/>
    <w:uiPriority w:val="0"/>
    <w:pPr>
      <w:shd w:val="clear" w:color="auto" w:fill="000080"/>
    </w:pPr>
  </w:style>
  <w:style w:type="paragraph" w:styleId="14">
    <w:name w:val="annotation text"/>
    <w:basedOn w:val="1"/>
    <w:semiHidden/>
    <w:qFormat/>
    <w:uiPriority w:val="0"/>
    <w:pPr>
      <w:jc w:val="left"/>
    </w:pPr>
  </w:style>
  <w:style w:type="paragraph" w:styleId="15">
    <w:name w:val="Body Text 3"/>
    <w:basedOn w:val="1"/>
    <w:link w:val="67"/>
    <w:autoRedefine/>
    <w:qFormat/>
    <w:uiPriority w:val="0"/>
    <w:rPr>
      <w:rFonts w:ascii="仿宋_GB2312" w:hAnsi="Arial" w:eastAsia="仿宋_GB2312"/>
      <w:sz w:val="32"/>
      <w:szCs w:val="32"/>
    </w:rPr>
  </w:style>
  <w:style w:type="paragraph" w:styleId="16">
    <w:name w:val="Body Text"/>
    <w:basedOn w:val="1"/>
    <w:link w:val="63"/>
    <w:autoRedefine/>
    <w:qFormat/>
    <w:uiPriority w:val="0"/>
    <w:rPr>
      <w:rFonts w:ascii="楷体_GB2312" w:hAnsi="Arial" w:eastAsia="楷体_GB2312"/>
      <w:sz w:val="28"/>
      <w:szCs w:val="28"/>
    </w:rPr>
  </w:style>
  <w:style w:type="paragraph" w:styleId="17">
    <w:name w:val="Body Text Indent"/>
    <w:basedOn w:val="1"/>
    <w:next w:val="6"/>
    <w:link w:val="69"/>
    <w:autoRedefine/>
    <w:qFormat/>
    <w:uiPriority w:val="0"/>
    <w:pPr>
      <w:ind w:firstLine="645"/>
    </w:pPr>
    <w:rPr>
      <w:rFonts w:ascii="楷体_GB2312" w:eastAsia="楷体_GB2312"/>
      <w:sz w:val="32"/>
      <w:szCs w:val="32"/>
    </w:rPr>
  </w:style>
  <w:style w:type="paragraph" w:styleId="18">
    <w:name w:val="List 2"/>
    <w:basedOn w:val="1"/>
    <w:autoRedefine/>
    <w:qFormat/>
    <w:uiPriority w:val="0"/>
    <w:pPr>
      <w:ind w:left="100" w:leftChars="200" w:hanging="200" w:hangingChars="200"/>
    </w:pPr>
  </w:style>
  <w:style w:type="paragraph" w:styleId="19">
    <w:name w:val="toc 3"/>
    <w:basedOn w:val="20"/>
    <w:next w:val="1"/>
    <w:autoRedefine/>
    <w:qFormat/>
    <w:uiPriority w:val="39"/>
    <w:pPr>
      <w:ind w:left="840" w:leftChars="400"/>
    </w:pPr>
  </w:style>
  <w:style w:type="paragraph" w:styleId="20">
    <w:name w:val="toc 1"/>
    <w:basedOn w:val="1"/>
    <w:next w:val="1"/>
    <w:unhideWhenUsed/>
    <w:qFormat/>
    <w:uiPriority w:val="39"/>
    <w:pPr>
      <w:widowControl/>
      <w:spacing w:after="100" w:line="259" w:lineRule="auto"/>
      <w:jc w:val="left"/>
    </w:pPr>
    <w:rPr>
      <w:rFonts w:ascii="Calibri" w:hAnsi="Calibri"/>
      <w:kern w:val="0"/>
      <w:sz w:val="22"/>
      <w:szCs w:val="22"/>
    </w:rPr>
  </w:style>
  <w:style w:type="paragraph" w:styleId="21">
    <w:name w:val="Plain Text"/>
    <w:basedOn w:val="1"/>
    <w:link w:val="92"/>
    <w:autoRedefine/>
    <w:qFormat/>
    <w:uiPriority w:val="0"/>
    <w:rPr>
      <w:rFonts w:ascii="宋体" w:hAnsi="Courier New" w:cs="Courier New"/>
    </w:rPr>
  </w:style>
  <w:style w:type="paragraph" w:styleId="22">
    <w:name w:val="Date"/>
    <w:basedOn w:val="1"/>
    <w:next w:val="1"/>
    <w:link w:val="75"/>
    <w:autoRedefine/>
    <w:qFormat/>
    <w:uiPriority w:val="0"/>
    <w:rPr>
      <w:sz w:val="24"/>
      <w:szCs w:val="24"/>
    </w:rPr>
  </w:style>
  <w:style w:type="paragraph" w:styleId="23">
    <w:name w:val="Body Text Indent 2"/>
    <w:basedOn w:val="1"/>
    <w:link w:val="70"/>
    <w:qFormat/>
    <w:uiPriority w:val="0"/>
    <w:pPr>
      <w:ind w:left="630" w:firstLine="645"/>
    </w:pPr>
    <w:rPr>
      <w:rFonts w:ascii="Arial" w:hAnsi="Arial" w:eastAsia="仿宋_GB2312" w:cs="Arial"/>
      <w:sz w:val="32"/>
      <w:szCs w:val="32"/>
    </w:rPr>
  </w:style>
  <w:style w:type="paragraph" w:styleId="24">
    <w:name w:val="Balloon Text"/>
    <w:basedOn w:val="1"/>
    <w:link w:val="94"/>
    <w:autoRedefine/>
    <w:semiHidden/>
    <w:qFormat/>
    <w:uiPriority w:val="0"/>
    <w:rPr>
      <w:sz w:val="18"/>
      <w:szCs w:val="18"/>
    </w:rPr>
  </w:style>
  <w:style w:type="paragraph" w:styleId="25">
    <w:name w:val="footer"/>
    <w:basedOn w:val="1"/>
    <w:link w:val="68"/>
    <w:autoRedefine/>
    <w:qFormat/>
    <w:uiPriority w:val="0"/>
    <w:pPr>
      <w:tabs>
        <w:tab w:val="center" w:pos="4153"/>
        <w:tab w:val="right" w:pos="8306"/>
      </w:tabs>
      <w:snapToGrid w:val="0"/>
      <w:jc w:val="left"/>
    </w:pPr>
    <w:rPr>
      <w:rFonts w:cs="Symbol"/>
      <w:color w:val="000000" w:themeColor="text1"/>
      <w:sz w:val="18"/>
      <w:szCs w:val="18"/>
      <w14:textFill>
        <w14:solidFill>
          <w14:schemeClr w14:val="tx1"/>
        </w14:solidFill>
      </w14:textFill>
    </w:rPr>
  </w:style>
  <w:style w:type="paragraph" w:styleId="26">
    <w:name w:val="header"/>
    <w:basedOn w:val="1"/>
    <w:link w:val="86"/>
    <w:autoRedefine/>
    <w:qFormat/>
    <w:uiPriority w:val="99"/>
    <w:pPr>
      <w:pBdr>
        <w:bottom w:val="single" w:color="auto" w:sz="6" w:space="1"/>
      </w:pBdr>
      <w:tabs>
        <w:tab w:val="center" w:pos="4153"/>
        <w:tab w:val="right" w:pos="8306"/>
      </w:tabs>
      <w:snapToGrid w:val="0"/>
      <w:jc w:val="center"/>
    </w:pPr>
    <w:rPr>
      <w:sz w:val="18"/>
      <w:szCs w:val="18"/>
    </w:rPr>
  </w:style>
  <w:style w:type="paragraph" w:styleId="27">
    <w:name w:val="toc 4"/>
    <w:basedOn w:val="1"/>
    <w:next w:val="1"/>
    <w:autoRedefine/>
    <w:qFormat/>
    <w:uiPriority w:val="39"/>
    <w:pPr>
      <w:ind w:left="960"/>
      <w:jc w:val="left"/>
    </w:pPr>
    <w:rPr>
      <w:rFonts w:ascii="Calibri" w:hAnsi="Calibri"/>
      <w:sz w:val="18"/>
      <w:szCs w:val="18"/>
    </w:rPr>
  </w:style>
  <w:style w:type="paragraph" w:styleId="28">
    <w:name w:val="List"/>
    <w:basedOn w:val="1"/>
    <w:autoRedefine/>
    <w:qFormat/>
    <w:uiPriority w:val="0"/>
    <w:pPr>
      <w:ind w:left="200" w:hanging="200" w:hangingChars="200"/>
    </w:pPr>
  </w:style>
  <w:style w:type="paragraph" w:styleId="29">
    <w:name w:val="footnote text"/>
    <w:basedOn w:val="1"/>
    <w:qFormat/>
    <w:uiPriority w:val="0"/>
    <w:pPr>
      <w:snapToGrid w:val="0"/>
      <w:jc w:val="left"/>
    </w:pPr>
    <w:rPr>
      <w:sz w:val="18"/>
    </w:rPr>
  </w:style>
  <w:style w:type="paragraph" w:styleId="30">
    <w:name w:val="Body Text Indent 3"/>
    <w:basedOn w:val="1"/>
    <w:link w:val="85"/>
    <w:qFormat/>
    <w:uiPriority w:val="0"/>
    <w:pPr>
      <w:ind w:left="645" w:firstLine="645"/>
    </w:pPr>
    <w:rPr>
      <w:rFonts w:ascii="Arial" w:hAnsi="Arial" w:eastAsia="仿宋_GB2312" w:cs="Arial"/>
      <w:color w:val="FFFF00"/>
      <w:sz w:val="32"/>
      <w:szCs w:val="32"/>
    </w:rPr>
  </w:style>
  <w:style w:type="paragraph" w:styleId="31">
    <w:name w:val="toc 2"/>
    <w:basedOn w:val="20"/>
    <w:next w:val="1"/>
    <w:autoRedefine/>
    <w:qFormat/>
    <w:uiPriority w:val="39"/>
    <w:pPr>
      <w:ind w:left="210"/>
    </w:pPr>
    <w:rPr>
      <w:smallCaps/>
      <w:szCs w:val="24"/>
    </w:rPr>
  </w:style>
  <w:style w:type="paragraph" w:styleId="32">
    <w:name w:val="Body Text 2"/>
    <w:basedOn w:val="1"/>
    <w:link w:val="91"/>
    <w:autoRedefine/>
    <w:qFormat/>
    <w:uiPriority w:val="0"/>
    <w:pPr>
      <w:widowControl/>
      <w:jc w:val="center"/>
    </w:pPr>
    <w:rPr>
      <w:rFonts w:ascii="楷体_GB2312" w:eastAsia="楷体_GB2312"/>
      <w:sz w:val="28"/>
      <w:szCs w:val="28"/>
    </w:rPr>
  </w:style>
  <w:style w:type="paragraph" w:styleId="33">
    <w:name w:val="Normal (Web)"/>
    <w:basedOn w:val="1"/>
    <w:next w:val="1"/>
    <w:qFormat/>
    <w:uiPriority w:val="0"/>
    <w:pPr>
      <w:widowControl/>
      <w:spacing w:before="100" w:beforeAutospacing="1" w:after="100" w:afterAutospacing="1"/>
      <w:jc w:val="left"/>
    </w:pPr>
    <w:rPr>
      <w:rFonts w:ascii="宋体" w:hAnsi="宋体" w:cs="宋体"/>
      <w:kern w:val="0"/>
      <w:sz w:val="24"/>
      <w:szCs w:val="24"/>
    </w:rPr>
  </w:style>
  <w:style w:type="paragraph" w:styleId="34">
    <w:name w:val="annotation subject"/>
    <w:basedOn w:val="14"/>
    <w:next w:val="14"/>
    <w:link w:val="87"/>
    <w:autoRedefine/>
    <w:semiHidden/>
    <w:qFormat/>
    <w:uiPriority w:val="0"/>
    <w:rPr>
      <w:b/>
      <w:bCs/>
    </w:rPr>
  </w:style>
  <w:style w:type="paragraph" w:styleId="35">
    <w:name w:val="Body Text First Indent"/>
    <w:basedOn w:val="16"/>
    <w:link w:val="89"/>
    <w:qFormat/>
    <w:uiPriority w:val="0"/>
    <w:pPr>
      <w:spacing w:line="360" w:lineRule="auto"/>
      <w:ind w:firstLine="200" w:firstLineChars="200"/>
    </w:pPr>
    <w:rPr>
      <w:rFonts w:ascii="仿宋_GB2312" w:eastAsia="仿宋_GB2312"/>
      <w:sz w:val="30"/>
      <w:szCs w:val="30"/>
    </w:rPr>
  </w:style>
  <w:style w:type="paragraph" w:styleId="36">
    <w:name w:val="Body Text First Indent 2"/>
    <w:basedOn w:val="17"/>
    <w:next w:val="16"/>
    <w:link w:val="72"/>
    <w:autoRedefine/>
    <w:qFormat/>
    <w:uiPriority w:val="0"/>
    <w:pPr>
      <w:spacing w:line="360" w:lineRule="auto"/>
      <w:ind w:firstLine="420" w:firstLineChars="200"/>
    </w:pPr>
    <w:rPr>
      <w:rFonts w:ascii="宋体" w:hAnsi="宋体" w:eastAsia="宋体"/>
      <w:sz w:val="21"/>
      <w:szCs w:val="20"/>
    </w:rPr>
  </w:style>
  <w:style w:type="table" w:styleId="38">
    <w:name w:val="Table Grid"/>
    <w:basedOn w:val="37"/>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0">
    <w:name w:val="Strong"/>
    <w:basedOn w:val="39"/>
    <w:autoRedefine/>
    <w:qFormat/>
    <w:uiPriority w:val="0"/>
    <w:rPr>
      <w:b/>
      <w:bCs/>
    </w:rPr>
  </w:style>
  <w:style w:type="character" w:styleId="41">
    <w:name w:val="page number"/>
    <w:basedOn w:val="39"/>
    <w:qFormat/>
    <w:uiPriority w:val="0"/>
  </w:style>
  <w:style w:type="character" w:styleId="42">
    <w:name w:val="FollowedHyperlink"/>
    <w:qFormat/>
    <w:uiPriority w:val="99"/>
    <w:rPr>
      <w:color w:val="800080"/>
      <w:u w:val="single"/>
    </w:rPr>
  </w:style>
  <w:style w:type="character" w:styleId="43">
    <w:name w:val="Emphasis"/>
    <w:basedOn w:val="39"/>
    <w:qFormat/>
    <w:uiPriority w:val="0"/>
  </w:style>
  <w:style w:type="character" w:styleId="44">
    <w:name w:val="HTML Definition"/>
    <w:basedOn w:val="39"/>
    <w:qFormat/>
    <w:uiPriority w:val="0"/>
  </w:style>
  <w:style w:type="character" w:styleId="45">
    <w:name w:val="HTML Typewriter"/>
    <w:basedOn w:val="39"/>
    <w:qFormat/>
    <w:uiPriority w:val="0"/>
    <w:rPr>
      <w:rFonts w:hint="default" w:ascii="monospace" w:hAnsi="monospace" w:eastAsia="monospace" w:cs="monospace"/>
      <w:sz w:val="20"/>
    </w:rPr>
  </w:style>
  <w:style w:type="character" w:styleId="46">
    <w:name w:val="HTML Acronym"/>
    <w:basedOn w:val="39"/>
    <w:qFormat/>
    <w:uiPriority w:val="0"/>
  </w:style>
  <w:style w:type="character" w:styleId="47">
    <w:name w:val="HTML Variable"/>
    <w:basedOn w:val="39"/>
    <w:qFormat/>
    <w:uiPriority w:val="0"/>
  </w:style>
  <w:style w:type="character" w:styleId="48">
    <w:name w:val="Hyperlink"/>
    <w:qFormat/>
    <w:uiPriority w:val="99"/>
    <w:rPr>
      <w:color w:val="0000FF"/>
      <w:u w:val="single"/>
    </w:rPr>
  </w:style>
  <w:style w:type="character" w:styleId="49">
    <w:name w:val="HTML Code"/>
    <w:basedOn w:val="39"/>
    <w:qFormat/>
    <w:uiPriority w:val="0"/>
    <w:rPr>
      <w:rFonts w:hint="default" w:ascii="monospace" w:hAnsi="monospace" w:eastAsia="monospace" w:cs="monospace"/>
      <w:sz w:val="20"/>
    </w:rPr>
  </w:style>
  <w:style w:type="character" w:styleId="50">
    <w:name w:val="annotation reference"/>
    <w:qFormat/>
    <w:uiPriority w:val="0"/>
    <w:rPr>
      <w:sz w:val="21"/>
      <w:szCs w:val="21"/>
    </w:rPr>
  </w:style>
  <w:style w:type="character" w:styleId="51">
    <w:name w:val="HTML Cite"/>
    <w:basedOn w:val="39"/>
    <w:qFormat/>
    <w:uiPriority w:val="0"/>
  </w:style>
  <w:style w:type="character" w:styleId="52">
    <w:name w:val="HTML Keyboard"/>
    <w:basedOn w:val="39"/>
    <w:qFormat/>
    <w:uiPriority w:val="0"/>
    <w:rPr>
      <w:rFonts w:hint="default" w:ascii="monospace" w:hAnsi="monospace" w:eastAsia="monospace" w:cs="monospace"/>
      <w:sz w:val="20"/>
    </w:rPr>
  </w:style>
  <w:style w:type="character" w:styleId="53">
    <w:name w:val="HTML Sample"/>
    <w:basedOn w:val="39"/>
    <w:qFormat/>
    <w:uiPriority w:val="0"/>
    <w:rPr>
      <w:rFonts w:ascii="monospace" w:hAnsi="monospace" w:eastAsia="monospace" w:cs="monospace"/>
    </w:rPr>
  </w:style>
  <w:style w:type="character" w:customStyle="1" w:styleId="54">
    <w:name w:val="标题 1 字符"/>
    <w:link w:val="2"/>
    <w:qFormat/>
    <w:uiPriority w:val="9"/>
    <w:rPr>
      <w:rFonts w:ascii="楷体_GB2312" w:hAnsi="楷体_GB2312" w:eastAsia="宋体"/>
      <w:b/>
      <w:kern w:val="2"/>
      <w:sz w:val="32"/>
      <w:szCs w:val="32"/>
      <w:lang w:val="en-US" w:eastAsia="zh-CN" w:bidi="ar-SA"/>
    </w:rPr>
  </w:style>
  <w:style w:type="character" w:customStyle="1" w:styleId="55">
    <w:name w:val="标题 4 字符"/>
    <w:link w:val="6"/>
    <w:qFormat/>
    <w:uiPriority w:val="0"/>
    <w:rPr>
      <w:rFonts w:ascii="Arial" w:hAnsi="Arial" w:eastAsia="宋体" w:cs="Arial"/>
      <w:b/>
      <w:kern w:val="2"/>
      <w:sz w:val="28"/>
      <w:szCs w:val="28"/>
      <w:lang w:val="en-US" w:eastAsia="zh-CN" w:bidi="ar-SA"/>
    </w:rPr>
  </w:style>
  <w:style w:type="paragraph" w:customStyle="1" w:styleId="56">
    <w:name w:val="Heading2"/>
    <w:basedOn w:val="1"/>
    <w:next w:val="1"/>
    <w:qFormat/>
    <w:uiPriority w:val="0"/>
    <w:pPr>
      <w:keepNext/>
      <w:keepLines/>
      <w:numPr>
        <w:ilvl w:val="1"/>
        <w:numId w:val="2"/>
      </w:numPr>
      <w:spacing w:before="260" w:after="260" w:line="416" w:lineRule="auto"/>
    </w:pPr>
    <w:rPr>
      <w:rFonts w:ascii="宋体" w:hAnsi="宋体"/>
      <w:b/>
      <w:bCs/>
      <w:sz w:val="32"/>
      <w:szCs w:val="32"/>
    </w:rPr>
  </w:style>
  <w:style w:type="paragraph" w:customStyle="1" w:styleId="57">
    <w:name w:val="标题 5（有编号）（绿盟科技）"/>
    <w:basedOn w:val="1"/>
    <w:next w:val="58"/>
    <w:qFormat/>
    <w:uiPriority w:val="0"/>
    <w:pPr>
      <w:keepNext/>
      <w:keepLines/>
      <w:numPr>
        <w:ilvl w:val="4"/>
        <w:numId w:val="3"/>
      </w:numPr>
      <w:spacing w:before="280" w:after="156" w:line="377" w:lineRule="auto"/>
      <w:jc w:val="left"/>
      <w:outlineLvl w:val="4"/>
    </w:pPr>
    <w:rPr>
      <w:rFonts w:ascii="Arial" w:hAnsi="Arial" w:eastAsia="黑体"/>
      <w:b/>
      <w:sz w:val="24"/>
      <w:szCs w:val="28"/>
    </w:rPr>
  </w:style>
  <w:style w:type="paragraph" w:customStyle="1" w:styleId="58">
    <w:name w:val="正文（绿盟科技）"/>
    <w:qFormat/>
    <w:uiPriority w:val="0"/>
    <w:pPr>
      <w:spacing w:line="300" w:lineRule="auto"/>
    </w:pPr>
    <w:rPr>
      <w:rFonts w:ascii="Arial" w:hAnsi="Arial" w:eastAsia="宋体" w:cs="黑体"/>
      <w:sz w:val="21"/>
      <w:szCs w:val="21"/>
      <w:lang w:val="en-US" w:eastAsia="zh-CN" w:bidi="ar-SA"/>
    </w:rPr>
  </w:style>
  <w:style w:type="character" w:customStyle="1" w:styleId="59">
    <w:name w:val="标题 9 字符"/>
    <w:link w:val="11"/>
    <w:qFormat/>
    <w:uiPriority w:val="0"/>
    <w:rPr>
      <w:rFonts w:ascii="Arial" w:hAnsi="Arial" w:eastAsia="黑体"/>
      <w:kern w:val="2"/>
      <w:sz w:val="21"/>
      <w:szCs w:val="21"/>
      <w:lang w:val="en-US" w:eastAsia="zh-CN" w:bidi="ar-SA"/>
    </w:rPr>
  </w:style>
  <w:style w:type="character" w:customStyle="1" w:styleId="60">
    <w:name w:val="正文缩进 Char"/>
    <w:qFormat/>
    <w:uiPriority w:val="0"/>
    <w:rPr>
      <w:kern w:val="2"/>
      <w:sz w:val="21"/>
      <w:szCs w:val="21"/>
    </w:rPr>
  </w:style>
  <w:style w:type="character" w:customStyle="1" w:styleId="61">
    <w:name w:val="列出段落 Char"/>
    <w:link w:val="62"/>
    <w:qFormat/>
    <w:locked/>
    <w:uiPriority w:val="0"/>
    <w:rPr>
      <w:rFonts w:ascii="Calibri" w:hAnsi="Calibri"/>
      <w:sz w:val="24"/>
      <w:szCs w:val="24"/>
      <w:lang w:eastAsia="en-US" w:bidi="en-US"/>
    </w:rPr>
  </w:style>
  <w:style w:type="paragraph" w:customStyle="1" w:styleId="62">
    <w:name w:val="列出段落11"/>
    <w:basedOn w:val="1"/>
    <w:link w:val="61"/>
    <w:qFormat/>
    <w:uiPriority w:val="0"/>
    <w:pPr>
      <w:widowControl/>
      <w:ind w:left="720"/>
      <w:contextualSpacing/>
      <w:jc w:val="left"/>
    </w:pPr>
    <w:rPr>
      <w:rFonts w:ascii="Calibri" w:hAnsi="Calibri"/>
      <w:kern w:val="0"/>
      <w:sz w:val="24"/>
      <w:szCs w:val="24"/>
      <w:lang w:eastAsia="en-US" w:bidi="en-US"/>
    </w:rPr>
  </w:style>
  <w:style w:type="character" w:customStyle="1" w:styleId="63">
    <w:name w:val="正文文本 字符"/>
    <w:link w:val="16"/>
    <w:qFormat/>
    <w:uiPriority w:val="0"/>
    <w:rPr>
      <w:rFonts w:ascii="楷体_GB2312" w:hAnsi="Arial" w:eastAsia="楷体_GB2312"/>
      <w:kern w:val="2"/>
      <w:sz w:val="28"/>
      <w:szCs w:val="28"/>
      <w:lang w:val="en-US" w:eastAsia="zh-CN" w:bidi="ar-SA"/>
    </w:rPr>
  </w:style>
  <w:style w:type="character" w:customStyle="1" w:styleId="64">
    <w:name w:val="标题 7 字符"/>
    <w:link w:val="9"/>
    <w:qFormat/>
    <w:uiPriority w:val="0"/>
    <w:rPr>
      <w:rFonts w:eastAsia="宋体"/>
      <w:b/>
      <w:bCs/>
      <w:kern w:val="2"/>
      <w:sz w:val="24"/>
      <w:szCs w:val="24"/>
      <w:lang w:val="en-US" w:eastAsia="zh-CN" w:bidi="ar-SA"/>
    </w:rPr>
  </w:style>
  <w:style w:type="character" w:customStyle="1" w:styleId="65">
    <w:name w:val="标题 8 字符"/>
    <w:link w:val="10"/>
    <w:qFormat/>
    <w:uiPriority w:val="0"/>
    <w:rPr>
      <w:rFonts w:ascii="Arial" w:hAnsi="Arial" w:eastAsia="黑体"/>
      <w:kern w:val="2"/>
      <w:sz w:val="24"/>
      <w:szCs w:val="24"/>
      <w:lang w:val="en-US" w:eastAsia="zh-CN" w:bidi="ar-SA"/>
    </w:rPr>
  </w:style>
  <w:style w:type="character" w:customStyle="1" w:styleId="66">
    <w:name w:val="正文首行缩进 Char"/>
    <w:qFormat/>
    <w:uiPriority w:val="0"/>
    <w:rPr>
      <w:rFonts w:ascii="仿宋_GB2312" w:hAnsi="Times New Roman" w:eastAsia="仿宋_GB2312" w:cs="Times New Roman"/>
      <w:kern w:val="2"/>
      <w:sz w:val="30"/>
      <w:szCs w:val="30"/>
    </w:rPr>
  </w:style>
  <w:style w:type="character" w:customStyle="1" w:styleId="67">
    <w:name w:val="正文文本 3 字符"/>
    <w:link w:val="15"/>
    <w:qFormat/>
    <w:uiPriority w:val="0"/>
    <w:rPr>
      <w:rFonts w:ascii="仿宋_GB2312" w:hAnsi="Arial" w:eastAsia="仿宋_GB2312"/>
      <w:kern w:val="2"/>
      <w:sz w:val="32"/>
      <w:szCs w:val="32"/>
      <w:lang w:val="en-US" w:eastAsia="zh-CN" w:bidi="ar-SA"/>
    </w:rPr>
  </w:style>
  <w:style w:type="character" w:customStyle="1" w:styleId="68">
    <w:name w:val="页脚 字符"/>
    <w:link w:val="25"/>
    <w:qFormat/>
    <w:uiPriority w:val="0"/>
    <w:rPr>
      <w:rFonts w:eastAsia="宋体" w:cs="Symbol"/>
      <w:color w:val="000000" w:themeColor="text1"/>
      <w:kern w:val="2"/>
      <w:sz w:val="18"/>
      <w:szCs w:val="18"/>
      <w:lang w:bidi="ar-SA"/>
      <w14:textFill>
        <w14:solidFill>
          <w14:schemeClr w14:val="tx1"/>
        </w14:solidFill>
      </w14:textFill>
    </w:rPr>
  </w:style>
  <w:style w:type="character" w:customStyle="1" w:styleId="69">
    <w:name w:val="正文文本缩进 字符"/>
    <w:link w:val="17"/>
    <w:qFormat/>
    <w:uiPriority w:val="0"/>
    <w:rPr>
      <w:rFonts w:ascii="楷体_GB2312" w:eastAsia="楷体_GB2312"/>
      <w:kern w:val="2"/>
      <w:sz w:val="32"/>
      <w:szCs w:val="32"/>
      <w:lang w:val="en-US" w:eastAsia="zh-CN" w:bidi="ar-SA"/>
    </w:rPr>
  </w:style>
  <w:style w:type="character" w:customStyle="1" w:styleId="70">
    <w:name w:val="正文文本缩进 2 字符"/>
    <w:link w:val="23"/>
    <w:qFormat/>
    <w:uiPriority w:val="0"/>
    <w:rPr>
      <w:rFonts w:ascii="Arial" w:hAnsi="Arial" w:eastAsia="仿宋_GB2312" w:cs="Arial"/>
      <w:kern w:val="2"/>
      <w:sz w:val="32"/>
      <w:szCs w:val="32"/>
      <w:lang w:val="en-US" w:eastAsia="zh-CN" w:bidi="ar-SA"/>
    </w:rPr>
  </w:style>
  <w:style w:type="character" w:customStyle="1" w:styleId="71">
    <w:name w:val="正文缩进 字符1"/>
    <w:link w:val="3"/>
    <w:qFormat/>
    <w:uiPriority w:val="0"/>
    <w:rPr>
      <w:rFonts w:eastAsia="宋体"/>
      <w:kern w:val="2"/>
      <w:sz w:val="21"/>
      <w:szCs w:val="21"/>
      <w:lang w:bidi="ar-SA"/>
    </w:rPr>
  </w:style>
  <w:style w:type="character" w:customStyle="1" w:styleId="72">
    <w:name w:val="正文文本首行缩进 2 字符"/>
    <w:link w:val="36"/>
    <w:qFormat/>
    <w:uiPriority w:val="0"/>
    <w:rPr>
      <w:rFonts w:ascii="宋体" w:hAnsi="宋体" w:eastAsia="宋体"/>
      <w:kern w:val="2"/>
      <w:sz w:val="21"/>
      <w:lang w:val="en-US" w:eastAsia="zh-CN" w:bidi="ar-SA"/>
    </w:rPr>
  </w:style>
  <w:style w:type="character" w:customStyle="1" w:styleId="73">
    <w:name w:val="正文首行缩进（qhb） Char"/>
    <w:link w:val="74"/>
    <w:qFormat/>
    <w:uiPriority w:val="0"/>
    <w:rPr>
      <w:rFonts w:ascii="Arial" w:hAnsi="Arial"/>
      <w:sz w:val="24"/>
      <w:szCs w:val="21"/>
    </w:rPr>
  </w:style>
  <w:style w:type="paragraph" w:customStyle="1" w:styleId="74">
    <w:name w:val="正文首行缩进（qhb）"/>
    <w:basedOn w:val="1"/>
    <w:link w:val="73"/>
    <w:qFormat/>
    <w:uiPriority w:val="0"/>
    <w:pPr>
      <w:widowControl/>
      <w:spacing w:after="50" w:line="360" w:lineRule="auto"/>
      <w:ind w:firstLine="200" w:firstLineChars="200"/>
      <w:jc w:val="left"/>
    </w:pPr>
    <w:rPr>
      <w:rFonts w:ascii="Arial" w:hAnsi="Arial"/>
      <w:kern w:val="0"/>
      <w:sz w:val="24"/>
    </w:rPr>
  </w:style>
  <w:style w:type="character" w:customStyle="1" w:styleId="75">
    <w:name w:val="日期 字符"/>
    <w:link w:val="22"/>
    <w:qFormat/>
    <w:uiPriority w:val="0"/>
    <w:rPr>
      <w:rFonts w:eastAsia="宋体"/>
      <w:kern w:val="2"/>
      <w:sz w:val="24"/>
      <w:szCs w:val="24"/>
      <w:lang w:val="en-US" w:eastAsia="zh-CN" w:bidi="ar-SA"/>
    </w:rPr>
  </w:style>
  <w:style w:type="character" w:customStyle="1" w:styleId="76">
    <w:name w:val="font5 Char"/>
    <w:autoRedefine/>
    <w:qFormat/>
    <w:uiPriority w:val="0"/>
    <w:rPr>
      <w:rFonts w:ascii="宋体" w:hAnsi="宋体" w:eastAsia="宋体"/>
      <w:sz w:val="28"/>
      <w:szCs w:val="28"/>
      <w:lang w:val="en-US" w:eastAsia="zh-CN" w:bidi="ar-SA"/>
    </w:rPr>
  </w:style>
  <w:style w:type="character" w:customStyle="1" w:styleId="77">
    <w:name w:val="Char Char2"/>
    <w:autoRedefine/>
    <w:qFormat/>
    <w:uiPriority w:val="0"/>
    <w:rPr>
      <w:rFonts w:ascii="Times New Roman" w:hAnsi="Times New Roman" w:eastAsia="宋体" w:cs="Times New Roman"/>
      <w:szCs w:val="21"/>
    </w:rPr>
  </w:style>
  <w:style w:type="character" w:customStyle="1" w:styleId="78">
    <w:name w:val="正文格式 Char"/>
    <w:link w:val="79"/>
    <w:autoRedefine/>
    <w:qFormat/>
    <w:uiPriority w:val="0"/>
    <w:rPr>
      <w:rFonts w:eastAsia="仿宋_GB2312"/>
      <w:sz w:val="28"/>
      <w:lang w:bidi="ar-SA"/>
    </w:rPr>
  </w:style>
  <w:style w:type="paragraph" w:customStyle="1" w:styleId="79">
    <w:name w:val="正文格式"/>
    <w:basedOn w:val="1"/>
    <w:link w:val="78"/>
    <w:autoRedefine/>
    <w:qFormat/>
    <w:uiPriority w:val="0"/>
    <w:pPr>
      <w:widowControl/>
      <w:adjustRightInd w:val="0"/>
      <w:snapToGrid w:val="0"/>
      <w:spacing w:before="100" w:beforeAutospacing="1" w:line="360" w:lineRule="auto"/>
      <w:ind w:firstLine="200" w:firstLineChars="200"/>
      <w:textAlignment w:val="baseline"/>
    </w:pPr>
    <w:rPr>
      <w:rFonts w:eastAsia="仿宋_GB2312"/>
      <w:kern w:val="0"/>
      <w:sz w:val="28"/>
      <w:szCs w:val="20"/>
    </w:rPr>
  </w:style>
  <w:style w:type="character" w:customStyle="1" w:styleId="80">
    <w:name w:val="二级目录 Char"/>
    <w:link w:val="81"/>
    <w:autoRedefine/>
    <w:qFormat/>
    <w:uiPriority w:val="0"/>
    <w:rPr>
      <w:rFonts w:eastAsia="Times New Roman"/>
      <w:b/>
      <w:kern w:val="2"/>
      <w:sz w:val="30"/>
      <w:szCs w:val="28"/>
      <w:lang w:val="en-US" w:eastAsia="zh-CN" w:bidi="ar-SA"/>
    </w:rPr>
  </w:style>
  <w:style w:type="paragraph" w:customStyle="1" w:styleId="81">
    <w:name w:val="二级目录"/>
    <w:next w:val="1"/>
    <w:link w:val="80"/>
    <w:qFormat/>
    <w:uiPriority w:val="0"/>
    <w:pPr>
      <w:tabs>
        <w:tab w:val="left" w:pos="907"/>
        <w:tab w:val="left" w:pos="1145"/>
      </w:tabs>
      <w:ind w:left="907" w:hanging="907"/>
      <w:outlineLvl w:val="1"/>
    </w:pPr>
    <w:rPr>
      <w:rFonts w:ascii="Times New Roman" w:hAnsi="Times New Roman" w:eastAsia="Times New Roman" w:cs="Times New Roman"/>
      <w:b/>
      <w:kern w:val="2"/>
      <w:sz w:val="30"/>
      <w:szCs w:val="28"/>
      <w:lang w:val="en-US" w:eastAsia="zh-CN" w:bidi="ar-SA"/>
    </w:rPr>
  </w:style>
  <w:style w:type="character" w:customStyle="1" w:styleId="82">
    <w:name w:val="Char Char6"/>
    <w:qFormat/>
    <w:uiPriority w:val="0"/>
    <w:rPr>
      <w:rFonts w:ascii="Times New Roman" w:hAnsi="Times New Roman" w:eastAsia="宋体" w:cs="Times New Roman"/>
      <w:sz w:val="18"/>
      <w:szCs w:val="18"/>
    </w:rPr>
  </w:style>
  <w:style w:type="character" w:customStyle="1" w:styleId="83">
    <w:name w:val="标题 3 字符"/>
    <w:link w:val="5"/>
    <w:qFormat/>
    <w:uiPriority w:val="0"/>
    <w:rPr>
      <w:rFonts w:ascii="Times New Roman" w:hAnsi="Times New Roman" w:eastAsia="宋体"/>
      <w:b/>
      <w:bCs/>
      <w:kern w:val="2"/>
      <w:sz w:val="28"/>
      <w:szCs w:val="32"/>
      <w:lang w:val="en-US" w:eastAsia="zh-CN" w:bidi="ar-SA"/>
    </w:rPr>
  </w:style>
  <w:style w:type="character" w:customStyle="1" w:styleId="84">
    <w:name w:val="标题 6 字符"/>
    <w:link w:val="8"/>
    <w:qFormat/>
    <w:uiPriority w:val="0"/>
    <w:rPr>
      <w:rFonts w:ascii="Arial" w:hAnsi="Arial" w:eastAsia="黑体"/>
      <w:b/>
      <w:bCs/>
      <w:kern w:val="2"/>
      <w:sz w:val="24"/>
      <w:szCs w:val="24"/>
      <w:lang w:val="en-US" w:eastAsia="zh-CN" w:bidi="ar-SA"/>
    </w:rPr>
  </w:style>
  <w:style w:type="character" w:customStyle="1" w:styleId="85">
    <w:name w:val="正文文本缩进 3 字符"/>
    <w:link w:val="30"/>
    <w:qFormat/>
    <w:uiPriority w:val="0"/>
    <w:rPr>
      <w:rFonts w:ascii="Arial" w:hAnsi="Arial" w:eastAsia="仿宋_GB2312" w:cs="Arial"/>
      <w:color w:val="FFFF00"/>
      <w:kern w:val="2"/>
      <w:sz w:val="32"/>
      <w:szCs w:val="32"/>
      <w:lang w:val="en-US" w:eastAsia="zh-CN" w:bidi="ar-SA"/>
    </w:rPr>
  </w:style>
  <w:style w:type="character" w:customStyle="1" w:styleId="86">
    <w:name w:val="页眉 字符"/>
    <w:link w:val="26"/>
    <w:qFormat/>
    <w:uiPriority w:val="99"/>
    <w:rPr>
      <w:rFonts w:eastAsia="宋体"/>
      <w:kern w:val="2"/>
      <w:sz w:val="18"/>
      <w:szCs w:val="18"/>
      <w:lang w:val="en-US" w:eastAsia="zh-CN" w:bidi="ar-SA"/>
    </w:rPr>
  </w:style>
  <w:style w:type="character" w:customStyle="1" w:styleId="87">
    <w:name w:val="批注主题 字符"/>
    <w:link w:val="34"/>
    <w:semiHidden/>
    <w:qFormat/>
    <w:uiPriority w:val="0"/>
    <w:rPr>
      <w:rFonts w:eastAsia="宋体"/>
      <w:b/>
      <w:bCs/>
      <w:kern w:val="2"/>
      <w:sz w:val="21"/>
      <w:szCs w:val="21"/>
      <w:lang w:val="en-US" w:eastAsia="zh-CN" w:bidi="ar-SA"/>
    </w:rPr>
  </w:style>
  <w:style w:type="character" w:customStyle="1" w:styleId="88">
    <w:name w:val="标题 2 字符"/>
    <w:link w:val="4"/>
    <w:qFormat/>
    <w:uiPriority w:val="0"/>
    <w:rPr>
      <w:rFonts w:ascii="Arial" w:hAnsi="Arial" w:eastAsia="宋体" w:cs="Arial"/>
      <w:b/>
      <w:bCs/>
      <w:kern w:val="2"/>
      <w:sz w:val="30"/>
      <w:szCs w:val="30"/>
      <w:lang w:val="en-US" w:eastAsia="zh-CN" w:bidi="ar-SA"/>
    </w:rPr>
  </w:style>
  <w:style w:type="character" w:customStyle="1" w:styleId="89">
    <w:name w:val="正文文本首行缩进 字符"/>
    <w:link w:val="35"/>
    <w:qFormat/>
    <w:uiPriority w:val="0"/>
    <w:rPr>
      <w:rFonts w:ascii="仿宋_GB2312" w:eastAsia="仿宋_GB2312"/>
      <w:kern w:val="2"/>
      <w:sz w:val="30"/>
      <w:szCs w:val="30"/>
      <w:lang w:val="en-US" w:eastAsia="zh-CN" w:bidi="ar-SA"/>
    </w:rPr>
  </w:style>
  <w:style w:type="character" w:customStyle="1" w:styleId="90">
    <w:name w:val="文档结构图 字符"/>
    <w:link w:val="13"/>
    <w:semiHidden/>
    <w:qFormat/>
    <w:uiPriority w:val="0"/>
    <w:rPr>
      <w:rFonts w:eastAsia="宋体"/>
      <w:kern w:val="2"/>
      <w:sz w:val="21"/>
      <w:szCs w:val="21"/>
      <w:lang w:bidi="ar-SA"/>
    </w:rPr>
  </w:style>
  <w:style w:type="character" w:customStyle="1" w:styleId="91">
    <w:name w:val="正文文本 2 字符"/>
    <w:link w:val="32"/>
    <w:qFormat/>
    <w:uiPriority w:val="0"/>
    <w:rPr>
      <w:rFonts w:ascii="楷体_GB2312" w:eastAsia="楷体_GB2312"/>
      <w:kern w:val="2"/>
      <w:sz w:val="28"/>
      <w:szCs w:val="28"/>
      <w:lang w:val="en-US" w:eastAsia="zh-CN" w:bidi="ar-SA"/>
    </w:rPr>
  </w:style>
  <w:style w:type="character" w:customStyle="1" w:styleId="92">
    <w:name w:val="纯文本 字符1"/>
    <w:link w:val="21"/>
    <w:qFormat/>
    <w:uiPriority w:val="0"/>
    <w:rPr>
      <w:rFonts w:ascii="宋体" w:hAnsi="Courier New" w:eastAsia="宋体" w:cs="Courier New"/>
      <w:kern w:val="2"/>
      <w:sz w:val="21"/>
      <w:szCs w:val="21"/>
      <w:lang w:val="en-US" w:eastAsia="zh-CN" w:bidi="ar-SA"/>
    </w:rPr>
  </w:style>
  <w:style w:type="character" w:customStyle="1" w:styleId="93">
    <w:name w:val="标题 5 字符"/>
    <w:link w:val="7"/>
    <w:qFormat/>
    <w:uiPriority w:val="0"/>
    <w:rPr>
      <w:rFonts w:ascii="宋体" w:eastAsia="宋体"/>
      <w:color w:val="000000"/>
      <w:sz w:val="28"/>
      <w:szCs w:val="28"/>
      <w:lang w:val="en-US" w:eastAsia="zh-CN" w:bidi="ar-SA"/>
    </w:rPr>
  </w:style>
  <w:style w:type="character" w:customStyle="1" w:styleId="94">
    <w:name w:val="批注框文本 字符"/>
    <w:link w:val="24"/>
    <w:semiHidden/>
    <w:qFormat/>
    <w:uiPriority w:val="0"/>
    <w:rPr>
      <w:rFonts w:eastAsia="宋体"/>
      <w:kern w:val="2"/>
      <w:sz w:val="18"/>
      <w:szCs w:val="18"/>
      <w:lang w:val="en-US" w:eastAsia="zh-CN" w:bidi="ar-SA"/>
    </w:rPr>
  </w:style>
  <w:style w:type="paragraph" w:customStyle="1" w:styleId="95">
    <w:name w:val="font7"/>
    <w:basedOn w:val="1"/>
    <w:qFormat/>
    <w:uiPriority w:val="0"/>
    <w:pPr>
      <w:widowControl/>
      <w:numPr>
        <w:ilvl w:val="0"/>
        <w:numId w:val="4"/>
      </w:numPr>
      <w:tabs>
        <w:tab w:val="clear" w:pos="709"/>
      </w:tabs>
      <w:spacing w:before="100" w:beforeAutospacing="1" w:after="100" w:afterAutospacing="1"/>
      <w:ind w:left="0" w:firstLine="0"/>
      <w:jc w:val="left"/>
    </w:pPr>
    <w:rPr>
      <w:rFonts w:hint="eastAsia" w:ascii="宋体" w:hAnsi="宋体"/>
      <w:kern w:val="0"/>
      <w:sz w:val="18"/>
      <w:szCs w:val="18"/>
    </w:rPr>
  </w:style>
  <w:style w:type="paragraph" w:customStyle="1" w:styleId="96">
    <w:name w:val="xl2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kern w:val="0"/>
      <w:sz w:val="24"/>
      <w:szCs w:val="24"/>
    </w:rPr>
  </w:style>
  <w:style w:type="paragraph" w:customStyle="1" w:styleId="97">
    <w:name w:val="p1"/>
    <w:basedOn w:val="1"/>
    <w:qFormat/>
    <w:uiPriority w:val="0"/>
    <w:pPr>
      <w:spacing w:line="380" w:lineRule="atLeast"/>
      <w:jc w:val="left"/>
    </w:pPr>
    <w:rPr>
      <w:rFonts w:ascii="Helvetica Neue" w:hAnsi="Helvetica Neue" w:eastAsia="Helvetica Neue"/>
      <w:kern w:val="0"/>
      <w:sz w:val="26"/>
      <w:szCs w:val="26"/>
    </w:rPr>
  </w:style>
  <w:style w:type="paragraph" w:customStyle="1" w:styleId="98">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szCs w:val="24"/>
    </w:rPr>
  </w:style>
  <w:style w:type="paragraph" w:customStyle="1" w:styleId="99">
    <w:name w:val="标题3"/>
    <w:basedOn w:val="1"/>
    <w:next w:val="1"/>
    <w:qFormat/>
    <w:uiPriority w:val="0"/>
    <w:pPr>
      <w:autoSpaceDE w:val="0"/>
      <w:autoSpaceDN w:val="0"/>
      <w:snapToGrid w:val="0"/>
      <w:spacing w:line="590" w:lineRule="atLeast"/>
      <w:ind w:firstLine="624"/>
    </w:pPr>
    <w:rPr>
      <w:rFonts w:ascii="方正黑体_GBK" w:eastAsia="方正黑体_GBK"/>
      <w:snapToGrid w:val="0"/>
      <w:kern w:val="0"/>
      <w:sz w:val="32"/>
      <w:szCs w:val="32"/>
    </w:rPr>
  </w:style>
  <w:style w:type="paragraph" w:customStyle="1" w:styleId="100">
    <w:name w:val="xl2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szCs w:val="24"/>
    </w:rPr>
  </w:style>
  <w:style w:type="paragraph" w:customStyle="1" w:styleId="101">
    <w:name w:val="xl25"/>
    <w:basedOn w:val="1"/>
    <w:qFormat/>
    <w:uiPriority w:val="0"/>
    <w:pPr>
      <w:widowControl/>
      <w:spacing w:before="100" w:beforeAutospacing="1" w:after="100" w:afterAutospacing="1"/>
      <w:jc w:val="center"/>
      <w:textAlignment w:val="center"/>
    </w:pPr>
    <w:rPr>
      <w:rFonts w:ascii="Arial Unicode MS" w:hAnsi="Arial Unicode MS" w:eastAsia="Arial Unicode MS" w:cs="Arial Unicode MS"/>
      <w:kern w:val="0"/>
      <w:sz w:val="24"/>
      <w:szCs w:val="24"/>
    </w:rPr>
  </w:style>
  <w:style w:type="paragraph" w:customStyle="1" w:styleId="102">
    <w:name w:val="font6"/>
    <w:basedOn w:val="1"/>
    <w:qFormat/>
    <w:uiPriority w:val="0"/>
    <w:pPr>
      <w:widowControl/>
      <w:spacing w:before="100" w:beforeAutospacing="1" w:after="100" w:afterAutospacing="1"/>
      <w:jc w:val="left"/>
    </w:pPr>
    <w:rPr>
      <w:rFonts w:hint="eastAsia" w:ascii="宋体" w:hAnsi="宋体"/>
      <w:kern w:val="0"/>
      <w:sz w:val="28"/>
      <w:szCs w:val="28"/>
      <w:u w:val="single"/>
    </w:rPr>
  </w:style>
  <w:style w:type="paragraph" w:customStyle="1" w:styleId="103">
    <w:name w:val="Char Char Char Char Char Char Char Char Char Char"/>
    <w:basedOn w:val="1"/>
    <w:qFormat/>
    <w:uiPriority w:val="0"/>
    <w:pPr>
      <w:adjustRightInd w:val="0"/>
      <w:spacing w:line="360" w:lineRule="auto"/>
    </w:pPr>
    <w:rPr>
      <w:kern w:val="0"/>
      <w:sz w:val="24"/>
      <w:szCs w:val="20"/>
    </w:rPr>
  </w:style>
  <w:style w:type="paragraph" w:customStyle="1" w:styleId="104">
    <w:name w:val="附录1"/>
    <w:qFormat/>
    <w:uiPriority w:val="0"/>
    <w:pPr>
      <w:tabs>
        <w:tab w:val="left" w:pos="907"/>
      </w:tabs>
      <w:snapToGrid w:val="0"/>
      <w:spacing w:before="240" w:line="600" w:lineRule="atLeast"/>
      <w:ind w:left="907" w:hanging="907"/>
    </w:pPr>
    <w:rPr>
      <w:rFonts w:ascii="Times New Roman" w:hAnsi="Times New Roman" w:eastAsia="宋体" w:cs="Times New Roman"/>
      <w:b/>
      <w:i/>
      <w:sz w:val="28"/>
      <w:lang w:val="en-US" w:eastAsia="zh-CN" w:bidi="ar-SA"/>
    </w:rPr>
  </w:style>
  <w:style w:type="paragraph" w:customStyle="1" w:styleId="105">
    <w:name w:val="_Style 30"/>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06">
    <w:name w:val="图标"/>
    <w:basedOn w:val="1"/>
    <w:next w:val="1"/>
    <w:qFormat/>
    <w:uiPriority w:val="0"/>
    <w:pPr>
      <w:tabs>
        <w:tab w:val="left" w:pos="567"/>
        <w:tab w:val="left" w:pos="840"/>
      </w:tabs>
      <w:autoSpaceDE w:val="0"/>
      <w:autoSpaceDN w:val="0"/>
      <w:adjustRightInd w:val="0"/>
      <w:snapToGrid w:val="0"/>
      <w:spacing w:before="120" w:after="120" w:line="320" w:lineRule="atLeast"/>
      <w:ind w:left="840" w:hanging="420"/>
      <w:jc w:val="center"/>
      <w:textAlignment w:val="baseline"/>
    </w:pPr>
    <w:rPr>
      <w:rFonts w:eastAsia="仿宋_GB2312"/>
      <w:kern w:val="0"/>
      <w:sz w:val="24"/>
      <w:szCs w:val="20"/>
    </w:rPr>
  </w:style>
  <w:style w:type="paragraph" w:customStyle="1" w:styleId="107">
    <w:name w:val="普通正文"/>
    <w:basedOn w:val="1"/>
    <w:qFormat/>
    <w:uiPriority w:val="0"/>
    <w:pPr>
      <w:adjustRightInd w:val="0"/>
      <w:spacing w:before="120" w:after="120" w:line="360" w:lineRule="auto"/>
      <w:ind w:firstLine="480"/>
      <w:jc w:val="left"/>
      <w:textAlignment w:val="baseline"/>
    </w:pPr>
    <w:rPr>
      <w:rFonts w:ascii="Arial" w:hAnsi="Arial"/>
      <w:kern w:val="0"/>
      <w:sz w:val="24"/>
      <w:szCs w:val="24"/>
    </w:rPr>
  </w:style>
  <w:style w:type="paragraph" w:customStyle="1" w:styleId="108">
    <w:name w:val="列出段落1"/>
    <w:basedOn w:val="1"/>
    <w:qFormat/>
    <w:uiPriority w:val="99"/>
    <w:pPr>
      <w:ind w:firstLine="420" w:firstLineChars="200"/>
    </w:pPr>
  </w:style>
  <w:style w:type="paragraph" w:customStyle="1" w:styleId="109">
    <w:name w:val="标题1"/>
    <w:basedOn w:val="1"/>
    <w:next w:val="1"/>
    <w:qFormat/>
    <w:uiPriority w:val="0"/>
    <w:pPr>
      <w:tabs>
        <w:tab w:val="left" w:pos="9193"/>
        <w:tab w:val="left" w:pos="9827"/>
      </w:tabs>
      <w:autoSpaceDE w:val="0"/>
      <w:autoSpaceDN w:val="0"/>
      <w:snapToGrid w:val="0"/>
      <w:spacing w:line="700" w:lineRule="atLeast"/>
      <w:jc w:val="center"/>
    </w:pPr>
    <w:rPr>
      <w:rFonts w:ascii="方正小标宋_GBK" w:eastAsia="方正小标宋_GBK"/>
      <w:snapToGrid w:val="0"/>
      <w:kern w:val="0"/>
      <w:sz w:val="44"/>
      <w:szCs w:val="20"/>
    </w:rPr>
  </w:style>
  <w:style w:type="paragraph" w:customStyle="1" w:styleId="110">
    <w:name w:val="样式1"/>
    <w:basedOn w:val="1"/>
    <w:qFormat/>
    <w:uiPriority w:val="0"/>
    <w:pPr>
      <w:tabs>
        <w:tab w:val="left" w:pos="709"/>
      </w:tabs>
      <w:adjustRightInd w:val="0"/>
      <w:ind w:left="709" w:hanging="709"/>
      <w:textAlignment w:val="baseline"/>
    </w:pPr>
    <w:rPr>
      <w:rFonts w:ascii="宋体" w:hAnsi="宋体"/>
      <w:kern w:val="0"/>
    </w:rPr>
  </w:style>
  <w:style w:type="paragraph" w:customStyle="1" w:styleId="111">
    <w:name w:val="Char"/>
    <w:basedOn w:val="1"/>
    <w:qFormat/>
    <w:uiPriority w:val="0"/>
    <w:pPr>
      <w:tabs>
        <w:tab w:val="left" w:pos="360"/>
      </w:tabs>
      <w:ind w:firstLine="200" w:firstLineChars="200"/>
    </w:pPr>
    <w:rPr>
      <w:sz w:val="28"/>
      <w:szCs w:val="30"/>
    </w:rPr>
  </w:style>
  <w:style w:type="paragraph" w:customStyle="1" w:styleId="112">
    <w:name w:val="table_1stline"/>
    <w:basedOn w:val="1"/>
    <w:qFormat/>
    <w:uiPriority w:val="0"/>
    <w:pPr>
      <w:widowControl/>
      <w:spacing w:before="120"/>
      <w:jc w:val="left"/>
    </w:pPr>
    <w:rPr>
      <w:bCs/>
      <w:kern w:val="0"/>
      <w:sz w:val="20"/>
      <w:szCs w:val="20"/>
      <w:lang w:val="de-DE" w:eastAsia="de-DE"/>
    </w:rPr>
  </w:style>
  <w:style w:type="paragraph" w:customStyle="1" w:styleId="113">
    <w:name w:val="table_lines"/>
    <w:basedOn w:val="1"/>
    <w:qFormat/>
    <w:uiPriority w:val="0"/>
    <w:pPr>
      <w:widowControl/>
      <w:jc w:val="left"/>
    </w:pPr>
    <w:rPr>
      <w:kern w:val="0"/>
      <w:sz w:val="20"/>
      <w:szCs w:val="20"/>
      <w:lang w:val="de-DE" w:eastAsia="de-DE"/>
    </w:rPr>
  </w:style>
  <w:style w:type="paragraph" w:customStyle="1" w:styleId="114">
    <w:name w:val="xl30"/>
    <w:basedOn w:val="1"/>
    <w:qFormat/>
    <w:uiPriority w:val="0"/>
    <w:pPr>
      <w:widowControl/>
      <w:spacing w:before="100" w:beforeAutospacing="1" w:after="100" w:afterAutospacing="1"/>
      <w:jc w:val="center"/>
    </w:pPr>
    <w:rPr>
      <w:rFonts w:ascii="宋体" w:hAnsi="宋体"/>
      <w:b/>
      <w:bCs/>
      <w:kern w:val="0"/>
      <w:sz w:val="36"/>
      <w:szCs w:val="36"/>
    </w:rPr>
  </w:style>
  <w:style w:type="paragraph" w:customStyle="1" w:styleId="115">
    <w:name w:val="Char Char Char Char1"/>
    <w:basedOn w:val="13"/>
    <w:qFormat/>
    <w:uiPriority w:val="0"/>
    <w:pPr>
      <w:adjustRightInd w:val="0"/>
      <w:snapToGrid w:val="0"/>
      <w:spacing w:line="360" w:lineRule="auto"/>
    </w:pPr>
    <w:rPr>
      <w:rFonts w:ascii="Tahoma" w:hAnsi="Tahoma"/>
      <w:kern w:val="0"/>
      <w:sz w:val="24"/>
      <w:szCs w:val="24"/>
    </w:rPr>
  </w:style>
  <w:style w:type="paragraph" w:customStyle="1" w:styleId="116">
    <w:name w:val="font5"/>
    <w:basedOn w:val="1"/>
    <w:qFormat/>
    <w:uiPriority w:val="0"/>
    <w:pPr>
      <w:widowControl/>
      <w:numPr>
        <w:ilvl w:val="0"/>
        <w:numId w:val="5"/>
      </w:numPr>
      <w:tabs>
        <w:tab w:val="clear" w:pos="907"/>
      </w:tabs>
      <w:spacing w:before="100" w:beforeAutospacing="1" w:after="100" w:afterAutospacing="1"/>
      <w:ind w:left="0" w:firstLine="0"/>
      <w:jc w:val="left"/>
    </w:pPr>
    <w:rPr>
      <w:rFonts w:hint="eastAsia" w:ascii="宋体" w:hAnsi="宋体"/>
      <w:kern w:val="0"/>
      <w:sz w:val="28"/>
      <w:szCs w:val="28"/>
    </w:rPr>
  </w:style>
  <w:style w:type="paragraph" w:customStyle="1" w:styleId="117">
    <w:name w:val="xl2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kern w:val="0"/>
      <w:sz w:val="24"/>
      <w:szCs w:val="24"/>
    </w:rPr>
  </w:style>
  <w:style w:type="paragraph" w:customStyle="1" w:styleId="118">
    <w:name w:val="Char Char Char Char"/>
    <w:basedOn w:val="13"/>
    <w:qFormat/>
    <w:uiPriority w:val="0"/>
    <w:pPr>
      <w:adjustRightInd w:val="0"/>
      <w:snapToGrid w:val="0"/>
      <w:spacing w:line="360" w:lineRule="auto"/>
    </w:pPr>
    <w:rPr>
      <w:rFonts w:ascii="Tahoma" w:hAnsi="Tahoma"/>
      <w:sz w:val="24"/>
      <w:szCs w:val="24"/>
    </w:rPr>
  </w:style>
  <w:style w:type="paragraph" w:customStyle="1" w:styleId="119">
    <w:name w:val="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20">
    <w:name w:val="Char Char Char Char Char 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121">
    <w:name w:val="列表内容"/>
    <w:basedOn w:val="1"/>
    <w:next w:val="1"/>
    <w:qFormat/>
    <w:uiPriority w:val="0"/>
    <w:pPr>
      <w:widowControl/>
      <w:numPr>
        <w:ilvl w:val="0"/>
        <w:numId w:val="6"/>
      </w:numPr>
      <w:tabs>
        <w:tab w:val="left" w:pos="840"/>
      </w:tabs>
      <w:jc w:val="left"/>
    </w:pPr>
    <w:rPr>
      <w:kern w:val="0"/>
      <w:sz w:val="18"/>
      <w:szCs w:val="24"/>
    </w:rPr>
  </w:style>
  <w:style w:type="paragraph" w:customStyle="1" w:styleId="122">
    <w:name w:val="Body Text(ch)"/>
    <w:basedOn w:val="1"/>
    <w:next w:val="16"/>
    <w:qFormat/>
    <w:uiPriority w:val="0"/>
    <w:pPr>
      <w:spacing w:after="120"/>
    </w:pPr>
    <w:rPr>
      <w:rFonts w:ascii="宋体" w:hAnsi="Arial"/>
      <w:bCs/>
      <w:iCs/>
      <w:szCs w:val="24"/>
    </w:rPr>
  </w:style>
  <w:style w:type="paragraph" w:styleId="123">
    <w:name w:val="List Paragraph"/>
    <w:basedOn w:val="1"/>
    <w:qFormat/>
    <w:uiPriority w:val="34"/>
    <w:pPr>
      <w:widowControl/>
      <w:ind w:left="720"/>
      <w:contextualSpacing/>
      <w:jc w:val="left"/>
    </w:pPr>
    <w:rPr>
      <w:rFonts w:ascii="Calibri" w:hAnsi="Calibri"/>
      <w:kern w:val="0"/>
      <w:sz w:val="24"/>
      <w:szCs w:val="24"/>
      <w:lang w:eastAsia="en-US" w:bidi="en-US"/>
    </w:rPr>
  </w:style>
  <w:style w:type="paragraph" w:customStyle="1" w:styleId="124">
    <w:name w:val="Char11"/>
    <w:basedOn w:val="13"/>
    <w:qFormat/>
    <w:uiPriority w:val="0"/>
    <w:rPr>
      <w:rFonts w:ascii="Tahoma" w:hAnsi="Tahoma"/>
      <w:sz w:val="24"/>
      <w:szCs w:val="24"/>
    </w:rPr>
  </w:style>
  <w:style w:type="paragraph" w:customStyle="1" w:styleId="125">
    <w:name w:val="普通 (Web)"/>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126">
    <w:name w:val="_Style 4"/>
    <w:basedOn w:val="13"/>
    <w:qFormat/>
    <w:uiPriority w:val="0"/>
    <w:pPr>
      <w:shd w:val="clear" w:color="auto" w:fill="auto"/>
      <w:spacing w:line="360" w:lineRule="auto"/>
      <w:jc w:val="left"/>
    </w:pPr>
    <w:rPr>
      <w:kern w:val="0"/>
      <w:sz w:val="20"/>
      <w:szCs w:val="20"/>
    </w:rPr>
  </w:style>
  <w:style w:type="paragraph" w:customStyle="1" w:styleId="127">
    <w:name w:val="4"/>
    <w:basedOn w:val="1"/>
    <w:next w:val="30"/>
    <w:qFormat/>
    <w:uiPriority w:val="0"/>
    <w:pPr>
      <w:spacing w:line="360" w:lineRule="auto"/>
      <w:ind w:firstLine="420"/>
    </w:pPr>
    <w:rPr>
      <w:color w:val="FF0000"/>
      <w:sz w:val="24"/>
      <w:szCs w:val="24"/>
    </w:rPr>
  </w:style>
  <w:style w:type="paragraph" w:customStyle="1" w:styleId="128">
    <w:name w:val="Char Char Char Char Char Char Char Char2"/>
    <w:basedOn w:val="1"/>
    <w:qFormat/>
    <w:uiPriority w:val="0"/>
    <w:pPr>
      <w:widowControl/>
      <w:spacing w:after="160" w:line="240" w:lineRule="exact"/>
      <w:jc w:val="left"/>
    </w:pPr>
    <w:rPr>
      <w:rFonts w:ascii="Verdana" w:hAnsi="Verdana"/>
      <w:kern w:val="0"/>
      <w:sz w:val="20"/>
      <w:szCs w:val="20"/>
      <w:lang w:eastAsia="en-US"/>
    </w:rPr>
  </w:style>
  <w:style w:type="paragraph" w:customStyle="1" w:styleId="129">
    <w:name w:val="TOC 标题1"/>
    <w:basedOn w:val="2"/>
    <w:next w:val="1"/>
    <w:qFormat/>
    <w:uiPriority w:val="39"/>
    <w:pPr>
      <w:keepLines/>
      <w:widowControl/>
      <w:spacing w:before="480" w:line="276" w:lineRule="auto"/>
      <w:jc w:val="left"/>
      <w:outlineLvl w:val="9"/>
    </w:pPr>
    <w:rPr>
      <w:rFonts w:ascii="Cambria" w:hAnsi="Cambria"/>
      <w:bCs/>
      <w:color w:val="365F91"/>
      <w:kern w:val="0"/>
    </w:rPr>
  </w:style>
  <w:style w:type="paragraph" w:customStyle="1" w:styleId="130">
    <w:name w:val="xl29"/>
    <w:basedOn w:val="1"/>
    <w:qFormat/>
    <w:uiPriority w:val="0"/>
    <w:pPr>
      <w:widowControl/>
      <w:pBdr>
        <w:left w:val="single" w:color="auto" w:sz="4" w:space="0"/>
        <w:bottom w:val="single" w:color="auto" w:sz="4" w:space="0"/>
      </w:pBdr>
      <w:spacing w:before="100" w:beforeAutospacing="1" w:after="100" w:afterAutospacing="1"/>
      <w:jc w:val="left"/>
    </w:pPr>
    <w:rPr>
      <w:rFonts w:ascii="宋体" w:hAnsi="宋体"/>
      <w:kern w:val="0"/>
      <w:sz w:val="24"/>
      <w:szCs w:val="24"/>
    </w:rPr>
  </w:style>
  <w:style w:type="paragraph" w:customStyle="1" w:styleId="131">
    <w:name w:val="Char1"/>
    <w:basedOn w:val="1"/>
    <w:qFormat/>
    <w:uiPriority w:val="0"/>
    <w:pPr>
      <w:tabs>
        <w:tab w:val="left" w:pos="360"/>
      </w:tabs>
      <w:ind w:firstLine="200" w:firstLineChars="200"/>
    </w:pPr>
    <w:rPr>
      <w:sz w:val="28"/>
      <w:szCs w:val="30"/>
    </w:rPr>
  </w:style>
  <w:style w:type="paragraph" w:customStyle="1" w:styleId="132">
    <w:name w:val="Char2 Char1 Char"/>
    <w:basedOn w:val="1"/>
    <w:qFormat/>
    <w:uiPriority w:val="0"/>
    <w:pPr>
      <w:tabs>
        <w:tab w:val="left" w:pos="360"/>
      </w:tabs>
    </w:pPr>
    <w:rPr>
      <w:rFonts w:eastAsia="方正仿宋简体"/>
      <w:sz w:val="24"/>
      <w:szCs w:val="32"/>
    </w:rPr>
  </w:style>
  <w:style w:type="paragraph" w:customStyle="1" w:styleId="133">
    <w:name w:val="正文 A"/>
    <w:qFormat/>
    <w:uiPriority w:val="0"/>
    <w:pPr>
      <w:widowControl w:val="0"/>
      <w:jc w:val="both"/>
    </w:pPr>
    <w:rPr>
      <w:rFonts w:ascii="Times New Roman" w:hAnsi="Arial Unicode MS" w:eastAsia="Arial Unicode MS" w:cs="Arial Unicode MS"/>
      <w:color w:val="000000"/>
      <w:kern w:val="2"/>
      <w:sz w:val="21"/>
      <w:szCs w:val="21"/>
      <w:u w:color="000000"/>
      <w:lang w:val="en-US" w:eastAsia="zh-CN" w:bidi="ar-SA"/>
    </w:rPr>
  </w:style>
  <w:style w:type="paragraph" w:customStyle="1" w:styleId="134">
    <w:name w:val="Char Char Char Char2"/>
    <w:basedOn w:val="13"/>
    <w:qFormat/>
    <w:uiPriority w:val="0"/>
    <w:pPr>
      <w:adjustRightInd w:val="0"/>
      <w:snapToGrid w:val="0"/>
      <w:spacing w:line="360" w:lineRule="auto"/>
    </w:pPr>
    <w:rPr>
      <w:rFonts w:ascii="Tahoma" w:hAnsi="Tahoma"/>
      <w:sz w:val="24"/>
      <w:szCs w:val="24"/>
    </w:rPr>
  </w:style>
  <w:style w:type="paragraph" w:customStyle="1" w:styleId="135">
    <w:name w:val="_Style 119"/>
    <w:basedOn w:val="1"/>
    <w:next w:val="123"/>
    <w:qFormat/>
    <w:uiPriority w:val="34"/>
    <w:pPr>
      <w:widowControl/>
      <w:ind w:left="720"/>
      <w:contextualSpacing/>
      <w:jc w:val="left"/>
    </w:pPr>
    <w:rPr>
      <w:rFonts w:ascii="Calibri" w:hAnsi="Calibri"/>
      <w:kern w:val="0"/>
      <w:sz w:val="24"/>
      <w:szCs w:val="24"/>
      <w:lang w:eastAsia="en-US" w:bidi="en-US"/>
    </w:rPr>
  </w:style>
  <w:style w:type="paragraph" w:customStyle="1" w:styleId="136">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37">
    <w:name w:val="Table Paragraph"/>
    <w:basedOn w:val="1"/>
    <w:qFormat/>
    <w:uiPriority w:val="1"/>
  </w:style>
  <w:style w:type="character" w:customStyle="1" w:styleId="138">
    <w:name w:val="纯文本 字符"/>
    <w:qFormat/>
    <w:uiPriority w:val="0"/>
    <w:rPr>
      <w:rFonts w:ascii="宋体" w:hAnsi="Courier New" w:cs="Courier New"/>
      <w:kern w:val="2"/>
      <w:sz w:val="21"/>
      <w:szCs w:val="21"/>
    </w:rPr>
  </w:style>
  <w:style w:type="character" w:customStyle="1" w:styleId="139">
    <w:name w:val="正文缩进 字符"/>
    <w:qFormat/>
    <w:uiPriority w:val="0"/>
    <w:rPr>
      <w:kern w:val="2"/>
      <w:sz w:val="21"/>
      <w:szCs w:val="21"/>
    </w:rPr>
  </w:style>
  <w:style w:type="paragraph" w:customStyle="1" w:styleId="140">
    <w:name w:val="缺省文本"/>
    <w:qFormat/>
    <w:uiPriority w:val="0"/>
    <w:pPr>
      <w:widowControl w:val="0"/>
      <w:autoSpaceDE w:val="0"/>
      <w:autoSpaceDN w:val="0"/>
      <w:adjustRightInd w:val="0"/>
    </w:pPr>
    <w:rPr>
      <w:rFonts w:ascii="Calibri" w:hAnsi="Calibri" w:eastAsia="宋体" w:cs="Times New Roman"/>
      <w:color w:val="000000"/>
      <w:sz w:val="21"/>
      <w:szCs w:val="22"/>
      <w:lang w:val="en-US" w:eastAsia="zh-CN" w:bidi="ar-SA"/>
    </w:rPr>
  </w:style>
  <w:style w:type="paragraph" w:customStyle="1" w:styleId="141">
    <w:name w:val="xl70"/>
    <w:basedOn w:val="1"/>
    <w:qFormat/>
    <w:uiPriority w:val="0"/>
    <w:pPr>
      <w:widowControl/>
      <w:spacing w:before="100" w:beforeAutospacing="1" w:after="100" w:afterAutospacing="1"/>
      <w:jc w:val="center"/>
    </w:pPr>
    <w:rPr>
      <w:rFonts w:ascii="宋体" w:hAnsi="宋体" w:cs="宋体"/>
      <w:kern w:val="0"/>
      <w:sz w:val="24"/>
      <w:szCs w:val="24"/>
    </w:rPr>
  </w:style>
  <w:style w:type="paragraph" w:customStyle="1" w:styleId="142">
    <w:name w:val="xl71"/>
    <w:basedOn w:val="1"/>
    <w:qFormat/>
    <w:uiPriority w:val="0"/>
    <w:pPr>
      <w:widowControl/>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143">
    <w:name w:val="xl7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144">
    <w:name w:val="xl7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145">
    <w:name w:val="xl7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46">
    <w:name w:val="xl7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47">
    <w:name w:val="xl7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48">
    <w:name w:val="xl7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49">
    <w:name w:val="xl7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50">
    <w:name w:val="xl7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51">
    <w:name w:val="xl8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D0D0D"/>
      <w:kern w:val="0"/>
      <w:sz w:val="20"/>
      <w:szCs w:val="20"/>
    </w:rPr>
  </w:style>
  <w:style w:type="paragraph" w:customStyle="1" w:styleId="152">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53">
    <w:name w:val="xl8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54">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0"/>
      <w:szCs w:val="20"/>
    </w:rPr>
  </w:style>
  <w:style w:type="paragraph" w:customStyle="1" w:styleId="155">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56">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57">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58">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59">
    <w:name w:val="xl8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60">
    <w:name w:val="xl8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D0D0D"/>
      <w:kern w:val="0"/>
      <w:sz w:val="20"/>
      <w:szCs w:val="20"/>
    </w:rPr>
  </w:style>
  <w:style w:type="paragraph" w:customStyle="1" w:styleId="161">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D0D0D"/>
      <w:kern w:val="0"/>
      <w:sz w:val="20"/>
      <w:szCs w:val="20"/>
    </w:rPr>
  </w:style>
  <w:style w:type="paragraph" w:customStyle="1" w:styleId="162">
    <w:name w:val="xl9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0"/>
      <w:szCs w:val="20"/>
    </w:rPr>
  </w:style>
  <w:style w:type="paragraph" w:customStyle="1" w:styleId="163">
    <w:name w:val="xl92"/>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164">
    <w:name w:val="xl93"/>
    <w:basedOn w:val="1"/>
    <w:qFormat/>
    <w:uiPriority w:val="0"/>
    <w:pPr>
      <w:widowControl/>
      <w:pBdr>
        <w:top w:val="single" w:color="auto" w:sz="4" w:space="0"/>
        <w:bottom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165">
    <w:name w:val="xl94"/>
    <w:basedOn w:val="1"/>
    <w:qFormat/>
    <w:uiPriority w:val="0"/>
    <w:pPr>
      <w:widowControl/>
      <w:shd w:val="clear" w:color="000000" w:fill="FFFFFF"/>
      <w:spacing w:before="100" w:beforeAutospacing="1" w:after="100" w:afterAutospacing="1"/>
      <w:jc w:val="center"/>
    </w:pPr>
    <w:rPr>
      <w:rFonts w:ascii="宋体" w:hAnsi="宋体" w:cs="宋体"/>
      <w:b/>
      <w:bCs/>
      <w:kern w:val="0"/>
      <w:sz w:val="28"/>
      <w:szCs w:val="28"/>
    </w:rPr>
  </w:style>
  <w:style w:type="paragraph" w:customStyle="1" w:styleId="166">
    <w:name w:val="xl95"/>
    <w:basedOn w:val="1"/>
    <w:qFormat/>
    <w:uiPriority w:val="0"/>
    <w:pPr>
      <w:widowControl/>
      <w:shd w:val="clear" w:color="000000" w:fill="FFFFFF"/>
      <w:spacing w:before="100" w:beforeAutospacing="1" w:after="100" w:afterAutospacing="1"/>
      <w:jc w:val="center"/>
    </w:pPr>
    <w:rPr>
      <w:rFonts w:ascii="宋体" w:hAnsi="宋体" w:cs="宋体"/>
      <w:b/>
      <w:bCs/>
      <w:kern w:val="0"/>
      <w:sz w:val="28"/>
      <w:szCs w:val="28"/>
    </w:rPr>
  </w:style>
  <w:style w:type="paragraph" w:customStyle="1" w:styleId="167">
    <w:name w:val="xl9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 w:val="20"/>
      <w:szCs w:val="20"/>
    </w:rPr>
  </w:style>
  <w:style w:type="paragraph" w:customStyle="1" w:styleId="168">
    <w:name w:val="xl97"/>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b/>
      <w:bCs/>
      <w:kern w:val="0"/>
      <w:sz w:val="20"/>
      <w:szCs w:val="20"/>
    </w:rPr>
  </w:style>
  <w:style w:type="paragraph" w:customStyle="1" w:styleId="169">
    <w:name w:val="xl98"/>
    <w:basedOn w:val="1"/>
    <w:qFormat/>
    <w:uiPriority w:val="0"/>
    <w:pPr>
      <w:widowControl/>
      <w:pBdr>
        <w:top w:val="single" w:color="auto" w:sz="4" w:space="0"/>
        <w:bottom w:val="single" w:color="auto" w:sz="4" w:space="0"/>
      </w:pBdr>
      <w:shd w:val="clear" w:color="000000" w:fill="FFFFFF"/>
      <w:spacing w:before="100" w:beforeAutospacing="1" w:after="100" w:afterAutospacing="1"/>
      <w:jc w:val="left"/>
    </w:pPr>
    <w:rPr>
      <w:rFonts w:ascii="宋体" w:hAnsi="宋体" w:cs="宋体"/>
      <w:kern w:val="0"/>
      <w:sz w:val="24"/>
      <w:szCs w:val="24"/>
    </w:rPr>
  </w:style>
  <w:style w:type="paragraph" w:customStyle="1" w:styleId="170">
    <w:name w:val="xl99"/>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szCs w:val="24"/>
    </w:rPr>
  </w:style>
  <w:style w:type="paragraph" w:customStyle="1" w:styleId="171">
    <w:name w:val="xl100"/>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172">
    <w:name w:val="xl101"/>
    <w:basedOn w:val="1"/>
    <w:qFormat/>
    <w:uiPriority w:val="0"/>
    <w:pPr>
      <w:widowControl/>
      <w:pBdr>
        <w:top w:val="single" w:color="auto" w:sz="4" w:space="0"/>
        <w:bottom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173">
    <w:name w:val="xl102"/>
    <w:basedOn w:val="1"/>
    <w:qFormat/>
    <w:uiPriority w:val="0"/>
    <w:pPr>
      <w:widowControl/>
      <w:shd w:val="clear" w:color="000000" w:fill="FFFFFF"/>
      <w:spacing w:before="100" w:beforeAutospacing="1" w:after="100" w:afterAutospacing="1"/>
      <w:jc w:val="center"/>
    </w:pPr>
    <w:rPr>
      <w:rFonts w:ascii="宋体" w:hAnsi="宋体" w:cs="宋体"/>
      <w:b/>
      <w:bCs/>
      <w:kern w:val="0"/>
      <w:sz w:val="28"/>
      <w:szCs w:val="28"/>
    </w:rPr>
  </w:style>
  <w:style w:type="paragraph" w:customStyle="1" w:styleId="174">
    <w:name w:val="xl103"/>
    <w:basedOn w:val="1"/>
    <w:qFormat/>
    <w:uiPriority w:val="0"/>
    <w:pPr>
      <w:widowControl/>
      <w:shd w:val="clear" w:color="000000" w:fill="FFFFFF"/>
      <w:spacing w:before="100" w:beforeAutospacing="1" w:after="100" w:afterAutospacing="1"/>
      <w:jc w:val="center"/>
    </w:pPr>
    <w:rPr>
      <w:rFonts w:ascii="宋体" w:hAnsi="宋体" w:cs="宋体"/>
      <w:b/>
      <w:bCs/>
      <w:kern w:val="0"/>
      <w:sz w:val="28"/>
      <w:szCs w:val="28"/>
    </w:rPr>
  </w:style>
  <w:style w:type="paragraph" w:customStyle="1" w:styleId="175">
    <w:name w:val="xl104"/>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176">
    <w:name w:val="xl68"/>
    <w:basedOn w:val="1"/>
    <w:qFormat/>
    <w:uiPriority w:val="0"/>
    <w:pPr>
      <w:widowControl/>
      <w:spacing w:before="100" w:beforeAutospacing="1" w:after="100" w:afterAutospacing="1"/>
      <w:jc w:val="left"/>
    </w:pPr>
    <w:rPr>
      <w:rFonts w:ascii="宋体" w:hAnsi="宋体" w:cs="宋体"/>
      <w:color w:val="000000"/>
      <w:kern w:val="0"/>
      <w:sz w:val="24"/>
      <w:szCs w:val="24"/>
    </w:rPr>
  </w:style>
  <w:style w:type="paragraph" w:customStyle="1" w:styleId="177">
    <w:name w:val="xl69"/>
    <w:basedOn w:val="1"/>
    <w:qFormat/>
    <w:uiPriority w:val="0"/>
    <w:pPr>
      <w:widowControl/>
      <w:spacing w:before="100" w:beforeAutospacing="1" w:after="100" w:afterAutospacing="1"/>
      <w:jc w:val="left"/>
    </w:pPr>
    <w:rPr>
      <w:rFonts w:ascii="宋体" w:hAnsi="宋体" w:cs="宋体"/>
      <w:kern w:val="0"/>
      <w:sz w:val="20"/>
      <w:szCs w:val="20"/>
    </w:rPr>
  </w:style>
  <w:style w:type="character" w:customStyle="1" w:styleId="178">
    <w:name w:val="超链接_0"/>
    <w:qFormat/>
    <w:uiPriority w:val="99"/>
    <w:rPr>
      <w:rFonts w:hint="default" w:ascii="Calibri" w:hAnsi="Calibri" w:cs="Calibri"/>
      <w:color w:val="0000FF"/>
      <w:u w:val="single"/>
    </w:rPr>
  </w:style>
  <w:style w:type="paragraph" w:customStyle="1" w:styleId="179">
    <w:name w:val="正文_0"/>
    <w:basedOn w:val="1"/>
    <w:next w:val="1"/>
    <w:qFormat/>
    <w:uiPriority w:val="0"/>
    <w:pPr>
      <w:spacing w:after="200" w:line="276" w:lineRule="auto"/>
    </w:pPr>
    <w:rPr>
      <w:rFonts w:ascii="Calibri" w:hAnsi="Calibri"/>
      <w:szCs w:val="24"/>
    </w:rPr>
  </w:style>
  <w:style w:type="paragraph" w:customStyle="1" w:styleId="180">
    <w:name w:val="普通(网站)1"/>
    <w:basedOn w:val="1"/>
    <w:qFormat/>
    <w:uiPriority w:val="0"/>
    <w:pPr>
      <w:spacing w:beforeAutospacing="1" w:afterAutospacing="1"/>
      <w:jc w:val="left"/>
    </w:pPr>
    <w:rPr>
      <w:rFonts w:ascii="Calibri" w:hAnsi="Calibri"/>
      <w:kern w:val="0"/>
      <w:sz w:val="24"/>
    </w:rPr>
  </w:style>
  <w:style w:type="character" w:customStyle="1" w:styleId="181">
    <w:name w:val="bookmark-item"/>
    <w:basedOn w:val="39"/>
    <w:qFormat/>
    <w:uiPriority w:val="0"/>
  </w:style>
  <w:style w:type="paragraph" w:customStyle="1" w:styleId="182">
    <w:name w:val="表格"/>
    <w:basedOn w:val="28"/>
    <w:next w:val="1"/>
    <w:qFormat/>
    <w:uiPriority w:val="0"/>
    <w:pPr>
      <w:adjustRightInd w:val="0"/>
      <w:snapToGrid w:val="0"/>
      <w:spacing w:before="20" w:after="20"/>
      <w:jc w:val="center"/>
      <w:textAlignment w:val="baseline"/>
    </w:pPr>
    <w:rPr>
      <w:rFonts w:ascii="Arial" w:hAnsi="Arial"/>
      <w:snapToGrid w:val="0"/>
    </w:rPr>
  </w:style>
  <w:style w:type="character" w:customStyle="1" w:styleId="183">
    <w:name w:val="btn-auto-1"/>
    <w:basedOn w:val="39"/>
    <w:qFormat/>
    <w:uiPriority w:val="0"/>
  </w:style>
  <w:style w:type="character" w:customStyle="1" w:styleId="184">
    <w:name w:val="s1"/>
    <w:basedOn w:val="39"/>
    <w:qFormat/>
    <w:uiPriority w:val="0"/>
    <w:rPr>
      <w:color w:val="DDDDDD"/>
      <w:sz w:val="14"/>
      <w:szCs w:val="14"/>
    </w:rPr>
  </w:style>
  <w:style w:type="character" w:customStyle="1" w:styleId="185">
    <w:name w:val="btn-task-gray2"/>
    <w:basedOn w:val="39"/>
    <w:qFormat/>
    <w:uiPriority w:val="0"/>
    <w:rPr>
      <w:color w:val="FFFFFF"/>
      <w:u w:val="none"/>
      <w:shd w:val="clear" w:color="auto" w:fill="CCCCCC"/>
    </w:rPr>
  </w:style>
  <w:style w:type="character" w:customStyle="1" w:styleId="186">
    <w:name w:val="btn-task-gray3"/>
    <w:basedOn w:val="39"/>
    <w:qFormat/>
    <w:uiPriority w:val="0"/>
  </w:style>
  <w:style w:type="character" w:customStyle="1" w:styleId="187">
    <w:name w:val="fontstyle01"/>
    <w:basedOn w:val="39"/>
    <w:qFormat/>
    <w:uiPriority w:val="0"/>
    <w:rPr>
      <w:rFonts w:ascii="仿宋" w:hAnsi="仿宋" w:eastAsia="仿宋" w:cs="仿宋"/>
      <w:color w:val="000000"/>
      <w:sz w:val="32"/>
      <w:szCs w:val="32"/>
    </w:rPr>
  </w:style>
  <w:style w:type="paragraph" w:customStyle="1" w:styleId="188">
    <w:name w:val="修订1"/>
    <w:hidden/>
    <w:semiHidden/>
    <w:qFormat/>
    <w:uiPriority w:val="99"/>
    <w:rPr>
      <w:rFonts w:ascii="Times New Roman" w:hAnsi="Times New Roman" w:eastAsia="宋体" w:cs="Times New Roman"/>
      <w:kern w:val="2"/>
      <w:sz w:val="21"/>
      <w:szCs w:val="21"/>
      <w:lang w:val="en-US" w:eastAsia="zh-CN" w:bidi="ar-SA"/>
    </w:rPr>
  </w:style>
  <w:style w:type="paragraph" w:customStyle="1" w:styleId="189">
    <w:name w:val="msonormal"/>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90">
    <w:name w:val="xl65"/>
    <w:basedOn w:val="1"/>
    <w:qFormat/>
    <w:uiPriority w:val="0"/>
    <w:pPr>
      <w:widowControl/>
      <w:spacing w:before="100" w:beforeAutospacing="1" w:after="100" w:afterAutospacing="1"/>
      <w:jc w:val="center"/>
    </w:pPr>
    <w:rPr>
      <w:rFonts w:ascii="宋体" w:hAnsi="宋体" w:cs="宋体"/>
      <w:kern w:val="0"/>
      <w:sz w:val="24"/>
      <w:szCs w:val="24"/>
    </w:rPr>
  </w:style>
  <w:style w:type="paragraph" w:customStyle="1" w:styleId="191">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92">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szCs w:val="24"/>
    </w:rPr>
  </w:style>
  <w:style w:type="paragraph" w:customStyle="1" w:styleId="193">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194">
    <w:name w:val="正文2"/>
    <w:basedOn w:val="1"/>
    <w:qFormat/>
    <w:uiPriority w:val="0"/>
    <w:pPr>
      <w:spacing w:before="156" w:line="360" w:lineRule="auto"/>
      <w:ind w:firstLine="510" w:firstLineChars="200"/>
    </w:pPr>
    <w:rPr>
      <w:sz w:val="24"/>
    </w:rPr>
  </w:style>
  <w:style w:type="paragraph" w:customStyle="1" w:styleId="195">
    <w:name w:val="正文_0_1_1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96">
    <w:name w:val="正文文本缩进_2"/>
    <w:basedOn w:val="197"/>
    <w:qFormat/>
    <w:uiPriority w:val="0"/>
    <w:pPr>
      <w:spacing w:line="500" w:lineRule="exact"/>
      <w:ind w:left="1588" w:leftChars="832" w:firstLine="433" w:firstLineChars="196"/>
    </w:pPr>
    <w:rPr>
      <w:kern w:val="0"/>
      <w:sz w:val="24"/>
    </w:rPr>
  </w:style>
  <w:style w:type="paragraph" w:customStyle="1" w:styleId="197">
    <w:name w:val="正文_1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8">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character" w:customStyle="1" w:styleId="199">
    <w:name w:val="layui-layer-tabnow"/>
    <w:basedOn w:val="39"/>
    <w:qFormat/>
    <w:uiPriority w:val="0"/>
    <w:rPr>
      <w:bdr w:val="single" w:color="CCCCCC" w:sz="4" w:space="0"/>
      <w:shd w:val="clear" w:color="auto" w:fill="FFFFFF"/>
    </w:rPr>
  </w:style>
  <w:style w:type="character" w:customStyle="1" w:styleId="200">
    <w:name w:val="first-child"/>
    <w:basedOn w:val="39"/>
    <w:qFormat/>
    <w:uiPriority w:val="0"/>
  </w:style>
  <w:style w:type="table" w:customStyle="1" w:styleId="201">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26AF77E-A655-48F2-9CDA-51D0A9859D86}">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66</Pages>
  <Words>14164</Words>
  <Characters>15276</Characters>
  <Lines>328</Lines>
  <Paragraphs>92</Paragraphs>
  <TotalTime>0</TotalTime>
  <ScaleCrop>false</ScaleCrop>
  <LinksUpToDate>false</LinksUpToDate>
  <CharactersWithSpaces>15470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2024-03-22T05:32:00Z</dcterms:created>
  <dc:creator>yinjian</dc:creator>
  <cp:lastModifiedBy>..减..</cp:lastModifiedBy>
  <cp:lastPrinted>2025-02-11T14:50:16Z</cp:lastPrinted>
  <dcterms:modified xsi:type="dcterms:W3CDTF">2025-02-11T14:50:21Z</dcterms:modified>
  <dc:title>招　标　文　件</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65CD6798DEB140E2B7544A445866E58E_13</vt:lpwstr>
  </property>
  <property fmtid="{D5CDD505-2E9C-101B-9397-08002B2CF9AE}" pid="4" name="KSOTemplateDocerSaveRecord">
    <vt:lpwstr>eyJoZGlkIjoiYjk5ZDc5NGRlZDMxZmM4YjdiYzEyZjQ1MGIxMGYyMGUiLCJ1c2VySWQiOiIyNDY1OTMwMDQifQ==</vt:lpwstr>
  </property>
</Properties>
</file>