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5B4F48">
      <w:pPr>
        <w:shd w:val="clear"/>
        <w:wordWrap w:val="0"/>
        <w:spacing w:line="579" w:lineRule="exact"/>
        <w:ind w:right="39"/>
        <w:jc w:val="both"/>
        <w:rPr>
          <w:rFonts w:hint="default" w:ascii="仿宋" w:hAnsi="仿宋" w:eastAsia="仿宋" w:cs="仿宋"/>
          <w:color w:val="auto"/>
          <w:sz w:val="32"/>
          <w:szCs w:val="21"/>
          <w:highlight w:val="none"/>
          <w:lang w:val="en-US" w:eastAsia="zh-CN"/>
        </w:rPr>
      </w:pPr>
      <w:r>
        <w:rPr>
          <w:rFonts w:hint="eastAsia" w:ascii="仿宋" w:hAnsi="仿宋" w:eastAsia="仿宋" w:cs="仿宋"/>
          <w:color w:val="auto"/>
          <w:sz w:val="32"/>
          <w:szCs w:val="21"/>
          <w:highlight w:val="none"/>
          <w:lang w:val="en-US" w:eastAsia="zh-CN"/>
        </w:rPr>
        <w:t xml:space="preserve">    </w:t>
      </w:r>
    </w:p>
    <w:p w14:paraId="1D9EED87">
      <w:pPr>
        <w:keepNext w:val="0"/>
        <w:keepLines w:val="0"/>
        <w:pageBreakBefore w:val="0"/>
        <w:widowControl/>
        <w:shd w:val="clear"/>
        <w:kinsoku/>
        <w:overflowPunct/>
        <w:topLinePunct w:val="0"/>
        <w:autoSpaceDE/>
        <w:autoSpaceDN/>
        <w:bidi w:val="0"/>
        <w:adjustRightInd/>
        <w:snapToGrid/>
        <w:spacing w:line="360" w:lineRule="auto"/>
        <w:ind w:right="0"/>
        <w:jc w:val="center"/>
        <w:textAlignment w:val="baseline"/>
        <w:rPr>
          <w:rFonts w:ascii="仿宋" w:hAnsi="仿宋" w:eastAsia="仿宋" w:cs="仿宋"/>
          <w:color w:val="auto"/>
          <w:sz w:val="32"/>
          <w:szCs w:val="18"/>
          <w:highlight w:val="none"/>
          <w:lang w:eastAsia="zh-CN"/>
        </w:rPr>
      </w:pPr>
      <w:bookmarkStart w:id="0" w:name="OLE_LINK1"/>
      <w:bookmarkStart w:id="1" w:name="OLE_LINK3"/>
      <w:r>
        <w:rPr>
          <w:rFonts w:hint="eastAsia" w:ascii="仿宋" w:hAnsi="仿宋" w:eastAsia="仿宋" w:cs="仿宋"/>
          <w:color w:val="auto"/>
          <w:sz w:val="32"/>
          <w:szCs w:val="18"/>
          <w:highlight w:val="none"/>
          <w:lang w:val="en-US" w:eastAsia="zh-CN"/>
        </w:rPr>
        <w:t>2025年自治区建设用地节约集约利用评价模型功能完善</w:t>
      </w:r>
      <w:bookmarkEnd w:id="0"/>
    </w:p>
    <w:bookmarkEnd w:id="1"/>
    <w:p w14:paraId="6C960D07">
      <w:pPr>
        <w:keepNext w:val="0"/>
        <w:keepLines w:val="0"/>
        <w:pageBreakBefore w:val="0"/>
        <w:widowControl/>
        <w:shd w:val="clear"/>
        <w:kinsoku/>
        <w:wordWrap w:val="0"/>
        <w:overflowPunct/>
        <w:topLinePunct w:val="0"/>
        <w:autoSpaceDE/>
        <w:autoSpaceDN/>
        <w:bidi w:val="0"/>
        <w:adjustRightInd/>
        <w:snapToGrid/>
        <w:spacing w:line="360" w:lineRule="auto"/>
        <w:ind w:right="0" w:firstLine="640" w:firstLineChars="200"/>
        <w:jc w:val="center"/>
        <w:textAlignment w:val="baseline"/>
        <w:rPr>
          <w:rFonts w:hint="default" w:ascii="仿宋" w:hAnsi="仿宋" w:eastAsia="仿宋" w:cs="仿宋"/>
          <w:color w:val="auto"/>
          <w:sz w:val="32"/>
          <w:szCs w:val="21"/>
          <w:highlight w:val="none"/>
          <w:lang w:val="en-US" w:eastAsia="zh-CN"/>
        </w:rPr>
      </w:pPr>
      <w:r>
        <w:rPr>
          <w:rFonts w:hint="eastAsia" w:ascii="仿宋" w:hAnsi="仿宋" w:eastAsia="仿宋" w:cs="仿宋"/>
          <w:color w:val="auto"/>
          <w:sz w:val="32"/>
          <w:szCs w:val="21"/>
          <w:highlight w:val="none"/>
          <w:lang w:eastAsia="zh-CN"/>
        </w:rPr>
        <w:t>项目编号:</w:t>
      </w:r>
      <w:r>
        <w:rPr>
          <w:rFonts w:hint="eastAsia" w:ascii="仿宋" w:hAnsi="仿宋" w:eastAsia="仿宋" w:cs="仿宋"/>
          <w:color w:val="auto"/>
          <w:sz w:val="32"/>
          <w:szCs w:val="21"/>
          <w:highlight w:val="none"/>
          <w:lang w:val="en-US" w:eastAsia="zh-CN"/>
        </w:rPr>
        <w:t xml:space="preserve"> </w:t>
      </w:r>
      <w:bookmarkStart w:id="2" w:name="OLE_LINK2"/>
      <w:r>
        <w:rPr>
          <w:rFonts w:hint="eastAsia" w:ascii="仿宋" w:hAnsi="仿宋" w:eastAsia="仿宋" w:cs="仿宋"/>
          <w:color w:val="auto"/>
          <w:sz w:val="32"/>
          <w:szCs w:val="21"/>
          <w:highlight w:val="none"/>
          <w:lang w:val="en-US" w:eastAsia="zh-CN"/>
        </w:rPr>
        <w:t>2025(JKJ)073</w:t>
      </w:r>
      <w:bookmarkEnd w:id="2"/>
    </w:p>
    <w:p w14:paraId="5EAF7043">
      <w:pPr>
        <w:shd w:val="clear"/>
        <w:spacing w:line="360" w:lineRule="auto"/>
        <w:jc w:val="center"/>
        <w:rPr>
          <w:rFonts w:hint="default" w:ascii="仿宋" w:hAnsi="仿宋" w:eastAsia="仿宋" w:cs="仿宋"/>
          <w:color w:val="auto"/>
          <w:sz w:val="44"/>
          <w:highlight w:val="none"/>
          <w:lang w:val="en-US" w:eastAsia="zh-CN"/>
        </w:rPr>
      </w:pPr>
    </w:p>
    <w:p w14:paraId="3075CF0E">
      <w:pPr>
        <w:shd w:val="clear"/>
        <w:spacing w:line="579" w:lineRule="exact"/>
        <w:jc w:val="center"/>
        <w:rPr>
          <w:rFonts w:hint="eastAsia" w:ascii="仿宋" w:hAnsi="仿宋" w:eastAsia="仿宋" w:cs="仿宋"/>
          <w:color w:val="auto"/>
          <w:sz w:val="44"/>
          <w:szCs w:val="36"/>
          <w:highlight w:val="none"/>
          <w:lang w:eastAsia="zh-CN"/>
        </w:rPr>
      </w:pPr>
    </w:p>
    <w:p w14:paraId="158CA62A">
      <w:pPr>
        <w:shd w:val="clear"/>
        <w:spacing w:line="579" w:lineRule="exact"/>
        <w:jc w:val="center"/>
        <w:rPr>
          <w:rFonts w:ascii="仿宋" w:hAnsi="仿宋" w:eastAsia="仿宋" w:cs="仿宋"/>
          <w:color w:val="auto"/>
          <w:sz w:val="44"/>
          <w:szCs w:val="36"/>
          <w:highlight w:val="none"/>
          <w:lang w:eastAsia="zh-CN"/>
        </w:rPr>
      </w:pPr>
      <w:r>
        <w:rPr>
          <w:rFonts w:hint="eastAsia" w:ascii="仿宋" w:hAnsi="仿宋" w:eastAsia="仿宋" w:cs="仿宋"/>
          <w:color w:val="auto"/>
          <w:sz w:val="44"/>
          <w:szCs w:val="36"/>
          <w:highlight w:val="none"/>
          <w:lang w:eastAsia="zh-CN"/>
        </w:rPr>
        <w:t>竞争性磋商文件</w:t>
      </w:r>
    </w:p>
    <w:p w14:paraId="053CD56E">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rPr>
        <w:t xml:space="preserve"> </w:t>
      </w:r>
    </w:p>
    <w:p w14:paraId="677F5AAC">
      <w:pPr>
        <w:pStyle w:val="7"/>
        <w:shd w:val="clear"/>
        <w:spacing w:line="579" w:lineRule="exact"/>
        <w:ind w:left="0" w:leftChars="0" w:firstLine="0" w:firstLineChars="0"/>
        <w:rPr>
          <w:rFonts w:ascii="仿宋" w:hAnsi="仿宋" w:eastAsia="仿宋" w:cs="仿宋"/>
          <w:color w:val="auto"/>
          <w:highlight w:val="none"/>
          <w:lang w:eastAsia="zh-CN"/>
        </w:rPr>
      </w:pPr>
    </w:p>
    <w:p w14:paraId="60CFB3C5">
      <w:pPr>
        <w:shd w:val="clear"/>
        <w:spacing w:line="579" w:lineRule="exact"/>
        <w:ind w:firstLine="440" w:firstLineChars="200"/>
        <w:rPr>
          <w:rFonts w:ascii="仿宋" w:hAnsi="仿宋" w:eastAsia="仿宋" w:cs="仿宋"/>
          <w:color w:val="auto"/>
          <w:highlight w:val="none"/>
          <w:lang w:eastAsia="zh-CN"/>
        </w:rPr>
      </w:pPr>
    </w:p>
    <w:p w14:paraId="2A3552FA">
      <w:pPr>
        <w:shd w:val="clear"/>
        <w:spacing w:line="579" w:lineRule="exact"/>
        <w:ind w:left="1200" w:hanging="1200" w:hangingChars="5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 购 人：新疆维吾尔自治区自然资源规划研究院（公章）</w:t>
      </w:r>
    </w:p>
    <w:p w14:paraId="052DB436">
      <w:pPr>
        <w:shd w:val="clear"/>
        <w:spacing w:line="579"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 系 人：孙广源</w:t>
      </w:r>
    </w:p>
    <w:p w14:paraId="27C9FA99">
      <w:pPr>
        <w:shd w:val="clear"/>
        <w:spacing w:line="579"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联系电话：</w:t>
      </w:r>
      <w:bookmarkStart w:id="3" w:name="OLE_LINK5"/>
      <w:r>
        <w:rPr>
          <w:rFonts w:hint="eastAsia" w:ascii="仿宋" w:hAnsi="仿宋" w:eastAsia="仿宋" w:cs="仿宋"/>
          <w:color w:val="auto"/>
          <w:sz w:val="24"/>
          <w:highlight w:val="none"/>
          <w:lang w:val="en-US" w:eastAsia="zh-CN"/>
        </w:rPr>
        <w:t>18999242513</w:t>
      </w:r>
    </w:p>
    <w:bookmarkEnd w:id="3"/>
    <w:p w14:paraId="6C4E840A">
      <w:pPr>
        <w:pStyle w:val="9"/>
        <w:shd w:val="clear"/>
        <w:rPr>
          <w:rFonts w:ascii="仿宋" w:hAnsi="仿宋" w:eastAsia="仿宋" w:cs="仿宋"/>
          <w:color w:val="auto"/>
          <w:highlight w:val="none"/>
          <w:lang w:eastAsia="zh-CN"/>
        </w:rPr>
      </w:pPr>
    </w:p>
    <w:p w14:paraId="2F1809A1">
      <w:pPr>
        <w:shd w:val="clear"/>
        <w:spacing w:line="579" w:lineRule="exact"/>
        <w:rPr>
          <w:rFonts w:ascii="仿宋" w:hAnsi="仿宋" w:eastAsia="仿宋" w:cs="仿宋"/>
          <w:color w:val="auto"/>
          <w:sz w:val="24"/>
          <w:highlight w:val="none"/>
          <w:lang w:eastAsia="zh-CN"/>
        </w:rPr>
      </w:pPr>
      <w:r>
        <w:rPr>
          <w:rFonts w:ascii="仿宋" w:hAnsi="仿宋" w:eastAsia="仿宋" w:cs="仿宋"/>
          <w:color w:val="auto"/>
          <w:sz w:val="24"/>
          <w:szCs w:val="24"/>
          <w:highlight w:val="none"/>
          <w:lang w:eastAsia="zh-CN"/>
        </w:rPr>
        <mc:AlternateContent>
          <mc:Choice Requires="wps">
            <w:drawing>
              <wp:anchor distT="0" distB="0" distL="114300" distR="114300" simplePos="0" relativeHeight="251661312" behindDoc="0" locked="0" layoutInCell="1" allowOverlap="1">
                <wp:simplePos x="0" y="0"/>
                <wp:positionH relativeFrom="column">
                  <wp:posOffset>6985</wp:posOffset>
                </wp:positionH>
                <wp:positionV relativeFrom="paragraph">
                  <wp:posOffset>101600</wp:posOffset>
                </wp:positionV>
                <wp:extent cx="5926455"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5926455" cy="635"/>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_x0000_s1026" o:spid="_x0000_s1026" o:spt="20" style="position:absolute;left:0pt;margin-left:0.55pt;margin-top:8pt;height:0.05pt;width:466.65pt;z-index:251661312;mso-width-relative:page;mso-height-relative:page;" filled="f" stroked="t" coordsize="21600,21600" o:gfxdata="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cIzQ71AAAAAcBAAAPAAAAAAAAAAEAIAAAACIAAABkcnMvZG93bnJldi54bWxQSwECFAAU&#10;AAAACACHTuJA3lrq/fUBAADqAwAADgAAAAAAAAABACAAAAAjAQAAZHJzL2Uyb0RvYy54bWxQSwUG&#10;AAAAAAYABgBZAQAAigUAAAAA&#10;">
                <v:fill on="f" focussize="0,0"/>
                <v:stroke weight="1pt" color="#000000" joinstyle="round" dashstyle="1 1"/>
                <v:imagedata o:title=""/>
                <o:lock v:ext="edit" aspectratio="f"/>
              </v:line>
            </w:pict>
          </mc:Fallback>
        </mc:AlternateContent>
      </w:r>
    </w:p>
    <w:p w14:paraId="336CD6AD">
      <w:pPr>
        <w:shd w:val="clear"/>
        <w:spacing w:line="579"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采购代理机构：新疆君凯杰工程项目管理有限公司（公章）</w:t>
      </w:r>
    </w:p>
    <w:p w14:paraId="676B2921">
      <w:pPr>
        <w:shd w:val="clear"/>
        <w:spacing w:line="579"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联  系  人：</w:t>
      </w:r>
      <w:bookmarkStart w:id="4" w:name="OLE_LINK6"/>
      <w:r>
        <w:rPr>
          <w:rFonts w:hint="eastAsia" w:ascii="仿宋" w:hAnsi="仿宋" w:eastAsia="仿宋" w:cs="仿宋"/>
          <w:color w:val="auto"/>
          <w:sz w:val="24"/>
          <w:highlight w:val="none"/>
          <w:lang w:eastAsia="zh-CN"/>
        </w:rPr>
        <w:t>海宏、崔海燕</w:t>
      </w:r>
    </w:p>
    <w:bookmarkEnd w:id="4"/>
    <w:p w14:paraId="5D01F001">
      <w:pPr>
        <w:shd w:val="clear"/>
        <w:spacing w:line="579"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电      话：</w:t>
      </w:r>
      <w:r>
        <w:rPr>
          <w:rFonts w:hint="eastAsia" w:ascii="仿宋" w:hAnsi="仿宋" w:eastAsia="仿宋" w:cs="仿宋"/>
          <w:color w:val="auto"/>
          <w:sz w:val="24"/>
          <w:highlight w:val="none"/>
          <w:lang w:val="en-US" w:eastAsia="zh-CN"/>
        </w:rPr>
        <w:t>18199860236</w:t>
      </w:r>
    </w:p>
    <w:p w14:paraId="09665E54">
      <w:pPr>
        <w:shd w:val="clear"/>
        <w:spacing w:line="579" w:lineRule="exact"/>
        <w:jc w:val="center"/>
        <w:rPr>
          <w:rFonts w:hint="eastAsia" w:ascii="仿宋" w:hAnsi="仿宋" w:eastAsia="仿宋" w:cs="仿宋"/>
          <w:color w:val="auto"/>
          <w:sz w:val="24"/>
          <w:highlight w:val="none"/>
        </w:rPr>
      </w:pPr>
    </w:p>
    <w:p w14:paraId="2CC50A69">
      <w:pPr>
        <w:shd w:val="clear"/>
        <w:spacing w:line="579" w:lineRule="exact"/>
        <w:jc w:val="center"/>
        <w:rPr>
          <w:rFonts w:hint="eastAsia" w:ascii="仿宋" w:hAnsi="仿宋" w:eastAsia="仿宋" w:cs="仿宋"/>
          <w:color w:val="auto"/>
          <w:sz w:val="24"/>
          <w:highlight w:val="none"/>
        </w:rPr>
      </w:pPr>
    </w:p>
    <w:p w14:paraId="4C7A6731">
      <w:pPr>
        <w:shd w:val="clear"/>
        <w:spacing w:line="579"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二〇二</w:t>
      </w:r>
      <w:r>
        <w:rPr>
          <w:rFonts w:hint="eastAsia" w:ascii="仿宋" w:hAnsi="仿宋" w:eastAsia="仿宋" w:cs="仿宋"/>
          <w:color w:val="auto"/>
          <w:sz w:val="24"/>
          <w:highlight w:val="none"/>
          <w:lang w:val="en-US" w:eastAsia="zh-CN"/>
        </w:rPr>
        <w:t>五</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eastAsia="zh-CN"/>
        </w:rPr>
        <w:t>四</w:t>
      </w:r>
      <w:r>
        <w:rPr>
          <w:rFonts w:hint="eastAsia" w:ascii="仿宋" w:hAnsi="仿宋" w:eastAsia="仿宋" w:cs="仿宋"/>
          <w:color w:val="auto"/>
          <w:sz w:val="24"/>
          <w:highlight w:val="none"/>
        </w:rPr>
        <w:t>月</w:t>
      </w:r>
    </w:p>
    <w:p w14:paraId="68BCA86A">
      <w:pPr>
        <w:shd w:val="clear"/>
        <w:spacing w:line="579" w:lineRule="exact"/>
        <w:rPr>
          <w:rFonts w:ascii="仿宋" w:hAnsi="仿宋" w:eastAsia="仿宋" w:cs="仿宋"/>
          <w:color w:val="auto"/>
          <w:sz w:val="24"/>
          <w:szCs w:val="20"/>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AndChars" w:linePitch="332" w:charSpace="0"/>
        </w:sectPr>
      </w:pPr>
    </w:p>
    <w:p w14:paraId="7279E5EE">
      <w:pPr>
        <w:pStyle w:val="20"/>
        <w:shd w:val="clear"/>
        <w:tabs>
          <w:tab w:val="right" w:leader="dot" w:pos="9050"/>
        </w:tabs>
        <w:spacing w:line="579" w:lineRule="exact"/>
        <w:jc w:val="center"/>
        <w:rPr>
          <w:rStyle w:val="35"/>
          <w:rFonts w:ascii="仿宋" w:hAnsi="仿宋" w:eastAsia="仿宋" w:cs="仿宋"/>
          <w:color w:val="auto"/>
          <w:sz w:val="36"/>
          <w:szCs w:val="36"/>
          <w:highlight w:val="none"/>
          <w:lang w:eastAsia="zh-CN"/>
        </w:rPr>
      </w:pPr>
      <w:r>
        <w:rPr>
          <w:rStyle w:val="35"/>
          <w:rFonts w:hint="eastAsia" w:ascii="仿宋" w:hAnsi="仿宋" w:eastAsia="仿宋" w:cs="仿宋"/>
          <w:color w:val="auto"/>
          <w:sz w:val="36"/>
          <w:szCs w:val="36"/>
          <w:highlight w:val="none"/>
          <w:lang w:eastAsia="zh-CN"/>
        </w:rPr>
        <w:t>目录</w:t>
      </w:r>
    </w:p>
    <w:p w14:paraId="2BE6911C">
      <w:pPr>
        <w:pStyle w:val="20"/>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Style w:val="35"/>
          <w:rFonts w:hint="eastAsia" w:ascii="仿宋" w:hAnsi="仿宋" w:eastAsia="仿宋" w:cs="仿宋"/>
          <w:color w:val="auto"/>
          <w:sz w:val="24"/>
          <w:szCs w:val="24"/>
          <w:highlight w:val="none"/>
        </w:rPr>
        <w:fldChar w:fldCharType="begin"/>
      </w:r>
      <w:r>
        <w:rPr>
          <w:rStyle w:val="35"/>
          <w:rFonts w:hint="eastAsia" w:ascii="仿宋" w:hAnsi="仿宋" w:eastAsia="仿宋" w:cs="仿宋"/>
          <w:color w:val="auto"/>
          <w:sz w:val="24"/>
          <w:szCs w:val="24"/>
          <w:highlight w:val="none"/>
          <w:lang w:eastAsia="zh-CN"/>
        </w:rPr>
        <w:instrText xml:space="preserve">TOC \o "1-3" \h \u </w:instrText>
      </w:r>
      <w:r>
        <w:rPr>
          <w:rStyle w:val="35"/>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_Toc31640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第一部分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竞争性磋商公告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_Toc31640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F95D8F5">
      <w:pPr>
        <w:pStyle w:val="20"/>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_Toc22387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bCs/>
          <w:color w:val="auto"/>
          <w:w w:val="95"/>
          <w:sz w:val="28"/>
          <w:szCs w:val="28"/>
          <w:highlight w:val="none"/>
          <w:lang w:eastAsia="zh-CN"/>
        </w:rPr>
        <w:t>第二部分</w:t>
      </w:r>
      <w:r>
        <w:rPr>
          <w:rFonts w:hint="eastAsia" w:ascii="仿宋" w:hAnsi="仿宋" w:eastAsia="仿宋" w:cs="仿宋"/>
          <w:bCs/>
          <w:color w:val="auto"/>
          <w:w w:val="95"/>
          <w:sz w:val="28"/>
          <w:szCs w:val="28"/>
          <w:highlight w:val="none"/>
          <w:lang w:val="en-US" w:eastAsia="zh-CN"/>
        </w:rPr>
        <w:t xml:space="preserve"> </w:t>
      </w:r>
      <w:r>
        <w:rPr>
          <w:rFonts w:hint="eastAsia" w:ascii="仿宋" w:hAnsi="仿宋" w:eastAsia="仿宋" w:cs="仿宋"/>
          <w:bCs/>
          <w:color w:val="auto"/>
          <w:w w:val="95"/>
          <w:sz w:val="28"/>
          <w:szCs w:val="28"/>
          <w:highlight w:val="none"/>
          <w:lang w:eastAsia="zh-CN"/>
        </w:rPr>
        <w:t>供应商须知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_Toc22387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520DD9EF">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_Toc12664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第一章</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供应商须知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_Toc12664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0AAD7AFE">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_Toc26330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第二章 竞争性磋商文件的编写</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_Toc26330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55A210FD">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_Toc6098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第三章 响应文件的编写</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_Toc6098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746C25F4">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_Toc32571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第四章 响应文件的递交</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_Toc32571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2403CE90">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_Toc20734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第五章 开标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_Toc20734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1C04B4DF">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_Toc7919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第六章 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_Toc7919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0649BDA7">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_Toc6624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第七章 授予合同</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_Toc6624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36922EC8">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_Toc12143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第八章 其他</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_Toc12143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74AE0382">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_Toc32146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bCs/>
          <w:color w:val="auto"/>
          <w:sz w:val="28"/>
          <w:szCs w:val="28"/>
          <w:highlight w:val="none"/>
          <w:lang w:eastAsia="zh-CN"/>
        </w:rPr>
        <w:t>第九章 质疑的提出及处理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_Toc32146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3A22A41E">
      <w:pPr>
        <w:pStyle w:val="20"/>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_Toc16613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bCs/>
          <w:color w:val="auto"/>
          <w:sz w:val="28"/>
          <w:szCs w:val="28"/>
          <w:highlight w:val="none"/>
          <w:lang w:eastAsia="zh-CN"/>
        </w:rPr>
        <w:t>第三部分</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lang w:eastAsia="zh-CN"/>
        </w:rPr>
        <w:t>采购</w:t>
      </w:r>
      <w:r>
        <w:rPr>
          <w:rFonts w:hint="eastAsia" w:ascii="仿宋" w:hAnsi="仿宋" w:eastAsia="仿宋" w:cs="仿宋"/>
          <w:bCs/>
          <w:color w:val="auto"/>
          <w:sz w:val="28"/>
          <w:szCs w:val="28"/>
          <w:highlight w:val="none"/>
          <w:lang w:val="en-US" w:eastAsia="zh-CN"/>
        </w:rPr>
        <w:t>需求</w:t>
      </w:r>
      <w:r>
        <w:rPr>
          <w:rFonts w:hint="eastAsia" w:ascii="仿宋" w:hAnsi="仿宋" w:eastAsia="仿宋" w:cs="仿宋"/>
          <w:bCs/>
          <w:color w:val="auto"/>
          <w:sz w:val="28"/>
          <w:szCs w:val="28"/>
          <w:highlight w:val="none"/>
          <w:lang w:eastAsia="zh-CN"/>
        </w:rPr>
        <w:t>及要求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_Toc16613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45DAEFCF">
      <w:pPr>
        <w:pStyle w:val="20"/>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_Toc7973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bCs/>
          <w:color w:val="auto"/>
          <w:sz w:val="28"/>
          <w:szCs w:val="28"/>
          <w:highlight w:val="none"/>
          <w:lang w:eastAsia="zh-CN"/>
        </w:rPr>
        <w:t>第四部分 合同条款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_Toc7973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6EF76C67">
      <w:pPr>
        <w:pStyle w:val="20"/>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_Toc14191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第五部分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_Toc14191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5ED7F2B0">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_Toc4704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第一部分</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资格证明文件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_Toc4704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508F067E">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_Toc8013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第二部分</w:t>
      </w:r>
      <w:r>
        <w:rPr>
          <w:rFonts w:hint="eastAsia" w:ascii="仿宋" w:hAnsi="仿宋" w:eastAsia="仿宋" w:cs="仿宋"/>
          <w:color w:val="auto"/>
          <w:sz w:val="28"/>
          <w:szCs w:val="28"/>
          <w:highlight w:val="none"/>
          <w:lang w:eastAsia="zh-CN"/>
        </w:rPr>
        <w:t>）报价文件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_Toc8013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1DAB98BD">
      <w:pPr>
        <w:pStyle w:val="22"/>
        <w:keepNext w:val="0"/>
        <w:keepLines w:val="0"/>
        <w:pageBreakBefore w:val="0"/>
        <w:widowControl/>
        <w:tabs>
          <w:tab w:val="right" w:leader="dot" w:pos="9050"/>
        </w:tabs>
        <w:kinsoku/>
        <w:wordWrap/>
        <w:overflowPunct/>
        <w:topLinePunct w:val="0"/>
        <w:autoSpaceDE/>
        <w:autoSpaceDN/>
        <w:bidi w:val="0"/>
        <w:adjustRightInd/>
        <w:snapToGrid/>
        <w:spacing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fldChar w:fldCharType="begin"/>
      </w:r>
      <w:r>
        <w:rPr>
          <w:rFonts w:hint="eastAsia" w:ascii="仿宋" w:hAnsi="仿宋" w:eastAsia="仿宋" w:cs="仿宋"/>
          <w:color w:val="auto"/>
          <w:sz w:val="28"/>
          <w:szCs w:val="28"/>
          <w:highlight w:val="none"/>
          <w:lang w:eastAsia="zh-CN"/>
        </w:rPr>
        <w:instrText xml:space="preserve"> HYPERLINK \l _Toc17338 </w:instrText>
      </w:r>
      <w:r>
        <w:rPr>
          <w:rFonts w:hint="eastAsia" w:ascii="仿宋" w:hAnsi="仿宋" w:eastAsia="仿宋" w:cs="仿宋"/>
          <w:color w:val="auto"/>
          <w:sz w:val="28"/>
          <w:szCs w:val="28"/>
          <w:highlight w:val="none"/>
          <w:lang w:eastAsia="zh-CN"/>
        </w:rPr>
        <w:fldChar w:fldCharType="separate"/>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第三部分</w:t>
      </w:r>
      <w:r>
        <w:rPr>
          <w:rFonts w:hint="eastAsia" w:ascii="仿宋" w:hAnsi="仿宋" w:eastAsia="仿宋" w:cs="仿宋"/>
          <w:color w:val="auto"/>
          <w:sz w:val="28"/>
          <w:szCs w:val="28"/>
          <w:highlight w:val="none"/>
          <w:lang w:eastAsia="zh-CN"/>
        </w:rPr>
        <w:t>）商务及技术部分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_Toc17338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eastAsia="zh-CN"/>
        </w:rPr>
        <w:fldChar w:fldCharType="end"/>
      </w:r>
    </w:p>
    <w:p w14:paraId="692977EC">
      <w:pPr>
        <w:pStyle w:val="13"/>
        <w:keepNext w:val="0"/>
        <w:keepLines w:val="0"/>
        <w:pageBreakBefore w:val="0"/>
        <w:widowControl/>
        <w:tabs>
          <w:tab w:val="right" w:leader="dot" w:pos="9050"/>
        </w:tabs>
        <w:kinsoku/>
        <w:wordWrap/>
        <w:overflowPunct/>
        <w:topLinePunct w:val="0"/>
        <w:autoSpaceDE/>
        <w:autoSpaceDN/>
        <w:bidi w:val="0"/>
        <w:adjustRightInd/>
        <w:snapToGrid/>
        <w:spacing w:line="340" w:lineRule="exact"/>
        <w:textAlignment w:val="baseline"/>
        <w:rPr>
          <w:rFonts w:hint="eastAsia" w:ascii="仿宋" w:hAnsi="仿宋" w:eastAsia="仿宋" w:cs="仿宋"/>
          <w:color w:val="auto"/>
          <w:sz w:val="24"/>
          <w:szCs w:val="24"/>
          <w:highlight w:val="none"/>
        </w:rPr>
      </w:pPr>
    </w:p>
    <w:p w14:paraId="6BD56F3A">
      <w:pPr>
        <w:keepNext w:val="0"/>
        <w:keepLines w:val="0"/>
        <w:pageBreakBefore w:val="0"/>
        <w:widowControl/>
        <w:shd w:val="clear"/>
        <w:kinsoku/>
        <w:wordWrap/>
        <w:overflowPunct/>
        <w:topLinePunct w:val="0"/>
        <w:autoSpaceDE/>
        <w:autoSpaceDN/>
        <w:bidi w:val="0"/>
        <w:adjustRightInd/>
        <w:snapToGrid/>
        <w:spacing w:line="340" w:lineRule="exact"/>
        <w:ind w:left="0" w:leftChars="0"/>
        <w:jc w:val="center"/>
        <w:textAlignment w:val="baseline"/>
        <w:rPr>
          <w:rStyle w:val="35"/>
          <w:rFonts w:ascii="仿宋" w:hAnsi="仿宋" w:eastAsia="仿宋" w:cs="仿宋"/>
          <w:color w:val="auto"/>
          <w:sz w:val="44"/>
          <w:highlight w:val="none"/>
          <w:lang w:eastAsia="zh-CN"/>
        </w:rPr>
        <w:sectPr>
          <w:footerReference r:id="rId3" w:type="default"/>
          <w:pgSz w:w="11910" w:h="16840"/>
          <w:pgMar w:top="1400" w:right="1220" w:bottom="980" w:left="1640" w:header="720" w:footer="796" w:gutter="0"/>
          <w:pgBorders>
            <w:top w:val="none" w:sz="0" w:space="0"/>
            <w:left w:val="none" w:sz="0" w:space="0"/>
            <w:bottom w:val="none" w:sz="0" w:space="0"/>
            <w:right w:val="none" w:sz="0" w:space="0"/>
          </w:pgBorders>
          <w:pgNumType w:start="1"/>
          <w:cols w:space="720" w:num="1"/>
        </w:sectPr>
      </w:pPr>
      <w:r>
        <w:rPr>
          <w:rFonts w:hint="eastAsia" w:ascii="仿宋" w:hAnsi="仿宋" w:eastAsia="仿宋" w:cs="仿宋"/>
          <w:color w:val="auto"/>
          <w:sz w:val="24"/>
          <w:szCs w:val="24"/>
          <w:highlight w:val="none"/>
          <w:lang w:eastAsia="zh-CN"/>
        </w:rPr>
        <w:fldChar w:fldCharType="end"/>
      </w:r>
    </w:p>
    <w:p w14:paraId="1F482279">
      <w:pPr>
        <w:shd w:val="clear"/>
        <w:spacing w:before="108" w:line="360" w:lineRule="auto"/>
        <w:ind w:right="-29" w:rightChars="-13"/>
        <w:jc w:val="center"/>
        <w:outlineLvl w:val="0"/>
        <w:rPr>
          <w:rFonts w:ascii="仿宋" w:hAnsi="仿宋" w:eastAsia="仿宋" w:cs="仿宋"/>
          <w:color w:val="auto"/>
          <w:sz w:val="36"/>
          <w:szCs w:val="36"/>
          <w:highlight w:val="none"/>
          <w:lang w:eastAsia="zh-CN"/>
        </w:rPr>
      </w:pPr>
      <w:bookmarkStart w:id="5" w:name="_Toc25337"/>
      <w:bookmarkStart w:id="6" w:name="_Toc326"/>
      <w:bookmarkStart w:id="7" w:name="_Toc20343"/>
      <w:bookmarkStart w:id="8" w:name="_Toc31640"/>
      <w:bookmarkStart w:id="9" w:name="_Toc4733"/>
      <w:bookmarkStart w:id="10" w:name="_Toc20541"/>
      <w:bookmarkStart w:id="11" w:name="_Toc29792"/>
      <w:r>
        <w:rPr>
          <w:rStyle w:val="35"/>
          <w:rFonts w:hint="eastAsia" w:ascii="仿宋" w:hAnsi="仿宋" w:eastAsia="仿宋" w:cs="仿宋"/>
          <w:b/>
          <w:color w:val="auto"/>
          <w:sz w:val="30"/>
          <w:szCs w:val="30"/>
          <w:highlight w:val="none"/>
          <w:lang w:eastAsia="zh-CN"/>
        </w:rPr>
        <w:t>第一部分</w:t>
      </w:r>
      <w:r>
        <w:rPr>
          <w:rStyle w:val="35"/>
          <w:rFonts w:hint="eastAsia" w:ascii="仿宋" w:hAnsi="仿宋" w:eastAsia="仿宋" w:cs="仿宋"/>
          <w:b/>
          <w:color w:val="auto"/>
          <w:sz w:val="30"/>
          <w:szCs w:val="30"/>
          <w:highlight w:val="none"/>
          <w:lang w:val="en-US" w:eastAsia="zh-CN"/>
        </w:rPr>
        <w:t xml:space="preserve"> </w:t>
      </w:r>
      <w:r>
        <w:rPr>
          <w:rStyle w:val="35"/>
          <w:rFonts w:hint="eastAsia" w:ascii="仿宋" w:hAnsi="仿宋" w:eastAsia="仿宋" w:cs="仿宋"/>
          <w:b/>
          <w:color w:val="auto"/>
          <w:sz w:val="30"/>
          <w:szCs w:val="30"/>
          <w:highlight w:val="none"/>
          <w:lang w:eastAsia="zh-CN"/>
        </w:rPr>
        <w:t>竞争性磋商公告</w:t>
      </w:r>
      <w:bookmarkEnd w:id="5"/>
      <w:bookmarkEnd w:id="6"/>
      <w:bookmarkEnd w:id="7"/>
      <w:bookmarkEnd w:id="8"/>
      <w:bookmarkEnd w:id="9"/>
      <w:bookmarkEnd w:id="10"/>
    </w:p>
    <w:bookmarkEnd w:id="11"/>
    <w:p w14:paraId="6EDF4D7D">
      <w:pPr>
        <w:shd w:val="clear"/>
        <w:overflowPunct w:val="0"/>
        <w:spacing w:line="579" w:lineRule="exact"/>
        <w:textAlignment w:val="auto"/>
        <w:rPr>
          <w:rFonts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项目概况:</w:t>
      </w:r>
    </w:p>
    <w:p w14:paraId="0078D5CE">
      <w:pPr>
        <w:pStyle w:val="23"/>
        <w:keepNext w:val="0"/>
        <w:keepLines w:val="0"/>
        <w:pageBreakBefore w:val="0"/>
        <w:widowControl/>
        <w:shd w:val="clear"/>
        <w:kinsoku/>
        <w:wordWrap/>
        <w:overflowPunct/>
        <w:topLinePunct w:val="0"/>
        <w:autoSpaceDE/>
        <w:autoSpaceDN/>
        <w:bidi w:val="0"/>
        <w:adjustRightInd/>
        <w:snapToGrid/>
        <w:spacing w:before="20" w:beforeAutospacing="0" w:after="20" w:afterAutospacing="0" w:line="579" w:lineRule="exact"/>
        <w:ind w:firstLine="480" w:firstLineChars="200"/>
        <w:jc w:val="both"/>
        <w:textAlignment w:val="auto"/>
        <w:rPr>
          <w:rFonts w:ascii="仿宋" w:hAnsi="仿宋" w:eastAsia="仿宋" w:cs="仿宋"/>
          <w:color w:val="auto"/>
          <w:highlight w:val="none"/>
        </w:rPr>
      </w:pPr>
      <w:r>
        <w:rPr>
          <w:rFonts w:hint="eastAsia" w:ascii="仿宋" w:hAnsi="仿宋" w:eastAsia="仿宋" w:cs="仿宋"/>
          <w:color w:val="auto"/>
          <w:highlight w:val="none"/>
          <w:lang w:eastAsia="zh-CN"/>
        </w:rPr>
        <w:t>2025年自治区建设用地节约集约利用评价模型功能完善</w:t>
      </w:r>
      <w:r>
        <w:rPr>
          <w:rFonts w:hint="eastAsia" w:ascii="仿宋" w:hAnsi="仿宋" w:eastAsia="仿宋" w:cs="仿宋"/>
          <w:color w:val="auto"/>
          <w:highlight w:val="none"/>
        </w:rPr>
        <w:t>的潜在供应商应在中国政府采购网新疆分网（政府采购云平台）获取</w:t>
      </w:r>
      <w:r>
        <w:rPr>
          <w:rFonts w:hint="eastAsia" w:ascii="仿宋" w:hAnsi="仿宋" w:eastAsia="仿宋" w:cs="仿宋"/>
          <w:color w:val="auto"/>
          <w:highlight w:val="none"/>
          <w:lang w:val="en-US" w:eastAsia="zh-CN"/>
        </w:rPr>
        <w:t>采购</w:t>
      </w:r>
      <w:r>
        <w:rPr>
          <w:rFonts w:hint="eastAsia" w:ascii="仿宋" w:hAnsi="仿宋" w:eastAsia="仿宋" w:cs="仿宋"/>
          <w:color w:val="auto"/>
          <w:highlight w:val="none"/>
        </w:rPr>
        <w:t>文件，并于202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21</w:t>
      </w:r>
      <w:r>
        <w:rPr>
          <w:rFonts w:hint="eastAsia" w:ascii="仿宋" w:hAnsi="仿宋" w:eastAsia="仿宋" w:cs="仿宋"/>
          <w:color w:val="auto"/>
          <w:highlight w:val="none"/>
        </w:rPr>
        <w:t>日</w:t>
      </w:r>
      <w:r>
        <w:rPr>
          <w:rFonts w:hint="eastAsia" w:ascii="仿宋" w:hAnsi="仿宋" w:eastAsia="仿宋" w:cs="仿宋"/>
          <w:color w:val="auto"/>
          <w:highlight w:val="none"/>
          <w:lang w:val="en-US" w:eastAsia="zh-CN"/>
        </w:rPr>
        <w:t>11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00</w:t>
      </w:r>
      <w:r>
        <w:rPr>
          <w:rFonts w:hint="eastAsia" w:ascii="仿宋" w:hAnsi="仿宋" w:eastAsia="仿宋" w:cs="仿宋"/>
          <w:color w:val="auto"/>
          <w:highlight w:val="none"/>
        </w:rPr>
        <w:t>（北京时间）前递交投标文件。</w:t>
      </w:r>
    </w:p>
    <w:p w14:paraId="2DA6B3DA">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一、项目基本情况</w:t>
      </w:r>
    </w:p>
    <w:p w14:paraId="231C95CA">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default"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 xml:space="preserve">    </w:t>
      </w:r>
      <w:r>
        <w:rPr>
          <w:rFonts w:hint="eastAsia" w:ascii="仿宋" w:hAnsi="仿宋" w:eastAsia="仿宋" w:cs="仿宋"/>
          <w:i w:val="0"/>
          <w:iCs w:val="0"/>
          <w:caps w:val="0"/>
          <w:color w:val="auto"/>
          <w:spacing w:val="0"/>
          <w:sz w:val="24"/>
          <w:szCs w:val="24"/>
          <w:highlight w:val="none"/>
          <w:lang w:eastAsia="zh-CN"/>
        </w:rPr>
        <w:t>项目编号:</w:t>
      </w:r>
      <w:r>
        <w:rPr>
          <w:rFonts w:hint="eastAsia" w:ascii="仿宋" w:hAnsi="仿宋" w:eastAsia="仿宋" w:cs="仿宋"/>
          <w:i w:val="0"/>
          <w:iCs w:val="0"/>
          <w:caps w:val="0"/>
          <w:color w:val="auto"/>
          <w:spacing w:val="0"/>
          <w:sz w:val="24"/>
          <w:szCs w:val="24"/>
          <w:highlight w:val="none"/>
          <w:lang w:val="en-US" w:eastAsia="zh-CN"/>
        </w:rPr>
        <w:t>2025(JKJ)073</w:t>
      </w:r>
    </w:p>
    <w:p w14:paraId="791567A5">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    项目名称：</w:t>
      </w:r>
      <w:r>
        <w:rPr>
          <w:rFonts w:hint="eastAsia" w:ascii="仿宋" w:hAnsi="仿宋" w:eastAsia="仿宋" w:cs="仿宋"/>
          <w:i w:val="0"/>
          <w:iCs w:val="0"/>
          <w:caps w:val="0"/>
          <w:color w:val="auto"/>
          <w:spacing w:val="0"/>
          <w:sz w:val="24"/>
          <w:szCs w:val="24"/>
          <w:highlight w:val="none"/>
          <w:lang w:eastAsia="zh-CN"/>
        </w:rPr>
        <w:t>2025年自治区建设用地节约集约利用评价模型功能完善</w:t>
      </w:r>
    </w:p>
    <w:p w14:paraId="5A5FD2DD">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    采购方式：竞争性磋商</w:t>
      </w:r>
    </w:p>
    <w:p w14:paraId="14CE1877">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default"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    预算金额（元）：</w:t>
      </w:r>
      <w:r>
        <w:rPr>
          <w:rFonts w:hint="eastAsia" w:ascii="仿宋" w:hAnsi="仿宋" w:eastAsia="仿宋" w:cs="仿宋"/>
          <w:i w:val="0"/>
          <w:iCs w:val="0"/>
          <w:caps w:val="0"/>
          <w:color w:val="auto"/>
          <w:spacing w:val="0"/>
          <w:sz w:val="24"/>
          <w:szCs w:val="24"/>
          <w:highlight w:val="none"/>
          <w:lang w:val="en-US" w:eastAsia="zh-CN"/>
        </w:rPr>
        <w:t>400000.00</w:t>
      </w:r>
    </w:p>
    <w:p w14:paraId="554A9C6F">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default"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    最高限价（元）：</w:t>
      </w:r>
      <w:r>
        <w:rPr>
          <w:rFonts w:hint="eastAsia" w:ascii="仿宋" w:hAnsi="仿宋" w:eastAsia="仿宋" w:cs="仿宋"/>
          <w:i w:val="0"/>
          <w:iCs w:val="0"/>
          <w:caps w:val="0"/>
          <w:color w:val="auto"/>
          <w:spacing w:val="0"/>
          <w:sz w:val="24"/>
          <w:szCs w:val="24"/>
          <w:highlight w:val="none"/>
          <w:lang w:val="en-US" w:eastAsia="zh-CN"/>
        </w:rPr>
        <w:t>400000.00</w:t>
      </w:r>
    </w:p>
    <w:p w14:paraId="1DA9033D">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    采购需求：</w:t>
      </w:r>
      <w:bookmarkStart w:id="249" w:name="_GoBack"/>
      <w:bookmarkEnd w:id="249"/>
    </w:p>
    <w:p w14:paraId="30DC9019">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20" w:after="20" w:line="579" w:lineRule="exact"/>
        <w:ind w:left="0" w:firstLine="0"/>
        <w:jc w:val="left"/>
        <w:rPr>
          <w:rFonts w:hint="eastAsia" w:ascii="仿宋" w:hAnsi="仿宋" w:eastAsia="仿宋" w:cs="仿宋"/>
          <w:i w:val="0"/>
          <w:iCs w:val="0"/>
          <w:caps w:val="0"/>
          <w:color w:val="auto"/>
          <w:spacing w:val="0"/>
          <w:kern w:val="0"/>
          <w:sz w:val="24"/>
          <w:szCs w:val="24"/>
          <w:highlight w:val="none"/>
          <w:lang w:val="en-US" w:eastAsia="zh-CN" w:bidi="ar"/>
        </w:rPr>
      </w:pPr>
      <w:r>
        <w:rPr>
          <w:rFonts w:hint="eastAsia" w:ascii="仿宋" w:hAnsi="仿宋" w:eastAsia="仿宋" w:cs="仿宋"/>
          <w:i w:val="0"/>
          <w:iCs w:val="0"/>
          <w:caps w:val="0"/>
          <w:color w:val="auto"/>
          <w:spacing w:val="0"/>
          <w:kern w:val="0"/>
          <w:sz w:val="24"/>
          <w:szCs w:val="24"/>
          <w:highlight w:val="none"/>
          <w:lang w:val="en-US" w:eastAsia="zh-CN" w:bidi="ar"/>
        </w:rPr>
        <w:t>      标项一 </w:t>
      </w:r>
    </w:p>
    <w:p w14:paraId="2DCF1BA9">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20" w:after="20" w:line="579" w:lineRule="exact"/>
        <w:ind w:lef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lang w:val="en-US" w:eastAsia="zh-CN" w:bidi="ar"/>
        </w:rPr>
        <w:t>   数量：不限     </w:t>
      </w:r>
    </w:p>
    <w:p w14:paraId="5A79888F">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default"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   预算金额（元）：</w:t>
      </w:r>
      <w:r>
        <w:rPr>
          <w:rFonts w:hint="eastAsia" w:ascii="仿宋" w:hAnsi="仿宋" w:eastAsia="仿宋" w:cs="仿宋"/>
          <w:i w:val="0"/>
          <w:iCs w:val="0"/>
          <w:caps w:val="0"/>
          <w:color w:val="auto"/>
          <w:spacing w:val="0"/>
          <w:sz w:val="24"/>
          <w:szCs w:val="24"/>
          <w:highlight w:val="none"/>
          <w:lang w:val="en-US" w:eastAsia="zh-CN"/>
        </w:rPr>
        <w:t>400000.00</w:t>
      </w:r>
    </w:p>
    <w:p w14:paraId="4B401B85">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   单位：批 </w:t>
      </w:r>
    </w:p>
    <w:p w14:paraId="0951C83E">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Fonts w:hint="default" w:ascii="仿宋" w:hAnsi="仿宋" w:eastAsia="仿宋" w:cs="仿宋"/>
          <w:i w:val="0"/>
          <w:iCs w:val="0"/>
          <w:caps w:val="0"/>
          <w:color w:val="auto"/>
          <w:spacing w:val="0"/>
          <w:sz w:val="24"/>
          <w:szCs w:val="24"/>
          <w:highlight w:val="none"/>
          <w:lang w:val="en-US"/>
        </w:rPr>
      </w:pPr>
      <w:r>
        <w:rPr>
          <w:rFonts w:hint="eastAsia" w:ascii="仿宋" w:hAnsi="仿宋" w:eastAsia="仿宋" w:cs="仿宋"/>
          <w:i w:val="0"/>
          <w:iCs w:val="0"/>
          <w:caps w:val="0"/>
          <w:color w:val="auto"/>
          <w:spacing w:val="0"/>
          <w:sz w:val="24"/>
          <w:szCs w:val="24"/>
          <w:highlight w:val="none"/>
        </w:rPr>
        <w:t>   简要规格描述：2025年自治区土地节约集约利用整合分析模型功能的修改完善，实现建设用地、开发区等地理信息的更新、存储、分析、研究：1、委托开展土地节约集约利用数据整合分析平台功能修改完善，实现建设用地、开发区土地节约集约利用数据预览、评价分析；2、完成建设用地集约利用定性分析、定量评价以及与上一年度评价的对比分析功能的完善；3、完成开发区评价分析系统完善更新以及开发区土地集约利用程度评价分析功能的完善。4、开展2025年度建设用地人口状况数据、经济数据、土地利用数据等基础数据的处理计算与整理，完成数据录入、数据标准化处理与更新入库；5、委托开展2025年度重点城市地价动态监测、开发区土地利用状况数据、社会经济状况数据、建筑工程状况数据、矢量数据、表格数据、文本数据、栅格数据、附件数据等基础数据的整理与处理计算，完成数据录入、数据标准化处理与更新入库。（详细要求见</w:t>
      </w:r>
      <w:r>
        <w:rPr>
          <w:rFonts w:hint="eastAsia" w:ascii="仿宋" w:hAnsi="仿宋" w:eastAsia="仿宋" w:cs="仿宋"/>
          <w:i w:val="0"/>
          <w:iCs w:val="0"/>
          <w:caps w:val="0"/>
          <w:color w:val="auto"/>
          <w:spacing w:val="0"/>
          <w:sz w:val="24"/>
          <w:szCs w:val="24"/>
          <w:highlight w:val="none"/>
          <w:lang w:val="en-US" w:eastAsia="zh-CN"/>
        </w:rPr>
        <w:t>竞争性磋商</w:t>
      </w:r>
      <w:r>
        <w:rPr>
          <w:rFonts w:hint="eastAsia" w:ascii="仿宋" w:hAnsi="仿宋" w:eastAsia="仿宋" w:cs="仿宋"/>
          <w:i w:val="0"/>
          <w:iCs w:val="0"/>
          <w:caps w:val="0"/>
          <w:color w:val="auto"/>
          <w:spacing w:val="0"/>
          <w:sz w:val="24"/>
          <w:szCs w:val="24"/>
          <w:highlight w:val="none"/>
        </w:rPr>
        <w:t>文件）</w:t>
      </w:r>
      <w:r>
        <w:rPr>
          <w:rFonts w:hint="eastAsia" w:ascii="仿宋" w:hAnsi="仿宋" w:eastAsia="仿宋" w:cs="仿宋"/>
          <w:i w:val="0"/>
          <w:iCs w:val="0"/>
          <w:caps w:val="0"/>
          <w:color w:val="auto"/>
          <w:spacing w:val="0"/>
          <w:sz w:val="24"/>
          <w:szCs w:val="24"/>
          <w:highlight w:val="none"/>
          <w:lang w:val="en-US" w:eastAsia="zh-CN"/>
        </w:rPr>
        <w:t>。</w:t>
      </w:r>
    </w:p>
    <w:p w14:paraId="151A537F">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备注：</w:t>
      </w:r>
    </w:p>
    <w:p w14:paraId="6AEDA5A1">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合同履约期限：标项1，本项目要求在2025年11月30日前完成全部工作（由于国家政策所带来的不可控因素导致项目实施周期延长，双方另行协商）。</w:t>
      </w:r>
    </w:p>
    <w:p w14:paraId="75AE1464">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标项1，本标项（</w:t>
      </w:r>
      <w:r>
        <w:rPr>
          <w:rFonts w:hint="eastAsia" w:ascii="仿宋" w:hAnsi="仿宋" w:eastAsia="仿宋" w:cs="仿宋"/>
          <w:i w:val="0"/>
          <w:iCs w:val="0"/>
          <w:caps w:val="0"/>
          <w:color w:val="auto"/>
          <w:spacing w:val="0"/>
          <w:sz w:val="24"/>
          <w:szCs w:val="24"/>
          <w:highlight w:val="none"/>
          <w:lang w:val="en-US" w:eastAsia="zh-CN"/>
        </w:rPr>
        <w:t>否</w:t>
      </w:r>
      <w:r>
        <w:rPr>
          <w:rFonts w:hint="eastAsia" w:ascii="仿宋" w:hAnsi="仿宋" w:eastAsia="仿宋" w:cs="仿宋"/>
          <w:i w:val="0"/>
          <w:iCs w:val="0"/>
          <w:caps w:val="0"/>
          <w:color w:val="auto"/>
          <w:spacing w:val="0"/>
          <w:sz w:val="24"/>
          <w:szCs w:val="24"/>
          <w:highlight w:val="none"/>
        </w:rPr>
        <w:t>）接受联合体投标。</w:t>
      </w:r>
    </w:p>
    <w:p w14:paraId="0DCF27EA">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二、申请人的资格要求：</w:t>
      </w:r>
    </w:p>
    <w:p w14:paraId="74DE1FCB">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1.满足《中华人民共和国政府采购法》第二十二条规定；</w:t>
      </w:r>
    </w:p>
    <w:p w14:paraId="64C60BED">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right="0" w:firstLine="480" w:firstLineChars="200"/>
        <w:textAlignment w:val="auto"/>
        <w:rPr>
          <w:rFonts w:hint="default"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2.落实政府采购政策需满足的资格要求：</w:t>
      </w:r>
      <w:r>
        <w:rPr>
          <w:rFonts w:hint="eastAsia" w:ascii="仿宋" w:hAnsi="仿宋" w:eastAsia="仿宋" w:cs="仿宋"/>
          <w:i w:val="0"/>
          <w:iCs w:val="0"/>
          <w:caps w:val="0"/>
          <w:color w:val="auto"/>
          <w:spacing w:val="0"/>
          <w:sz w:val="24"/>
          <w:szCs w:val="24"/>
          <w:highlight w:val="none"/>
        </w:rPr>
        <w:t>本项目为专门面向</w:t>
      </w:r>
      <w:r>
        <w:rPr>
          <w:rFonts w:hint="eastAsia" w:ascii="仿宋" w:hAnsi="仿宋" w:eastAsia="仿宋" w:cs="仿宋"/>
          <w:i w:val="0"/>
          <w:iCs w:val="0"/>
          <w:caps w:val="0"/>
          <w:color w:val="auto"/>
          <w:spacing w:val="0"/>
          <w:sz w:val="24"/>
          <w:szCs w:val="24"/>
          <w:highlight w:val="none"/>
          <w:lang w:val="en-US" w:eastAsia="zh-CN"/>
        </w:rPr>
        <w:t>中小</w:t>
      </w:r>
      <w:r>
        <w:rPr>
          <w:rFonts w:hint="eastAsia" w:ascii="仿宋" w:hAnsi="仿宋" w:eastAsia="仿宋" w:cs="仿宋"/>
          <w:i w:val="0"/>
          <w:iCs w:val="0"/>
          <w:caps w:val="0"/>
          <w:color w:val="auto"/>
          <w:spacing w:val="0"/>
          <w:sz w:val="24"/>
          <w:szCs w:val="24"/>
          <w:highlight w:val="none"/>
        </w:rPr>
        <w:t>企业</w:t>
      </w:r>
      <w:r>
        <w:rPr>
          <w:rFonts w:hint="eastAsia" w:ascii="仿宋" w:hAnsi="仿宋" w:eastAsia="仿宋" w:cs="仿宋"/>
          <w:i w:val="0"/>
          <w:iCs w:val="0"/>
          <w:caps w:val="0"/>
          <w:color w:val="auto"/>
          <w:spacing w:val="0"/>
          <w:sz w:val="24"/>
          <w:szCs w:val="24"/>
          <w:highlight w:val="none"/>
          <w:lang w:val="en-US" w:eastAsia="zh-CN"/>
        </w:rPr>
        <w:t>。</w:t>
      </w:r>
    </w:p>
    <w:p w14:paraId="57640F8C">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3.本项目的特定资格要求：</w:t>
      </w:r>
    </w:p>
    <w:p w14:paraId="26F9B301">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（1）投标人须有测绘乙级及以上资质。</w:t>
      </w:r>
    </w:p>
    <w:p w14:paraId="1A89928F">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三、获取采购文件</w:t>
      </w:r>
    </w:p>
    <w:p w14:paraId="2D63CBCC">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u w:val="none"/>
        </w:rPr>
        <w:t>时间：202</w:t>
      </w:r>
      <w:r>
        <w:rPr>
          <w:rFonts w:hint="eastAsia" w:ascii="仿宋" w:hAnsi="仿宋" w:eastAsia="仿宋" w:cs="仿宋"/>
          <w:i w:val="0"/>
          <w:iCs w:val="0"/>
          <w:caps w:val="0"/>
          <w:color w:val="auto"/>
          <w:spacing w:val="0"/>
          <w:sz w:val="24"/>
          <w:szCs w:val="24"/>
          <w:highlight w:val="none"/>
          <w:u w:val="none"/>
          <w:lang w:val="en-US" w:eastAsia="zh-CN"/>
        </w:rPr>
        <w:t>5</w:t>
      </w:r>
      <w:r>
        <w:rPr>
          <w:rFonts w:hint="eastAsia" w:ascii="仿宋" w:hAnsi="仿宋" w:eastAsia="仿宋" w:cs="仿宋"/>
          <w:i w:val="0"/>
          <w:iCs w:val="0"/>
          <w:caps w:val="0"/>
          <w:color w:val="auto"/>
          <w:spacing w:val="0"/>
          <w:sz w:val="24"/>
          <w:szCs w:val="24"/>
          <w:highlight w:val="none"/>
          <w:u w:val="none"/>
        </w:rPr>
        <w:t>年</w:t>
      </w:r>
      <w:r>
        <w:rPr>
          <w:rFonts w:hint="eastAsia" w:ascii="仿宋" w:hAnsi="仿宋" w:eastAsia="仿宋" w:cs="仿宋"/>
          <w:i w:val="0"/>
          <w:iCs w:val="0"/>
          <w:caps w:val="0"/>
          <w:color w:val="auto"/>
          <w:spacing w:val="0"/>
          <w:sz w:val="24"/>
          <w:szCs w:val="24"/>
          <w:highlight w:val="none"/>
          <w:u w:val="none"/>
          <w:lang w:val="en-US" w:eastAsia="zh-CN"/>
        </w:rPr>
        <w:t>04</w:t>
      </w:r>
      <w:r>
        <w:rPr>
          <w:rFonts w:hint="eastAsia" w:ascii="仿宋" w:hAnsi="仿宋" w:eastAsia="仿宋" w:cs="仿宋"/>
          <w:i w:val="0"/>
          <w:iCs w:val="0"/>
          <w:caps w:val="0"/>
          <w:color w:val="auto"/>
          <w:spacing w:val="0"/>
          <w:sz w:val="24"/>
          <w:szCs w:val="24"/>
          <w:highlight w:val="none"/>
          <w:u w:val="none"/>
        </w:rPr>
        <w:t>月</w:t>
      </w:r>
      <w:r>
        <w:rPr>
          <w:rFonts w:hint="eastAsia" w:ascii="仿宋" w:hAnsi="仿宋" w:eastAsia="仿宋" w:cs="仿宋"/>
          <w:i w:val="0"/>
          <w:iCs w:val="0"/>
          <w:caps w:val="0"/>
          <w:color w:val="auto"/>
          <w:spacing w:val="0"/>
          <w:sz w:val="24"/>
          <w:szCs w:val="24"/>
          <w:highlight w:val="none"/>
          <w:u w:val="none"/>
          <w:lang w:val="en-US" w:eastAsia="zh-CN"/>
        </w:rPr>
        <w:t>07</w:t>
      </w:r>
      <w:r>
        <w:rPr>
          <w:rFonts w:hint="eastAsia" w:ascii="仿宋" w:hAnsi="仿宋" w:eastAsia="仿宋" w:cs="仿宋"/>
          <w:i w:val="0"/>
          <w:iCs w:val="0"/>
          <w:caps w:val="0"/>
          <w:color w:val="auto"/>
          <w:spacing w:val="0"/>
          <w:sz w:val="24"/>
          <w:szCs w:val="24"/>
          <w:highlight w:val="none"/>
          <w:u w:val="none"/>
        </w:rPr>
        <w:t>日至202</w:t>
      </w:r>
      <w:r>
        <w:rPr>
          <w:rFonts w:hint="eastAsia" w:ascii="仿宋" w:hAnsi="仿宋" w:eastAsia="仿宋" w:cs="仿宋"/>
          <w:i w:val="0"/>
          <w:iCs w:val="0"/>
          <w:caps w:val="0"/>
          <w:color w:val="auto"/>
          <w:spacing w:val="0"/>
          <w:sz w:val="24"/>
          <w:szCs w:val="24"/>
          <w:highlight w:val="none"/>
          <w:u w:val="none"/>
          <w:lang w:val="en-US" w:eastAsia="zh-CN"/>
        </w:rPr>
        <w:t>5</w:t>
      </w:r>
      <w:r>
        <w:rPr>
          <w:rFonts w:hint="eastAsia" w:ascii="仿宋" w:hAnsi="仿宋" w:eastAsia="仿宋" w:cs="仿宋"/>
          <w:i w:val="0"/>
          <w:iCs w:val="0"/>
          <w:caps w:val="0"/>
          <w:color w:val="auto"/>
          <w:spacing w:val="0"/>
          <w:sz w:val="24"/>
          <w:szCs w:val="24"/>
          <w:highlight w:val="none"/>
          <w:u w:val="none"/>
        </w:rPr>
        <w:t>年</w:t>
      </w:r>
      <w:r>
        <w:rPr>
          <w:rFonts w:hint="eastAsia" w:ascii="仿宋" w:hAnsi="仿宋" w:eastAsia="仿宋" w:cs="仿宋"/>
          <w:i w:val="0"/>
          <w:iCs w:val="0"/>
          <w:caps w:val="0"/>
          <w:color w:val="auto"/>
          <w:spacing w:val="0"/>
          <w:sz w:val="24"/>
          <w:szCs w:val="24"/>
          <w:highlight w:val="none"/>
          <w:u w:val="none"/>
          <w:lang w:val="en-US" w:eastAsia="zh-CN"/>
        </w:rPr>
        <w:t>04</w:t>
      </w:r>
      <w:r>
        <w:rPr>
          <w:rFonts w:hint="eastAsia" w:ascii="仿宋" w:hAnsi="仿宋" w:eastAsia="仿宋" w:cs="仿宋"/>
          <w:i w:val="0"/>
          <w:iCs w:val="0"/>
          <w:caps w:val="0"/>
          <w:color w:val="auto"/>
          <w:spacing w:val="0"/>
          <w:sz w:val="24"/>
          <w:szCs w:val="24"/>
          <w:highlight w:val="none"/>
          <w:u w:val="none"/>
        </w:rPr>
        <w:t>月</w:t>
      </w:r>
      <w:r>
        <w:rPr>
          <w:rFonts w:hint="eastAsia" w:ascii="仿宋" w:hAnsi="仿宋" w:eastAsia="仿宋" w:cs="仿宋"/>
          <w:i w:val="0"/>
          <w:iCs w:val="0"/>
          <w:caps w:val="0"/>
          <w:color w:val="auto"/>
          <w:spacing w:val="0"/>
          <w:sz w:val="24"/>
          <w:szCs w:val="24"/>
          <w:highlight w:val="none"/>
          <w:u w:val="none"/>
          <w:lang w:val="en-US" w:eastAsia="zh-CN"/>
        </w:rPr>
        <w:t>14</w:t>
      </w:r>
      <w:r>
        <w:rPr>
          <w:rFonts w:hint="eastAsia" w:ascii="仿宋" w:hAnsi="仿宋" w:eastAsia="仿宋" w:cs="仿宋"/>
          <w:i w:val="0"/>
          <w:iCs w:val="0"/>
          <w:caps w:val="0"/>
          <w:color w:val="auto"/>
          <w:spacing w:val="0"/>
          <w:sz w:val="24"/>
          <w:szCs w:val="24"/>
          <w:highlight w:val="none"/>
          <w:u w:val="none"/>
        </w:rPr>
        <w:t>日，每天上午</w:t>
      </w:r>
      <w:r>
        <w:rPr>
          <w:rFonts w:hint="eastAsia" w:ascii="仿宋" w:hAnsi="仿宋" w:eastAsia="仿宋" w:cs="仿宋"/>
          <w:i w:val="0"/>
          <w:iCs w:val="0"/>
          <w:caps w:val="0"/>
          <w:color w:val="auto"/>
          <w:spacing w:val="0"/>
          <w:sz w:val="24"/>
          <w:szCs w:val="24"/>
          <w:highlight w:val="none"/>
          <w:u w:val="none"/>
          <w:lang w:val="en-US" w:eastAsia="zh-CN"/>
        </w:rPr>
        <w:t>0</w:t>
      </w:r>
      <w:r>
        <w:rPr>
          <w:rFonts w:hint="eastAsia" w:ascii="仿宋" w:hAnsi="仿宋" w:eastAsia="仿宋" w:cs="仿宋"/>
          <w:i w:val="0"/>
          <w:iCs w:val="0"/>
          <w:caps w:val="0"/>
          <w:color w:val="auto"/>
          <w:spacing w:val="0"/>
          <w:sz w:val="24"/>
          <w:szCs w:val="24"/>
          <w:highlight w:val="none"/>
          <w:u w:val="none"/>
        </w:rPr>
        <w:t>0:00至1</w:t>
      </w:r>
      <w:r>
        <w:rPr>
          <w:rFonts w:hint="eastAsia" w:ascii="仿宋" w:hAnsi="仿宋" w:eastAsia="仿宋" w:cs="仿宋"/>
          <w:i w:val="0"/>
          <w:iCs w:val="0"/>
          <w:caps w:val="0"/>
          <w:color w:val="auto"/>
          <w:spacing w:val="0"/>
          <w:sz w:val="24"/>
          <w:szCs w:val="24"/>
          <w:highlight w:val="none"/>
          <w:u w:val="none"/>
          <w:lang w:val="en-US" w:eastAsia="zh-CN"/>
        </w:rPr>
        <w:t>2</w:t>
      </w:r>
      <w:r>
        <w:rPr>
          <w:rFonts w:hint="eastAsia" w:ascii="仿宋" w:hAnsi="仿宋" w:eastAsia="仿宋" w:cs="仿宋"/>
          <w:i w:val="0"/>
          <w:iCs w:val="0"/>
          <w:caps w:val="0"/>
          <w:color w:val="auto"/>
          <w:spacing w:val="0"/>
          <w:sz w:val="24"/>
          <w:szCs w:val="24"/>
          <w:highlight w:val="none"/>
          <w:u w:val="none"/>
        </w:rPr>
        <w:t>:</w:t>
      </w:r>
      <w:r>
        <w:rPr>
          <w:rFonts w:hint="eastAsia" w:ascii="仿宋" w:hAnsi="仿宋" w:eastAsia="仿宋" w:cs="仿宋"/>
          <w:i w:val="0"/>
          <w:iCs w:val="0"/>
          <w:caps w:val="0"/>
          <w:color w:val="auto"/>
          <w:spacing w:val="0"/>
          <w:sz w:val="24"/>
          <w:szCs w:val="24"/>
          <w:highlight w:val="none"/>
          <w:u w:val="none"/>
          <w:lang w:val="en-US" w:eastAsia="zh-CN"/>
        </w:rPr>
        <w:t>0</w:t>
      </w:r>
      <w:r>
        <w:rPr>
          <w:rFonts w:hint="eastAsia" w:ascii="仿宋" w:hAnsi="仿宋" w:eastAsia="仿宋" w:cs="仿宋"/>
          <w:i w:val="0"/>
          <w:iCs w:val="0"/>
          <w:caps w:val="0"/>
          <w:color w:val="auto"/>
          <w:spacing w:val="0"/>
          <w:sz w:val="24"/>
          <w:szCs w:val="24"/>
          <w:highlight w:val="none"/>
          <w:u w:val="none"/>
        </w:rPr>
        <w:t>0，下午1</w:t>
      </w:r>
      <w:r>
        <w:rPr>
          <w:rFonts w:hint="eastAsia" w:ascii="仿宋" w:hAnsi="仿宋" w:eastAsia="仿宋" w:cs="仿宋"/>
          <w:i w:val="0"/>
          <w:iCs w:val="0"/>
          <w:caps w:val="0"/>
          <w:color w:val="auto"/>
          <w:spacing w:val="0"/>
          <w:sz w:val="24"/>
          <w:szCs w:val="24"/>
          <w:highlight w:val="none"/>
          <w:u w:val="none"/>
          <w:lang w:val="en-US" w:eastAsia="zh-CN"/>
        </w:rPr>
        <w:t>2</w:t>
      </w:r>
      <w:r>
        <w:rPr>
          <w:rFonts w:hint="eastAsia" w:ascii="仿宋" w:hAnsi="仿宋" w:eastAsia="仿宋" w:cs="仿宋"/>
          <w:i w:val="0"/>
          <w:iCs w:val="0"/>
          <w:caps w:val="0"/>
          <w:color w:val="auto"/>
          <w:spacing w:val="0"/>
          <w:sz w:val="24"/>
          <w:szCs w:val="24"/>
          <w:highlight w:val="none"/>
          <w:u w:val="none"/>
        </w:rPr>
        <w:t>:</w:t>
      </w:r>
      <w:r>
        <w:rPr>
          <w:rFonts w:hint="eastAsia" w:ascii="仿宋" w:hAnsi="仿宋" w:eastAsia="仿宋" w:cs="仿宋"/>
          <w:i w:val="0"/>
          <w:iCs w:val="0"/>
          <w:caps w:val="0"/>
          <w:color w:val="auto"/>
          <w:spacing w:val="0"/>
          <w:sz w:val="24"/>
          <w:szCs w:val="24"/>
          <w:highlight w:val="none"/>
          <w:u w:val="none"/>
          <w:lang w:val="en-US" w:eastAsia="zh-CN"/>
        </w:rPr>
        <w:t>00</w:t>
      </w:r>
      <w:r>
        <w:rPr>
          <w:rFonts w:hint="eastAsia" w:ascii="仿宋" w:hAnsi="仿宋" w:eastAsia="仿宋" w:cs="仿宋"/>
          <w:i w:val="0"/>
          <w:iCs w:val="0"/>
          <w:caps w:val="0"/>
          <w:color w:val="auto"/>
          <w:spacing w:val="0"/>
          <w:sz w:val="24"/>
          <w:szCs w:val="24"/>
          <w:highlight w:val="none"/>
          <w:u w:val="none"/>
        </w:rPr>
        <w:t>至</w:t>
      </w:r>
      <w:r>
        <w:rPr>
          <w:rFonts w:hint="eastAsia" w:ascii="仿宋" w:hAnsi="仿宋" w:eastAsia="仿宋" w:cs="仿宋"/>
          <w:i w:val="0"/>
          <w:iCs w:val="0"/>
          <w:caps w:val="0"/>
          <w:color w:val="auto"/>
          <w:spacing w:val="0"/>
          <w:sz w:val="24"/>
          <w:szCs w:val="24"/>
          <w:highlight w:val="none"/>
          <w:u w:val="none"/>
          <w:lang w:val="en-US" w:eastAsia="zh-CN"/>
        </w:rPr>
        <w:t>23</w:t>
      </w:r>
      <w:r>
        <w:rPr>
          <w:rFonts w:hint="eastAsia" w:ascii="仿宋" w:hAnsi="仿宋" w:eastAsia="仿宋" w:cs="仿宋"/>
          <w:i w:val="0"/>
          <w:iCs w:val="0"/>
          <w:caps w:val="0"/>
          <w:color w:val="auto"/>
          <w:spacing w:val="0"/>
          <w:sz w:val="24"/>
          <w:szCs w:val="24"/>
          <w:highlight w:val="none"/>
          <w:u w:val="none"/>
        </w:rPr>
        <w:t>:</w:t>
      </w:r>
      <w:r>
        <w:rPr>
          <w:rFonts w:hint="eastAsia" w:ascii="仿宋" w:hAnsi="仿宋" w:eastAsia="仿宋" w:cs="仿宋"/>
          <w:i w:val="0"/>
          <w:iCs w:val="0"/>
          <w:caps w:val="0"/>
          <w:color w:val="auto"/>
          <w:spacing w:val="0"/>
          <w:sz w:val="24"/>
          <w:szCs w:val="24"/>
          <w:highlight w:val="none"/>
          <w:u w:val="none"/>
          <w:lang w:val="en-US" w:eastAsia="zh-CN"/>
        </w:rPr>
        <w:t>59</w:t>
      </w:r>
      <w:r>
        <w:rPr>
          <w:rFonts w:hint="eastAsia" w:ascii="仿宋" w:hAnsi="仿宋" w:eastAsia="仿宋" w:cs="仿宋"/>
          <w:i w:val="0"/>
          <w:iCs w:val="0"/>
          <w:caps w:val="0"/>
          <w:color w:val="auto"/>
          <w:spacing w:val="0"/>
          <w:sz w:val="24"/>
          <w:szCs w:val="24"/>
          <w:highlight w:val="none"/>
          <w:u w:val="none"/>
        </w:rPr>
        <w:t>（北京时间，法定节假日除外）</w:t>
      </w:r>
    </w:p>
    <w:p w14:paraId="4A7D9D8C">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地点：</w:t>
      </w:r>
      <w:r>
        <w:rPr>
          <w:rFonts w:hint="eastAsia" w:ascii="仿宋" w:hAnsi="仿宋" w:eastAsia="仿宋" w:cs="仿宋"/>
          <w:color w:val="auto"/>
          <w:highlight w:val="none"/>
        </w:rPr>
        <w:t>中国政府采购网新疆分网（政府采购云平台）</w:t>
      </w:r>
    </w:p>
    <w:p w14:paraId="5657EB6C">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方式：供应商登录政采云平台https://www.zcygov.cn/在线申请获取磋商文件（进入“项目采购”应用，在获取采购文件菜单中选择项目，申请获取采购文件）</w:t>
      </w:r>
    </w:p>
    <w:p w14:paraId="2CD9576E">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售价（元）：</w:t>
      </w:r>
      <w:r>
        <w:rPr>
          <w:rFonts w:hint="eastAsia" w:ascii="仿宋" w:hAnsi="仿宋" w:eastAsia="仿宋" w:cs="仿宋"/>
          <w:i w:val="0"/>
          <w:iCs w:val="0"/>
          <w:caps w:val="0"/>
          <w:color w:val="auto"/>
          <w:spacing w:val="0"/>
          <w:sz w:val="24"/>
          <w:szCs w:val="24"/>
          <w:highlight w:val="none"/>
          <w:lang w:val="en-US" w:eastAsia="zh-CN"/>
        </w:rPr>
        <w:t>0</w:t>
      </w:r>
    </w:p>
    <w:p w14:paraId="54A4C6A9">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四、响应文件提交</w:t>
      </w:r>
      <w:r>
        <w:rPr>
          <w:rFonts w:hint="eastAsia" w:ascii="仿宋" w:hAnsi="仿宋" w:eastAsia="仿宋" w:cs="仿宋"/>
          <w:i w:val="0"/>
          <w:iCs w:val="0"/>
          <w:caps w:val="0"/>
          <w:color w:val="auto"/>
          <w:spacing w:val="0"/>
          <w:sz w:val="24"/>
          <w:szCs w:val="24"/>
          <w:highlight w:val="none"/>
        </w:rPr>
        <w:t> </w:t>
      </w:r>
    </w:p>
    <w:p w14:paraId="4BBB2AF2">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截止时间：</w:t>
      </w:r>
      <w:r>
        <w:rPr>
          <w:rFonts w:hint="eastAsia" w:ascii="仿宋" w:hAnsi="仿宋" w:eastAsia="仿宋" w:cs="仿宋"/>
          <w:color w:val="auto"/>
          <w:highlight w:val="none"/>
          <w:lang w:eastAsia="zh-CN"/>
        </w:rPr>
        <w:t>2025年</w:t>
      </w:r>
      <w:r>
        <w:rPr>
          <w:rFonts w:hint="eastAsia" w:ascii="仿宋" w:hAnsi="仿宋" w:eastAsia="仿宋" w:cs="仿宋"/>
          <w:color w:val="auto"/>
          <w:highlight w:val="none"/>
          <w:lang w:val="en-US" w:eastAsia="zh-CN"/>
        </w:rPr>
        <w:t>0</w:t>
      </w:r>
      <w:r>
        <w:rPr>
          <w:rFonts w:hint="eastAsia" w:ascii="仿宋" w:hAnsi="仿宋" w:eastAsia="仿宋" w:cs="仿宋"/>
          <w:color w:val="auto"/>
          <w:highlight w:val="none"/>
          <w:lang w:eastAsia="zh-CN"/>
        </w:rPr>
        <w:t>4月</w:t>
      </w:r>
      <w:r>
        <w:rPr>
          <w:rFonts w:hint="eastAsia" w:ascii="仿宋" w:hAnsi="仿宋" w:eastAsia="仿宋" w:cs="仿宋"/>
          <w:color w:val="auto"/>
          <w:highlight w:val="none"/>
          <w:lang w:val="en-US" w:eastAsia="zh-CN"/>
        </w:rPr>
        <w:t>21</w:t>
      </w:r>
      <w:r>
        <w:rPr>
          <w:rFonts w:hint="eastAsia" w:ascii="仿宋" w:hAnsi="仿宋" w:eastAsia="仿宋" w:cs="仿宋"/>
          <w:color w:val="auto"/>
          <w:highlight w:val="none"/>
          <w:lang w:eastAsia="zh-CN"/>
        </w:rPr>
        <w:t>日11:00</w:t>
      </w:r>
      <w:r>
        <w:rPr>
          <w:rFonts w:hint="eastAsia" w:ascii="仿宋" w:hAnsi="仿宋" w:eastAsia="仿宋" w:cs="仿宋"/>
          <w:i w:val="0"/>
          <w:iCs w:val="0"/>
          <w:caps w:val="0"/>
          <w:color w:val="auto"/>
          <w:spacing w:val="0"/>
          <w:sz w:val="24"/>
          <w:szCs w:val="24"/>
          <w:highlight w:val="none"/>
          <w:lang w:val="en-US" w:eastAsia="zh-CN"/>
        </w:rPr>
        <w:t>（</w:t>
      </w:r>
      <w:r>
        <w:rPr>
          <w:rFonts w:hint="eastAsia" w:ascii="仿宋" w:hAnsi="仿宋" w:eastAsia="仿宋" w:cs="仿宋"/>
          <w:i w:val="0"/>
          <w:iCs w:val="0"/>
          <w:caps w:val="0"/>
          <w:color w:val="auto"/>
          <w:spacing w:val="0"/>
          <w:sz w:val="24"/>
          <w:szCs w:val="24"/>
          <w:highlight w:val="none"/>
        </w:rPr>
        <w:t>北京时间）</w:t>
      </w:r>
    </w:p>
    <w:p w14:paraId="5CBCD3D0">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地点：政采云平台http://www.zcygov.cn </w:t>
      </w:r>
    </w:p>
    <w:p w14:paraId="0DA44941">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五、响应文件开启</w:t>
      </w:r>
      <w:r>
        <w:rPr>
          <w:rFonts w:hint="eastAsia" w:ascii="仿宋" w:hAnsi="仿宋" w:eastAsia="仿宋" w:cs="仿宋"/>
          <w:i w:val="0"/>
          <w:iCs w:val="0"/>
          <w:caps w:val="0"/>
          <w:color w:val="auto"/>
          <w:spacing w:val="0"/>
          <w:sz w:val="24"/>
          <w:szCs w:val="24"/>
          <w:highlight w:val="none"/>
        </w:rPr>
        <w:t> </w:t>
      </w:r>
    </w:p>
    <w:p w14:paraId="2BA4D8F5">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开启时间：</w:t>
      </w:r>
      <w:r>
        <w:rPr>
          <w:rFonts w:hint="eastAsia" w:ascii="仿宋" w:hAnsi="仿宋" w:eastAsia="仿宋" w:cs="仿宋"/>
          <w:color w:val="auto"/>
          <w:highlight w:val="none"/>
        </w:rPr>
        <w:t>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21</w:t>
      </w:r>
      <w:r>
        <w:rPr>
          <w:rFonts w:hint="eastAsia" w:ascii="仿宋" w:hAnsi="仿宋" w:eastAsia="仿宋" w:cs="仿宋"/>
          <w:color w:val="auto"/>
          <w:highlight w:val="none"/>
        </w:rPr>
        <w:t>日</w:t>
      </w:r>
      <w:r>
        <w:rPr>
          <w:rFonts w:hint="eastAsia" w:ascii="仿宋" w:hAnsi="仿宋" w:eastAsia="仿宋" w:cs="仿宋"/>
          <w:color w:val="auto"/>
          <w:highlight w:val="none"/>
          <w:lang w:val="en-US" w:eastAsia="zh-CN"/>
        </w:rPr>
        <w:t>11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18A1DB69">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地点：政采云网上不见面开标系统</w:t>
      </w:r>
    </w:p>
    <w:p w14:paraId="5B565072">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六、公告期限</w:t>
      </w:r>
    </w:p>
    <w:p w14:paraId="7BF8B2A9">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自本公告发布之日起3个工作日。</w:t>
      </w:r>
    </w:p>
    <w:p w14:paraId="7FF0DBD4">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jc w:val="both"/>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七、其他补充事宜</w:t>
      </w:r>
      <w:r>
        <w:rPr>
          <w:rFonts w:hint="eastAsia" w:ascii="仿宋" w:hAnsi="仿宋" w:eastAsia="仿宋" w:cs="仿宋"/>
          <w:i w:val="0"/>
          <w:iCs w:val="0"/>
          <w:caps w:val="0"/>
          <w:color w:val="auto"/>
          <w:spacing w:val="0"/>
          <w:sz w:val="24"/>
          <w:szCs w:val="24"/>
          <w:highlight w:val="none"/>
        </w:rPr>
        <w:t> </w:t>
      </w:r>
    </w:p>
    <w:p w14:paraId="1F4E2226">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（1）本项目采用全流程不见面电子开评标，供应商需要使用CA加密设备，供应商可通过新疆数字证书认证中心官网（https://www.xjca.com.cn/）或下载“新疆政务通”APP自行进行申领。</w:t>
      </w:r>
    </w:p>
    <w:p w14:paraId="58AE813F">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（2）本项目实行网上投标，采用加密电子投标响应文件(供应商须使用CA加密设备通过政采云电子投标客户端制作投标响应文件)。若供应商参与投标，自行承担投标一切费用。</w:t>
      </w:r>
    </w:p>
    <w:p w14:paraId="5C2BF7C0">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（3）各投标人在开标前应确保成为新疆政府采购网正式注册入库供应商，并完成CA数字证书申领。因未注册入库、未办理CA数字证书等原因造成无法投标或投标失败等后果由供应商自行承担。</w:t>
      </w:r>
    </w:p>
    <w:p w14:paraId="57919DDC">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4）投标人将政采云电子交易客户端下载、安装完成后，可通过账号密码或CA登录客户端进行投标响应文件制作。在使用政采云投标客户端时，建议使用WIN7及以上操作系统。客户端请至政采云平台（https://login.zcygov.cn/user-login/#/login）下载专区查看，如有问题可拨打政采云客户服务热线400-881-7190进行咨询。</w:t>
      </w:r>
    </w:p>
    <w:p w14:paraId="7EE80D17">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5）投标人在开标时须使用制作加密电子投标响应文件所使用的CA锁及电脑，电脑须提前配置好浏览器，以便开标时解锁。如因供应商自身原因导致在规定时间内无法正常解密的（如：浏览器故障、未安装相关驱动、网络故障、加密CA与解密CA不一致等），采购代理机构不予异常处理，视为供应商自动弃标。</w:t>
      </w:r>
    </w:p>
    <w:p w14:paraId="2D6F5264">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政采云在线客服获取服务支持。</w:t>
      </w:r>
    </w:p>
    <w:p w14:paraId="0CE39321">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0"/>
        <w:textAlignment w:val="auto"/>
        <w:rPr>
          <w:rFonts w:hint="eastAsia" w:ascii="仿宋" w:hAnsi="仿宋" w:eastAsia="仿宋" w:cs="仿宋"/>
          <w:i w:val="0"/>
          <w:iCs w:val="0"/>
          <w:caps w:val="0"/>
          <w:color w:val="auto"/>
          <w:spacing w:val="0"/>
          <w:sz w:val="24"/>
          <w:szCs w:val="24"/>
          <w:highlight w:val="none"/>
        </w:rPr>
      </w:pPr>
      <w:r>
        <w:rPr>
          <w:rStyle w:val="30"/>
          <w:rFonts w:hint="eastAsia" w:ascii="仿宋" w:hAnsi="仿宋" w:eastAsia="仿宋" w:cs="仿宋"/>
          <w:i w:val="0"/>
          <w:iCs w:val="0"/>
          <w:caps w:val="0"/>
          <w:color w:val="auto"/>
          <w:spacing w:val="0"/>
          <w:sz w:val="24"/>
          <w:szCs w:val="24"/>
          <w:highlight w:val="none"/>
        </w:rPr>
        <w:t>八、凡对本次招标提出询问，请按以下方式联系</w:t>
      </w:r>
    </w:p>
    <w:p w14:paraId="4ECA00A3">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1.采购人信息</w:t>
      </w:r>
    </w:p>
    <w:p w14:paraId="52023746">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名 称：</w:t>
      </w:r>
      <w:r>
        <w:rPr>
          <w:rStyle w:val="32"/>
          <w:rFonts w:hint="eastAsia" w:ascii="仿宋" w:hAnsi="仿宋" w:eastAsia="仿宋" w:cs="仿宋"/>
          <w:i w:val="0"/>
          <w:iCs w:val="0"/>
          <w:caps w:val="0"/>
          <w:color w:val="auto"/>
          <w:spacing w:val="0"/>
          <w:sz w:val="24"/>
          <w:szCs w:val="24"/>
          <w:highlight w:val="none"/>
          <w:lang w:eastAsia="zh-CN"/>
        </w:rPr>
        <w:t>新疆维吾尔自治区自然资源规划研究院</w:t>
      </w:r>
    </w:p>
    <w:p w14:paraId="3EAE5500">
      <w:pPr>
        <w:shd w:val="clear"/>
        <w:spacing w:line="579"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 系 人：孙广源</w:t>
      </w:r>
    </w:p>
    <w:p w14:paraId="1A42ED22">
      <w:pPr>
        <w:shd w:val="clear"/>
        <w:spacing w:line="579"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联系电话：18999242513</w:t>
      </w:r>
    </w:p>
    <w:p w14:paraId="54E6DE0F">
      <w:pPr>
        <w:shd w:val="clear"/>
        <w:spacing w:line="579"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地址：新市区北京南路广安街199号</w:t>
      </w:r>
    </w:p>
    <w:p w14:paraId="350388CA">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2.采购代理机构信息</w:t>
      </w:r>
    </w:p>
    <w:p w14:paraId="7D863D19">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名 称：</w:t>
      </w:r>
      <w:r>
        <w:rPr>
          <w:rFonts w:hint="eastAsia" w:ascii="仿宋" w:hAnsi="仿宋" w:eastAsia="仿宋" w:cs="仿宋"/>
          <w:i w:val="0"/>
          <w:iCs w:val="0"/>
          <w:caps w:val="0"/>
          <w:color w:val="auto"/>
          <w:spacing w:val="0"/>
          <w:sz w:val="24"/>
          <w:szCs w:val="24"/>
          <w:highlight w:val="none"/>
          <w:lang w:eastAsia="zh-CN"/>
        </w:rPr>
        <w:t>新疆君凯杰工程项目管理有限公司</w:t>
      </w:r>
    </w:p>
    <w:p w14:paraId="004CF85D">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地 址：</w:t>
      </w:r>
      <w:bookmarkStart w:id="12" w:name="OLE_LINK4"/>
      <w:r>
        <w:rPr>
          <w:rFonts w:hint="eastAsia" w:ascii="仿宋" w:hAnsi="仿宋" w:eastAsia="仿宋" w:cs="仿宋"/>
          <w:i w:val="0"/>
          <w:iCs w:val="0"/>
          <w:caps w:val="0"/>
          <w:color w:val="auto"/>
          <w:spacing w:val="0"/>
          <w:sz w:val="24"/>
          <w:szCs w:val="24"/>
          <w:highlight w:val="none"/>
          <w:lang w:eastAsia="zh-CN"/>
        </w:rPr>
        <w:t>乌鲁木齐市水磨沟区会展大道1119号大成尔雅A座80</w:t>
      </w:r>
      <w:r>
        <w:rPr>
          <w:rFonts w:hint="eastAsia" w:ascii="仿宋" w:hAnsi="仿宋" w:eastAsia="仿宋" w:cs="仿宋"/>
          <w:i w:val="0"/>
          <w:iCs w:val="0"/>
          <w:caps w:val="0"/>
          <w:color w:val="auto"/>
          <w:spacing w:val="0"/>
          <w:sz w:val="24"/>
          <w:szCs w:val="24"/>
          <w:highlight w:val="none"/>
          <w:lang w:val="en-US" w:eastAsia="zh-CN"/>
        </w:rPr>
        <w:t>7</w:t>
      </w:r>
      <w:r>
        <w:rPr>
          <w:rFonts w:hint="eastAsia" w:ascii="仿宋" w:hAnsi="仿宋" w:eastAsia="仿宋" w:cs="仿宋"/>
          <w:i w:val="0"/>
          <w:iCs w:val="0"/>
          <w:caps w:val="0"/>
          <w:color w:val="auto"/>
          <w:spacing w:val="0"/>
          <w:sz w:val="24"/>
          <w:szCs w:val="24"/>
          <w:highlight w:val="none"/>
          <w:lang w:eastAsia="zh-CN"/>
        </w:rPr>
        <w:t>室</w:t>
      </w:r>
      <w:bookmarkEnd w:id="12"/>
    </w:p>
    <w:p w14:paraId="5355EA4B">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default"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val="en-US" w:eastAsia="zh-CN"/>
        </w:rPr>
        <w:t>18199860236</w:t>
      </w:r>
    </w:p>
    <w:p w14:paraId="737CCC1D">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3.项目联系方式</w:t>
      </w:r>
    </w:p>
    <w:p w14:paraId="00CF71EB">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Style w:val="32"/>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项目联系人：</w:t>
      </w:r>
      <w:r>
        <w:rPr>
          <w:rStyle w:val="32"/>
          <w:rFonts w:hint="eastAsia" w:ascii="仿宋" w:hAnsi="仿宋" w:eastAsia="仿宋" w:cs="仿宋"/>
          <w:i w:val="0"/>
          <w:iCs w:val="0"/>
          <w:caps w:val="0"/>
          <w:color w:val="auto"/>
          <w:spacing w:val="0"/>
          <w:sz w:val="24"/>
          <w:szCs w:val="24"/>
          <w:highlight w:val="none"/>
          <w:lang w:eastAsia="zh-CN"/>
        </w:rPr>
        <w:t>海宏、崔海燕</w:t>
      </w:r>
    </w:p>
    <w:p w14:paraId="5D04D5A5">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Style w:val="32"/>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电 话：</w:t>
      </w:r>
      <w:r>
        <w:rPr>
          <w:rFonts w:hint="eastAsia" w:ascii="仿宋" w:hAnsi="仿宋" w:eastAsia="仿宋" w:cs="仿宋"/>
          <w:i w:val="0"/>
          <w:iCs w:val="0"/>
          <w:caps w:val="0"/>
          <w:color w:val="auto"/>
          <w:spacing w:val="0"/>
          <w:sz w:val="24"/>
          <w:szCs w:val="24"/>
          <w:highlight w:val="none"/>
          <w:lang w:val="en-US" w:eastAsia="zh-CN"/>
        </w:rPr>
        <w:t>18199860236</w:t>
      </w:r>
    </w:p>
    <w:p w14:paraId="66336AA2">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Style w:val="32"/>
          <w:rFonts w:hint="eastAsia" w:ascii="仿宋" w:hAnsi="仿宋" w:eastAsia="仿宋" w:cs="仿宋"/>
          <w:i w:val="0"/>
          <w:iCs w:val="0"/>
          <w:caps w:val="0"/>
          <w:color w:val="auto"/>
          <w:spacing w:val="0"/>
          <w:sz w:val="24"/>
          <w:szCs w:val="24"/>
          <w:highlight w:val="none"/>
        </w:rPr>
      </w:pPr>
    </w:p>
    <w:p w14:paraId="27B26450">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firstLine="420"/>
        <w:textAlignment w:val="auto"/>
        <w:rPr>
          <w:rStyle w:val="32"/>
          <w:rFonts w:hint="eastAsia" w:ascii="仿宋" w:hAnsi="仿宋" w:eastAsia="仿宋" w:cs="仿宋"/>
          <w:i w:val="0"/>
          <w:iCs w:val="0"/>
          <w:caps w:val="0"/>
          <w:color w:val="auto"/>
          <w:spacing w:val="0"/>
          <w:sz w:val="24"/>
          <w:szCs w:val="24"/>
          <w:highlight w:val="none"/>
        </w:rPr>
      </w:pPr>
    </w:p>
    <w:p w14:paraId="4F77B46C">
      <w:pPr>
        <w:rPr>
          <w:rStyle w:val="32"/>
          <w:rFonts w:hint="eastAsia" w:ascii="仿宋" w:hAnsi="仿宋" w:eastAsia="仿宋" w:cs="仿宋"/>
          <w:i w:val="0"/>
          <w:iCs w:val="0"/>
          <w:caps w:val="0"/>
          <w:color w:val="auto"/>
          <w:spacing w:val="0"/>
          <w:sz w:val="24"/>
          <w:szCs w:val="24"/>
          <w:highlight w:val="none"/>
        </w:rPr>
      </w:pPr>
      <w:r>
        <w:rPr>
          <w:rStyle w:val="32"/>
          <w:rFonts w:hint="eastAsia" w:ascii="仿宋" w:hAnsi="仿宋" w:eastAsia="仿宋" w:cs="仿宋"/>
          <w:i w:val="0"/>
          <w:iCs w:val="0"/>
          <w:caps w:val="0"/>
          <w:color w:val="auto"/>
          <w:spacing w:val="0"/>
          <w:sz w:val="24"/>
          <w:szCs w:val="24"/>
          <w:highlight w:val="none"/>
        </w:rPr>
        <w:br w:type="page"/>
      </w:r>
    </w:p>
    <w:p w14:paraId="2F62995E">
      <w:pPr>
        <w:shd w:val="clear"/>
        <w:tabs>
          <w:tab w:val="left" w:pos="1809"/>
        </w:tabs>
        <w:spacing w:line="433" w:lineRule="exact"/>
        <w:ind w:right="187"/>
        <w:jc w:val="center"/>
        <w:outlineLvl w:val="0"/>
        <w:rPr>
          <w:rStyle w:val="35"/>
          <w:rFonts w:ascii="仿宋" w:hAnsi="仿宋" w:eastAsia="仿宋" w:cs="仿宋"/>
          <w:b/>
          <w:bCs/>
          <w:color w:val="auto"/>
          <w:w w:val="95"/>
          <w:sz w:val="30"/>
          <w:szCs w:val="30"/>
          <w:highlight w:val="none"/>
          <w:lang w:eastAsia="zh-CN"/>
        </w:rPr>
      </w:pPr>
      <w:bookmarkStart w:id="13" w:name="_Toc22387"/>
      <w:bookmarkStart w:id="14" w:name="_Toc19379"/>
      <w:bookmarkStart w:id="15" w:name="_Toc22440"/>
      <w:bookmarkStart w:id="16" w:name="_Toc29809"/>
      <w:bookmarkStart w:id="17" w:name="_Toc9771"/>
      <w:bookmarkStart w:id="18" w:name="_Toc22514"/>
      <w:r>
        <w:rPr>
          <w:rStyle w:val="35"/>
          <w:rFonts w:hint="eastAsia" w:ascii="仿宋" w:hAnsi="仿宋" w:eastAsia="仿宋" w:cs="仿宋"/>
          <w:b/>
          <w:bCs/>
          <w:color w:val="auto"/>
          <w:w w:val="95"/>
          <w:sz w:val="30"/>
          <w:szCs w:val="30"/>
          <w:highlight w:val="none"/>
          <w:lang w:eastAsia="zh-CN"/>
        </w:rPr>
        <w:t>第二部分</w:t>
      </w:r>
      <w:r>
        <w:rPr>
          <w:rStyle w:val="35"/>
          <w:rFonts w:hint="eastAsia" w:ascii="仿宋" w:hAnsi="仿宋" w:eastAsia="仿宋" w:cs="仿宋"/>
          <w:b/>
          <w:bCs/>
          <w:color w:val="auto"/>
          <w:w w:val="95"/>
          <w:sz w:val="30"/>
          <w:szCs w:val="30"/>
          <w:highlight w:val="none"/>
          <w:lang w:val="en-US" w:eastAsia="zh-CN"/>
        </w:rPr>
        <w:t xml:space="preserve"> </w:t>
      </w:r>
      <w:r>
        <w:rPr>
          <w:rStyle w:val="35"/>
          <w:rFonts w:hint="eastAsia" w:ascii="仿宋" w:hAnsi="仿宋" w:eastAsia="仿宋" w:cs="仿宋"/>
          <w:b/>
          <w:bCs/>
          <w:color w:val="auto"/>
          <w:w w:val="95"/>
          <w:sz w:val="30"/>
          <w:szCs w:val="30"/>
          <w:highlight w:val="none"/>
          <w:lang w:eastAsia="zh-CN"/>
        </w:rPr>
        <w:t>供应商须知</w:t>
      </w:r>
      <w:bookmarkEnd w:id="13"/>
      <w:bookmarkEnd w:id="14"/>
      <w:bookmarkEnd w:id="15"/>
      <w:bookmarkEnd w:id="16"/>
      <w:bookmarkEnd w:id="17"/>
      <w:bookmarkEnd w:id="18"/>
    </w:p>
    <w:p w14:paraId="3229E2CC">
      <w:pPr>
        <w:pStyle w:val="42"/>
        <w:shd w:val="clear"/>
        <w:spacing w:before="98" w:after="58"/>
        <w:ind w:left="0" w:right="186"/>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供应商须知前附表</w:t>
      </w:r>
    </w:p>
    <w:tbl>
      <w:tblPr>
        <w:tblStyle w:val="27"/>
        <w:tblW w:w="9639" w:type="dxa"/>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806"/>
        <w:gridCol w:w="1310"/>
        <w:gridCol w:w="6523"/>
      </w:tblGrid>
      <w:tr w14:paraId="43530D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24" w:hRule="atLeast"/>
        </w:trPr>
        <w:tc>
          <w:tcPr>
            <w:tcW w:w="1806" w:type="dxa"/>
            <w:tcBorders>
              <w:tl2br w:val="nil"/>
              <w:tr2bl w:val="nil"/>
            </w:tcBorders>
            <w:vAlign w:val="center"/>
          </w:tcPr>
          <w:p w14:paraId="42563D4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条款号</w:t>
            </w:r>
          </w:p>
        </w:tc>
        <w:tc>
          <w:tcPr>
            <w:tcW w:w="1310" w:type="dxa"/>
            <w:tcBorders>
              <w:tl2br w:val="nil"/>
              <w:tr2bl w:val="nil"/>
            </w:tcBorders>
            <w:vAlign w:val="center"/>
          </w:tcPr>
          <w:p w14:paraId="4D82511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条款名称</w:t>
            </w:r>
          </w:p>
        </w:tc>
        <w:tc>
          <w:tcPr>
            <w:tcW w:w="6523" w:type="dxa"/>
            <w:tcBorders>
              <w:tl2br w:val="nil"/>
              <w:tr2bl w:val="nil"/>
            </w:tcBorders>
            <w:vAlign w:val="center"/>
          </w:tcPr>
          <w:p w14:paraId="1CF8C3D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编列内容</w:t>
            </w:r>
          </w:p>
        </w:tc>
      </w:tr>
      <w:tr w14:paraId="084010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7406C4C4">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第一章1.1款</w:t>
            </w:r>
          </w:p>
        </w:tc>
        <w:tc>
          <w:tcPr>
            <w:tcW w:w="1310" w:type="dxa"/>
            <w:tcBorders>
              <w:tl2br w:val="nil"/>
              <w:tr2bl w:val="nil"/>
            </w:tcBorders>
            <w:vAlign w:val="center"/>
          </w:tcPr>
          <w:p w14:paraId="1A7341C3">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项目名称</w:t>
            </w:r>
          </w:p>
        </w:tc>
        <w:tc>
          <w:tcPr>
            <w:tcW w:w="6523" w:type="dxa"/>
            <w:tcBorders>
              <w:tl2br w:val="nil"/>
              <w:tr2bl w:val="nil"/>
            </w:tcBorders>
          </w:tcPr>
          <w:p w14:paraId="6C3F176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项目名称：</w:t>
            </w:r>
            <w:r>
              <w:rPr>
                <w:rFonts w:hint="eastAsia" w:ascii="仿宋" w:hAnsi="仿宋" w:eastAsia="仿宋" w:cs="仿宋"/>
                <w:bCs/>
                <w:color w:val="auto"/>
                <w:sz w:val="24"/>
                <w:szCs w:val="24"/>
                <w:highlight w:val="none"/>
                <w:lang w:eastAsia="zh-CN"/>
              </w:rPr>
              <w:t>2025年自治区建设用地节约集约利用评价模型功能完善</w:t>
            </w:r>
          </w:p>
          <w:p w14:paraId="5986EC7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hint="default"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eastAsia="zh-CN"/>
              </w:rPr>
              <w:t>项目编号:</w:t>
            </w:r>
            <w:r>
              <w:rPr>
                <w:rFonts w:hint="eastAsia" w:ascii="仿宋" w:hAnsi="仿宋" w:eastAsia="仿宋" w:cs="仿宋"/>
                <w:color w:val="auto"/>
                <w:sz w:val="24"/>
                <w:szCs w:val="24"/>
                <w:highlight w:val="none"/>
                <w:lang w:val="en-US" w:eastAsia="zh-CN"/>
              </w:rPr>
              <w:t>2025(JKJ)073</w:t>
            </w:r>
          </w:p>
        </w:tc>
      </w:tr>
      <w:tr w14:paraId="579EF8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1416" w:hRule="atLeast"/>
        </w:trPr>
        <w:tc>
          <w:tcPr>
            <w:tcW w:w="1806" w:type="dxa"/>
            <w:tcBorders>
              <w:tl2br w:val="nil"/>
              <w:tr2bl w:val="nil"/>
            </w:tcBorders>
            <w:vAlign w:val="center"/>
          </w:tcPr>
          <w:p w14:paraId="3164CD9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第一章1.2款</w:t>
            </w:r>
          </w:p>
        </w:tc>
        <w:tc>
          <w:tcPr>
            <w:tcW w:w="1310" w:type="dxa"/>
            <w:tcBorders>
              <w:tl2br w:val="nil"/>
              <w:tr2bl w:val="nil"/>
            </w:tcBorders>
            <w:vAlign w:val="center"/>
          </w:tcPr>
          <w:p w14:paraId="3ABA875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采购方式</w:t>
            </w:r>
          </w:p>
        </w:tc>
        <w:tc>
          <w:tcPr>
            <w:tcW w:w="6523" w:type="dxa"/>
            <w:tcBorders>
              <w:tl2br w:val="nil"/>
              <w:tr2bl w:val="nil"/>
            </w:tcBorders>
            <w:vAlign w:val="center"/>
          </w:tcPr>
          <w:p w14:paraId="4B88302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竞争性磋商；</w:t>
            </w:r>
          </w:p>
          <w:p w14:paraId="6DC8B72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5"/>
                <w:sz w:val="24"/>
                <w:szCs w:val="24"/>
                <w:highlight w:val="none"/>
                <w:lang w:eastAsia="zh-CN"/>
              </w:rPr>
              <w:t>待评审小组与供应商对采购标的的技术、服务等磋商结束后，评审小</w:t>
            </w:r>
            <w:r>
              <w:rPr>
                <w:rStyle w:val="35"/>
                <w:rFonts w:hint="eastAsia" w:ascii="仿宋" w:hAnsi="仿宋" w:eastAsia="仿宋" w:cs="仿宋"/>
                <w:color w:val="auto"/>
                <w:spacing w:val="-6"/>
                <w:sz w:val="24"/>
                <w:szCs w:val="24"/>
                <w:highlight w:val="none"/>
                <w:lang w:eastAsia="zh-CN"/>
              </w:rPr>
              <w:t>组要求所有实质性响应的供应商，在规定的时间内提交最后报价</w:t>
            </w:r>
            <w:r>
              <w:rPr>
                <w:rStyle w:val="35"/>
                <w:rFonts w:hint="eastAsia" w:ascii="仿宋" w:hAnsi="仿宋" w:eastAsia="仿宋" w:cs="仿宋"/>
                <w:color w:val="auto"/>
                <w:spacing w:val="-4"/>
                <w:sz w:val="24"/>
                <w:szCs w:val="24"/>
                <w:highlight w:val="none"/>
                <w:lang w:eastAsia="zh-CN"/>
              </w:rPr>
              <w:t>。</w:t>
            </w:r>
          </w:p>
        </w:tc>
      </w:tr>
      <w:tr w14:paraId="2DF6F4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7B1779B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第一章1.3款</w:t>
            </w:r>
          </w:p>
        </w:tc>
        <w:tc>
          <w:tcPr>
            <w:tcW w:w="1310" w:type="dxa"/>
            <w:tcBorders>
              <w:tl2br w:val="nil"/>
              <w:tr2bl w:val="nil"/>
            </w:tcBorders>
            <w:vAlign w:val="center"/>
          </w:tcPr>
          <w:p w14:paraId="1F3BAAE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采购内容</w:t>
            </w:r>
          </w:p>
        </w:tc>
        <w:tc>
          <w:tcPr>
            <w:tcW w:w="6523" w:type="dxa"/>
            <w:tcBorders>
              <w:tl2br w:val="nil"/>
              <w:tr2bl w:val="nil"/>
            </w:tcBorders>
            <w:vAlign w:val="center"/>
          </w:tcPr>
          <w:p w14:paraId="1038BE83">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Style w:val="35"/>
                <w:rFonts w:ascii="仿宋" w:hAnsi="仿宋" w:eastAsia="仿宋" w:cs="仿宋"/>
                <w:bCs/>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2025年自治区土地节约集约利用整合分析模型功能的修改完善，实现建设用地、开发区等地理信息的更新、存储、分析、研究：1、委托开展土地节约集约利用数据整合分析平台功能修改完善，实现建设用地、开发区土地节约集约利用数据预览、评价分析；2、完成建设用地集约利用定性分析、定量评价以及与上一年度评价的对比分析功能的完善；3、完成开发区评价分析系统完善更新以及开发区土地集约利用程度评价分析功能的完善。4、开展2025年度建设用地人口状况数据、经济数据、土地利用数据等基础数据的处理计算与整理，完成数据录入、数据标准化处理与更新入库；5、委托开展2025年度重点城市地价动态监测、开发区土地利用状况数据、社会经济状况数据、建筑工程状况数据、矢量数据、表格数据、文本数据、栅格数据、附件数据等基础数据的整理与处理计算，完成数据录入、数据标准化处理与更新入库。（详细要求见</w:t>
            </w:r>
            <w:r>
              <w:rPr>
                <w:rFonts w:hint="eastAsia" w:ascii="仿宋" w:hAnsi="仿宋" w:eastAsia="仿宋" w:cs="仿宋"/>
                <w:i w:val="0"/>
                <w:iCs w:val="0"/>
                <w:caps w:val="0"/>
                <w:color w:val="auto"/>
                <w:spacing w:val="0"/>
                <w:sz w:val="24"/>
                <w:szCs w:val="24"/>
                <w:highlight w:val="none"/>
                <w:lang w:val="en-US" w:eastAsia="zh-CN"/>
              </w:rPr>
              <w:t>第三部分采购需求</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w:t>
            </w:r>
          </w:p>
        </w:tc>
      </w:tr>
      <w:tr w14:paraId="75B9CC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166EB53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第一章1.4款</w:t>
            </w:r>
          </w:p>
        </w:tc>
        <w:tc>
          <w:tcPr>
            <w:tcW w:w="1310" w:type="dxa"/>
            <w:tcBorders>
              <w:tl2br w:val="nil"/>
              <w:tr2bl w:val="nil"/>
            </w:tcBorders>
            <w:vAlign w:val="center"/>
          </w:tcPr>
          <w:p w14:paraId="3F1AD62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资金来源</w:t>
            </w:r>
          </w:p>
        </w:tc>
        <w:tc>
          <w:tcPr>
            <w:tcW w:w="6523" w:type="dxa"/>
            <w:tcBorders>
              <w:tl2br w:val="nil"/>
              <w:tr2bl w:val="nil"/>
            </w:tcBorders>
            <w:vAlign w:val="center"/>
          </w:tcPr>
          <w:p w14:paraId="43C3974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left"/>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财政资金</w:t>
            </w:r>
          </w:p>
        </w:tc>
      </w:tr>
      <w:tr w14:paraId="3555F2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2BC4A06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第一章1.5款</w:t>
            </w:r>
          </w:p>
        </w:tc>
        <w:tc>
          <w:tcPr>
            <w:tcW w:w="1310" w:type="dxa"/>
            <w:tcBorders>
              <w:tl2br w:val="nil"/>
              <w:tr2bl w:val="nil"/>
            </w:tcBorders>
            <w:vAlign w:val="center"/>
          </w:tcPr>
          <w:p w14:paraId="39D5C43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服务</w:t>
            </w:r>
            <w:r>
              <w:rPr>
                <w:rStyle w:val="35"/>
                <w:rFonts w:hint="eastAsia" w:ascii="仿宋" w:hAnsi="仿宋" w:eastAsia="仿宋" w:cs="仿宋"/>
                <w:color w:val="auto"/>
                <w:sz w:val="24"/>
                <w:szCs w:val="24"/>
                <w:highlight w:val="none"/>
                <w:lang w:eastAsia="zh-CN"/>
              </w:rPr>
              <w:t>地点</w:t>
            </w:r>
          </w:p>
        </w:tc>
        <w:tc>
          <w:tcPr>
            <w:tcW w:w="6523" w:type="dxa"/>
            <w:tcBorders>
              <w:tl2br w:val="nil"/>
              <w:tr2bl w:val="nil"/>
            </w:tcBorders>
            <w:vAlign w:val="center"/>
          </w:tcPr>
          <w:p w14:paraId="4283E3D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采购人指定地点</w:t>
            </w:r>
          </w:p>
        </w:tc>
      </w:tr>
      <w:tr w14:paraId="0AB4CF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15" w:hRule="atLeast"/>
        </w:trPr>
        <w:tc>
          <w:tcPr>
            <w:tcW w:w="1806" w:type="dxa"/>
            <w:tcBorders>
              <w:tl2br w:val="nil"/>
              <w:tr2bl w:val="nil"/>
            </w:tcBorders>
            <w:vAlign w:val="center"/>
          </w:tcPr>
          <w:p w14:paraId="458CE02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第一章1.6款</w:t>
            </w:r>
          </w:p>
        </w:tc>
        <w:tc>
          <w:tcPr>
            <w:tcW w:w="1310" w:type="dxa"/>
            <w:tcBorders>
              <w:tl2br w:val="nil"/>
              <w:tr2bl w:val="nil"/>
            </w:tcBorders>
            <w:vAlign w:val="center"/>
          </w:tcPr>
          <w:p w14:paraId="39700C0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合同履行期限</w:t>
            </w:r>
          </w:p>
        </w:tc>
        <w:tc>
          <w:tcPr>
            <w:tcW w:w="6523" w:type="dxa"/>
            <w:tcBorders>
              <w:tl2br w:val="nil"/>
              <w:tr2bl w:val="nil"/>
            </w:tcBorders>
            <w:vAlign w:val="center"/>
          </w:tcPr>
          <w:p w14:paraId="57518417">
            <w:pPr>
              <w:pStyle w:val="23"/>
              <w:keepNext w:val="0"/>
              <w:keepLines w:val="0"/>
              <w:pageBreakBefore w:val="0"/>
              <w:widowControl/>
              <w:suppressLineNumbers w:val="0"/>
              <w:shd w:val="clear"/>
              <w:kinsoku/>
              <w:wordWrap/>
              <w:overflowPunct/>
              <w:topLinePunct w:val="0"/>
              <w:autoSpaceDE/>
              <w:autoSpaceDN/>
              <w:bidi w:val="0"/>
              <w:adjustRightInd/>
              <w:snapToGrid/>
              <w:spacing w:before="20" w:beforeAutospacing="0" w:after="20" w:afterAutospacing="0" w:line="579" w:lineRule="exact"/>
              <w:ind w:left="0" w:right="0"/>
              <w:textAlignment w:val="auto"/>
              <w:rPr>
                <w:rStyle w:val="35"/>
                <w:rFonts w:hint="default" w:ascii="仿宋" w:hAnsi="仿宋" w:eastAsia="仿宋" w:cs="仿宋"/>
                <w:color w:val="auto"/>
                <w:sz w:val="24"/>
                <w:szCs w:val="24"/>
                <w:highlight w:val="none"/>
                <w:lang w:val="en-US" w:eastAsia="zh-CN"/>
              </w:rPr>
            </w:pPr>
            <w:r>
              <w:rPr>
                <w:rStyle w:val="35"/>
                <w:rFonts w:hint="default" w:ascii="仿宋" w:hAnsi="仿宋" w:eastAsia="仿宋" w:cs="仿宋"/>
                <w:color w:val="auto"/>
                <w:sz w:val="24"/>
                <w:szCs w:val="24"/>
                <w:highlight w:val="none"/>
                <w:lang w:val="en-US" w:eastAsia="zh-CN"/>
              </w:rPr>
              <w:t>本项目要求在2025年11月30日前完成全部工作（由于国家政策所带来的不可控因素导致项目实施周期延长，双方另行协商）。</w:t>
            </w:r>
          </w:p>
        </w:tc>
      </w:tr>
      <w:tr w14:paraId="1758CB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620" w:hRule="atLeast"/>
        </w:trPr>
        <w:tc>
          <w:tcPr>
            <w:tcW w:w="1806" w:type="dxa"/>
            <w:tcBorders>
              <w:tl2br w:val="nil"/>
              <w:tr2bl w:val="nil"/>
            </w:tcBorders>
            <w:vAlign w:val="center"/>
          </w:tcPr>
          <w:p w14:paraId="43EC75D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第一章2.1款</w:t>
            </w:r>
          </w:p>
        </w:tc>
        <w:tc>
          <w:tcPr>
            <w:tcW w:w="1310" w:type="dxa"/>
            <w:tcBorders>
              <w:tl2br w:val="nil"/>
              <w:tr2bl w:val="nil"/>
            </w:tcBorders>
            <w:vAlign w:val="center"/>
          </w:tcPr>
          <w:p w14:paraId="6C23F6E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采购人</w:t>
            </w:r>
          </w:p>
        </w:tc>
        <w:tc>
          <w:tcPr>
            <w:tcW w:w="6523" w:type="dxa"/>
            <w:tcBorders>
              <w:tl2br w:val="nil"/>
              <w:tr2bl w:val="nil"/>
            </w:tcBorders>
            <w:vAlign w:val="center"/>
          </w:tcPr>
          <w:p w14:paraId="70482F9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pacing w:val="-7"/>
                <w:sz w:val="24"/>
                <w:szCs w:val="24"/>
                <w:highlight w:val="none"/>
                <w:lang w:eastAsia="zh-CN"/>
              </w:rPr>
            </w:pPr>
            <w:r>
              <w:rPr>
                <w:rStyle w:val="35"/>
                <w:rFonts w:hint="eastAsia" w:ascii="仿宋" w:hAnsi="仿宋" w:eastAsia="仿宋" w:cs="仿宋"/>
                <w:color w:val="auto"/>
                <w:spacing w:val="-7"/>
                <w:sz w:val="24"/>
                <w:szCs w:val="24"/>
                <w:highlight w:val="none"/>
                <w:lang w:eastAsia="zh-CN"/>
              </w:rPr>
              <w:t>采购人：</w:t>
            </w:r>
            <w:r>
              <w:rPr>
                <w:rStyle w:val="32"/>
                <w:rFonts w:hint="eastAsia" w:ascii="仿宋" w:hAnsi="仿宋" w:eastAsia="仿宋" w:cs="仿宋"/>
                <w:i w:val="0"/>
                <w:iCs w:val="0"/>
                <w:caps w:val="0"/>
                <w:color w:val="auto"/>
                <w:spacing w:val="0"/>
                <w:sz w:val="24"/>
                <w:szCs w:val="24"/>
                <w:highlight w:val="none"/>
                <w:lang w:eastAsia="zh-CN"/>
              </w:rPr>
              <w:t>新疆维吾尔自治区自然资源规划研究院</w:t>
            </w:r>
          </w:p>
          <w:p w14:paraId="5FDC520E">
            <w:pPr>
              <w:shd w:val="clear"/>
              <w:spacing w:line="579"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联 系 人：孙广源</w:t>
            </w:r>
          </w:p>
          <w:p w14:paraId="2861EF91">
            <w:pPr>
              <w:shd w:val="clear"/>
              <w:spacing w:line="579" w:lineRule="exact"/>
              <w:rPr>
                <w:rStyle w:val="35"/>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联系电话：18999242513</w:t>
            </w:r>
          </w:p>
        </w:tc>
      </w:tr>
      <w:tr w14:paraId="7BF22D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35ABE76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第一章2.2款</w:t>
            </w:r>
          </w:p>
        </w:tc>
        <w:tc>
          <w:tcPr>
            <w:tcW w:w="1310" w:type="dxa"/>
            <w:tcBorders>
              <w:tl2br w:val="nil"/>
              <w:tr2bl w:val="nil"/>
            </w:tcBorders>
            <w:vAlign w:val="center"/>
          </w:tcPr>
          <w:p w14:paraId="0A6318A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代理机构</w:t>
            </w:r>
          </w:p>
        </w:tc>
        <w:tc>
          <w:tcPr>
            <w:tcW w:w="6523" w:type="dxa"/>
            <w:tcBorders>
              <w:tl2br w:val="nil"/>
              <w:tr2bl w:val="nil"/>
            </w:tcBorders>
          </w:tcPr>
          <w:p w14:paraId="4300B611">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pacing w:val="-7"/>
                <w:sz w:val="24"/>
                <w:szCs w:val="24"/>
                <w:highlight w:val="none"/>
                <w:lang w:eastAsia="zh-CN"/>
              </w:rPr>
            </w:pPr>
            <w:r>
              <w:rPr>
                <w:rStyle w:val="35"/>
                <w:rFonts w:hint="eastAsia" w:ascii="仿宋" w:hAnsi="仿宋" w:eastAsia="仿宋" w:cs="仿宋"/>
                <w:color w:val="auto"/>
                <w:spacing w:val="-7"/>
                <w:sz w:val="24"/>
                <w:szCs w:val="24"/>
                <w:highlight w:val="none"/>
                <w:lang w:eastAsia="zh-CN"/>
              </w:rPr>
              <w:t>名称：新疆君凯杰工程项目管理有限公司</w:t>
            </w:r>
          </w:p>
          <w:p w14:paraId="0F28F213">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pacing w:val="-7"/>
                <w:sz w:val="24"/>
                <w:szCs w:val="24"/>
                <w:highlight w:val="none"/>
                <w:lang w:eastAsia="zh-CN"/>
              </w:rPr>
            </w:pPr>
            <w:r>
              <w:rPr>
                <w:rStyle w:val="35"/>
                <w:rFonts w:hint="eastAsia" w:ascii="仿宋" w:hAnsi="仿宋" w:eastAsia="仿宋" w:cs="仿宋"/>
                <w:color w:val="auto"/>
                <w:spacing w:val="-7"/>
                <w:sz w:val="24"/>
                <w:szCs w:val="24"/>
                <w:highlight w:val="none"/>
                <w:lang w:eastAsia="zh-CN"/>
              </w:rPr>
              <w:t>地址：乌鲁木齐市水磨沟区会展大道1119号大成尔雅A座80</w:t>
            </w:r>
            <w:r>
              <w:rPr>
                <w:rStyle w:val="35"/>
                <w:rFonts w:hint="eastAsia" w:ascii="仿宋" w:hAnsi="仿宋" w:eastAsia="仿宋" w:cs="仿宋"/>
                <w:color w:val="auto"/>
                <w:spacing w:val="-7"/>
                <w:sz w:val="24"/>
                <w:szCs w:val="24"/>
                <w:highlight w:val="none"/>
                <w:lang w:val="en-US" w:eastAsia="zh-CN"/>
              </w:rPr>
              <w:t>7</w:t>
            </w:r>
            <w:r>
              <w:rPr>
                <w:rStyle w:val="35"/>
                <w:rFonts w:hint="eastAsia" w:ascii="仿宋" w:hAnsi="仿宋" w:eastAsia="仿宋" w:cs="仿宋"/>
                <w:color w:val="auto"/>
                <w:spacing w:val="-7"/>
                <w:sz w:val="24"/>
                <w:szCs w:val="24"/>
                <w:highlight w:val="none"/>
                <w:lang w:eastAsia="zh-CN"/>
              </w:rPr>
              <w:t>室</w:t>
            </w:r>
          </w:p>
          <w:p w14:paraId="2ED3E84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pacing w:val="-7"/>
                <w:sz w:val="24"/>
                <w:szCs w:val="24"/>
                <w:highlight w:val="none"/>
                <w:lang w:eastAsia="zh-CN"/>
              </w:rPr>
            </w:pPr>
            <w:r>
              <w:rPr>
                <w:rStyle w:val="35"/>
                <w:rFonts w:hint="eastAsia" w:ascii="仿宋" w:hAnsi="仿宋" w:eastAsia="仿宋" w:cs="仿宋"/>
                <w:color w:val="auto"/>
                <w:spacing w:val="-7"/>
                <w:sz w:val="24"/>
                <w:szCs w:val="24"/>
                <w:highlight w:val="none"/>
                <w:lang w:eastAsia="zh-CN"/>
              </w:rPr>
              <w:t>联系人：海宏、崔海燕</w:t>
            </w:r>
          </w:p>
          <w:p w14:paraId="0BA24C13">
            <w:pPr>
              <w:pStyle w:val="43"/>
              <w:keepNext w:val="0"/>
              <w:keepLines w:val="0"/>
              <w:pageBreakBefore w:val="0"/>
              <w:widowControl/>
              <w:shd w:val="clear"/>
              <w:tabs>
                <w:tab w:val="left" w:pos="3706"/>
              </w:tabs>
              <w:kinsoku/>
              <w:wordWrap/>
              <w:overflowPunct/>
              <w:topLinePunct w:val="0"/>
              <w:autoSpaceDE/>
              <w:autoSpaceDN/>
              <w:bidi w:val="0"/>
              <w:adjustRightInd/>
              <w:snapToGrid/>
              <w:spacing w:line="579" w:lineRule="exact"/>
              <w:ind w:left="0" w:leftChars="0" w:right="0" w:rightChars="0"/>
              <w:textAlignment w:val="baseline"/>
              <w:rPr>
                <w:rStyle w:val="35"/>
                <w:rFonts w:hint="default" w:ascii="仿宋" w:hAnsi="仿宋" w:eastAsia="仿宋" w:cs="仿宋"/>
                <w:color w:val="auto"/>
                <w:spacing w:val="-7"/>
                <w:sz w:val="24"/>
                <w:szCs w:val="24"/>
                <w:highlight w:val="none"/>
                <w:lang w:val="en-US" w:eastAsia="zh-CN"/>
              </w:rPr>
            </w:pPr>
            <w:r>
              <w:rPr>
                <w:rStyle w:val="35"/>
                <w:rFonts w:hint="eastAsia" w:ascii="仿宋" w:hAnsi="仿宋" w:eastAsia="仿宋" w:cs="仿宋"/>
                <w:color w:val="auto"/>
                <w:spacing w:val="-7"/>
                <w:sz w:val="24"/>
                <w:szCs w:val="24"/>
                <w:highlight w:val="none"/>
                <w:lang w:eastAsia="zh-CN"/>
              </w:rPr>
              <w:t>电话：</w:t>
            </w:r>
            <w:r>
              <w:rPr>
                <w:rStyle w:val="35"/>
                <w:rFonts w:hint="eastAsia" w:ascii="仿宋" w:hAnsi="仿宋" w:eastAsia="仿宋" w:cs="仿宋"/>
                <w:color w:val="auto"/>
                <w:spacing w:val="-7"/>
                <w:sz w:val="24"/>
                <w:szCs w:val="24"/>
                <w:highlight w:val="none"/>
                <w:lang w:val="en-US" w:eastAsia="zh-CN"/>
              </w:rPr>
              <w:t>18199860236</w:t>
            </w:r>
          </w:p>
        </w:tc>
      </w:tr>
      <w:tr w14:paraId="27B702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0FFA2E0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第一章2.8款</w:t>
            </w:r>
          </w:p>
        </w:tc>
        <w:tc>
          <w:tcPr>
            <w:tcW w:w="1310" w:type="dxa"/>
            <w:tcBorders>
              <w:tl2br w:val="nil"/>
              <w:tr2bl w:val="nil"/>
            </w:tcBorders>
            <w:vAlign w:val="center"/>
          </w:tcPr>
          <w:p w14:paraId="3AE06F7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偏离</w:t>
            </w:r>
          </w:p>
        </w:tc>
        <w:tc>
          <w:tcPr>
            <w:tcW w:w="6523" w:type="dxa"/>
            <w:tcBorders>
              <w:tl2br w:val="nil"/>
              <w:tr2bl w:val="nil"/>
            </w:tcBorders>
            <w:vAlign w:val="center"/>
          </w:tcPr>
          <w:p w14:paraId="31421D25">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pacing w:val="-7"/>
                <w:sz w:val="24"/>
                <w:szCs w:val="24"/>
                <w:highlight w:val="none"/>
                <w:lang w:eastAsia="zh-CN"/>
              </w:rPr>
            </w:pPr>
            <w:r>
              <w:rPr>
                <w:rStyle w:val="35"/>
                <w:rFonts w:hint="eastAsia" w:ascii="仿宋" w:hAnsi="仿宋" w:eastAsia="仿宋" w:cs="仿宋"/>
                <w:color w:val="auto"/>
                <w:spacing w:val="-7"/>
                <w:sz w:val="24"/>
                <w:szCs w:val="24"/>
                <w:highlight w:val="none"/>
                <w:lang w:eastAsia="zh-CN"/>
              </w:rPr>
              <w:t>不接受实质性负偏离</w:t>
            </w:r>
          </w:p>
        </w:tc>
      </w:tr>
      <w:tr w14:paraId="5FE107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115C036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第一章3.1款</w:t>
            </w:r>
          </w:p>
        </w:tc>
        <w:tc>
          <w:tcPr>
            <w:tcW w:w="1310" w:type="dxa"/>
            <w:tcBorders>
              <w:tl2br w:val="nil"/>
              <w:tr2bl w:val="nil"/>
            </w:tcBorders>
            <w:vAlign w:val="center"/>
          </w:tcPr>
          <w:p w14:paraId="6881ED6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供应商资格</w:t>
            </w:r>
          </w:p>
        </w:tc>
        <w:tc>
          <w:tcPr>
            <w:tcW w:w="6523" w:type="dxa"/>
            <w:tcBorders>
              <w:tl2br w:val="nil"/>
              <w:tr2bl w:val="nil"/>
            </w:tcBorders>
            <w:vAlign w:val="center"/>
          </w:tcPr>
          <w:p w14:paraId="6761ED0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详见竞争性磋商公告</w:t>
            </w:r>
          </w:p>
        </w:tc>
      </w:tr>
      <w:tr w14:paraId="682715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79" w:hRule="atLeast"/>
        </w:trPr>
        <w:tc>
          <w:tcPr>
            <w:tcW w:w="1806" w:type="dxa"/>
            <w:tcBorders>
              <w:tl2br w:val="nil"/>
              <w:tr2bl w:val="nil"/>
            </w:tcBorders>
            <w:vAlign w:val="center"/>
          </w:tcPr>
          <w:p w14:paraId="12026FC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第一章5.1款</w:t>
            </w:r>
          </w:p>
        </w:tc>
        <w:tc>
          <w:tcPr>
            <w:tcW w:w="1310" w:type="dxa"/>
            <w:tcBorders>
              <w:tl2br w:val="nil"/>
              <w:tr2bl w:val="nil"/>
            </w:tcBorders>
            <w:vAlign w:val="center"/>
          </w:tcPr>
          <w:p w14:paraId="44BC7D52">
            <w:pPr>
              <w:pStyle w:val="43"/>
              <w:keepNext w:val="0"/>
              <w:keepLines w:val="0"/>
              <w:pageBreakBefore w:val="0"/>
              <w:widowControl/>
              <w:shd w:val="clear"/>
              <w:kinsoku/>
              <w:wordWrap/>
              <w:overflowPunct/>
              <w:topLinePunct w:val="0"/>
              <w:autoSpaceDE/>
              <w:autoSpaceDN/>
              <w:bidi w:val="0"/>
              <w:adjustRightInd/>
              <w:snapToGrid/>
              <w:spacing w:line="579" w:lineRule="exact"/>
              <w:ind w:left="108" w:leftChars="0" w:right="0" w:rightChars="0" w:hanging="108"/>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是否接受联合体投标</w:t>
            </w:r>
          </w:p>
        </w:tc>
        <w:tc>
          <w:tcPr>
            <w:tcW w:w="6523" w:type="dxa"/>
            <w:tcBorders>
              <w:tl2br w:val="nil"/>
              <w:tr2bl w:val="nil"/>
            </w:tcBorders>
            <w:vAlign w:val="center"/>
          </w:tcPr>
          <w:p w14:paraId="7408E34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不</w:t>
            </w:r>
            <w:r>
              <w:rPr>
                <w:rStyle w:val="35"/>
                <w:rFonts w:hint="eastAsia" w:ascii="仿宋" w:hAnsi="仿宋" w:eastAsia="仿宋" w:cs="仿宋"/>
                <w:color w:val="auto"/>
                <w:sz w:val="24"/>
                <w:szCs w:val="24"/>
                <w:highlight w:val="none"/>
                <w:lang w:eastAsia="zh-CN"/>
              </w:rPr>
              <w:t>接受。</w:t>
            </w:r>
          </w:p>
        </w:tc>
      </w:tr>
      <w:tr w14:paraId="5D3232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46FA79A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第一章6.1款</w:t>
            </w:r>
          </w:p>
        </w:tc>
        <w:tc>
          <w:tcPr>
            <w:tcW w:w="1310" w:type="dxa"/>
            <w:tcBorders>
              <w:tl2br w:val="nil"/>
              <w:tr2bl w:val="nil"/>
            </w:tcBorders>
            <w:vAlign w:val="center"/>
          </w:tcPr>
          <w:p w14:paraId="25BA0C7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踏勘现场</w:t>
            </w:r>
          </w:p>
        </w:tc>
        <w:tc>
          <w:tcPr>
            <w:tcW w:w="6523" w:type="dxa"/>
            <w:tcBorders>
              <w:tl2br w:val="nil"/>
              <w:tr2bl w:val="nil"/>
            </w:tcBorders>
            <w:vAlign w:val="center"/>
          </w:tcPr>
          <w:p w14:paraId="21B7F17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lang w:eastAsia="zh-CN"/>
              </w:rPr>
              <w:t>不组织</w:t>
            </w:r>
          </w:p>
        </w:tc>
      </w:tr>
      <w:tr w14:paraId="4A65BE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34F8D8F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第二章</w:t>
            </w:r>
            <w:r>
              <w:rPr>
                <w:rStyle w:val="35"/>
                <w:rFonts w:hint="eastAsia" w:ascii="仿宋" w:hAnsi="仿宋" w:eastAsia="仿宋" w:cs="仿宋"/>
                <w:color w:val="auto"/>
                <w:sz w:val="24"/>
                <w:szCs w:val="24"/>
                <w:highlight w:val="none"/>
                <w:lang w:val="en-US" w:eastAsia="zh-CN"/>
              </w:rPr>
              <w:t>8.3</w:t>
            </w:r>
            <w:r>
              <w:rPr>
                <w:rStyle w:val="35"/>
                <w:rFonts w:hint="eastAsia" w:ascii="仿宋" w:hAnsi="仿宋" w:eastAsia="仿宋" w:cs="仿宋"/>
                <w:color w:val="auto"/>
                <w:sz w:val="24"/>
                <w:szCs w:val="24"/>
                <w:highlight w:val="none"/>
              </w:rPr>
              <w:t>款</w:t>
            </w:r>
          </w:p>
        </w:tc>
        <w:tc>
          <w:tcPr>
            <w:tcW w:w="1310" w:type="dxa"/>
            <w:tcBorders>
              <w:tl2br w:val="nil"/>
              <w:tr2bl w:val="nil"/>
            </w:tcBorders>
            <w:vAlign w:val="center"/>
          </w:tcPr>
          <w:p w14:paraId="23FCF834">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政府采购支持中小企业发展</w:t>
            </w:r>
          </w:p>
        </w:tc>
        <w:tc>
          <w:tcPr>
            <w:tcW w:w="6523" w:type="dxa"/>
            <w:tcBorders>
              <w:tl2br w:val="nil"/>
              <w:tr2bl w:val="nil"/>
            </w:tcBorders>
            <w:vAlign w:val="center"/>
          </w:tcPr>
          <w:p w14:paraId="296E9356">
            <w:pPr>
              <w:shd w:val="clear"/>
              <w:tabs>
                <w:tab w:val="center" w:pos="4153"/>
                <w:tab w:val="right" w:pos="8306"/>
              </w:tabs>
              <w:snapToGrid w:val="0"/>
              <w:spacing w:line="440" w:lineRule="exact"/>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专门面向中小企业采购的项目或者采购包，不再执行价格评审优惠的扶持政策。</w:t>
            </w:r>
          </w:p>
          <w:p w14:paraId="40528130">
            <w:pPr>
              <w:shd w:val="clear"/>
              <w:tabs>
                <w:tab w:val="center" w:pos="4153"/>
                <w:tab w:val="right" w:pos="8306"/>
              </w:tabs>
              <w:snapToGrid w:val="0"/>
              <w:spacing w:line="440" w:lineRule="exact"/>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b/>
                <w:bCs/>
                <w:color w:val="auto"/>
                <w:sz w:val="24"/>
                <w:szCs w:val="24"/>
                <w:highlight w:val="none"/>
              </w:rPr>
              <w:t>本项目所属行业：</w:t>
            </w:r>
            <w:r>
              <w:rPr>
                <w:rStyle w:val="35"/>
                <w:rFonts w:hint="eastAsia" w:ascii="仿宋" w:hAnsi="仿宋" w:eastAsia="仿宋" w:cs="仿宋"/>
                <w:b/>
                <w:bCs/>
                <w:color w:val="auto"/>
                <w:sz w:val="24"/>
                <w:szCs w:val="24"/>
                <w:highlight w:val="none"/>
                <w:lang w:val="en-US" w:eastAsia="zh-CN"/>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3081AB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6F6AF1E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第二章</w:t>
            </w:r>
            <w:r>
              <w:rPr>
                <w:rStyle w:val="35"/>
                <w:rFonts w:hint="eastAsia" w:ascii="仿宋" w:hAnsi="仿宋" w:eastAsia="仿宋" w:cs="仿宋"/>
                <w:color w:val="auto"/>
                <w:sz w:val="24"/>
                <w:szCs w:val="24"/>
                <w:highlight w:val="none"/>
                <w:lang w:val="en-US" w:eastAsia="zh-CN"/>
              </w:rPr>
              <w:t>8.5</w:t>
            </w:r>
            <w:r>
              <w:rPr>
                <w:rStyle w:val="35"/>
                <w:rFonts w:hint="eastAsia" w:ascii="仿宋" w:hAnsi="仿宋" w:eastAsia="仿宋" w:cs="仿宋"/>
                <w:color w:val="auto"/>
                <w:sz w:val="24"/>
                <w:szCs w:val="24"/>
                <w:highlight w:val="none"/>
              </w:rPr>
              <w:t>款</w:t>
            </w:r>
          </w:p>
        </w:tc>
        <w:tc>
          <w:tcPr>
            <w:tcW w:w="1310" w:type="dxa"/>
            <w:tcBorders>
              <w:tl2br w:val="nil"/>
              <w:tr2bl w:val="nil"/>
            </w:tcBorders>
            <w:vAlign w:val="center"/>
          </w:tcPr>
          <w:p w14:paraId="78F1023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政府采购支持中小企业融资</w:t>
            </w:r>
            <w:r>
              <w:rPr>
                <w:rStyle w:val="35"/>
                <w:rFonts w:hint="eastAsia" w:ascii="仿宋" w:hAnsi="仿宋" w:eastAsia="仿宋" w:cs="仿宋"/>
                <w:color w:val="auto"/>
                <w:sz w:val="24"/>
                <w:szCs w:val="24"/>
                <w:highlight w:val="none"/>
                <w:lang w:eastAsia="zh-CN"/>
              </w:rPr>
              <w:t>、</w:t>
            </w:r>
            <w:r>
              <w:rPr>
                <w:rStyle w:val="35"/>
                <w:rFonts w:hint="eastAsia" w:ascii="仿宋" w:hAnsi="仿宋" w:eastAsia="仿宋" w:cs="仿宋"/>
                <w:color w:val="auto"/>
                <w:sz w:val="24"/>
                <w:szCs w:val="24"/>
                <w:highlight w:val="none"/>
              </w:rPr>
              <w:t>信用担保</w:t>
            </w:r>
          </w:p>
        </w:tc>
        <w:tc>
          <w:tcPr>
            <w:tcW w:w="6523" w:type="dxa"/>
            <w:tcBorders>
              <w:tl2br w:val="nil"/>
              <w:tr2bl w:val="nil"/>
            </w:tcBorders>
            <w:vAlign w:val="center"/>
          </w:tcPr>
          <w:p w14:paraId="47E1903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rPr>
              <w:t>中小企业在融资、保证金、履约保证等方面有需求的，可查询当地政府采购管理部门相关政策，通过专业化的担保途径解决。</w:t>
            </w:r>
          </w:p>
        </w:tc>
      </w:tr>
      <w:tr w14:paraId="69BB28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93" w:hRule="atLeast"/>
        </w:trPr>
        <w:tc>
          <w:tcPr>
            <w:tcW w:w="1806" w:type="dxa"/>
            <w:tcBorders>
              <w:tl2br w:val="nil"/>
              <w:tr2bl w:val="nil"/>
            </w:tcBorders>
            <w:vAlign w:val="center"/>
          </w:tcPr>
          <w:p w14:paraId="45C4E7A6">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15.7</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4865BF35">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业绩</w:t>
            </w:r>
          </w:p>
        </w:tc>
        <w:tc>
          <w:tcPr>
            <w:tcW w:w="6523" w:type="dxa"/>
            <w:tcBorders>
              <w:tl2br w:val="nil"/>
              <w:tr2bl w:val="nil"/>
            </w:tcBorders>
            <w:vAlign w:val="center"/>
          </w:tcPr>
          <w:p w14:paraId="3B9FBFE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业绩要求为2020年1月1日-至今</w:t>
            </w:r>
            <w:r>
              <w:rPr>
                <w:rStyle w:val="35"/>
                <w:rFonts w:hint="eastAsia" w:ascii="仿宋" w:hAnsi="仿宋" w:eastAsia="仿宋" w:cs="仿宋"/>
                <w:color w:val="auto"/>
                <w:sz w:val="24"/>
                <w:szCs w:val="24"/>
                <w:highlight w:val="none"/>
                <w:lang w:eastAsia="zh-CN"/>
              </w:rPr>
              <w:t>；</w:t>
            </w:r>
          </w:p>
          <w:p w14:paraId="27BF93A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业绩证明材料为：</w:t>
            </w:r>
            <w:r>
              <w:rPr>
                <w:rStyle w:val="35"/>
                <w:rFonts w:hint="eastAsia" w:ascii="仿宋" w:hAnsi="仿宋" w:eastAsia="仿宋" w:cs="仿宋"/>
                <w:color w:val="auto"/>
                <w:sz w:val="24"/>
                <w:szCs w:val="24"/>
                <w:highlight w:val="none"/>
                <w:lang w:val="en-US" w:eastAsia="zh-CN"/>
              </w:rPr>
              <w:t>中标通知书或</w:t>
            </w:r>
            <w:r>
              <w:rPr>
                <w:rStyle w:val="35"/>
                <w:rFonts w:hint="eastAsia" w:ascii="仿宋" w:hAnsi="仿宋" w:eastAsia="仿宋" w:cs="仿宋"/>
                <w:color w:val="auto"/>
                <w:sz w:val="24"/>
                <w:szCs w:val="24"/>
                <w:highlight w:val="none"/>
                <w:lang w:eastAsia="zh-CN"/>
              </w:rPr>
              <w:t>合同（</w:t>
            </w:r>
            <w:r>
              <w:rPr>
                <w:rStyle w:val="35"/>
                <w:rFonts w:hint="eastAsia" w:ascii="仿宋" w:hAnsi="仿宋" w:eastAsia="仿宋" w:cs="仿宋"/>
                <w:color w:val="auto"/>
                <w:sz w:val="24"/>
                <w:szCs w:val="24"/>
                <w:highlight w:val="none"/>
                <w:lang w:val="en-US" w:eastAsia="zh-CN"/>
              </w:rPr>
              <w:t>加盖公章的复印件</w:t>
            </w:r>
            <w:r>
              <w:rPr>
                <w:rStyle w:val="35"/>
                <w:rFonts w:hint="eastAsia" w:ascii="仿宋" w:hAnsi="仿宋" w:eastAsia="仿宋" w:cs="仿宋"/>
                <w:color w:val="auto"/>
                <w:sz w:val="24"/>
                <w:szCs w:val="24"/>
                <w:highlight w:val="none"/>
                <w:lang w:eastAsia="zh-CN"/>
              </w:rPr>
              <w:t>）；</w:t>
            </w:r>
          </w:p>
          <w:p w14:paraId="6773A91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合同仅需提供包含合同首页、标的内容及金额所在页、合同签字盖章页即可，需加盖公章）。</w:t>
            </w:r>
          </w:p>
          <w:p w14:paraId="06753449">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未提供业绩证明</w:t>
            </w:r>
            <w:r>
              <w:rPr>
                <w:rStyle w:val="35"/>
                <w:rFonts w:hint="eastAsia" w:ascii="仿宋" w:hAnsi="仿宋" w:eastAsia="仿宋" w:cs="仿宋"/>
                <w:color w:val="auto"/>
                <w:sz w:val="24"/>
                <w:szCs w:val="24"/>
                <w:highlight w:val="none"/>
                <w:lang w:val="en-US" w:eastAsia="zh-CN"/>
              </w:rPr>
              <w:t>材料</w:t>
            </w:r>
            <w:r>
              <w:rPr>
                <w:rStyle w:val="35"/>
                <w:rFonts w:hint="eastAsia" w:ascii="仿宋" w:hAnsi="仿宋" w:eastAsia="仿宋" w:cs="仿宋"/>
                <w:color w:val="auto"/>
                <w:sz w:val="24"/>
                <w:szCs w:val="24"/>
                <w:highlight w:val="none"/>
                <w:lang w:eastAsia="zh-CN"/>
              </w:rPr>
              <w:t>或内容模糊不清的，其业绩不予认定。</w:t>
            </w:r>
          </w:p>
          <w:p w14:paraId="17E9C78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pacing w:val="-13"/>
                <w:sz w:val="24"/>
                <w:szCs w:val="24"/>
                <w:highlight w:val="none"/>
                <w:lang w:eastAsia="zh-CN"/>
              </w:rPr>
            </w:pPr>
            <w:r>
              <w:rPr>
                <w:rStyle w:val="35"/>
                <w:rFonts w:hint="eastAsia" w:ascii="仿宋" w:hAnsi="仿宋" w:eastAsia="仿宋" w:cs="仿宋"/>
                <w:color w:val="auto"/>
                <w:sz w:val="24"/>
                <w:szCs w:val="24"/>
                <w:highlight w:val="none"/>
                <w:lang w:eastAsia="zh-CN"/>
              </w:rPr>
              <w:t>同一业绩不重复计算得分。</w:t>
            </w:r>
          </w:p>
        </w:tc>
      </w:tr>
      <w:tr w14:paraId="35D842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78" w:hRule="atLeast"/>
        </w:trPr>
        <w:tc>
          <w:tcPr>
            <w:tcW w:w="1806" w:type="dxa"/>
            <w:tcBorders>
              <w:tl2br w:val="nil"/>
              <w:tr2bl w:val="nil"/>
            </w:tcBorders>
            <w:vAlign w:val="center"/>
          </w:tcPr>
          <w:p w14:paraId="1E89E85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16.3</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00B24BE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firstLine="31"/>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最高投标限价（采</w:t>
            </w:r>
          </w:p>
          <w:p w14:paraId="63E0994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firstLine="31"/>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购预算）</w:t>
            </w:r>
          </w:p>
        </w:tc>
        <w:tc>
          <w:tcPr>
            <w:tcW w:w="6523" w:type="dxa"/>
            <w:tcBorders>
              <w:tl2br w:val="nil"/>
              <w:tr2bl w:val="nil"/>
            </w:tcBorders>
          </w:tcPr>
          <w:p w14:paraId="7D5F3DB1">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最高投标限价(即采购预算)为</w:t>
            </w:r>
            <w:r>
              <w:rPr>
                <w:rStyle w:val="35"/>
                <w:rFonts w:hint="eastAsia" w:ascii="仿宋" w:hAnsi="仿宋" w:eastAsia="仿宋" w:cs="仿宋"/>
                <w:color w:val="auto"/>
                <w:sz w:val="24"/>
                <w:szCs w:val="24"/>
                <w:highlight w:val="none"/>
                <w:lang w:val="en-US" w:eastAsia="zh-CN"/>
              </w:rPr>
              <w:t>400000.00</w:t>
            </w:r>
            <w:r>
              <w:rPr>
                <w:rStyle w:val="35"/>
                <w:rFonts w:hint="eastAsia" w:ascii="仿宋" w:hAnsi="仿宋" w:eastAsia="仿宋" w:cs="仿宋"/>
                <w:color w:val="auto"/>
                <w:sz w:val="24"/>
                <w:szCs w:val="24"/>
                <w:highlight w:val="none"/>
                <w:lang w:eastAsia="zh-CN"/>
              </w:rPr>
              <w:t>元（</w:t>
            </w:r>
            <w:r>
              <w:rPr>
                <w:rStyle w:val="35"/>
                <w:rFonts w:hint="eastAsia" w:ascii="仿宋" w:hAnsi="仿宋" w:eastAsia="仿宋" w:cs="仿宋"/>
                <w:color w:val="auto"/>
                <w:sz w:val="24"/>
                <w:szCs w:val="24"/>
                <w:highlight w:val="none"/>
                <w:lang w:val="en-US" w:eastAsia="zh-CN"/>
              </w:rPr>
              <w:t>肆拾万元整</w:t>
            </w:r>
            <w:r>
              <w:rPr>
                <w:rStyle w:val="35"/>
                <w:rFonts w:hint="eastAsia" w:ascii="仿宋" w:hAnsi="仿宋" w:eastAsia="仿宋" w:cs="仿宋"/>
                <w:color w:val="auto"/>
                <w:sz w:val="24"/>
                <w:szCs w:val="24"/>
                <w:highlight w:val="none"/>
                <w:lang w:eastAsia="zh-CN"/>
              </w:rPr>
              <w:t>）</w:t>
            </w:r>
          </w:p>
          <w:p w14:paraId="525A07C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pacing w:val="-10"/>
                <w:sz w:val="24"/>
                <w:szCs w:val="24"/>
                <w:highlight w:val="none"/>
                <w:lang w:eastAsia="zh-CN"/>
              </w:rPr>
            </w:pPr>
            <w:r>
              <w:rPr>
                <w:rStyle w:val="35"/>
                <w:rFonts w:hint="eastAsia" w:ascii="仿宋" w:hAnsi="仿宋" w:eastAsia="仿宋" w:cs="仿宋"/>
                <w:b/>
                <w:color w:val="auto"/>
                <w:sz w:val="24"/>
                <w:szCs w:val="24"/>
                <w:highlight w:val="none"/>
                <w:lang w:eastAsia="zh-CN"/>
              </w:rPr>
              <w:t>供应商的投标报价不得超过最高投标限价，否则其响应文件按否决投标处理。</w:t>
            </w:r>
          </w:p>
        </w:tc>
      </w:tr>
      <w:tr w14:paraId="02BC64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5A5E9C4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17.1</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758A56F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rPr>
              <w:t>投标有效期</w:t>
            </w:r>
          </w:p>
        </w:tc>
        <w:tc>
          <w:tcPr>
            <w:tcW w:w="6523" w:type="dxa"/>
            <w:tcBorders>
              <w:tl2br w:val="nil"/>
              <w:tr2bl w:val="nil"/>
            </w:tcBorders>
            <w:vAlign w:val="center"/>
          </w:tcPr>
          <w:p w14:paraId="44DD33F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b/>
                <w:color w:val="auto"/>
                <w:sz w:val="24"/>
                <w:szCs w:val="24"/>
                <w:highlight w:val="none"/>
                <w:lang w:eastAsia="zh-CN"/>
              </w:rPr>
            </w:pPr>
            <w:r>
              <w:rPr>
                <w:rStyle w:val="35"/>
                <w:rFonts w:hint="eastAsia" w:ascii="仿宋" w:hAnsi="仿宋" w:eastAsia="仿宋" w:cs="仿宋"/>
                <w:color w:val="auto"/>
                <w:sz w:val="24"/>
                <w:szCs w:val="24"/>
                <w:highlight w:val="none"/>
                <w:lang w:eastAsia="zh-CN"/>
              </w:rPr>
              <w:t>90日历天（从投标截止之日算起）。</w:t>
            </w:r>
          </w:p>
        </w:tc>
      </w:tr>
      <w:tr w14:paraId="11D308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50BC535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18.1</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76D7F53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磋商保证金</w:t>
            </w:r>
          </w:p>
        </w:tc>
        <w:tc>
          <w:tcPr>
            <w:tcW w:w="6523" w:type="dxa"/>
            <w:tcBorders>
              <w:tl2br w:val="nil"/>
              <w:tr2bl w:val="nil"/>
            </w:tcBorders>
            <w:vAlign w:val="center"/>
          </w:tcPr>
          <w:p w14:paraId="372DBAB3">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磋商保证金的金额：</w:t>
            </w:r>
            <w:r>
              <w:rPr>
                <w:rStyle w:val="35"/>
                <w:rFonts w:hint="eastAsia" w:ascii="仿宋" w:hAnsi="仿宋" w:eastAsia="仿宋" w:cs="仿宋"/>
                <w:color w:val="auto"/>
                <w:sz w:val="24"/>
                <w:szCs w:val="24"/>
                <w:highlight w:val="none"/>
                <w:lang w:val="en-US" w:eastAsia="zh-CN"/>
              </w:rPr>
              <w:t>8000.00</w:t>
            </w:r>
            <w:r>
              <w:rPr>
                <w:rStyle w:val="35"/>
                <w:rFonts w:hint="eastAsia" w:ascii="仿宋" w:hAnsi="仿宋" w:eastAsia="仿宋" w:cs="仿宋"/>
                <w:color w:val="auto"/>
                <w:sz w:val="24"/>
                <w:szCs w:val="24"/>
                <w:highlight w:val="none"/>
                <w:lang w:eastAsia="zh-CN"/>
              </w:rPr>
              <w:t>元（大写：捌仟元整）</w:t>
            </w:r>
          </w:p>
          <w:p w14:paraId="46D639F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磋商保证金的形式：银行电汇或银行转账</w:t>
            </w:r>
            <w:r>
              <w:rPr>
                <w:rStyle w:val="35"/>
                <w:rFonts w:hint="eastAsia" w:ascii="仿宋" w:hAnsi="仿宋" w:eastAsia="仿宋" w:cs="仿宋"/>
                <w:color w:val="auto"/>
                <w:sz w:val="24"/>
                <w:szCs w:val="24"/>
                <w:highlight w:val="none"/>
                <w:lang w:val="en-US" w:eastAsia="zh-CN"/>
              </w:rPr>
              <w:t>或保函</w:t>
            </w:r>
            <w:r>
              <w:rPr>
                <w:rStyle w:val="35"/>
                <w:rFonts w:hint="eastAsia" w:ascii="仿宋" w:hAnsi="仿宋" w:eastAsia="仿宋" w:cs="仿宋"/>
                <w:color w:val="auto"/>
                <w:sz w:val="24"/>
                <w:szCs w:val="24"/>
                <w:highlight w:val="none"/>
                <w:lang w:eastAsia="zh-CN"/>
              </w:rPr>
              <w:t>等</w:t>
            </w:r>
            <w:r>
              <w:rPr>
                <w:rStyle w:val="35"/>
                <w:rFonts w:hint="eastAsia" w:ascii="仿宋" w:hAnsi="仿宋" w:eastAsia="仿宋" w:cs="仿宋"/>
                <w:color w:val="auto"/>
                <w:sz w:val="24"/>
                <w:szCs w:val="24"/>
                <w:highlight w:val="none"/>
                <w:lang w:val="en-US" w:eastAsia="zh-CN"/>
              </w:rPr>
              <w:t>形式</w:t>
            </w:r>
            <w:r>
              <w:rPr>
                <w:rStyle w:val="35"/>
                <w:rFonts w:hint="eastAsia" w:ascii="仿宋" w:hAnsi="仿宋" w:eastAsia="仿宋" w:cs="仿宋"/>
                <w:color w:val="auto"/>
                <w:sz w:val="24"/>
                <w:szCs w:val="24"/>
                <w:highlight w:val="none"/>
                <w:lang w:eastAsia="zh-CN"/>
              </w:rPr>
              <w:t>。</w:t>
            </w:r>
          </w:p>
          <w:p w14:paraId="0564FDC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开户名称：新疆君凯杰工程项目管理有限公司</w:t>
            </w:r>
          </w:p>
          <w:p w14:paraId="02D9583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开户银行：中国农业银行乌鲁木齐昆仑路支行</w:t>
            </w:r>
          </w:p>
          <w:p w14:paraId="69AFBD5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帐    号：30006 4010 400 10690</w:t>
            </w:r>
          </w:p>
          <w:p w14:paraId="3516479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行    号：10388 1000 646</w:t>
            </w:r>
          </w:p>
          <w:p w14:paraId="2CA6175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咨询电话：0991-4639846（财务室）</w:t>
            </w:r>
          </w:p>
          <w:p w14:paraId="56C6FFF6">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附注：（</w:t>
            </w:r>
            <w:r>
              <w:rPr>
                <w:rStyle w:val="35"/>
                <w:rFonts w:hint="eastAsia" w:ascii="仿宋" w:hAnsi="仿宋" w:eastAsia="仿宋" w:cs="仿宋"/>
                <w:b/>
                <w:bCs/>
                <w:color w:val="auto"/>
                <w:sz w:val="24"/>
                <w:szCs w:val="24"/>
                <w:highlight w:val="none"/>
                <w:lang w:eastAsia="zh-CN"/>
              </w:rPr>
              <w:t>项目名称简称或项目编号</w:t>
            </w:r>
            <w:r>
              <w:rPr>
                <w:rStyle w:val="35"/>
                <w:rFonts w:hint="eastAsia" w:ascii="仿宋" w:hAnsi="仿宋" w:eastAsia="仿宋" w:cs="仿宋"/>
                <w:color w:val="auto"/>
                <w:sz w:val="24"/>
                <w:szCs w:val="24"/>
                <w:highlight w:val="none"/>
                <w:lang w:eastAsia="zh-CN"/>
              </w:rPr>
              <w:t>）磋商保证金</w:t>
            </w:r>
          </w:p>
          <w:p w14:paraId="0BF642D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磋商保证金必须在响应文件递交截止时间前确保到帐；供应商未按竞争性磋商文件要求提交磋商保证金的，响应文件无效。</w:t>
            </w:r>
          </w:p>
        </w:tc>
      </w:tr>
      <w:tr w14:paraId="46507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4A014EA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18.2</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77B487F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磋商保证金的退还</w:t>
            </w:r>
          </w:p>
        </w:tc>
        <w:tc>
          <w:tcPr>
            <w:tcW w:w="6523" w:type="dxa"/>
            <w:tcBorders>
              <w:tl2br w:val="nil"/>
              <w:tr2bl w:val="nil"/>
            </w:tcBorders>
          </w:tcPr>
          <w:p w14:paraId="6FF3F2E9">
            <w:pPr>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保证金的退还：</w:t>
            </w:r>
          </w:p>
          <w:p w14:paraId="63147A78">
            <w:pPr>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（1）供应商在投标截止时间前撤回已提交的响应文件的，采购人或者采购代理机构应当自收到供应商书面撤回通知之日起5个工作日内，退还已收取的磋商保证金，但因供应商自身原因导致无法及时退还的除外。</w:t>
            </w:r>
          </w:p>
          <w:p w14:paraId="6DDD61F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（2）采购人或者采购代理机构应当自中标通知书发出之日起5个工作日内退还未中标人的磋商保证金，自采购合同签订之日起5个工作日内退还中标人的磋商保证金或者转为中标人的履约保证金。</w:t>
            </w:r>
          </w:p>
          <w:p w14:paraId="117E53D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b/>
                <w:color w:val="auto"/>
                <w:sz w:val="24"/>
                <w:szCs w:val="24"/>
                <w:highlight w:val="none"/>
                <w:lang w:eastAsia="zh-CN"/>
              </w:rPr>
              <w:t>退还中标方磋商保证金时，中标方须提供与采购人签订的合同原</w:t>
            </w:r>
            <w:r>
              <w:rPr>
                <w:rStyle w:val="35"/>
                <w:rFonts w:hint="eastAsia" w:ascii="仿宋" w:hAnsi="仿宋" w:eastAsia="仿宋" w:cs="仿宋"/>
                <w:b/>
                <w:color w:val="auto"/>
                <w:spacing w:val="-8"/>
                <w:sz w:val="24"/>
                <w:szCs w:val="24"/>
                <w:highlight w:val="none"/>
                <w:lang w:eastAsia="zh-CN"/>
              </w:rPr>
              <w:t>件一份</w:t>
            </w:r>
            <w:r>
              <w:rPr>
                <w:rStyle w:val="35"/>
                <w:rFonts w:hint="eastAsia" w:ascii="仿宋" w:hAnsi="仿宋" w:eastAsia="仿宋" w:cs="仿宋"/>
                <w:b/>
                <w:color w:val="auto"/>
                <w:sz w:val="24"/>
                <w:szCs w:val="24"/>
                <w:highlight w:val="none"/>
                <w:lang w:eastAsia="zh-CN"/>
              </w:rPr>
              <w:t>（</w:t>
            </w:r>
            <w:r>
              <w:rPr>
                <w:rStyle w:val="35"/>
                <w:rFonts w:hint="eastAsia" w:ascii="仿宋" w:hAnsi="仿宋" w:eastAsia="仿宋" w:cs="仿宋"/>
                <w:b/>
                <w:color w:val="auto"/>
                <w:spacing w:val="-2"/>
                <w:sz w:val="24"/>
                <w:szCs w:val="24"/>
                <w:highlight w:val="none"/>
                <w:lang w:eastAsia="zh-CN"/>
              </w:rPr>
              <w:t>原件核查无误后退还</w:t>
            </w:r>
            <w:r>
              <w:rPr>
                <w:rStyle w:val="35"/>
                <w:rFonts w:hint="eastAsia" w:ascii="仿宋" w:hAnsi="仿宋" w:eastAsia="仿宋" w:cs="仿宋"/>
                <w:b/>
                <w:color w:val="auto"/>
                <w:spacing w:val="-22"/>
                <w:sz w:val="24"/>
                <w:szCs w:val="24"/>
                <w:highlight w:val="none"/>
                <w:lang w:eastAsia="zh-CN"/>
              </w:rPr>
              <w:t>）</w:t>
            </w:r>
            <w:r>
              <w:rPr>
                <w:rStyle w:val="35"/>
                <w:rFonts w:hint="eastAsia" w:ascii="仿宋" w:hAnsi="仿宋" w:eastAsia="仿宋" w:cs="仿宋"/>
                <w:b/>
                <w:color w:val="auto"/>
                <w:spacing w:val="-2"/>
                <w:sz w:val="24"/>
                <w:szCs w:val="24"/>
                <w:highlight w:val="none"/>
                <w:lang w:eastAsia="zh-CN"/>
              </w:rPr>
              <w:t>及已加盖中标方公章的合同全本复印</w:t>
            </w:r>
            <w:r>
              <w:rPr>
                <w:rStyle w:val="35"/>
                <w:rFonts w:hint="eastAsia" w:ascii="仿宋" w:hAnsi="仿宋" w:eastAsia="仿宋" w:cs="仿宋"/>
                <w:b/>
                <w:color w:val="auto"/>
                <w:sz w:val="24"/>
                <w:szCs w:val="24"/>
                <w:highlight w:val="none"/>
                <w:lang w:eastAsia="zh-CN"/>
              </w:rPr>
              <w:t>件一份（由代理机构存档备查）</w:t>
            </w:r>
            <w:r>
              <w:rPr>
                <w:rStyle w:val="35"/>
                <w:rFonts w:hint="eastAsia" w:ascii="仿宋" w:hAnsi="仿宋" w:eastAsia="仿宋" w:cs="仿宋"/>
                <w:b/>
                <w:bCs/>
                <w:color w:val="auto"/>
                <w:sz w:val="24"/>
                <w:szCs w:val="24"/>
                <w:highlight w:val="none"/>
                <w:lang w:eastAsia="zh-CN"/>
              </w:rPr>
              <w:t>。</w:t>
            </w:r>
          </w:p>
        </w:tc>
      </w:tr>
      <w:tr w14:paraId="2DBE94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44" w:hRule="atLeast"/>
        </w:trPr>
        <w:tc>
          <w:tcPr>
            <w:tcW w:w="1806" w:type="dxa"/>
            <w:tcBorders>
              <w:tl2br w:val="nil"/>
              <w:tr2bl w:val="nil"/>
            </w:tcBorders>
            <w:vAlign w:val="center"/>
          </w:tcPr>
          <w:p w14:paraId="0077A94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18.3</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10F15CD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不予退还保证金的情形</w:t>
            </w:r>
          </w:p>
        </w:tc>
        <w:tc>
          <w:tcPr>
            <w:tcW w:w="6523" w:type="dxa"/>
            <w:tcBorders>
              <w:tl2br w:val="nil"/>
              <w:tr2bl w:val="nil"/>
            </w:tcBorders>
          </w:tcPr>
          <w:p w14:paraId="6B17D43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有下列情形之一的，保证金不予退还：</w:t>
            </w:r>
          </w:p>
          <w:p w14:paraId="7B87D30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（1）供应商在提交响应文件截止时间后撤回响应文件的；</w:t>
            </w:r>
          </w:p>
          <w:p w14:paraId="551B2E4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（2）供应商在响应文件中提供虚假材料的；</w:t>
            </w:r>
          </w:p>
          <w:p w14:paraId="3E0E4DD3">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（3）除因不可抗力或竞争性磋商文件认可的情形以外，成交供应商不与采购人签订合同的；</w:t>
            </w:r>
          </w:p>
          <w:p w14:paraId="55A36DD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（4）供应商与采购人、其他供应商或者采购代理机构恶意串通的；</w:t>
            </w:r>
          </w:p>
          <w:p w14:paraId="6E84759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ascii="仿宋" w:hAnsi="仿宋" w:eastAsia="仿宋" w:cs="仿宋"/>
                <w:b/>
                <w:color w:val="auto"/>
                <w:sz w:val="24"/>
                <w:szCs w:val="24"/>
                <w:highlight w:val="none"/>
                <w:lang w:eastAsia="zh-CN"/>
              </w:rPr>
            </w:pPr>
            <w:r>
              <w:rPr>
                <w:rStyle w:val="35"/>
                <w:rFonts w:hint="eastAsia" w:ascii="仿宋" w:hAnsi="仿宋" w:eastAsia="仿宋" w:cs="仿宋"/>
                <w:color w:val="auto"/>
                <w:sz w:val="24"/>
                <w:szCs w:val="24"/>
                <w:highlight w:val="none"/>
                <w:lang w:eastAsia="zh-CN"/>
              </w:rPr>
              <w:t>（5）竞争性磋商文件规定的其他情形。</w:t>
            </w:r>
          </w:p>
        </w:tc>
      </w:tr>
      <w:tr w14:paraId="752F6E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02" w:hRule="atLeast"/>
        </w:trPr>
        <w:tc>
          <w:tcPr>
            <w:tcW w:w="1806" w:type="dxa"/>
            <w:tcBorders>
              <w:tl2br w:val="nil"/>
              <w:tr2bl w:val="nil"/>
            </w:tcBorders>
            <w:vAlign w:val="center"/>
          </w:tcPr>
          <w:p w14:paraId="651305F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第三章</w:t>
            </w:r>
            <w:r>
              <w:rPr>
                <w:rStyle w:val="35"/>
                <w:rFonts w:hint="eastAsia" w:ascii="仿宋" w:hAnsi="仿宋" w:eastAsia="仿宋" w:cs="仿宋"/>
                <w:color w:val="auto"/>
                <w:sz w:val="24"/>
                <w:szCs w:val="24"/>
                <w:highlight w:val="none"/>
              </w:rPr>
              <w:t>19.1</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3FA26161">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响应文件份数</w:t>
            </w:r>
          </w:p>
        </w:tc>
        <w:tc>
          <w:tcPr>
            <w:tcW w:w="6523" w:type="dxa"/>
            <w:tcBorders>
              <w:tl2br w:val="nil"/>
              <w:tr2bl w:val="nil"/>
            </w:tcBorders>
          </w:tcPr>
          <w:p w14:paraId="2A91022A">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ind w:right="0" w:rightChars="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b/>
                <w:bCs/>
                <w:color w:val="auto"/>
                <w:sz w:val="24"/>
                <w:szCs w:val="24"/>
                <w:highlight w:val="none"/>
                <w:lang w:val="en-US" w:eastAsia="zh-CN"/>
              </w:rPr>
              <w:t>加密的电子响应文件壹份(.jmbs格式)在政采云平台指定位置上传；</w:t>
            </w:r>
          </w:p>
        </w:tc>
      </w:tr>
      <w:tr w14:paraId="57AA02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3B4C3FE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第四章</w:t>
            </w:r>
            <w:r>
              <w:rPr>
                <w:rStyle w:val="35"/>
                <w:rFonts w:hint="eastAsia" w:ascii="仿宋" w:hAnsi="仿宋" w:eastAsia="仿宋" w:cs="仿宋"/>
                <w:color w:val="auto"/>
                <w:sz w:val="24"/>
                <w:szCs w:val="24"/>
                <w:highlight w:val="none"/>
              </w:rPr>
              <w:t>21.1</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25A89C7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响应文件递交截止时间及地点</w:t>
            </w:r>
          </w:p>
        </w:tc>
        <w:tc>
          <w:tcPr>
            <w:tcW w:w="6523" w:type="dxa"/>
            <w:tcBorders>
              <w:tl2br w:val="nil"/>
              <w:tr2bl w:val="nil"/>
            </w:tcBorders>
            <w:vAlign w:val="center"/>
          </w:tcPr>
          <w:p w14:paraId="40F2D51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时间：2025年</w:t>
            </w:r>
            <w:r>
              <w:rPr>
                <w:rStyle w:val="35"/>
                <w:rFonts w:hint="eastAsia" w:ascii="仿宋" w:hAnsi="仿宋" w:eastAsia="仿宋" w:cs="仿宋"/>
                <w:b/>
                <w:bCs/>
                <w:color w:val="auto"/>
                <w:sz w:val="24"/>
                <w:szCs w:val="24"/>
                <w:highlight w:val="none"/>
                <w:lang w:val="en-US" w:eastAsia="zh-CN"/>
              </w:rPr>
              <w:t>0</w:t>
            </w:r>
            <w:r>
              <w:rPr>
                <w:rStyle w:val="35"/>
                <w:rFonts w:hint="eastAsia" w:ascii="仿宋" w:hAnsi="仿宋" w:eastAsia="仿宋" w:cs="仿宋"/>
                <w:b/>
                <w:bCs/>
                <w:color w:val="auto"/>
                <w:sz w:val="24"/>
                <w:szCs w:val="24"/>
                <w:highlight w:val="none"/>
                <w:lang w:eastAsia="zh-CN"/>
              </w:rPr>
              <w:t>4月</w:t>
            </w:r>
            <w:r>
              <w:rPr>
                <w:rStyle w:val="35"/>
                <w:rFonts w:hint="eastAsia" w:ascii="仿宋" w:hAnsi="仿宋" w:eastAsia="仿宋" w:cs="仿宋"/>
                <w:b/>
                <w:bCs/>
                <w:color w:val="auto"/>
                <w:sz w:val="24"/>
                <w:szCs w:val="24"/>
                <w:highlight w:val="none"/>
                <w:lang w:val="en-US" w:eastAsia="zh-CN"/>
              </w:rPr>
              <w:t>21</w:t>
            </w:r>
            <w:r>
              <w:rPr>
                <w:rStyle w:val="35"/>
                <w:rFonts w:hint="eastAsia" w:ascii="仿宋" w:hAnsi="仿宋" w:eastAsia="仿宋" w:cs="仿宋"/>
                <w:b/>
                <w:bCs/>
                <w:color w:val="auto"/>
                <w:sz w:val="24"/>
                <w:szCs w:val="24"/>
                <w:highlight w:val="none"/>
                <w:lang w:eastAsia="zh-CN"/>
              </w:rPr>
              <w:t>日11:00</w:t>
            </w:r>
            <w:r>
              <w:rPr>
                <w:rFonts w:hint="eastAsia" w:ascii="仿宋" w:hAnsi="仿宋" w:eastAsia="仿宋" w:cs="仿宋"/>
                <w:b/>
                <w:bCs/>
                <w:color w:val="auto"/>
                <w:sz w:val="24"/>
                <w:szCs w:val="24"/>
                <w:highlight w:val="none"/>
                <w:lang w:eastAsia="zh-CN"/>
              </w:rPr>
              <w:t>（北京时间）</w:t>
            </w:r>
          </w:p>
          <w:p w14:paraId="6DB6B744">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地点：政采云平台http://www.zcygov.cn </w:t>
            </w:r>
          </w:p>
        </w:tc>
      </w:tr>
      <w:tr w14:paraId="7BEF29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1062" w:hRule="atLeast"/>
        </w:trPr>
        <w:tc>
          <w:tcPr>
            <w:tcW w:w="1806" w:type="dxa"/>
            <w:tcBorders>
              <w:tl2br w:val="nil"/>
              <w:tr2bl w:val="nil"/>
            </w:tcBorders>
            <w:vAlign w:val="center"/>
          </w:tcPr>
          <w:p w14:paraId="3E06B804">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第五章</w:t>
            </w:r>
            <w:r>
              <w:rPr>
                <w:rStyle w:val="35"/>
                <w:rFonts w:hint="eastAsia" w:ascii="仿宋" w:hAnsi="仿宋" w:eastAsia="仿宋" w:cs="仿宋"/>
                <w:color w:val="auto"/>
                <w:sz w:val="24"/>
                <w:szCs w:val="24"/>
                <w:highlight w:val="none"/>
              </w:rPr>
              <w:t>23</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6A35014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开标时间及地点</w:t>
            </w:r>
          </w:p>
        </w:tc>
        <w:tc>
          <w:tcPr>
            <w:tcW w:w="6523" w:type="dxa"/>
            <w:tcBorders>
              <w:tl2br w:val="nil"/>
              <w:tr2bl w:val="nil"/>
            </w:tcBorders>
            <w:vAlign w:val="center"/>
          </w:tcPr>
          <w:p w14:paraId="43AA43F0">
            <w:pPr>
              <w:pStyle w:val="43"/>
              <w:keepNext w:val="0"/>
              <w:keepLines w:val="0"/>
              <w:pageBreakBefore w:val="0"/>
              <w:widowControl/>
              <w:shd w:val="clear"/>
              <w:tabs>
                <w:tab w:val="left" w:pos="3300"/>
                <w:tab w:val="left" w:pos="3960"/>
              </w:tabs>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时间：2025年</w:t>
            </w:r>
            <w:r>
              <w:rPr>
                <w:rStyle w:val="35"/>
                <w:rFonts w:hint="eastAsia" w:ascii="仿宋" w:hAnsi="仿宋" w:eastAsia="仿宋" w:cs="仿宋"/>
                <w:b/>
                <w:bCs/>
                <w:color w:val="auto"/>
                <w:sz w:val="24"/>
                <w:szCs w:val="24"/>
                <w:highlight w:val="none"/>
                <w:lang w:val="en-US" w:eastAsia="zh-CN"/>
              </w:rPr>
              <w:t>0</w:t>
            </w:r>
            <w:r>
              <w:rPr>
                <w:rStyle w:val="35"/>
                <w:rFonts w:hint="eastAsia" w:ascii="仿宋" w:hAnsi="仿宋" w:eastAsia="仿宋" w:cs="仿宋"/>
                <w:b/>
                <w:bCs/>
                <w:color w:val="auto"/>
                <w:sz w:val="24"/>
                <w:szCs w:val="24"/>
                <w:highlight w:val="none"/>
                <w:lang w:eastAsia="zh-CN"/>
              </w:rPr>
              <w:t>4月</w:t>
            </w:r>
            <w:r>
              <w:rPr>
                <w:rStyle w:val="35"/>
                <w:rFonts w:hint="eastAsia" w:ascii="仿宋" w:hAnsi="仿宋" w:eastAsia="仿宋" w:cs="仿宋"/>
                <w:b/>
                <w:bCs/>
                <w:color w:val="auto"/>
                <w:sz w:val="24"/>
                <w:szCs w:val="24"/>
                <w:highlight w:val="none"/>
                <w:lang w:val="en-US" w:eastAsia="zh-CN"/>
              </w:rPr>
              <w:t>21</w:t>
            </w:r>
            <w:r>
              <w:rPr>
                <w:rStyle w:val="35"/>
                <w:rFonts w:hint="eastAsia" w:ascii="仿宋" w:hAnsi="仿宋" w:eastAsia="仿宋" w:cs="仿宋"/>
                <w:b/>
                <w:bCs/>
                <w:color w:val="auto"/>
                <w:sz w:val="24"/>
                <w:szCs w:val="24"/>
                <w:highlight w:val="none"/>
                <w:lang w:eastAsia="zh-CN"/>
              </w:rPr>
              <w:t>日11:00</w:t>
            </w:r>
            <w:r>
              <w:rPr>
                <w:rFonts w:hint="eastAsia" w:ascii="仿宋" w:hAnsi="仿宋" w:eastAsia="仿宋" w:cs="仿宋"/>
                <w:b/>
                <w:bCs/>
                <w:color w:val="auto"/>
                <w:sz w:val="24"/>
                <w:szCs w:val="24"/>
                <w:highlight w:val="none"/>
                <w:lang w:eastAsia="zh-CN"/>
              </w:rPr>
              <w:t>（北京时间）</w:t>
            </w:r>
          </w:p>
          <w:p w14:paraId="4270AF05">
            <w:pPr>
              <w:pStyle w:val="43"/>
              <w:keepNext w:val="0"/>
              <w:keepLines w:val="0"/>
              <w:pageBreakBefore w:val="0"/>
              <w:widowControl/>
              <w:shd w:val="clear"/>
              <w:tabs>
                <w:tab w:val="left" w:pos="3300"/>
                <w:tab w:val="left" w:pos="3960"/>
              </w:tabs>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地点：政采云网上不见面开标系统</w:t>
            </w:r>
          </w:p>
        </w:tc>
      </w:tr>
      <w:tr w14:paraId="4B705E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1062" w:hRule="atLeast"/>
        </w:trPr>
        <w:tc>
          <w:tcPr>
            <w:tcW w:w="1806" w:type="dxa"/>
            <w:tcBorders>
              <w:tl2br w:val="nil"/>
              <w:tr2bl w:val="nil"/>
            </w:tcBorders>
            <w:vAlign w:val="center"/>
          </w:tcPr>
          <w:p w14:paraId="02953B2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第五章</w:t>
            </w:r>
            <w:r>
              <w:rPr>
                <w:rStyle w:val="35"/>
                <w:rFonts w:hint="eastAsia" w:ascii="仿宋" w:hAnsi="仿宋" w:eastAsia="仿宋" w:cs="仿宋"/>
                <w:color w:val="auto"/>
                <w:sz w:val="24"/>
                <w:szCs w:val="24"/>
                <w:highlight w:val="none"/>
              </w:rPr>
              <w:t>23</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78039F8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开标</w:t>
            </w:r>
          </w:p>
        </w:tc>
        <w:tc>
          <w:tcPr>
            <w:tcW w:w="6523" w:type="dxa"/>
            <w:tcBorders>
              <w:tl2br w:val="nil"/>
              <w:tr2bl w:val="nil"/>
            </w:tcBorders>
            <w:vAlign w:val="center"/>
          </w:tcPr>
          <w:p w14:paraId="0E423220">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hint="eastAsia"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1、本次采购采用电子交易方式，电子交易平台为“政府采购云平台（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响应或响应失败等后果由供应商自行承担。</w:t>
            </w:r>
          </w:p>
          <w:p w14:paraId="53F4DF5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hint="eastAsia"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2、供应商须在提交响应文件截止时间前通过CA在政采云平台上传加密的电子响应文件。供应商在开标时须使用制作加密电子响应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2E3F75B5">
            <w:pPr>
              <w:shd w:val="clear"/>
              <w:spacing w:line="579" w:lineRule="exact"/>
              <w:rPr>
                <w:rStyle w:val="35"/>
                <w:rFonts w:hint="eastAsia" w:ascii="仿宋" w:hAnsi="仿宋" w:eastAsia="仿宋" w:cs="仿宋"/>
                <w:b/>
                <w:bCs/>
                <w:color w:val="auto"/>
                <w:sz w:val="24"/>
                <w:szCs w:val="24"/>
                <w:highlight w:val="none"/>
                <w:lang w:val="en-US" w:eastAsia="zh-CN" w:bidi="ar-SA"/>
              </w:rPr>
            </w:pPr>
            <w:r>
              <w:rPr>
                <w:rStyle w:val="35"/>
                <w:rFonts w:hint="eastAsia" w:ascii="仿宋" w:hAnsi="仿宋" w:eastAsia="仿宋" w:cs="仿宋"/>
                <w:b/>
                <w:bCs/>
                <w:color w:val="auto"/>
                <w:sz w:val="24"/>
                <w:szCs w:val="24"/>
                <w:highlight w:val="none"/>
                <w:lang w:val="en-US" w:eastAsia="zh-CN" w:bidi="ar-SA"/>
              </w:rPr>
              <w:t>3、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28E968E0">
            <w:pPr>
              <w:shd w:val="clear"/>
              <w:spacing w:line="579" w:lineRule="exact"/>
              <w:rPr>
                <w:rStyle w:val="35"/>
                <w:rFonts w:hint="default" w:ascii="仿宋" w:hAnsi="仿宋" w:eastAsia="仿宋" w:cs="仿宋"/>
                <w:b/>
                <w:bCs/>
                <w:color w:val="auto"/>
                <w:sz w:val="24"/>
                <w:szCs w:val="24"/>
                <w:highlight w:val="none"/>
                <w:lang w:val="en-US" w:eastAsia="zh-CN" w:bidi="ar-SA"/>
              </w:rPr>
            </w:pPr>
            <w:r>
              <w:rPr>
                <w:rStyle w:val="35"/>
                <w:rFonts w:hint="eastAsia" w:ascii="仿宋" w:hAnsi="仿宋" w:eastAsia="仿宋" w:cs="仿宋"/>
                <w:b/>
                <w:bCs/>
                <w:color w:val="auto"/>
                <w:sz w:val="24"/>
                <w:szCs w:val="24"/>
                <w:highlight w:val="none"/>
                <w:lang w:val="en-US" w:eastAsia="zh-CN" w:bidi="ar-SA"/>
              </w:rPr>
              <w:t xml:space="preserve"> 4、参与竞争性谈判和竞争性磋商项目供应商，开标结束后，请及时进入“网上报价”页面（详见操作手册），等待最终报价通知。如未在系统提示的报价时限内报价，则视为上一轮报价为最终报价。</w:t>
            </w:r>
          </w:p>
          <w:p w14:paraId="169FF721">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textAlignment w:val="baseline"/>
              <w:rPr>
                <w:rStyle w:val="35"/>
                <w:rFonts w:hint="eastAsia"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val="en-US" w:eastAsia="zh-CN"/>
              </w:rPr>
              <w:t>5、</w:t>
            </w:r>
            <w:r>
              <w:rPr>
                <w:rStyle w:val="35"/>
                <w:rFonts w:hint="eastAsia" w:ascii="仿宋" w:hAnsi="仿宋" w:eastAsia="仿宋" w:cs="仿宋"/>
                <w:b/>
                <w:bCs/>
                <w:color w:val="auto"/>
                <w:sz w:val="24"/>
                <w:szCs w:val="24"/>
                <w:highlight w:val="none"/>
                <w:lang w:eastAsia="zh-CN"/>
              </w:rPr>
              <w:t>各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04F541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4880CD2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第六章</w:t>
            </w:r>
            <w:r>
              <w:rPr>
                <w:rStyle w:val="35"/>
                <w:rFonts w:hint="eastAsia" w:ascii="仿宋" w:hAnsi="仿宋" w:eastAsia="仿宋" w:cs="仿宋"/>
                <w:color w:val="auto"/>
                <w:sz w:val="24"/>
                <w:szCs w:val="24"/>
                <w:highlight w:val="none"/>
              </w:rPr>
              <w:t>26.2</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4441579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rPr>
              <w:t>评标方法</w:t>
            </w:r>
          </w:p>
        </w:tc>
        <w:tc>
          <w:tcPr>
            <w:tcW w:w="6523" w:type="dxa"/>
            <w:tcBorders>
              <w:tl2br w:val="nil"/>
              <w:tr2bl w:val="nil"/>
            </w:tcBorders>
            <w:vAlign w:val="center"/>
          </w:tcPr>
          <w:p w14:paraId="3B8768E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b/>
                <w:color w:val="auto"/>
                <w:sz w:val="24"/>
                <w:szCs w:val="24"/>
                <w:highlight w:val="none"/>
                <w:lang w:eastAsia="zh-CN"/>
              </w:rPr>
            </w:pPr>
            <w:r>
              <w:rPr>
                <w:rStyle w:val="35"/>
                <w:rFonts w:hint="eastAsia" w:ascii="仿宋" w:hAnsi="仿宋" w:eastAsia="仿宋" w:cs="仿宋"/>
                <w:color w:val="auto"/>
                <w:sz w:val="24"/>
                <w:szCs w:val="24"/>
                <w:highlight w:val="none"/>
              </w:rPr>
              <w:t>综合评分法</w:t>
            </w:r>
          </w:p>
        </w:tc>
      </w:tr>
      <w:tr w14:paraId="3DBBAA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07963D9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第六章</w:t>
            </w:r>
            <w:r>
              <w:rPr>
                <w:rStyle w:val="35"/>
                <w:rFonts w:hint="eastAsia" w:ascii="仿宋" w:hAnsi="仿宋" w:eastAsia="仿宋" w:cs="仿宋"/>
                <w:color w:val="auto"/>
                <w:sz w:val="24"/>
                <w:szCs w:val="24"/>
                <w:highlight w:val="none"/>
              </w:rPr>
              <w:t>30.1</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282ADF3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lang w:eastAsia="zh-CN"/>
              </w:rPr>
              <w:t>推荐的中标候选人</w:t>
            </w:r>
          </w:p>
        </w:tc>
        <w:tc>
          <w:tcPr>
            <w:tcW w:w="6523" w:type="dxa"/>
            <w:tcBorders>
              <w:tl2br w:val="nil"/>
              <w:tr2bl w:val="nil"/>
            </w:tcBorders>
            <w:vAlign w:val="center"/>
          </w:tcPr>
          <w:p w14:paraId="11FAD1B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lang w:eastAsia="zh-CN"/>
              </w:rPr>
              <w:t>数量</w:t>
            </w:r>
            <w:r>
              <w:rPr>
                <w:rStyle w:val="35"/>
                <w:rFonts w:hint="eastAsia" w:ascii="仿宋" w:hAnsi="仿宋" w:eastAsia="仿宋" w:cs="仿宋"/>
                <w:color w:val="auto"/>
                <w:sz w:val="24"/>
                <w:szCs w:val="24"/>
                <w:highlight w:val="none"/>
                <w:u w:val="single"/>
                <w:lang w:eastAsia="zh-CN"/>
              </w:rPr>
              <w:t>3</w:t>
            </w:r>
            <w:r>
              <w:rPr>
                <w:rStyle w:val="35"/>
                <w:rFonts w:hint="eastAsia" w:ascii="仿宋" w:hAnsi="仿宋" w:eastAsia="仿宋" w:cs="仿宋"/>
                <w:color w:val="auto"/>
                <w:sz w:val="24"/>
                <w:szCs w:val="24"/>
                <w:highlight w:val="none"/>
                <w:lang w:eastAsia="zh-CN"/>
              </w:rPr>
              <w:t>人</w:t>
            </w:r>
          </w:p>
        </w:tc>
      </w:tr>
      <w:tr w14:paraId="0CDFF0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34" w:hRule="atLeast"/>
        </w:trPr>
        <w:tc>
          <w:tcPr>
            <w:tcW w:w="1806" w:type="dxa"/>
            <w:tcBorders>
              <w:tl2br w:val="nil"/>
              <w:tr2bl w:val="nil"/>
            </w:tcBorders>
            <w:vAlign w:val="center"/>
          </w:tcPr>
          <w:p w14:paraId="1CAE469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第七章</w:t>
            </w:r>
            <w:r>
              <w:rPr>
                <w:rStyle w:val="35"/>
                <w:rFonts w:hint="eastAsia" w:ascii="仿宋" w:hAnsi="仿宋" w:eastAsia="仿宋" w:cs="仿宋"/>
                <w:color w:val="auto"/>
                <w:sz w:val="24"/>
                <w:szCs w:val="24"/>
                <w:highlight w:val="none"/>
              </w:rPr>
              <w:t>34.1</w:t>
            </w:r>
            <w:r>
              <w:rPr>
                <w:rStyle w:val="35"/>
                <w:rFonts w:hint="eastAsia" w:ascii="仿宋" w:hAnsi="仿宋" w:eastAsia="仿宋" w:cs="仿宋"/>
                <w:color w:val="auto"/>
                <w:spacing w:val="-35"/>
                <w:sz w:val="24"/>
                <w:szCs w:val="24"/>
                <w:highlight w:val="none"/>
              </w:rPr>
              <w:t>款</w:t>
            </w:r>
          </w:p>
        </w:tc>
        <w:tc>
          <w:tcPr>
            <w:tcW w:w="1310" w:type="dxa"/>
            <w:tcBorders>
              <w:tl2br w:val="nil"/>
              <w:tr2bl w:val="nil"/>
            </w:tcBorders>
            <w:vAlign w:val="center"/>
          </w:tcPr>
          <w:p w14:paraId="620BC5A6">
            <w:pPr>
              <w:pStyle w:val="43"/>
              <w:keepNext w:val="0"/>
              <w:keepLines w:val="0"/>
              <w:pageBreakBefore w:val="0"/>
              <w:widowControl/>
              <w:shd w:val="clear"/>
              <w:tabs>
                <w:tab w:val="left" w:pos="1320"/>
              </w:tabs>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履约担保</w:t>
            </w:r>
          </w:p>
        </w:tc>
        <w:tc>
          <w:tcPr>
            <w:tcW w:w="6523" w:type="dxa"/>
            <w:tcBorders>
              <w:tl2br w:val="nil"/>
              <w:tr2bl w:val="nil"/>
            </w:tcBorders>
            <w:vAlign w:val="center"/>
          </w:tcPr>
          <w:p w14:paraId="65005C7B">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8"/>
                <w:sz w:val="24"/>
                <w:szCs w:val="24"/>
                <w:highlight w:val="none"/>
                <w:lang w:eastAsia="zh-CN"/>
              </w:rPr>
              <w:t>合同价款的</w:t>
            </w:r>
            <w:r>
              <w:rPr>
                <w:rStyle w:val="35"/>
                <w:rFonts w:hint="eastAsia" w:ascii="仿宋" w:hAnsi="仿宋" w:eastAsia="仿宋" w:cs="仿宋"/>
                <w:color w:val="auto"/>
                <w:spacing w:val="-6"/>
                <w:sz w:val="24"/>
                <w:szCs w:val="24"/>
                <w:highlight w:val="none"/>
                <w:u w:val="single"/>
                <w:lang w:val="en-US" w:eastAsia="zh-CN"/>
              </w:rPr>
              <w:t>/</w:t>
            </w:r>
            <w:r>
              <w:rPr>
                <w:rStyle w:val="35"/>
                <w:rFonts w:hint="eastAsia" w:ascii="仿宋" w:hAnsi="仿宋" w:eastAsia="仿宋" w:cs="仿宋"/>
                <w:color w:val="auto"/>
                <w:sz w:val="24"/>
                <w:szCs w:val="24"/>
                <w:highlight w:val="none"/>
                <w:lang w:eastAsia="zh-CN"/>
              </w:rPr>
              <w:t>。</w:t>
            </w:r>
          </w:p>
        </w:tc>
      </w:tr>
      <w:tr w14:paraId="29230A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66E1DC8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第八章</w:t>
            </w:r>
            <w:r>
              <w:rPr>
                <w:rStyle w:val="35"/>
                <w:rFonts w:hint="eastAsia" w:ascii="仿宋" w:hAnsi="仿宋" w:eastAsia="仿宋" w:cs="仿宋"/>
                <w:color w:val="auto"/>
                <w:sz w:val="24"/>
                <w:szCs w:val="24"/>
                <w:highlight w:val="none"/>
              </w:rPr>
              <w:t>36.1</w:t>
            </w:r>
          </w:p>
        </w:tc>
        <w:tc>
          <w:tcPr>
            <w:tcW w:w="1310" w:type="dxa"/>
            <w:tcBorders>
              <w:tl2br w:val="nil"/>
              <w:tr2bl w:val="nil"/>
            </w:tcBorders>
            <w:vAlign w:val="center"/>
          </w:tcPr>
          <w:p w14:paraId="2FA948B4">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付款方式：</w:t>
            </w:r>
          </w:p>
        </w:tc>
        <w:tc>
          <w:tcPr>
            <w:tcW w:w="6523" w:type="dxa"/>
            <w:tcBorders>
              <w:tl2br w:val="nil"/>
              <w:tr2bl w:val="nil"/>
            </w:tcBorders>
            <w:vAlign w:val="center"/>
          </w:tcPr>
          <w:p w14:paraId="34E037A8">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合同签定后，采购人按照合同约定向中标人预付合同款的</w:t>
            </w:r>
            <w:r>
              <w:rPr>
                <w:rStyle w:val="35"/>
                <w:rFonts w:hint="eastAsia" w:ascii="仿宋" w:hAnsi="仿宋" w:eastAsia="仿宋" w:cs="仿宋"/>
                <w:color w:val="auto"/>
                <w:sz w:val="24"/>
                <w:szCs w:val="24"/>
                <w:highlight w:val="none"/>
                <w:lang w:val="en-US" w:eastAsia="zh-CN"/>
              </w:rPr>
              <w:t>7</w:t>
            </w:r>
            <w:r>
              <w:rPr>
                <w:rStyle w:val="35"/>
                <w:rFonts w:hint="eastAsia" w:ascii="仿宋" w:hAnsi="仿宋" w:eastAsia="仿宋" w:cs="仿宋"/>
                <w:color w:val="auto"/>
                <w:sz w:val="24"/>
                <w:szCs w:val="24"/>
                <w:highlight w:val="none"/>
                <w:lang w:eastAsia="zh-CN"/>
              </w:rPr>
              <w:t>0%，项目执行完毕且验收合格后付合同款的</w:t>
            </w:r>
            <w:r>
              <w:rPr>
                <w:rStyle w:val="35"/>
                <w:rFonts w:hint="eastAsia" w:ascii="仿宋" w:hAnsi="仿宋" w:eastAsia="仿宋" w:cs="仿宋"/>
                <w:color w:val="auto"/>
                <w:sz w:val="24"/>
                <w:szCs w:val="24"/>
                <w:highlight w:val="none"/>
                <w:lang w:val="en-US" w:eastAsia="zh-CN"/>
              </w:rPr>
              <w:t>3</w:t>
            </w:r>
            <w:r>
              <w:rPr>
                <w:rStyle w:val="35"/>
                <w:rFonts w:hint="eastAsia" w:ascii="仿宋" w:hAnsi="仿宋" w:eastAsia="仿宋" w:cs="仿宋"/>
                <w:color w:val="auto"/>
                <w:sz w:val="24"/>
                <w:szCs w:val="24"/>
                <w:highlight w:val="none"/>
                <w:lang w:eastAsia="zh-CN"/>
              </w:rPr>
              <w:t>0%。付款前，中标人须提供合法的当届结算金额全额增值税发票并经采购人财务审核后方可付款（最终付款方式以和采购单位签订合同为准）。</w:t>
            </w:r>
          </w:p>
        </w:tc>
      </w:tr>
      <w:tr w14:paraId="5B81C5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06" w:type="dxa"/>
            <w:tcBorders>
              <w:tl2br w:val="nil"/>
              <w:tr2bl w:val="nil"/>
            </w:tcBorders>
            <w:vAlign w:val="center"/>
          </w:tcPr>
          <w:p w14:paraId="57AA3EDA">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第八章</w:t>
            </w:r>
            <w:r>
              <w:rPr>
                <w:rStyle w:val="35"/>
                <w:rFonts w:hint="eastAsia" w:ascii="仿宋" w:hAnsi="仿宋" w:eastAsia="仿宋" w:cs="仿宋"/>
                <w:color w:val="auto"/>
                <w:sz w:val="24"/>
                <w:szCs w:val="24"/>
                <w:highlight w:val="none"/>
              </w:rPr>
              <w:t>36.1</w:t>
            </w:r>
          </w:p>
        </w:tc>
        <w:tc>
          <w:tcPr>
            <w:tcW w:w="1310" w:type="dxa"/>
            <w:tcBorders>
              <w:tl2br w:val="nil"/>
              <w:tr2bl w:val="nil"/>
            </w:tcBorders>
            <w:vAlign w:val="center"/>
          </w:tcPr>
          <w:p w14:paraId="373C6052">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特别提示</w:t>
            </w:r>
          </w:p>
        </w:tc>
        <w:tc>
          <w:tcPr>
            <w:tcW w:w="6523" w:type="dxa"/>
            <w:tcBorders>
              <w:tl2br w:val="nil"/>
              <w:tr2bl w:val="nil"/>
            </w:tcBorders>
            <w:vAlign w:val="center"/>
          </w:tcPr>
          <w:p w14:paraId="77E87BC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1：供应商须自行查询信用记录；</w:t>
            </w:r>
          </w:p>
          <w:p w14:paraId="08E8EC3D">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3"/>
                <w:sz w:val="24"/>
                <w:szCs w:val="24"/>
                <w:highlight w:val="none"/>
                <w:lang w:eastAsia="zh-CN"/>
              </w:rPr>
              <w:t>查询时间为：自公告发布之日起至响应文件递交截止时间止（该时间段内任一时间</w:t>
            </w:r>
            <w:r>
              <w:rPr>
                <w:rStyle w:val="35"/>
                <w:rFonts w:hint="eastAsia" w:ascii="仿宋" w:hAnsi="仿宋" w:eastAsia="仿宋" w:cs="仿宋"/>
                <w:color w:val="auto"/>
                <w:sz w:val="24"/>
                <w:szCs w:val="24"/>
                <w:highlight w:val="none"/>
                <w:lang w:eastAsia="zh-CN"/>
              </w:rPr>
              <w:t>）</w:t>
            </w:r>
            <w:r>
              <w:rPr>
                <w:rStyle w:val="35"/>
                <w:rFonts w:hint="eastAsia" w:ascii="仿宋" w:hAnsi="仿宋" w:eastAsia="仿宋" w:cs="仿宋"/>
                <w:color w:val="auto"/>
                <w:spacing w:val="-3"/>
                <w:sz w:val="24"/>
                <w:szCs w:val="24"/>
                <w:highlight w:val="none"/>
                <w:lang w:eastAsia="zh-CN"/>
              </w:rPr>
              <w:t>。查询渠道为：“信用中国”网站及“中国政府采购网”。</w:t>
            </w:r>
          </w:p>
          <w:p w14:paraId="0294688F">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eastAsia="zh-CN"/>
              </w:rPr>
              <w:t>（</w:t>
            </w:r>
            <w:r>
              <w:rPr>
                <w:rStyle w:val="35"/>
                <w:rFonts w:hint="eastAsia" w:ascii="仿宋" w:hAnsi="仿宋" w:eastAsia="仿宋" w:cs="仿宋"/>
                <w:color w:val="auto"/>
                <w:sz w:val="24"/>
                <w:szCs w:val="24"/>
                <w:highlight w:val="none"/>
                <w:lang w:val="en-US" w:eastAsia="zh-CN"/>
              </w:rPr>
              <w:t>2</w:t>
            </w:r>
            <w:r>
              <w:rPr>
                <w:rStyle w:val="35"/>
                <w:rFonts w:hint="eastAsia" w:ascii="仿宋" w:hAnsi="仿宋" w:eastAsia="仿宋" w:cs="仿宋"/>
                <w:color w:val="auto"/>
                <w:sz w:val="24"/>
                <w:szCs w:val="24"/>
                <w:highlight w:val="none"/>
                <w:lang w:eastAsia="zh-CN"/>
              </w:rPr>
              <w:t>）对列入失信被执行人、</w:t>
            </w:r>
            <w:r>
              <w:rPr>
                <w:rFonts w:hint="eastAsia" w:ascii="仿宋" w:hAnsi="仿宋" w:eastAsia="仿宋" w:cs="仿宋"/>
                <w:i w:val="0"/>
                <w:iCs w:val="0"/>
                <w:caps w:val="0"/>
                <w:color w:val="auto"/>
                <w:spacing w:val="0"/>
                <w:sz w:val="24"/>
                <w:szCs w:val="24"/>
                <w:highlight w:val="none"/>
              </w:rPr>
              <w:t>重大税收违法</w:t>
            </w:r>
            <w:r>
              <w:rPr>
                <w:rFonts w:hint="eastAsia" w:ascii="仿宋" w:hAnsi="仿宋" w:eastAsia="仿宋" w:cs="仿宋"/>
                <w:i w:val="0"/>
                <w:iCs w:val="0"/>
                <w:caps w:val="0"/>
                <w:color w:val="auto"/>
                <w:spacing w:val="0"/>
                <w:sz w:val="24"/>
                <w:szCs w:val="24"/>
                <w:highlight w:val="none"/>
                <w:lang w:val="en-US" w:eastAsia="zh-CN"/>
              </w:rPr>
              <w:t>失信主体</w:t>
            </w:r>
            <w:r>
              <w:rPr>
                <w:rFonts w:hint="eastAsia" w:ascii="仿宋" w:hAnsi="仿宋" w:eastAsia="仿宋" w:cs="仿宋"/>
                <w:i w:val="0"/>
                <w:iCs w:val="0"/>
                <w:caps w:val="0"/>
                <w:color w:val="auto"/>
                <w:spacing w:val="0"/>
                <w:sz w:val="24"/>
                <w:szCs w:val="24"/>
                <w:highlight w:val="none"/>
              </w:rPr>
              <w:t>、</w:t>
            </w:r>
            <w:r>
              <w:rPr>
                <w:rStyle w:val="35"/>
                <w:rFonts w:hint="eastAsia" w:ascii="仿宋" w:hAnsi="仿宋" w:eastAsia="仿宋" w:cs="仿宋"/>
                <w:color w:val="auto"/>
                <w:sz w:val="24"/>
                <w:szCs w:val="24"/>
                <w:highlight w:val="none"/>
                <w:lang w:eastAsia="zh-CN"/>
              </w:rPr>
              <w:t>政府采购严重违法失信行为记录名单及其他不符合《中华人民共和国政府采购法》第二十二条规定条件的供应商，其响应文件将被拒绝。</w:t>
            </w:r>
          </w:p>
        </w:tc>
      </w:tr>
      <w:tr w14:paraId="71CA3A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648" w:hRule="atLeast"/>
        </w:trPr>
        <w:tc>
          <w:tcPr>
            <w:tcW w:w="1806" w:type="dxa"/>
            <w:tcBorders>
              <w:tl2br w:val="nil"/>
              <w:tr2bl w:val="nil"/>
            </w:tcBorders>
            <w:vAlign w:val="center"/>
          </w:tcPr>
          <w:p w14:paraId="0CFC9F3C">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第八章</w:t>
            </w:r>
            <w:r>
              <w:rPr>
                <w:rStyle w:val="35"/>
                <w:rFonts w:hint="eastAsia" w:ascii="仿宋" w:hAnsi="仿宋" w:eastAsia="仿宋" w:cs="仿宋"/>
                <w:color w:val="auto"/>
                <w:sz w:val="24"/>
                <w:szCs w:val="24"/>
                <w:highlight w:val="none"/>
              </w:rPr>
              <w:t>36.1</w:t>
            </w:r>
          </w:p>
        </w:tc>
        <w:tc>
          <w:tcPr>
            <w:tcW w:w="1310" w:type="dxa"/>
            <w:tcBorders>
              <w:tl2br w:val="nil"/>
              <w:tr2bl w:val="nil"/>
            </w:tcBorders>
            <w:vAlign w:val="center"/>
          </w:tcPr>
          <w:p w14:paraId="508DF44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代理服务费</w:t>
            </w:r>
          </w:p>
        </w:tc>
        <w:tc>
          <w:tcPr>
            <w:tcW w:w="6523" w:type="dxa"/>
            <w:tcBorders>
              <w:tl2br w:val="nil"/>
              <w:tr2bl w:val="nil"/>
            </w:tcBorders>
            <w:vAlign w:val="center"/>
          </w:tcPr>
          <w:p w14:paraId="6B14E19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本项目招标代理服务费参考发改价格[2011]534号及计价格[2002]1980号文件计算的招标代理服务收费标准收取。由中标（成交）人支付；不足3000元按3000元取费。</w:t>
            </w:r>
          </w:p>
        </w:tc>
      </w:tr>
      <w:tr w14:paraId="40F2A8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37" w:hRule="atLeast"/>
        </w:trPr>
        <w:tc>
          <w:tcPr>
            <w:tcW w:w="1806" w:type="dxa"/>
            <w:tcBorders>
              <w:tl2br w:val="nil"/>
              <w:tr2bl w:val="nil"/>
            </w:tcBorders>
            <w:vAlign w:val="center"/>
          </w:tcPr>
          <w:p w14:paraId="3967D5B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第八章</w:t>
            </w:r>
            <w:r>
              <w:rPr>
                <w:rStyle w:val="35"/>
                <w:rFonts w:hint="eastAsia" w:ascii="仿宋" w:hAnsi="仿宋" w:eastAsia="仿宋" w:cs="仿宋"/>
                <w:color w:val="auto"/>
                <w:sz w:val="24"/>
                <w:szCs w:val="24"/>
                <w:highlight w:val="none"/>
              </w:rPr>
              <w:t>36.1</w:t>
            </w:r>
          </w:p>
        </w:tc>
        <w:tc>
          <w:tcPr>
            <w:tcW w:w="7833" w:type="dxa"/>
            <w:gridSpan w:val="2"/>
            <w:tcBorders>
              <w:tl2br w:val="nil"/>
              <w:tr2bl w:val="nil"/>
            </w:tcBorders>
            <w:vAlign w:val="center"/>
          </w:tcPr>
          <w:p w14:paraId="05408F7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或服务。</w:t>
            </w:r>
          </w:p>
        </w:tc>
      </w:tr>
      <w:tr w14:paraId="4AEC6A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17" w:hRule="atLeast"/>
        </w:trPr>
        <w:tc>
          <w:tcPr>
            <w:tcW w:w="1806" w:type="dxa"/>
            <w:tcBorders>
              <w:tl2br w:val="nil"/>
              <w:tr2bl w:val="nil"/>
            </w:tcBorders>
            <w:vAlign w:val="center"/>
          </w:tcPr>
          <w:p w14:paraId="7188EB3E">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center"/>
              <w:textAlignment w:val="baseline"/>
              <w:rPr>
                <w:rStyle w:val="35"/>
                <w:rFonts w:ascii="仿宋" w:hAnsi="仿宋" w:eastAsia="仿宋" w:cs="仿宋"/>
                <w:color w:val="auto"/>
                <w:spacing w:val="10"/>
                <w:sz w:val="24"/>
                <w:szCs w:val="24"/>
                <w:highlight w:val="none"/>
              </w:rPr>
            </w:pPr>
            <w:r>
              <w:rPr>
                <w:rStyle w:val="35"/>
                <w:rFonts w:hint="eastAsia" w:ascii="仿宋" w:hAnsi="仿宋" w:eastAsia="仿宋" w:cs="仿宋"/>
                <w:color w:val="auto"/>
                <w:spacing w:val="10"/>
                <w:sz w:val="24"/>
                <w:szCs w:val="24"/>
                <w:highlight w:val="none"/>
              </w:rPr>
              <w:t>第八章</w:t>
            </w:r>
            <w:r>
              <w:rPr>
                <w:rStyle w:val="35"/>
                <w:rFonts w:hint="eastAsia" w:ascii="仿宋" w:hAnsi="仿宋" w:eastAsia="仿宋" w:cs="仿宋"/>
                <w:color w:val="auto"/>
                <w:sz w:val="24"/>
                <w:szCs w:val="24"/>
                <w:highlight w:val="none"/>
              </w:rPr>
              <w:t>36.1</w:t>
            </w:r>
          </w:p>
        </w:tc>
        <w:tc>
          <w:tcPr>
            <w:tcW w:w="7833" w:type="dxa"/>
            <w:gridSpan w:val="2"/>
            <w:tcBorders>
              <w:tl2br w:val="nil"/>
              <w:tr2bl w:val="nil"/>
            </w:tcBorders>
            <w:vAlign w:val="center"/>
          </w:tcPr>
          <w:p w14:paraId="074714E7">
            <w:pPr>
              <w:pStyle w:val="43"/>
              <w:keepNext w:val="0"/>
              <w:keepLines w:val="0"/>
              <w:pageBreakBefore w:val="0"/>
              <w:widowControl/>
              <w:shd w:val="clear"/>
              <w:kinsoku/>
              <w:wordWrap/>
              <w:overflowPunct/>
              <w:topLinePunct w:val="0"/>
              <w:autoSpaceDE/>
              <w:autoSpaceDN/>
              <w:bidi w:val="0"/>
              <w:adjustRightInd/>
              <w:snapToGrid/>
              <w:spacing w:line="579" w:lineRule="exact"/>
              <w:ind w:left="0" w:leftChars="0" w:right="0" w:rightChars="0"/>
              <w:jc w:val="both"/>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注：如本《供应商须知前附表》相关内容与竞争性磋商文件中的相关内容如有不一致处，则以本《供应商须知前附表》相关内容为准。</w:t>
            </w:r>
          </w:p>
        </w:tc>
      </w:tr>
    </w:tbl>
    <w:p w14:paraId="4D66BD30">
      <w:pPr>
        <w:keepNext w:val="0"/>
        <w:keepLines w:val="0"/>
        <w:pageBreakBefore w:val="0"/>
        <w:widowControl/>
        <w:shd w:val="clear"/>
        <w:kinsoku/>
        <w:wordWrap/>
        <w:overflowPunct/>
        <w:topLinePunct w:val="0"/>
        <w:autoSpaceDE/>
        <w:autoSpaceDN/>
        <w:bidi w:val="0"/>
        <w:adjustRightInd/>
        <w:snapToGrid/>
        <w:spacing w:line="579" w:lineRule="exact"/>
        <w:ind w:firstLine="643" w:firstLineChars="200"/>
        <w:jc w:val="center"/>
        <w:textAlignment w:val="baseline"/>
        <w:outlineLvl w:val="9"/>
        <w:rPr>
          <w:rStyle w:val="35"/>
          <w:rFonts w:hint="eastAsia" w:ascii="仿宋" w:hAnsi="仿宋" w:eastAsia="仿宋" w:cs="仿宋"/>
          <w:b/>
          <w:color w:val="auto"/>
          <w:sz w:val="32"/>
          <w:highlight w:val="none"/>
          <w:lang w:eastAsia="zh-CN"/>
        </w:rPr>
      </w:pPr>
      <w:bookmarkStart w:id="19" w:name="_Toc12436"/>
      <w:bookmarkStart w:id="20" w:name="_Toc1619"/>
      <w:bookmarkStart w:id="21" w:name="_Toc28100"/>
      <w:bookmarkStart w:id="22" w:name="_Toc3325"/>
      <w:bookmarkStart w:id="23" w:name="_Toc7923"/>
    </w:p>
    <w:p w14:paraId="7D0FE7D1">
      <w:pPr>
        <w:rPr>
          <w:rStyle w:val="35"/>
          <w:rFonts w:hint="eastAsia" w:ascii="仿宋" w:hAnsi="仿宋" w:eastAsia="仿宋" w:cs="仿宋"/>
          <w:b/>
          <w:color w:val="auto"/>
          <w:sz w:val="32"/>
          <w:highlight w:val="none"/>
          <w:lang w:eastAsia="zh-CN"/>
        </w:rPr>
      </w:pPr>
      <w:bookmarkStart w:id="24" w:name="_Toc12664"/>
      <w:r>
        <w:rPr>
          <w:rStyle w:val="35"/>
          <w:rFonts w:hint="eastAsia" w:ascii="仿宋" w:hAnsi="仿宋" w:eastAsia="仿宋" w:cs="仿宋"/>
          <w:b/>
          <w:color w:val="auto"/>
          <w:sz w:val="32"/>
          <w:highlight w:val="none"/>
          <w:lang w:eastAsia="zh-CN"/>
        </w:rPr>
        <w:br w:type="page"/>
      </w:r>
    </w:p>
    <w:p w14:paraId="7E1FAD3B">
      <w:pPr>
        <w:shd w:val="clear"/>
        <w:spacing w:line="579" w:lineRule="exact"/>
        <w:ind w:firstLine="643" w:firstLineChars="200"/>
        <w:jc w:val="center"/>
        <w:outlineLvl w:val="1"/>
        <w:rPr>
          <w:rStyle w:val="35"/>
          <w:rFonts w:ascii="仿宋" w:hAnsi="仿宋" w:eastAsia="仿宋" w:cs="仿宋"/>
          <w:b/>
          <w:color w:val="auto"/>
          <w:sz w:val="32"/>
          <w:highlight w:val="none"/>
          <w:lang w:eastAsia="zh-CN"/>
        </w:rPr>
      </w:pPr>
      <w:r>
        <w:rPr>
          <w:rStyle w:val="35"/>
          <w:rFonts w:hint="eastAsia" w:ascii="仿宋" w:hAnsi="仿宋" w:eastAsia="仿宋" w:cs="仿宋"/>
          <w:b/>
          <w:color w:val="auto"/>
          <w:sz w:val="32"/>
          <w:highlight w:val="none"/>
          <w:lang w:eastAsia="zh-CN"/>
        </w:rPr>
        <w:t>第一章供应商须知</w:t>
      </w:r>
      <w:bookmarkEnd w:id="19"/>
      <w:bookmarkEnd w:id="20"/>
      <w:bookmarkEnd w:id="21"/>
      <w:bookmarkEnd w:id="22"/>
      <w:bookmarkEnd w:id="23"/>
      <w:bookmarkEnd w:id="24"/>
    </w:p>
    <w:p w14:paraId="06B598A7">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1.项目概况</w:t>
      </w:r>
    </w:p>
    <w:p w14:paraId="0379281C">
      <w:pPr>
        <w:shd w:val="clear"/>
        <w:spacing w:line="579" w:lineRule="exact"/>
        <w:ind w:firstLine="480" w:firstLineChars="200"/>
        <w:rPr>
          <w:rStyle w:val="35"/>
          <w:rFonts w:ascii="仿宋" w:hAnsi="仿宋" w:eastAsia="仿宋" w:cs="仿宋"/>
          <w:b/>
          <w:color w:val="auto"/>
          <w:sz w:val="32"/>
          <w:highlight w:val="none"/>
          <w:lang w:eastAsia="zh-CN"/>
        </w:rPr>
      </w:pPr>
      <w:r>
        <w:rPr>
          <w:rStyle w:val="35"/>
          <w:rFonts w:hint="eastAsia" w:ascii="仿宋" w:hAnsi="仿宋" w:eastAsia="仿宋" w:cs="仿宋"/>
          <w:color w:val="auto"/>
          <w:sz w:val="24"/>
          <w:szCs w:val="24"/>
          <w:highlight w:val="none"/>
          <w:lang w:eastAsia="zh-CN"/>
        </w:rPr>
        <w:t>1.1项目名称：详见供应商须知前附表；</w:t>
      </w:r>
    </w:p>
    <w:p w14:paraId="006C9379">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1.2招标方式：详见供应商须知前附表；</w:t>
      </w:r>
    </w:p>
    <w:p w14:paraId="7422FB8D">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1.3采购内容：详见供应商须知前附表；</w:t>
      </w:r>
    </w:p>
    <w:p w14:paraId="21A4B16E">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1.4资金来源：详见供应商须知前附表；</w:t>
      </w:r>
    </w:p>
    <w:p w14:paraId="76E42C4A">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w:t>
      </w:r>
      <w:r>
        <w:rPr>
          <w:rStyle w:val="35"/>
          <w:rFonts w:hint="eastAsia" w:ascii="仿宋" w:hAnsi="仿宋" w:eastAsia="仿宋" w:cs="仿宋"/>
          <w:color w:val="auto"/>
          <w:sz w:val="24"/>
          <w:szCs w:val="24"/>
          <w:highlight w:val="none"/>
          <w:lang w:val="en-US" w:eastAsia="zh-CN"/>
        </w:rPr>
        <w:t>服务</w:t>
      </w:r>
      <w:r>
        <w:rPr>
          <w:rStyle w:val="35"/>
          <w:rFonts w:hint="eastAsia" w:ascii="仿宋" w:hAnsi="仿宋" w:eastAsia="仿宋" w:cs="仿宋"/>
          <w:color w:val="auto"/>
          <w:sz w:val="24"/>
          <w:szCs w:val="24"/>
          <w:highlight w:val="none"/>
          <w:lang w:eastAsia="zh-CN"/>
        </w:rPr>
        <w:t>地点：详见供应商须知前附表；</w:t>
      </w:r>
    </w:p>
    <w:p w14:paraId="1D234A41">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1.6合同履行期限：详见供应商须知前附表；</w:t>
      </w:r>
    </w:p>
    <w:p w14:paraId="499E58E2">
      <w:pPr>
        <w:shd w:val="clear"/>
        <w:spacing w:line="579" w:lineRule="exact"/>
        <w:ind w:firstLine="45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b/>
          <w:color w:val="auto"/>
          <w:spacing w:val="-8"/>
          <w:sz w:val="24"/>
          <w:szCs w:val="24"/>
          <w:highlight w:val="none"/>
          <w:lang w:eastAsia="zh-CN"/>
        </w:rPr>
        <w:t>2</w:t>
      </w:r>
      <w:r>
        <w:rPr>
          <w:rStyle w:val="35"/>
          <w:rFonts w:hint="eastAsia" w:ascii="仿宋" w:hAnsi="仿宋" w:eastAsia="仿宋" w:cs="仿宋"/>
          <w:b/>
          <w:color w:val="auto"/>
          <w:spacing w:val="-3"/>
          <w:sz w:val="24"/>
          <w:szCs w:val="24"/>
          <w:highlight w:val="none"/>
          <w:lang w:eastAsia="zh-CN"/>
        </w:rPr>
        <w:t>.定义</w:t>
      </w:r>
    </w:p>
    <w:p w14:paraId="15A60E2B">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下述术语和缩写的定义为：</w:t>
      </w:r>
    </w:p>
    <w:p w14:paraId="1B3DE1E9">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2.1“招标人”“采购人”系指依法进行政府采购的国家机关、事业单位、团体组织。本次政府采购的采购人名称、地址、联系人、电话详见供应商须知前附表。</w:t>
      </w:r>
    </w:p>
    <w:p w14:paraId="757EA3EB">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2.2“采购代理机构”“采购代理机构”系指接受采购人委托，代理采购项目的采购代理机构。本次政府采购的采购代理机构名称、地址、联系人、电话详见供应商须知前附表。</w:t>
      </w:r>
    </w:p>
    <w:p w14:paraId="45CF5305">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2.3“供应商”系指向采购人提供货物、工程或者服务的法人、其他组织或者自然人。</w:t>
      </w:r>
    </w:p>
    <w:p w14:paraId="04CCB0C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2.4“货物”系指各种形态和种类的物品，包括原材料、设备、产品等。</w:t>
      </w:r>
    </w:p>
    <w:p w14:paraId="57ADBD50">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2.5“工程”系指建设工程，包括建筑物和构筑物的新建、改建、扩建，装修、拆除，修缮等。</w:t>
      </w:r>
    </w:p>
    <w:p w14:paraId="283A7581">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2.6“服务”系指除货物和工程以外的其他政府采购对象。</w:t>
      </w:r>
    </w:p>
    <w:p w14:paraId="71237506">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7</w:t>
      </w:r>
      <w:r>
        <w:rPr>
          <w:rStyle w:val="35"/>
          <w:rFonts w:hint="eastAsia" w:ascii="仿宋" w:hAnsi="仿宋" w:eastAsia="仿宋" w:cs="仿宋"/>
          <w:color w:val="auto"/>
          <w:sz w:val="24"/>
          <w:szCs w:val="24"/>
          <w:highlight w:val="none"/>
          <w:lang w:eastAsia="zh-CN"/>
        </w:rPr>
        <w:t>偏离</w:t>
      </w:r>
    </w:p>
    <w:p w14:paraId="159685A1">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7</w:t>
      </w:r>
      <w:r>
        <w:rPr>
          <w:rStyle w:val="35"/>
          <w:rFonts w:hint="eastAsia" w:ascii="仿宋" w:hAnsi="仿宋" w:eastAsia="仿宋" w:cs="仿宋"/>
          <w:color w:val="auto"/>
          <w:sz w:val="24"/>
          <w:szCs w:val="24"/>
          <w:highlight w:val="none"/>
          <w:lang w:eastAsia="zh-CN"/>
        </w:rPr>
        <w:t>.1本条所称偏离为响应文件对竞争性磋商文件的偏离，即不满足、或不响应竞争性磋商文件的要求。偏离分为对竞争性磋商文件的实质性要求条款偏离和对竞争性磋商文件的一般商务和技术条款偏离。</w:t>
      </w:r>
    </w:p>
    <w:p w14:paraId="612C394F">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7</w:t>
      </w:r>
      <w:r>
        <w:rPr>
          <w:rStyle w:val="35"/>
          <w:rFonts w:hint="eastAsia" w:ascii="仿宋" w:hAnsi="仿宋" w:eastAsia="仿宋" w:cs="仿宋"/>
          <w:color w:val="auto"/>
          <w:sz w:val="24"/>
          <w:szCs w:val="24"/>
          <w:highlight w:val="none"/>
          <w:lang w:eastAsia="zh-CN"/>
        </w:rPr>
        <w:t>.2除法律、法规和规章规定外。竞争性磋商文件中加下划线、“拒绝”“不接受”“无效”“不得”“投标被否决”等文字规定或标注“★”“▲”符号的条款为实质性要求条款（即重要条款），对其中任一条的偏离，在评审时将其视为无效响应。未用上述文字规定或符号标注的条款为非实质性要求条款（即一般条款）。着重提醒各供应商注意，并认真查看竞争性磋商文件中的每一个条款及要求，因误读竞争性磋商文件而造成的后果，采购人概不负责。</w:t>
      </w:r>
    </w:p>
    <w:p w14:paraId="262DBDCB">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8</w:t>
      </w:r>
      <w:r>
        <w:rPr>
          <w:rStyle w:val="35"/>
          <w:rFonts w:hint="eastAsia" w:ascii="仿宋" w:hAnsi="仿宋" w:eastAsia="仿宋" w:cs="仿宋"/>
          <w:color w:val="auto"/>
          <w:sz w:val="24"/>
          <w:szCs w:val="24"/>
          <w:highlight w:val="none"/>
          <w:lang w:eastAsia="zh-CN"/>
        </w:rPr>
        <w:t>特别说明</w:t>
      </w:r>
    </w:p>
    <w:p w14:paraId="68AB0E7D">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8</w:t>
      </w:r>
      <w:r>
        <w:rPr>
          <w:rStyle w:val="35"/>
          <w:rFonts w:hint="eastAsia" w:ascii="仿宋" w:hAnsi="仿宋" w:eastAsia="仿宋" w:cs="仿宋"/>
          <w:color w:val="auto"/>
          <w:sz w:val="24"/>
          <w:szCs w:val="24"/>
          <w:highlight w:val="none"/>
          <w:lang w:eastAsia="zh-CN"/>
        </w:rPr>
        <w:t>.1供应商所使用的资格、信誉、荣誉、业绩与企业认证等必须为供应商所拥有。</w:t>
      </w:r>
    </w:p>
    <w:p w14:paraId="316955EB">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8</w:t>
      </w:r>
      <w:r>
        <w:rPr>
          <w:rStyle w:val="35"/>
          <w:rFonts w:hint="eastAsia" w:ascii="仿宋" w:hAnsi="仿宋" w:eastAsia="仿宋" w:cs="仿宋"/>
          <w:color w:val="auto"/>
          <w:sz w:val="24"/>
          <w:szCs w:val="24"/>
          <w:highlight w:val="none"/>
          <w:lang w:eastAsia="zh-CN"/>
        </w:rPr>
        <w:t>.2供应商应仔细阅读竞争性磋商文件中的所有内容，按照竞争性磋商文件的要求编制、提交响应文件，并对其所提供的全部资料的真实性承担法律责任。</w:t>
      </w:r>
    </w:p>
    <w:p w14:paraId="571EC906">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8</w:t>
      </w:r>
      <w:r>
        <w:rPr>
          <w:rStyle w:val="35"/>
          <w:rFonts w:hint="eastAsia" w:ascii="仿宋" w:hAnsi="仿宋" w:eastAsia="仿宋" w:cs="仿宋"/>
          <w:color w:val="auto"/>
          <w:sz w:val="24"/>
          <w:szCs w:val="24"/>
          <w:highlight w:val="none"/>
          <w:lang w:eastAsia="zh-CN"/>
        </w:rPr>
        <w:t>.3竞争性磋商文件所提供的资料，是采购人现有的能被供应商利用的资料，采购人对供应商做出的任何推论、理解和结论均不负任何责任。</w:t>
      </w:r>
    </w:p>
    <w:p w14:paraId="5B87FC56">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3.供应商资格</w:t>
      </w:r>
    </w:p>
    <w:p w14:paraId="4E26DE06">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3.1供应商资格：详见供应商须知前附表。</w:t>
      </w:r>
    </w:p>
    <w:p w14:paraId="50F0BE9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3.2供应商应遵守中华人民共和国法律、法规和行政规章。</w:t>
      </w:r>
    </w:p>
    <w:p w14:paraId="397BABD9">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3.3供应商不得存在下列情形之一：</w:t>
      </w:r>
    </w:p>
    <w:p w14:paraId="0C45C017">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（1）与采购人、代理机构存在利害关系。</w:t>
      </w:r>
    </w:p>
    <w:p w14:paraId="1BC7CE3C">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（2）单位负责人为同一人或者存在控股、管理关系的不同供应商，不得参加同一合同项下的政府采购活动。</w:t>
      </w:r>
    </w:p>
    <w:p w14:paraId="7067916E">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4.投标费用</w:t>
      </w:r>
    </w:p>
    <w:p w14:paraId="7C7E46F1">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4.1无论投标过程中的做法和结果如何，供应商将自行承担所有与参加投标有关的费用。</w:t>
      </w:r>
    </w:p>
    <w:p w14:paraId="25A7E1A3">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5.联合体形式</w:t>
      </w:r>
    </w:p>
    <w:p w14:paraId="5EDCCE00">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5.1除供应商须知前附表中另有规定，本次招标不接受为联合体形式的供应商。</w:t>
      </w:r>
    </w:p>
    <w:p w14:paraId="57572CD3">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6．现场勘察</w:t>
      </w:r>
    </w:p>
    <w:p w14:paraId="5FEF2E9B">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6.1供应商应按供应商须知前附表中规定对采购项目现场和周围环境进行考察。</w:t>
      </w:r>
    </w:p>
    <w:p w14:paraId="65BFA821">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6.2勘察现场的费用由供应商自己承担，勘察期间所发生的人身伤害及财产损失由供应商自己负责。</w:t>
      </w:r>
    </w:p>
    <w:p w14:paraId="6E4E1EF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6.3采购人不对供应商据此而做出的推论、理解和结论负责。一旦成交，供应商不得以任何借口，而提出额外补偿，或延长合同期限的要求。</w:t>
      </w:r>
    </w:p>
    <w:p w14:paraId="5F78F2BD">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7.采购进口产品</w:t>
      </w:r>
    </w:p>
    <w:p w14:paraId="1C1F5F00">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7.1除供应商须知前附表另有规定外，本项目不接受进口产品参加采购活动。</w:t>
      </w:r>
    </w:p>
    <w:p w14:paraId="1BA388F2">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8.政府采购政策的支持</w:t>
      </w:r>
    </w:p>
    <w:p w14:paraId="670F9B6E">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8.1政府采购有关的货物采购执行环境标志产品政府优先采购政策。在采购过程中执行最新一期的环境标志产品政府采购清单。优先采购政策规定可在：中国政府采购网（http://www.ccgp.gov.cn/）查询。</w:t>
      </w:r>
    </w:p>
    <w:p w14:paraId="6375E3F1">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8.2政府采购有关的货物采购应当执行节能产品政府强制采购和优先采购政策。在采购过程中执行最新一期的节能产品政府采购清单。优先采购政策规定可在：中国政府采购网（http://www.ccgp.gov.cn/）查询。</w:t>
      </w:r>
    </w:p>
    <w:p w14:paraId="6050C1F3">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8.3供应商符合支持中小企业发展优惠政策的，报价可以优惠扣除。本项目价格扣除比例见</w:t>
      </w:r>
      <w:r>
        <w:rPr>
          <w:rStyle w:val="35"/>
          <w:rFonts w:hint="eastAsia" w:ascii="仿宋" w:hAnsi="仿宋" w:eastAsia="仿宋" w:cs="仿宋"/>
          <w:b/>
          <w:bCs/>
          <w:color w:val="auto"/>
          <w:sz w:val="24"/>
          <w:szCs w:val="24"/>
          <w:highlight w:val="none"/>
          <w:lang w:val="en-US" w:eastAsia="zh-CN"/>
        </w:rPr>
        <w:t>供应商</w:t>
      </w:r>
      <w:r>
        <w:rPr>
          <w:rStyle w:val="35"/>
          <w:rFonts w:hint="eastAsia" w:ascii="仿宋" w:hAnsi="仿宋" w:eastAsia="仿宋" w:cs="仿宋"/>
          <w:b/>
          <w:bCs/>
          <w:color w:val="auto"/>
          <w:sz w:val="24"/>
          <w:szCs w:val="24"/>
          <w:highlight w:val="none"/>
          <w:lang w:eastAsia="zh-CN"/>
        </w:rPr>
        <w:t>须知前附表</w:t>
      </w:r>
      <w:r>
        <w:rPr>
          <w:rStyle w:val="35"/>
          <w:rFonts w:hint="eastAsia" w:ascii="仿宋" w:hAnsi="仿宋" w:eastAsia="仿宋" w:cs="仿宋"/>
          <w:color w:val="auto"/>
          <w:sz w:val="24"/>
          <w:szCs w:val="24"/>
          <w:highlight w:val="none"/>
          <w:lang w:eastAsia="zh-CN"/>
        </w:rPr>
        <w:t>。</w:t>
      </w:r>
    </w:p>
    <w:p w14:paraId="0F4769D0">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8.4供应商在签署相关承诺、提供相关信息前，应当认真阅读财政部门的相关政策规定。符合本章第8.1-8.3款规定的，应当提供相关的证明材料。</w:t>
      </w:r>
    </w:p>
    <w:p w14:paraId="2789CD6D">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8.</w:t>
      </w:r>
      <w:r>
        <w:rPr>
          <w:rStyle w:val="35"/>
          <w:rFonts w:hint="eastAsia" w:ascii="仿宋" w:hAnsi="仿宋" w:eastAsia="仿宋" w:cs="仿宋"/>
          <w:color w:val="auto"/>
          <w:sz w:val="24"/>
          <w:szCs w:val="24"/>
          <w:highlight w:val="none"/>
          <w:lang w:val="en-US" w:eastAsia="zh-CN"/>
        </w:rPr>
        <w:t>5</w:t>
      </w:r>
      <w:r>
        <w:rPr>
          <w:rStyle w:val="35"/>
          <w:rFonts w:hint="eastAsia" w:ascii="仿宋" w:hAnsi="仿宋" w:eastAsia="仿宋" w:cs="仿宋"/>
          <w:color w:val="auto"/>
          <w:sz w:val="24"/>
          <w:szCs w:val="24"/>
          <w:highlight w:val="none"/>
          <w:lang w:eastAsia="zh-CN"/>
        </w:rPr>
        <w:t>供应商在签署相关承诺、提供相关信息前，应当认真阅读财政部门的相关政策规定。符合本章第8.1-8.3款规定的，应当提供相关的证明材料。</w:t>
      </w:r>
    </w:p>
    <w:p w14:paraId="4EBD9086">
      <w:pPr>
        <w:rPr>
          <w:rStyle w:val="35"/>
          <w:rFonts w:hint="eastAsia" w:ascii="仿宋" w:hAnsi="仿宋" w:eastAsia="仿宋" w:cs="仿宋"/>
          <w:b/>
          <w:color w:val="auto"/>
          <w:sz w:val="32"/>
          <w:highlight w:val="none"/>
          <w:lang w:eastAsia="zh-CN"/>
        </w:rPr>
      </w:pPr>
      <w:bookmarkStart w:id="25" w:name="_Toc18208"/>
      <w:bookmarkStart w:id="26" w:name="_Toc29622"/>
      <w:bookmarkStart w:id="27" w:name="_Toc29726"/>
      <w:bookmarkStart w:id="28" w:name="_Toc7015"/>
      <w:bookmarkStart w:id="29" w:name="_Toc12869"/>
      <w:bookmarkStart w:id="30" w:name="_Toc26330"/>
      <w:r>
        <w:rPr>
          <w:rStyle w:val="35"/>
          <w:rFonts w:hint="eastAsia" w:ascii="仿宋" w:hAnsi="仿宋" w:eastAsia="仿宋" w:cs="仿宋"/>
          <w:b/>
          <w:color w:val="auto"/>
          <w:sz w:val="32"/>
          <w:highlight w:val="none"/>
          <w:lang w:eastAsia="zh-CN"/>
        </w:rPr>
        <w:br w:type="page"/>
      </w:r>
    </w:p>
    <w:p w14:paraId="654F6DE9">
      <w:pPr>
        <w:shd w:val="clear"/>
        <w:spacing w:before="20" w:line="579" w:lineRule="exact"/>
        <w:ind w:left="1933" w:right="1780"/>
        <w:jc w:val="center"/>
        <w:outlineLvl w:val="1"/>
        <w:rPr>
          <w:rStyle w:val="35"/>
          <w:rFonts w:ascii="仿宋" w:hAnsi="仿宋" w:eastAsia="仿宋" w:cs="仿宋"/>
          <w:b/>
          <w:color w:val="auto"/>
          <w:sz w:val="32"/>
          <w:highlight w:val="none"/>
          <w:lang w:eastAsia="zh-CN"/>
        </w:rPr>
      </w:pPr>
      <w:r>
        <w:rPr>
          <w:rStyle w:val="35"/>
          <w:rFonts w:hint="eastAsia" w:ascii="仿宋" w:hAnsi="仿宋" w:eastAsia="仿宋" w:cs="仿宋"/>
          <w:b/>
          <w:color w:val="auto"/>
          <w:sz w:val="32"/>
          <w:highlight w:val="none"/>
          <w:lang w:eastAsia="zh-CN"/>
        </w:rPr>
        <w:t>第二章 竞争性磋商文件的编写</w:t>
      </w:r>
      <w:bookmarkEnd w:id="25"/>
      <w:bookmarkEnd w:id="26"/>
      <w:bookmarkEnd w:id="27"/>
      <w:bookmarkEnd w:id="28"/>
      <w:bookmarkEnd w:id="29"/>
      <w:bookmarkEnd w:id="30"/>
    </w:p>
    <w:p w14:paraId="07D33BC8">
      <w:pPr>
        <w:pStyle w:val="45"/>
        <w:shd w:val="clear"/>
        <w:spacing w:before="111"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9.竞争性磋商文件的构成</w:t>
      </w:r>
    </w:p>
    <w:p w14:paraId="62321DE0">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9.1竞争性磋商文件由下述部分组成：</w:t>
      </w:r>
    </w:p>
    <w:p w14:paraId="7A01A220">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第一部分竞争性磋商公告</w:t>
      </w:r>
    </w:p>
    <w:p w14:paraId="5CB011DD">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第二部分供应商须知</w:t>
      </w:r>
    </w:p>
    <w:p w14:paraId="506D662F">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第三部分采购内容及参数要求</w:t>
      </w:r>
    </w:p>
    <w:p w14:paraId="4D4728AB">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第四部分合同条款</w:t>
      </w:r>
    </w:p>
    <w:p w14:paraId="0534982C">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第五部分附件</w:t>
      </w:r>
    </w:p>
    <w:p w14:paraId="721AC193">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9.2竞争性磋商文件以中文书写。</w:t>
      </w:r>
    </w:p>
    <w:p w14:paraId="684785A8">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9.3供应商被视为熟悉本招标项目的各种情况以及与履行合同有关的一切其他情况。</w:t>
      </w:r>
    </w:p>
    <w:p w14:paraId="1E0B896A">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9.4供应商获取竞争性磋商文件后，应仔细检查竞争性磋商文件的所有内容，如有残缺应在领到竞争性磋商文件后1日内向采购人提出，否则，由此引起的投标损失自负；供应商同时应认真审阅竞争性磋商文件中所有的事项、格式、条款和规范要求等，如果供应商编制的响应文件，没有按照竞争性磋商文件要求提交全部资料或者没有对竞争性磋商文件做出实质性响应，其风险应由供应商自行承担，并根据有关条款规定，其投标有可能被拒绝。</w:t>
      </w:r>
    </w:p>
    <w:p w14:paraId="024CFA01">
      <w:pPr>
        <w:pStyle w:val="45"/>
        <w:shd w:val="clear"/>
        <w:spacing w:before="111"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10.竞争性磋商文件的澄清、标前会议</w:t>
      </w:r>
    </w:p>
    <w:p w14:paraId="6E486A1A">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10.1供应商对竞争性磋商文件如有疑点，可在投标截止期5日前按竞争性磋商文件中载明的地址以书面形式（包括信函、电报或传真，下同）通知采购人要求澄清。采购人将视情况确定采用适当方式予以澄清或以书面形式予以答复。采购人认为有必要时，可将答复内容（包括原提出问题，但不包括问题的来源）分发给所有供应商。</w:t>
      </w:r>
    </w:p>
    <w:p w14:paraId="5151E545">
      <w:pPr>
        <w:pStyle w:val="45"/>
        <w:shd w:val="clear"/>
        <w:spacing w:before="111"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11.竞争性磋商文件的修改或补充</w:t>
      </w:r>
    </w:p>
    <w:p w14:paraId="1A7B0630">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11.1在投标截止期5日前的任何时间，采购人可主动或依据供应商要求澄清的问题而修改或补充竞争性磋商文件，并以书面形式通知所有供应商，供应商在收到该通知后应立即以电报或传真的形式予以确认。</w:t>
      </w:r>
    </w:p>
    <w:p w14:paraId="428A30C8">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11.2为使供应商在准备投标时有适当的时间考虑响应文件的修改，采购人有权决定推迟投标截止日期和开标日期，并将此变更通知所有的供应商。</w:t>
      </w:r>
    </w:p>
    <w:p w14:paraId="5549946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11.3竞争性磋商文件的修改书和补充文件将构成竞争性磋商文件的一部分，并且比竞争性磋商文件对供应商具有优先的约束力。</w:t>
      </w:r>
    </w:p>
    <w:p w14:paraId="4B798032">
      <w:pPr>
        <w:pStyle w:val="46"/>
        <w:shd w:val="clear"/>
        <w:spacing w:line="579" w:lineRule="exact"/>
        <w:ind w:left="52" w:firstLine="482" w:firstLineChars="200"/>
        <w:rPr>
          <w:rStyle w:val="35"/>
          <w:rFonts w:ascii="仿宋" w:hAnsi="仿宋" w:eastAsia="仿宋" w:cs="仿宋"/>
          <w:color w:val="auto"/>
          <w:sz w:val="24"/>
          <w:szCs w:val="24"/>
          <w:highlight w:val="none"/>
          <w:lang w:eastAsia="zh-CN"/>
        </w:rPr>
      </w:pPr>
    </w:p>
    <w:p w14:paraId="4C47E76D">
      <w:pPr>
        <w:shd w:val="clear"/>
        <w:spacing w:before="21" w:line="579" w:lineRule="exact"/>
        <w:ind w:left="1043" w:right="992"/>
        <w:jc w:val="center"/>
        <w:outlineLvl w:val="1"/>
        <w:rPr>
          <w:rStyle w:val="35"/>
          <w:rFonts w:ascii="仿宋" w:hAnsi="仿宋" w:eastAsia="仿宋" w:cs="仿宋"/>
          <w:b/>
          <w:color w:val="auto"/>
          <w:sz w:val="32"/>
          <w:highlight w:val="none"/>
          <w:lang w:eastAsia="zh-CN"/>
        </w:rPr>
      </w:pPr>
      <w:bookmarkStart w:id="31" w:name="_Toc25160"/>
      <w:bookmarkStart w:id="32" w:name="_Toc9127"/>
      <w:bookmarkStart w:id="33" w:name="_Toc16274"/>
      <w:bookmarkStart w:id="34" w:name="_Toc6098"/>
      <w:bookmarkStart w:id="35" w:name="_Toc7496"/>
      <w:bookmarkStart w:id="36" w:name="_Toc11037"/>
      <w:r>
        <w:rPr>
          <w:rStyle w:val="35"/>
          <w:rFonts w:hint="eastAsia" w:ascii="仿宋" w:hAnsi="仿宋" w:eastAsia="仿宋" w:cs="仿宋"/>
          <w:b/>
          <w:color w:val="auto"/>
          <w:sz w:val="32"/>
          <w:highlight w:val="none"/>
          <w:lang w:eastAsia="zh-CN"/>
        </w:rPr>
        <w:t>第三章 响应文件的编写</w:t>
      </w:r>
      <w:bookmarkEnd w:id="31"/>
      <w:bookmarkEnd w:id="32"/>
      <w:bookmarkEnd w:id="33"/>
      <w:bookmarkEnd w:id="34"/>
      <w:bookmarkEnd w:id="35"/>
      <w:bookmarkEnd w:id="36"/>
    </w:p>
    <w:p w14:paraId="5BEFBA04">
      <w:pPr>
        <w:pStyle w:val="45"/>
        <w:shd w:val="clear"/>
        <w:snapToGrid w:val="0"/>
        <w:spacing w:before="114" w:line="579" w:lineRule="exact"/>
        <w:ind w:left="0" w:firstLine="458"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12.要求</w:t>
      </w:r>
    </w:p>
    <w:p w14:paraId="096C0E8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12.1供应商应详细阅读竞争性磋商文件中的条款、格式、表示、条件和规范等所有内容，按竞争性磋商文件的要求提供响应文件，并保证所提供的全部材料的真实性，以使其投标对竞争性磋商文件做出实质性响应。否则，其投标可能被拒绝。</w:t>
      </w:r>
    </w:p>
    <w:p w14:paraId="1C7F3342">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13.响应文件语言和度量单位</w:t>
      </w:r>
    </w:p>
    <w:p w14:paraId="79069F6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13.1响应文件及供应商和采购人就招标、投标交换的文件和往来信件，须以中文书写。供应商可提交其他语言的资料，但应附中文注释，在有差异时，以中文为主。</w:t>
      </w:r>
    </w:p>
    <w:p w14:paraId="1BBBB887">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13.2除在竞争性磋商文件的技术规格中另有规定外，计量单位应使用中华人民共和国法定计量单位（国际单位制和国家选定的其它计量单位）。</w:t>
      </w:r>
    </w:p>
    <w:p w14:paraId="28D42C11">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14.响应文件的组成</w:t>
      </w:r>
    </w:p>
    <w:p w14:paraId="3C423866">
      <w:pPr>
        <w:shd w:val="clear"/>
        <w:snapToGrid w:val="0"/>
        <w:spacing w:line="579" w:lineRule="exact"/>
        <w:ind w:firstLine="480" w:firstLineChars="200"/>
        <w:rPr>
          <w:rStyle w:val="35"/>
          <w:rFonts w:hint="eastAsia" w:ascii="仿宋" w:hAnsi="仿宋" w:eastAsia="仿宋" w:cs="仿宋"/>
          <w:b/>
          <w:bCs/>
          <w:color w:val="auto"/>
          <w:sz w:val="24"/>
          <w:szCs w:val="24"/>
          <w:highlight w:val="none"/>
          <w:lang w:val="en-US" w:eastAsia="zh-CN"/>
        </w:rPr>
      </w:pPr>
      <w:r>
        <w:rPr>
          <w:rStyle w:val="35"/>
          <w:rFonts w:hint="eastAsia" w:ascii="仿宋" w:hAnsi="仿宋" w:eastAsia="仿宋" w:cs="仿宋"/>
          <w:color w:val="auto"/>
          <w:sz w:val="24"/>
          <w:szCs w:val="24"/>
          <w:highlight w:val="none"/>
          <w:lang w:eastAsia="zh-CN"/>
        </w:rPr>
        <w:t>14.1</w:t>
      </w:r>
      <w:r>
        <w:rPr>
          <w:rStyle w:val="35"/>
          <w:rFonts w:hint="eastAsia" w:ascii="仿宋" w:hAnsi="仿宋" w:eastAsia="仿宋" w:cs="仿宋"/>
          <w:b/>
          <w:bCs/>
          <w:color w:val="auto"/>
          <w:sz w:val="24"/>
          <w:szCs w:val="24"/>
          <w:highlight w:val="none"/>
          <w:lang w:eastAsia="zh-CN"/>
        </w:rPr>
        <w:t>响应文件</w:t>
      </w:r>
      <w:r>
        <w:rPr>
          <w:rStyle w:val="35"/>
          <w:rFonts w:hint="eastAsia" w:ascii="仿宋" w:hAnsi="仿宋" w:eastAsia="仿宋" w:cs="仿宋"/>
          <w:b/>
          <w:bCs/>
          <w:color w:val="auto"/>
          <w:sz w:val="24"/>
          <w:szCs w:val="24"/>
          <w:highlight w:val="none"/>
          <w:lang w:val="en-US" w:eastAsia="zh-CN"/>
        </w:rPr>
        <w:t>组成内容</w:t>
      </w:r>
    </w:p>
    <w:p w14:paraId="62F56B20">
      <w:pPr>
        <w:shd w:val="clear"/>
        <w:snapToGrid w:val="0"/>
        <w:spacing w:line="579" w:lineRule="exact"/>
        <w:ind w:firstLine="480" w:firstLineChars="200"/>
        <w:rPr>
          <w:rStyle w:val="35"/>
          <w:rFonts w:hint="eastAsia" w:ascii="仿宋" w:hAnsi="仿宋" w:eastAsia="仿宋" w:cs="仿宋"/>
          <w:b w:val="0"/>
          <w:bCs w:val="0"/>
          <w:color w:val="auto"/>
          <w:sz w:val="24"/>
          <w:szCs w:val="24"/>
          <w:highlight w:val="none"/>
          <w:lang w:val="en-US" w:eastAsia="zh-CN"/>
        </w:rPr>
      </w:pPr>
      <w:r>
        <w:rPr>
          <w:rStyle w:val="35"/>
          <w:rFonts w:hint="eastAsia" w:ascii="仿宋" w:hAnsi="仿宋" w:eastAsia="仿宋" w:cs="仿宋"/>
          <w:b w:val="0"/>
          <w:bCs w:val="0"/>
          <w:color w:val="auto"/>
          <w:sz w:val="24"/>
          <w:szCs w:val="24"/>
          <w:highlight w:val="none"/>
          <w:lang w:val="en-US" w:eastAsia="zh-CN"/>
        </w:rPr>
        <w:t>第一部分 资格证明文件</w:t>
      </w:r>
    </w:p>
    <w:p w14:paraId="29F674D8">
      <w:pPr>
        <w:shd w:val="clear"/>
        <w:snapToGrid w:val="0"/>
        <w:spacing w:line="579" w:lineRule="exact"/>
        <w:ind w:firstLine="480" w:firstLineChars="200"/>
        <w:rPr>
          <w:rStyle w:val="35"/>
          <w:rFonts w:hint="eastAsia" w:ascii="仿宋" w:hAnsi="仿宋" w:eastAsia="仿宋" w:cs="仿宋"/>
          <w:b w:val="0"/>
          <w:bCs w:val="0"/>
          <w:color w:val="auto"/>
          <w:sz w:val="24"/>
          <w:szCs w:val="24"/>
          <w:highlight w:val="none"/>
          <w:lang w:val="en-US" w:eastAsia="zh-CN"/>
        </w:rPr>
      </w:pPr>
      <w:r>
        <w:rPr>
          <w:rStyle w:val="35"/>
          <w:rFonts w:hint="eastAsia" w:ascii="仿宋" w:hAnsi="仿宋" w:eastAsia="仿宋" w:cs="仿宋"/>
          <w:b w:val="0"/>
          <w:bCs w:val="0"/>
          <w:color w:val="auto"/>
          <w:sz w:val="24"/>
          <w:szCs w:val="24"/>
          <w:highlight w:val="none"/>
          <w:lang w:val="en-US" w:eastAsia="zh-CN"/>
        </w:rPr>
        <w:t>第二部分 报价文件</w:t>
      </w:r>
    </w:p>
    <w:p w14:paraId="225ECC54">
      <w:pPr>
        <w:shd w:val="clear"/>
        <w:snapToGrid w:val="0"/>
        <w:spacing w:line="579" w:lineRule="exact"/>
        <w:ind w:firstLine="480" w:firstLineChars="200"/>
        <w:rPr>
          <w:rStyle w:val="35"/>
          <w:rFonts w:hint="eastAsia" w:ascii="仿宋" w:hAnsi="仿宋" w:eastAsia="仿宋" w:cs="仿宋"/>
          <w:b w:val="0"/>
          <w:bCs w:val="0"/>
          <w:color w:val="auto"/>
          <w:sz w:val="24"/>
          <w:szCs w:val="24"/>
          <w:highlight w:val="none"/>
          <w:lang w:val="en-US" w:eastAsia="zh-CN"/>
        </w:rPr>
      </w:pPr>
      <w:r>
        <w:rPr>
          <w:rStyle w:val="35"/>
          <w:rFonts w:hint="eastAsia" w:ascii="仿宋" w:hAnsi="仿宋" w:eastAsia="仿宋" w:cs="仿宋"/>
          <w:b w:val="0"/>
          <w:bCs w:val="0"/>
          <w:color w:val="auto"/>
          <w:sz w:val="24"/>
          <w:szCs w:val="24"/>
          <w:highlight w:val="none"/>
          <w:lang w:val="en-US" w:eastAsia="zh-CN"/>
        </w:rPr>
        <w:t>第三部分 商务及技术部分</w:t>
      </w:r>
    </w:p>
    <w:p w14:paraId="159F2A64">
      <w:pPr>
        <w:shd w:val="clear"/>
        <w:snapToGrid w:val="0"/>
        <w:spacing w:line="579" w:lineRule="exact"/>
        <w:ind w:firstLine="482" w:firstLineChars="200"/>
        <w:rPr>
          <w:rStyle w:val="35"/>
          <w:rFonts w:ascii="仿宋" w:hAnsi="仿宋" w:eastAsia="仿宋" w:cs="仿宋"/>
          <w:b/>
          <w:bCs/>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14.</w:t>
      </w:r>
      <w:r>
        <w:rPr>
          <w:rStyle w:val="35"/>
          <w:rFonts w:hint="eastAsia" w:ascii="仿宋" w:hAnsi="仿宋" w:eastAsia="仿宋" w:cs="仿宋"/>
          <w:b/>
          <w:bCs/>
          <w:color w:val="auto"/>
          <w:sz w:val="24"/>
          <w:szCs w:val="24"/>
          <w:highlight w:val="none"/>
          <w:lang w:val="en-US" w:eastAsia="zh-CN"/>
        </w:rPr>
        <w:t>2评审前，采购人或采购代理机构将根据供应商提供的资格证明文件对其进行资格审查。</w:t>
      </w:r>
      <w:r>
        <w:rPr>
          <w:rStyle w:val="35"/>
          <w:rFonts w:hint="eastAsia" w:ascii="仿宋" w:hAnsi="仿宋" w:eastAsia="仿宋" w:cs="仿宋"/>
          <w:b/>
          <w:bCs/>
          <w:color w:val="auto"/>
          <w:sz w:val="24"/>
          <w:szCs w:val="24"/>
          <w:highlight w:val="none"/>
          <w:lang w:eastAsia="zh-CN"/>
        </w:rPr>
        <w:t>所有资格证明文件必须满足竞争性磋商文件的要求，否则将导致投标被否决。</w:t>
      </w:r>
    </w:p>
    <w:p w14:paraId="0D377C0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14.</w:t>
      </w:r>
      <w:r>
        <w:rPr>
          <w:rStyle w:val="35"/>
          <w:rFonts w:hint="eastAsia" w:ascii="仿宋" w:hAnsi="仿宋" w:eastAsia="仿宋" w:cs="仿宋"/>
          <w:color w:val="auto"/>
          <w:sz w:val="24"/>
          <w:szCs w:val="24"/>
          <w:highlight w:val="none"/>
          <w:lang w:val="en-US" w:eastAsia="zh-CN"/>
        </w:rPr>
        <w:t>3</w:t>
      </w:r>
      <w:r>
        <w:rPr>
          <w:rStyle w:val="35"/>
          <w:rFonts w:hint="eastAsia" w:ascii="仿宋" w:hAnsi="仿宋" w:eastAsia="仿宋" w:cs="仿宋"/>
          <w:color w:val="auto"/>
          <w:sz w:val="24"/>
          <w:szCs w:val="24"/>
          <w:highlight w:val="none"/>
          <w:lang w:eastAsia="zh-CN"/>
        </w:rPr>
        <w:t>供应商可按竞争性磋商文件的范本格式中提供的响应文件格式填写响应文件；如提供的范本格式有不完善之处，请自行补充完善。</w:t>
      </w:r>
    </w:p>
    <w:p w14:paraId="43C358DF">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15.符合竞争性磋商文件规定的证明文件</w:t>
      </w:r>
    </w:p>
    <w:p w14:paraId="3FFD410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15.1供应商提供的资格证明材料，须满足供应商须知前附表的要求。</w:t>
      </w:r>
    </w:p>
    <w:p w14:paraId="4B7627B7">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15.2供应商为联合体形式的，则应提交联合体各方的资格文件，否则将视为未实质性响应条款而被拒绝。</w:t>
      </w:r>
    </w:p>
    <w:p w14:paraId="7ABE382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15.3供应商确保所提供货物（或服务），其质量满足中华人民共和国国家相关标准，使用的原辅材料要符合质量要求，拟投入的设备完好率足以胜任本项目的工作。</w:t>
      </w:r>
    </w:p>
    <w:p w14:paraId="7C03EB20">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15.4供应商须提交证明拟供货物（或服务）符合竞争性磋商文件规定的技术响应文件，作为响应文件的一部分。</w:t>
      </w:r>
    </w:p>
    <w:p w14:paraId="403AB10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15.5提供的货物（或服务）符合规定的相应技术标准、环保及节能标准等。</w:t>
      </w:r>
    </w:p>
    <w:p w14:paraId="41DF62B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15.6对照采购人的采购内容及技术要求，逐条确定，指出所提供的货物（或服务）是否实质性响应竞争性磋商文件的要求，如有偏离，须填报偏离表（见附件）。</w:t>
      </w:r>
    </w:p>
    <w:p w14:paraId="1B9C704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15.7供应商应当提交符合竞争性磋商文件规定的业绩证明文件，该证明文件作为响应文件的一部分，业绩证明文件的要求详见供应商须知前附表没有按要求提供资料或提供资料不完全，其风险由供应商自行承担。</w:t>
      </w:r>
    </w:p>
    <w:p w14:paraId="12B2238A">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16.投标报价</w:t>
      </w:r>
    </w:p>
    <w:p w14:paraId="7EA8B705">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16.1供应商应在投标报价表中标明其提供的所有货物（或服务）及其完成本项目相关工作范围内所有费用的总价，采购人不接受有任何选择性报价。供应商漏报的单价或单价中漏报、少报的费用，均视为此项费用已隐含在其他报价中，中标后不予调整。</w:t>
      </w:r>
    </w:p>
    <w:p w14:paraId="1CDD914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16.2其报价须保证在投标有效期及交付期内固定不变。采购人不接受有任何选择性报价。</w:t>
      </w:r>
    </w:p>
    <w:p w14:paraId="3100E814">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16.3为了防止本次招标的投标报价过高，超出采购人为本次采购项目的资金支付能力，采购人依据主管部门的批复为本次招标项目的设定了最高投标限价（即采购预算），如果供应商的投标报价高于本项目的最高投标限价，其响应文件将被拒绝；如果所有供应商的投标报价均超出最高投标限价，采购人有权重新组织招标。</w:t>
      </w:r>
    </w:p>
    <w:p w14:paraId="3B56B53E">
      <w:pPr>
        <w:shd w:val="clear"/>
        <w:spacing w:line="579" w:lineRule="exact"/>
        <w:ind w:firstLine="480" w:firstLineChars="200"/>
        <w:rPr>
          <w:rFonts w:hint="eastAsia" w:ascii="仿宋" w:hAnsi="仿宋" w:eastAsia="仿宋" w:cs="仿宋"/>
          <w:color w:val="auto"/>
          <w:kern w:val="0"/>
          <w:sz w:val="24"/>
          <w:szCs w:val="20"/>
          <w:highlight w:val="none"/>
          <w:lang w:bidi="ar"/>
        </w:rPr>
      </w:pPr>
      <w:r>
        <w:rPr>
          <w:rFonts w:hint="eastAsia" w:ascii="仿宋" w:hAnsi="仿宋" w:eastAsia="仿宋" w:cs="仿宋"/>
          <w:color w:val="auto"/>
          <w:kern w:val="0"/>
          <w:sz w:val="24"/>
          <w:szCs w:val="20"/>
          <w:highlight w:val="none"/>
          <w:lang w:val="en-US" w:eastAsia="zh-CN" w:bidi="ar"/>
        </w:rPr>
        <w:t>16</w:t>
      </w:r>
      <w:r>
        <w:rPr>
          <w:rFonts w:hint="eastAsia" w:ascii="仿宋" w:hAnsi="仿宋" w:eastAsia="仿宋" w:cs="仿宋"/>
          <w:color w:val="auto"/>
          <w:kern w:val="0"/>
          <w:sz w:val="24"/>
          <w:szCs w:val="20"/>
          <w:highlight w:val="none"/>
          <w:lang w:bidi="ar"/>
        </w:rPr>
        <w:t>.</w:t>
      </w:r>
      <w:r>
        <w:rPr>
          <w:rFonts w:hint="eastAsia" w:ascii="仿宋" w:hAnsi="仿宋" w:eastAsia="仿宋" w:cs="仿宋"/>
          <w:color w:val="auto"/>
          <w:kern w:val="0"/>
          <w:sz w:val="24"/>
          <w:szCs w:val="20"/>
          <w:highlight w:val="none"/>
          <w:lang w:val="en-US" w:eastAsia="zh-CN" w:bidi="ar"/>
        </w:rPr>
        <w:t>4</w:t>
      </w:r>
      <w:r>
        <w:rPr>
          <w:rFonts w:hint="eastAsia" w:ascii="仿宋" w:hAnsi="仿宋" w:eastAsia="仿宋" w:cs="仿宋"/>
          <w:color w:val="auto"/>
          <w:kern w:val="0"/>
          <w:sz w:val="24"/>
          <w:szCs w:val="20"/>
          <w:highlight w:val="none"/>
          <w:lang w:bidi="ar"/>
        </w:rPr>
        <w:t xml:space="preserve"> 磋商结束后，磋商小组可根据磋商情况，要求</w:t>
      </w:r>
      <w:r>
        <w:rPr>
          <w:rFonts w:hint="eastAsia" w:ascii="仿宋" w:hAnsi="仿宋" w:eastAsia="仿宋" w:cs="仿宋"/>
          <w:color w:val="auto"/>
          <w:kern w:val="0"/>
          <w:sz w:val="24"/>
          <w:szCs w:val="20"/>
          <w:highlight w:val="none"/>
          <w:lang w:val="en-US" w:eastAsia="zh-CN" w:bidi="ar"/>
        </w:rPr>
        <w:t>供应商</w:t>
      </w:r>
      <w:r>
        <w:rPr>
          <w:rFonts w:hint="eastAsia" w:ascii="仿宋" w:hAnsi="仿宋" w:eastAsia="仿宋" w:cs="仿宋"/>
          <w:color w:val="auto"/>
          <w:kern w:val="0"/>
          <w:sz w:val="24"/>
          <w:szCs w:val="20"/>
          <w:highlight w:val="none"/>
          <w:lang w:bidi="ar"/>
        </w:rPr>
        <w:t>进行第</w:t>
      </w:r>
      <w:r>
        <w:rPr>
          <w:rFonts w:hint="eastAsia" w:ascii="仿宋" w:hAnsi="仿宋" w:eastAsia="仿宋" w:cs="仿宋"/>
          <w:color w:val="auto"/>
          <w:kern w:val="0"/>
          <w:sz w:val="24"/>
          <w:szCs w:val="20"/>
          <w:highlight w:val="none"/>
          <w:lang w:eastAsia="zh-CN" w:bidi="ar"/>
        </w:rPr>
        <w:t>二次</w:t>
      </w:r>
      <w:r>
        <w:rPr>
          <w:rFonts w:hint="eastAsia" w:ascii="仿宋" w:hAnsi="仿宋" w:eastAsia="仿宋" w:cs="仿宋"/>
          <w:color w:val="auto"/>
          <w:kern w:val="0"/>
          <w:sz w:val="24"/>
          <w:szCs w:val="20"/>
          <w:highlight w:val="none"/>
          <w:lang w:bidi="ar"/>
        </w:rPr>
        <w:t>报价和第三次报价</w:t>
      </w:r>
      <w:r>
        <w:rPr>
          <w:rFonts w:hint="eastAsia" w:ascii="仿宋" w:hAnsi="仿宋" w:eastAsia="仿宋" w:cs="仿宋"/>
          <w:color w:val="auto"/>
          <w:kern w:val="0"/>
          <w:sz w:val="24"/>
          <w:szCs w:val="20"/>
          <w:highlight w:val="none"/>
          <w:lang w:eastAsia="zh-CN" w:bidi="ar"/>
        </w:rPr>
        <w:t>等多轮报价</w:t>
      </w:r>
      <w:r>
        <w:rPr>
          <w:rFonts w:hint="eastAsia" w:ascii="仿宋" w:hAnsi="仿宋" w:eastAsia="仿宋" w:cs="仿宋"/>
          <w:color w:val="auto"/>
          <w:kern w:val="0"/>
          <w:sz w:val="24"/>
          <w:szCs w:val="20"/>
          <w:highlight w:val="none"/>
          <w:lang w:bidi="ar"/>
        </w:rPr>
        <w:t>，并确定最终报价。最终报价是响应文件的有效组成部分。</w:t>
      </w:r>
    </w:p>
    <w:p w14:paraId="3E0B2A08">
      <w:pPr>
        <w:shd w:val="clear"/>
        <w:spacing w:line="579" w:lineRule="exact"/>
        <w:ind w:firstLine="480" w:firstLineChars="200"/>
        <w:rPr>
          <w:rStyle w:val="35"/>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0"/>
          <w:highlight w:val="none"/>
          <w:lang w:val="en-US" w:eastAsia="zh-CN" w:bidi="ar"/>
        </w:rPr>
        <w:t>16</w:t>
      </w:r>
      <w:r>
        <w:rPr>
          <w:rFonts w:hint="eastAsia" w:ascii="仿宋" w:hAnsi="仿宋" w:eastAsia="仿宋" w:cs="仿宋"/>
          <w:color w:val="auto"/>
          <w:kern w:val="0"/>
          <w:sz w:val="24"/>
          <w:szCs w:val="20"/>
          <w:highlight w:val="none"/>
          <w:lang w:bidi="ar"/>
        </w:rPr>
        <w:t>.</w:t>
      </w:r>
      <w:r>
        <w:rPr>
          <w:rFonts w:hint="eastAsia" w:ascii="仿宋" w:hAnsi="仿宋" w:eastAsia="仿宋" w:cs="仿宋"/>
          <w:color w:val="auto"/>
          <w:kern w:val="0"/>
          <w:sz w:val="24"/>
          <w:szCs w:val="20"/>
          <w:highlight w:val="none"/>
          <w:lang w:val="en-US" w:eastAsia="zh-CN" w:bidi="ar"/>
        </w:rPr>
        <w:t>5</w:t>
      </w:r>
      <w:r>
        <w:rPr>
          <w:rFonts w:hint="eastAsia" w:ascii="仿宋" w:hAnsi="仿宋" w:eastAsia="仿宋" w:cs="仿宋"/>
          <w:color w:val="auto"/>
          <w:kern w:val="0"/>
          <w:sz w:val="24"/>
          <w:szCs w:val="20"/>
          <w:highlight w:val="none"/>
          <w:lang w:bidi="ar"/>
        </w:rPr>
        <w:t xml:space="preserve"> </w:t>
      </w:r>
      <w:r>
        <w:rPr>
          <w:rFonts w:hint="eastAsia" w:ascii="仿宋" w:hAnsi="仿宋" w:eastAsia="仿宋" w:cs="仿宋"/>
          <w:color w:val="auto"/>
          <w:kern w:val="0"/>
          <w:sz w:val="24"/>
          <w:szCs w:val="20"/>
          <w:highlight w:val="none"/>
          <w:lang w:eastAsia="zh-CN" w:bidi="ar"/>
        </w:rPr>
        <w:t>参与竞争性谈判和竞争性磋商项目供应商，开标结束后，请及时进入“网上报价”页面（详见操作手册），等待最终报价通知。如未在系统提示的报价时限内报价，则视为上一轮报价为最终报价</w:t>
      </w:r>
      <w:r>
        <w:rPr>
          <w:rFonts w:hint="eastAsia" w:ascii="仿宋" w:hAnsi="仿宋" w:eastAsia="仿宋" w:cs="仿宋"/>
          <w:color w:val="auto"/>
          <w:kern w:val="0"/>
          <w:sz w:val="24"/>
          <w:szCs w:val="20"/>
          <w:highlight w:val="none"/>
          <w:lang w:bidi="ar"/>
        </w:rPr>
        <w:t>。</w:t>
      </w:r>
    </w:p>
    <w:p w14:paraId="7D3F140A">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16.</w:t>
      </w:r>
      <w:r>
        <w:rPr>
          <w:rStyle w:val="35"/>
          <w:rFonts w:hint="eastAsia" w:ascii="仿宋" w:hAnsi="仿宋" w:eastAsia="仿宋" w:cs="仿宋"/>
          <w:color w:val="auto"/>
          <w:sz w:val="24"/>
          <w:szCs w:val="24"/>
          <w:highlight w:val="none"/>
          <w:lang w:val="en-US" w:eastAsia="zh-CN"/>
        </w:rPr>
        <w:t>6</w:t>
      </w:r>
      <w:r>
        <w:rPr>
          <w:rStyle w:val="35"/>
          <w:rFonts w:hint="eastAsia" w:ascii="仿宋" w:hAnsi="仿宋" w:eastAsia="仿宋" w:cs="仿宋"/>
          <w:color w:val="auto"/>
          <w:sz w:val="24"/>
          <w:szCs w:val="24"/>
          <w:highlight w:val="none"/>
          <w:lang w:eastAsia="zh-CN"/>
        </w:rPr>
        <w:t>投标报价货币单位：人民币。</w:t>
      </w:r>
    </w:p>
    <w:p w14:paraId="16DF4601">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17.投标有效期</w:t>
      </w:r>
    </w:p>
    <w:p w14:paraId="3459C8A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17.1投标有效期详见供应商须知前附表，如不满足其投标将被否决。</w:t>
      </w:r>
    </w:p>
    <w:p w14:paraId="1B74DF3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17.2特殊情况下，采购人可于投标有效期期满之前，要求供应商同意延长投标有效期。供应商可以拒绝或同意上述要求，但要求与答复均须是书面文件。对于同意该要求的供应商，采购人既不要求也不允许其修改响应文件。</w:t>
      </w:r>
    </w:p>
    <w:p w14:paraId="119A4515">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18．磋商保证金</w:t>
      </w:r>
    </w:p>
    <w:p w14:paraId="0260E61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18.1磋商保证金的缴纳详见供应商须知前附表。未按规定提交磋商保证金的投标，将被视为投标无效。</w:t>
      </w:r>
    </w:p>
    <w:p w14:paraId="03A9FC7F">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18.2磋商保证金的退还详见供应商须知前附表。</w:t>
      </w:r>
    </w:p>
    <w:p w14:paraId="7736347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18.3不予退还保证金的情形，详见供应商须知前附表。</w:t>
      </w:r>
    </w:p>
    <w:p w14:paraId="44142435">
      <w:pPr>
        <w:pStyle w:val="45"/>
        <w:shd w:val="clear"/>
        <w:snapToGrid w:val="0"/>
        <w:spacing w:before="114"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19.响应文件的签署及规定</w:t>
      </w:r>
    </w:p>
    <w:p w14:paraId="78651CA7">
      <w:pPr>
        <w:shd w:val="clear"/>
        <w:snapToGrid w:val="0"/>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19.1电子响应文件使用政采云平台响应文件制作工具以及磋商文件要求进行制作编制。响应文件制作时，按照磋商文件中明确的响应文件目录和格式进行编制，保证目录清晰、内容完整。</w:t>
      </w:r>
    </w:p>
    <w:p w14:paraId="15706463">
      <w:pPr>
        <w:shd w:val="clear"/>
        <w:snapToGrid w:val="0"/>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19.2电子响应文件须使用供应商电子公章及法定代表人的电子签名。若无电子签章和签名，则视为无效响应。</w:t>
      </w:r>
    </w:p>
    <w:p w14:paraId="754AB2E9">
      <w:pPr>
        <w:shd w:val="clear"/>
        <w:snapToGrid w:val="0"/>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19.3电子招投标文件具有法律效力，与其他形式的招投标文件在内容和格式上等同，若响应文件与磋商文件要求不一致，其内容影响成交结果时，责任由供应商自行承担。供应商递交的电子响应文件因供应商自身原因而导致无法导入电子辅助评标系统，该响应文件视为无效响应文件，将导致其响应被拒绝。</w:t>
      </w:r>
    </w:p>
    <w:p w14:paraId="13418B9B">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p>
    <w:p w14:paraId="379245A5">
      <w:pPr>
        <w:pStyle w:val="46"/>
        <w:shd w:val="clear"/>
        <w:spacing w:before="30" w:line="579" w:lineRule="exact"/>
        <w:ind w:left="2874"/>
        <w:jc w:val="left"/>
        <w:outlineLvl w:val="1"/>
        <w:rPr>
          <w:rStyle w:val="35"/>
          <w:rFonts w:ascii="仿宋" w:hAnsi="仿宋" w:eastAsia="仿宋" w:cs="仿宋"/>
          <w:color w:val="auto"/>
          <w:highlight w:val="none"/>
          <w:lang w:eastAsia="zh-CN"/>
        </w:rPr>
      </w:pPr>
      <w:bookmarkStart w:id="37" w:name="_Toc10035"/>
      <w:bookmarkStart w:id="38" w:name="_Toc895"/>
      <w:bookmarkStart w:id="39" w:name="_Toc8392"/>
      <w:bookmarkStart w:id="40" w:name="_Toc2843"/>
      <w:bookmarkStart w:id="41" w:name="_Toc32571"/>
      <w:bookmarkStart w:id="42" w:name="_Toc1653"/>
      <w:r>
        <w:rPr>
          <w:rStyle w:val="35"/>
          <w:rFonts w:hint="eastAsia" w:ascii="仿宋" w:hAnsi="仿宋" w:eastAsia="仿宋" w:cs="仿宋"/>
          <w:color w:val="auto"/>
          <w:highlight w:val="none"/>
          <w:lang w:eastAsia="zh-CN"/>
        </w:rPr>
        <w:t>第四章 响应文件的递交</w:t>
      </w:r>
      <w:bookmarkEnd w:id="37"/>
      <w:bookmarkEnd w:id="38"/>
      <w:bookmarkEnd w:id="39"/>
      <w:bookmarkEnd w:id="40"/>
      <w:bookmarkEnd w:id="41"/>
      <w:bookmarkEnd w:id="42"/>
    </w:p>
    <w:p w14:paraId="7E7BD8A1">
      <w:pPr>
        <w:pStyle w:val="45"/>
        <w:shd w:val="clear"/>
        <w:spacing w:before="26"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20.响应性文件的密封与标记</w:t>
      </w:r>
    </w:p>
    <w:p w14:paraId="430143FE">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20.1加密的电子响应文件（.jmbs格式）应在响应文件递交截止时间前通过政采云平台上传完成。</w:t>
      </w:r>
    </w:p>
    <w:p w14:paraId="278CFF8A">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20.2逾期上传或者未上传指定地点的响应文件，采购人不予受理。</w:t>
      </w:r>
    </w:p>
    <w:p w14:paraId="27C93FC4">
      <w:pPr>
        <w:shd w:val="clear"/>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21.响应文件递交截止时间</w:t>
      </w:r>
    </w:p>
    <w:p w14:paraId="2EBC02E7">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1</w:t>
      </w:r>
      <w:r>
        <w:rPr>
          <w:rStyle w:val="35"/>
          <w:rFonts w:hint="eastAsia" w:ascii="仿宋" w:hAnsi="仿宋" w:eastAsia="仿宋" w:cs="仿宋"/>
          <w:color w:val="auto"/>
          <w:sz w:val="24"/>
          <w:szCs w:val="24"/>
          <w:highlight w:val="none"/>
          <w:lang w:eastAsia="zh-CN"/>
        </w:rPr>
        <w:t>.1 供应商应在供应商须知前附表规定的提交响应文件截止时间前，将响应文件上传至平台。逾期上传或者未上传指定地点的响应文件，采购人不予受理。</w:t>
      </w:r>
    </w:p>
    <w:p w14:paraId="07E533FC">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21.</w:t>
      </w:r>
      <w:r>
        <w:rPr>
          <w:rStyle w:val="35"/>
          <w:rFonts w:hint="eastAsia" w:ascii="仿宋" w:hAnsi="仿宋" w:eastAsia="仿宋" w:cs="仿宋"/>
          <w:color w:val="auto"/>
          <w:sz w:val="24"/>
          <w:szCs w:val="24"/>
          <w:highlight w:val="none"/>
          <w:lang w:val="en-US" w:eastAsia="zh-CN"/>
        </w:rPr>
        <w:t>2</w:t>
      </w:r>
      <w:r>
        <w:rPr>
          <w:rStyle w:val="35"/>
          <w:rFonts w:hint="eastAsia" w:ascii="仿宋" w:hAnsi="仿宋" w:eastAsia="仿宋" w:cs="仿宋"/>
          <w:color w:val="auto"/>
          <w:sz w:val="24"/>
          <w:szCs w:val="24"/>
          <w:highlight w:val="none"/>
          <w:lang w:eastAsia="zh-CN"/>
        </w:rPr>
        <w:t>出现因竞争性磋商文件的修改推迟投标截止时间时，则按采购人修改通知规定的时间递交。</w:t>
      </w:r>
    </w:p>
    <w:p w14:paraId="6CC6ED2F">
      <w:pPr>
        <w:shd w:val="clear"/>
        <w:spacing w:line="579" w:lineRule="exact"/>
        <w:ind w:firstLine="482"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b/>
          <w:bCs/>
          <w:color w:val="auto"/>
          <w:sz w:val="24"/>
          <w:szCs w:val="24"/>
          <w:highlight w:val="none"/>
          <w:lang w:eastAsia="zh-CN"/>
        </w:rPr>
        <w:t>22.响应文件的修改和撤回</w:t>
      </w:r>
    </w:p>
    <w:p w14:paraId="68120698">
      <w:pPr>
        <w:shd w:val="clear"/>
        <w:spacing w:line="579" w:lineRule="exact"/>
        <w:ind w:firstLine="480" w:firstLineChars="200"/>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w:t>
      </w:r>
      <w:r>
        <w:rPr>
          <w:rStyle w:val="35"/>
          <w:rFonts w:hint="eastAsia" w:ascii="仿宋" w:hAnsi="仿宋" w:eastAsia="仿宋" w:cs="仿宋"/>
          <w:color w:val="auto"/>
          <w:sz w:val="24"/>
          <w:szCs w:val="24"/>
          <w:highlight w:val="none"/>
          <w:lang w:val="en-US" w:eastAsia="zh-CN"/>
        </w:rPr>
        <w:t>2</w:t>
      </w:r>
      <w:r>
        <w:rPr>
          <w:rStyle w:val="35"/>
          <w:rFonts w:hint="eastAsia" w:ascii="仿宋" w:hAnsi="仿宋" w:eastAsia="仿宋" w:cs="仿宋"/>
          <w:color w:val="auto"/>
          <w:sz w:val="24"/>
          <w:szCs w:val="24"/>
          <w:highlight w:val="none"/>
          <w:lang w:eastAsia="zh-CN"/>
        </w:rPr>
        <w:t>.1供应商在供应商须知前附表规定的提交响应文件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5156340A">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22.</w:t>
      </w:r>
      <w:r>
        <w:rPr>
          <w:rStyle w:val="35"/>
          <w:rFonts w:hint="eastAsia" w:ascii="仿宋" w:hAnsi="仿宋" w:eastAsia="仿宋" w:cs="仿宋"/>
          <w:color w:val="auto"/>
          <w:sz w:val="24"/>
          <w:szCs w:val="24"/>
          <w:highlight w:val="none"/>
          <w:lang w:val="en-US" w:eastAsia="zh-CN"/>
        </w:rPr>
        <w:t>2</w:t>
      </w:r>
      <w:r>
        <w:rPr>
          <w:rStyle w:val="35"/>
          <w:rFonts w:hint="eastAsia" w:ascii="仿宋" w:hAnsi="仿宋" w:eastAsia="仿宋" w:cs="仿宋"/>
          <w:color w:val="auto"/>
          <w:sz w:val="24"/>
          <w:szCs w:val="24"/>
          <w:highlight w:val="none"/>
          <w:lang w:eastAsia="zh-CN"/>
        </w:rPr>
        <w:t>供应商不得在开标时间起至投标有效期期满前撤销响应文件。</w:t>
      </w:r>
    </w:p>
    <w:p w14:paraId="4F674FC5">
      <w:pPr>
        <w:pStyle w:val="46"/>
        <w:shd w:val="clear"/>
        <w:spacing w:before="34" w:line="579" w:lineRule="exact"/>
        <w:ind w:left="153"/>
        <w:outlineLvl w:val="1"/>
        <w:rPr>
          <w:rStyle w:val="35"/>
          <w:rFonts w:ascii="仿宋" w:hAnsi="仿宋" w:eastAsia="仿宋" w:cs="仿宋"/>
          <w:color w:val="auto"/>
          <w:highlight w:val="none"/>
          <w:lang w:eastAsia="zh-CN"/>
        </w:rPr>
      </w:pPr>
      <w:bookmarkStart w:id="43" w:name="_Toc19864"/>
      <w:bookmarkStart w:id="44" w:name="_Toc2807"/>
      <w:bookmarkStart w:id="45" w:name="_Toc20734"/>
      <w:bookmarkStart w:id="46" w:name="_Toc15274"/>
      <w:bookmarkStart w:id="47" w:name="_Toc13653"/>
      <w:bookmarkStart w:id="48" w:name="_Toc5219"/>
      <w:r>
        <w:rPr>
          <w:rStyle w:val="35"/>
          <w:rFonts w:hint="eastAsia" w:ascii="仿宋" w:hAnsi="仿宋" w:eastAsia="仿宋" w:cs="仿宋"/>
          <w:color w:val="auto"/>
          <w:highlight w:val="none"/>
          <w:lang w:eastAsia="zh-CN"/>
        </w:rPr>
        <w:t>第五章 开标</w:t>
      </w:r>
      <w:bookmarkEnd w:id="43"/>
      <w:bookmarkEnd w:id="44"/>
      <w:bookmarkEnd w:id="45"/>
      <w:bookmarkEnd w:id="46"/>
      <w:bookmarkEnd w:id="47"/>
      <w:bookmarkEnd w:id="48"/>
    </w:p>
    <w:p w14:paraId="408AAD4E">
      <w:pPr>
        <w:shd w:val="clear"/>
        <w:spacing w:line="579" w:lineRule="exact"/>
        <w:ind w:firstLine="458" w:firstLineChars="200"/>
        <w:rPr>
          <w:rStyle w:val="35"/>
          <w:rFonts w:hint="eastAsia" w:ascii="仿宋" w:hAnsi="仿宋" w:eastAsia="仿宋" w:cs="仿宋"/>
          <w:b/>
          <w:color w:val="auto"/>
          <w:w w:val="95"/>
          <w:sz w:val="24"/>
          <w:szCs w:val="24"/>
          <w:highlight w:val="none"/>
          <w:lang w:eastAsia="zh-CN"/>
        </w:rPr>
      </w:pPr>
      <w:r>
        <w:rPr>
          <w:rStyle w:val="35"/>
          <w:rFonts w:hint="eastAsia" w:ascii="仿宋" w:hAnsi="仿宋" w:eastAsia="仿宋" w:cs="仿宋"/>
          <w:b/>
          <w:color w:val="auto"/>
          <w:w w:val="95"/>
          <w:sz w:val="24"/>
          <w:szCs w:val="24"/>
          <w:highlight w:val="none"/>
          <w:lang w:eastAsia="zh-CN"/>
        </w:rPr>
        <w:t>23．</w:t>
      </w:r>
      <w:r>
        <w:rPr>
          <w:rStyle w:val="35"/>
          <w:rFonts w:hint="eastAsia" w:ascii="仿宋" w:hAnsi="仿宋" w:eastAsia="仿宋" w:cs="仿宋"/>
          <w:b/>
          <w:color w:val="auto"/>
          <w:w w:val="95"/>
          <w:sz w:val="24"/>
          <w:szCs w:val="24"/>
          <w:highlight w:val="none"/>
          <w:lang w:val="en-US" w:eastAsia="zh-CN"/>
        </w:rPr>
        <w:t>1</w:t>
      </w:r>
      <w:r>
        <w:rPr>
          <w:rStyle w:val="35"/>
          <w:rFonts w:hint="eastAsia" w:ascii="仿宋" w:hAnsi="仿宋" w:eastAsia="仿宋" w:cs="仿宋"/>
          <w:b/>
          <w:color w:val="auto"/>
          <w:w w:val="95"/>
          <w:sz w:val="24"/>
          <w:szCs w:val="24"/>
          <w:highlight w:val="none"/>
          <w:lang w:eastAsia="zh-CN"/>
        </w:rPr>
        <w:t>供应商须在提交响应文件截止时间前通过CA在政采云平台上传加密的电子响应文件。供应商在开标时须使用制作加密电子响应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23A1B9F5">
      <w:pPr>
        <w:shd w:val="clear"/>
        <w:spacing w:line="579" w:lineRule="exact"/>
        <w:ind w:firstLine="458" w:firstLineChars="200"/>
        <w:rPr>
          <w:rStyle w:val="35"/>
          <w:rFonts w:hint="eastAsia" w:ascii="仿宋" w:hAnsi="仿宋" w:eastAsia="仿宋" w:cs="仿宋"/>
          <w:b/>
          <w:color w:val="auto"/>
          <w:w w:val="95"/>
          <w:sz w:val="24"/>
          <w:szCs w:val="24"/>
          <w:highlight w:val="none"/>
          <w:lang w:eastAsia="zh-CN"/>
        </w:rPr>
      </w:pPr>
      <w:r>
        <w:rPr>
          <w:rStyle w:val="35"/>
          <w:rFonts w:hint="eastAsia" w:ascii="仿宋" w:hAnsi="仿宋" w:eastAsia="仿宋" w:cs="仿宋"/>
          <w:b/>
          <w:color w:val="auto"/>
          <w:w w:val="95"/>
          <w:sz w:val="24"/>
          <w:szCs w:val="24"/>
          <w:highlight w:val="none"/>
          <w:lang w:val="en-US" w:eastAsia="zh-CN"/>
        </w:rPr>
        <w:t>23.2</w:t>
      </w:r>
      <w:r>
        <w:rPr>
          <w:rStyle w:val="35"/>
          <w:rFonts w:hint="eastAsia" w:ascii="仿宋" w:hAnsi="仿宋" w:eastAsia="仿宋" w:cs="仿宋"/>
          <w:b/>
          <w:color w:val="auto"/>
          <w:w w:val="95"/>
          <w:sz w:val="24"/>
          <w:szCs w:val="24"/>
          <w:highlight w:val="none"/>
          <w:lang w:eastAsia="zh-CN"/>
        </w:rPr>
        <w:t>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4A335A5E">
      <w:pPr>
        <w:shd w:val="clear"/>
        <w:spacing w:line="579" w:lineRule="exact"/>
        <w:ind w:firstLine="458" w:firstLineChars="200"/>
        <w:rPr>
          <w:rStyle w:val="35"/>
          <w:rFonts w:hint="eastAsia" w:ascii="仿宋" w:hAnsi="仿宋" w:eastAsia="仿宋" w:cs="仿宋"/>
          <w:b/>
          <w:color w:val="auto"/>
          <w:w w:val="95"/>
          <w:sz w:val="24"/>
          <w:szCs w:val="24"/>
          <w:highlight w:val="none"/>
          <w:lang w:eastAsia="zh-CN"/>
        </w:rPr>
      </w:pPr>
      <w:r>
        <w:rPr>
          <w:rStyle w:val="35"/>
          <w:rFonts w:hint="eastAsia" w:ascii="仿宋" w:hAnsi="仿宋" w:eastAsia="仿宋" w:cs="仿宋"/>
          <w:b/>
          <w:color w:val="auto"/>
          <w:w w:val="95"/>
          <w:sz w:val="24"/>
          <w:szCs w:val="24"/>
          <w:highlight w:val="none"/>
          <w:lang w:val="en-US" w:eastAsia="zh-CN"/>
        </w:rPr>
        <w:t>23.3</w:t>
      </w:r>
      <w:r>
        <w:rPr>
          <w:rStyle w:val="35"/>
          <w:rFonts w:hint="eastAsia" w:ascii="仿宋" w:hAnsi="仿宋" w:eastAsia="仿宋" w:cs="仿宋"/>
          <w:b/>
          <w:color w:val="auto"/>
          <w:w w:val="95"/>
          <w:sz w:val="24"/>
          <w:szCs w:val="24"/>
          <w:highlight w:val="none"/>
          <w:lang w:eastAsia="zh-CN"/>
        </w:rPr>
        <w:t>参与竞争性谈判和竞争性磋商项目供应商，开标结束后，请及时进入“网上报价”页面（详见操作手册），等待最终报价通知。如未在系统提示的报价时限内报价，则视为上一轮报价为最终报价。</w:t>
      </w:r>
    </w:p>
    <w:p w14:paraId="40F76E31">
      <w:pPr>
        <w:keepNext/>
        <w:keepLines/>
        <w:pageBreakBefore w:val="0"/>
        <w:widowControl/>
        <w:shd w:val="clear"/>
        <w:kinsoku/>
        <w:wordWrap/>
        <w:overflowPunct/>
        <w:topLinePunct w:val="0"/>
        <w:autoSpaceDE/>
        <w:autoSpaceDN/>
        <w:bidi w:val="0"/>
        <w:adjustRightInd/>
        <w:snapToGrid/>
        <w:textAlignment w:val="baseline"/>
        <w:outlineLvl w:val="9"/>
        <w:rPr>
          <w:rFonts w:hint="default"/>
          <w:color w:val="auto"/>
          <w:highlight w:val="none"/>
          <w:lang w:val="en-US" w:eastAsia="zh-CN"/>
        </w:rPr>
      </w:pPr>
    </w:p>
    <w:p w14:paraId="3D8CBB9E">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Style w:val="35"/>
          <w:rFonts w:hint="eastAsia" w:ascii="仿宋" w:hAnsi="仿宋" w:eastAsia="仿宋" w:cs="仿宋"/>
          <w:b/>
          <w:color w:val="auto"/>
          <w:sz w:val="32"/>
          <w:highlight w:val="none"/>
          <w:lang w:eastAsia="zh-CN"/>
        </w:rPr>
      </w:pPr>
      <w:bookmarkStart w:id="49" w:name="_Toc7217"/>
    </w:p>
    <w:p w14:paraId="3ACBA951">
      <w:pPr>
        <w:rPr>
          <w:rStyle w:val="35"/>
          <w:rFonts w:hint="eastAsia" w:ascii="仿宋" w:hAnsi="仿宋" w:eastAsia="仿宋" w:cs="仿宋"/>
          <w:b/>
          <w:color w:val="auto"/>
          <w:sz w:val="32"/>
          <w:highlight w:val="none"/>
          <w:lang w:eastAsia="zh-CN"/>
        </w:rPr>
      </w:pPr>
      <w:bookmarkStart w:id="50" w:name="_Toc25316"/>
      <w:bookmarkStart w:id="51" w:name="_Toc2700"/>
      <w:bookmarkStart w:id="52" w:name="_Toc21833"/>
      <w:bookmarkStart w:id="53" w:name="_Toc3015"/>
      <w:bookmarkStart w:id="54" w:name="_Toc7919"/>
      <w:r>
        <w:rPr>
          <w:rStyle w:val="35"/>
          <w:rFonts w:hint="eastAsia" w:ascii="仿宋" w:hAnsi="仿宋" w:eastAsia="仿宋" w:cs="仿宋"/>
          <w:b/>
          <w:color w:val="auto"/>
          <w:sz w:val="32"/>
          <w:highlight w:val="none"/>
          <w:lang w:eastAsia="zh-CN"/>
        </w:rPr>
        <w:br w:type="page"/>
      </w:r>
    </w:p>
    <w:p w14:paraId="21CDD31E">
      <w:pPr>
        <w:shd w:val="clear"/>
        <w:spacing w:line="579" w:lineRule="exact"/>
        <w:jc w:val="center"/>
        <w:outlineLvl w:val="1"/>
        <w:rPr>
          <w:rStyle w:val="35"/>
          <w:rFonts w:ascii="仿宋" w:hAnsi="仿宋" w:eastAsia="仿宋" w:cs="仿宋"/>
          <w:b/>
          <w:color w:val="auto"/>
          <w:sz w:val="32"/>
          <w:highlight w:val="none"/>
          <w:lang w:eastAsia="zh-CN"/>
        </w:rPr>
      </w:pPr>
      <w:r>
        <w:rPr>
          <w:rStyle w:val="35"/>
          <w:rFonts w:hint="eastAsia" w:ascii="仿宋" w:hAnsi="仿宋" w:eastAsia="仿宋" w:cs="仿宋"/>
          <w:b/>
          <w:color w:val="auto"/>
          <w:sz w:val="32"/>
          <w:highlight w:val="none"/>
          <w:lang w:eastAsia="zh-CN"/>
        </w:rPr>
        <w:t>第六章 评标</w:t>
      </w:r>
      <w:bookmarkEnd w:id="49"/>
      <w:bookmarkEnd w:id="50"/>
      <w:bookmarkEnd w:id="51"/>
      <w:bookmarkEnd w:id="52"/>
      <w:bookmarkEnd w:id="53"/>
      <w:bookmarkEnd w:id="54"/>
    </w:p>
    <w:p w14:paraId="537224AF">
      <w:pPr>
        <w:pStyle w:val="45"/>
        <w:shd w:val="clear"/>
        <w:snapToGrid w:val="0"/>
        <w:spacing w:before="113" w:line="579" w:lineRule="exact"/>
        <w:ind w:left="0" w:firstLine="458"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24.评审小组</w:t>
      </w:r>
    </w:p>
    <w:p w14:paraId="3F6D888C">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24.1采购人将根据《中华人民共和国政府采购法》及相关的法律、法规等，依法组建本次招标的评审小组，负责本次招标的评审、评标等活动。评审小组负责向采购人推荐中标候选人或者根据采购人的授权直接确定中标人。</w:t>
      </w:r>
    </w:p>
    <w:p w14:paraId="59FBEC7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24.2评审小组成员名单在评标结果公告前应当保密。</w:t>
      </w:r>
    </w:p>
    <w:p w14:paraId="2F8150B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24.3评审小组由采购人代表和评审专家组成，成员人数应当为3人或以上单数，其中评审专家不得少于成员总数的三分之二。</w:t>
      </w:r>
    </w:p>
    <w:p w14:paraId="7500B742">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24.4采购人或者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w:t>
      </w:r>
    </w:p>
    <w:p w14:paraId="3E55E79F">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24.5评标中因评审成员缺席、回避或者健康等特殊原因导致评审小组组成不符合相关规定的，采购人或者采购代理机构应当依法补足后继续评标。被更换的评审小组成员所作出的评标意见无效。无法及时补足评审小组成员的，采购人或者采购代理机构应当停止评标活动，封存所有响应文件和开标、评标资料，依法重新组建评审小组进行评标。原评审小组所作出的评标意见无效。采购人或者采购代理机构应当将变更、重新组建评审小组的情况予以记录，并随采购文件一并存档。</w:t>
      </w:r>
    </w:p>
    <w:p w14:paraId="758F073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24.6评标专家应符合下列条件：</w:t>
      </w:r>
    </w:p>
    <w:p w14:paraId="54F881D4">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24.6.1具有良好的职业道德，廉洁自律，遵纪守法，无行贿、受贿、欺诈等不良信用记录；</w:t>
      </w:r>
    </w:p>
    <w:p w14:paraId="05592CA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24.6.2具有中级专业技术职称或同等专业水平且从事相关领域工作满8年，或者具有高级专业技术职称或同等专业水平；</w:t>
      </w:r>
    </w:p>
    <w:p w14:paraId="52DE409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24.6.3熟悉政府采购相关政策法规；</w:t>
      </w:r>
    </w:p>
    <w:p w14:paraId="1092841F">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24.6.4承诺以独立身份参加评审工作，依法履行评审专家工作职责并承担相应法律责任的中国公民；</w:t>
      </w:r>
    </w:p>
    <w:p w14:paraId="71197126">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24.6.5身体健康，能够承担评审工作；</w:t>
      </w:r>
    </w:p>
    <w:p w14:paraId="645C673A">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24.6.6申请成为评审专家前三年内，无《政府采购评审专家管理办法》中规定的不良行为记录。</w:t>
      </w:r>
    </w:p>
    <w:p w14:paraId="36FACC4C">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有下列情形之一的，不得担任评审小组成员：</w:t>
      </w:r>
    </w:p>
    <w:p w14:paraId="41A74FF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(1)参加采购活动前三年内，与供应商存在劳动关系，或者担任过供应商的董事、监事,或者是供应商的控股股东或实际控制人；</w:t>
      </w:r>
    </w:p>
    <w:p w14:paraId="0EABE5BB">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(2)与供应商的法定代表人或者负责人有夫妻、直系血亲、三代以内旁系血亲或者近姻亲关系；</w:t>
      </w:r>
    </w:p>
    <w:p w14:paraId="58A5AF7B">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(3)与供应商有其他可能影响政府采购活动公平、公正进行的关系。</w:t>
      </w:r>
    </w:p>
    <w:p w14:paraId="45D7506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24.7评审小组负责具体评标事务，并独立履行下列职责：</w:t>
      </w:r>
    </w:p>
    <w:p w14:paraId="46C4D0F5">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(1)审查、评价响应文件是否符合竞争性磋商文件的商务、技术等实质性要求；</w:t>
      </w:r>
    </w:p>
    <w:p w14:paraId="1AEEC40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(2)要求供应商对响应文件的有关事项作出澄清或者说明；</w:t>
      </w:r>
    </w:p>
    <w:p w14:paraId="66D194E0">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(3)对响应文件进行比较和评价；</w:t>
      </w:r>
    </w:p>
    <w:p w14:paraId="2161495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(4)确定中标候选人名单，以及根据采购人委托直接确定中标人；</w:t>
      </w:r>
    </w:p>
    <w:p w14:paraId="2FABC5A0">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(5)向采购人、采购代理机构或者有关部门报告评标中发现的违法行为。</w:t>
      </w:r>
    </w:p>
    <w:p w14:paraId="5C3187EC">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24.8评审小组及其成员不得有下列行为：</w:t>
      </w:r>
    </w:p>
    <w:p w14:paraId="1FCDDC4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(1)确定参与评标至评标结束前私自接触供应商；</w:t>
      </w:r>
    </w:p>
    <w:p w14:paraId="564A999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(2)接受供应商提出的与响应文件不一致的澄清或者说明，本竞争性磋商文件第</w:t>
      </w:r>
    </w:p>
    <w:p w14:paraId="2761139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27.1款规定的情形除外；</w:t>
      </w:r>
    </w:p>
    <w:p w14:paraId="0B15105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(3)违反评标纪律发表倾向性意见或者征询采购人的倾向性意见；</w:t>
      </w:r>
    </w:p>
    <w:p w14:paraId="5DB4CA6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(4)对需要专业判断的主观评审因素协商评分；</w:t>
      </w:r>
    </w:p>
    <w:p w14:paraId="5C1A17D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(5)在评标过程中擅离职守，影响评标程序正常进行的；</w:t>
      </w:r>
    </w:p>
    <w:p w14:paraId="7AACBCC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(6)记录、复制或者带走任何评标资料；</w:t>
      </w:r>
    </w:p>
    <w:p w14:paraId="1258BA4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(7)其他不遵守评标纪律的行为。</w:t>
      </w:r>
    </w:p>
    <w:p w14:paraId="1A988E9B">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评审小组成员有前款第(1)至(5)项行为之一的，其评审意见无效，并不得获取评审劳务报酬和报销异地评审差旅费。</w:t>
      </w:r>
    </w:p>
    <w:p w14:paraId="32A9E096">
      <w:pPr>
        <w:pStyle w:val="45"/>
        <w:shd w:val="clear"/>
        <w:snapToGrid w:val="0"/>
        <w:spacing w:before="113"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25.评审过程的保密性</w:t>
      </w:r>
    </w:p>
    <w:p w14:paraId="08EE35F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25.1采购人、采购代理机构应当采取必要措施，保证评审在严格保密的情况下进行。除采购人代表、评审现场组织人员外，采购人的其他工作人员以及与评审工作无关的人员不得进入评审现场。</w:t>
      </w:r>
    </w:p>
    <w:p w14:paraId="41743EF2">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25.2开标后，直到授予中标人合同为止，凡属于对响应文件的审查、澄清、评价和比较的有关资料以及中标候选人的推荐情况和授标建议等内容、与评标有关的其他任何情况均应严格保密；评审小组成员及参与评标的有关工作人员均不得向供应商或其他无关的人员透露，违者给予警告、取消担任评审小组成员的资格。</w:t>
      </w:r>
    </w:p>
    <w:p w14:paraId="514C031B">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25.3投标供应商在评审过程中，所进行的力图影响评审结果的、不符合《中华人民共和国政府采购法》及其相关法律、法规的以及不符合本次招标的有关规定的活动，将被取消其中标资格。</w:t>
      </w:r>
    </w:p>
    <w:p w14:paraId="12C4FC66">
      <w:pPr>
        <w:pStyle w:val="45"/>
        <w:shd w:val="clear"/>
        <w:snapToGrid w:val="0"/>
        <w:spacing w:before="113"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26.评审依据及评标办法</w:t>
      </w:r>
    </w:p>
    <w:p w14:paraId="349C6BE2">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26.1评审的依据：采购人的竞争性磋商文件和供应商的响应文件。</w:t>
      </w:r>
    </w:p>
    <w:p w14:paraId="2C193324">
      <w:pPr>
        <w:shd w:val="clear"/>
        <w:snapToGrid w:val="0"/>
        <w:spacing w:line="579" w:lineRule="exact"/>
        <w:ind w:firstLine="480"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color w:val="auto"/>
          <w:sz w:val="24"/>
          <w:szCs w:val="24"/>
          <w:highlight w:val="none"/>
          <w:lang w:eastAsia="zh-CN"/>
        </w:rPr>
        <w:t>26.2评标办法：</w:t>
      </w:r>
      <w:r>
        <w:rPr>
          <w:rStyle w:val="35"/>
          <w:rFonts w:hint="eastAsia" w:ascii="仿宋" w:hAnsi="仿宋" w:eastAsia="仿宋" w:cs="仿宋"/>
          <w:b/>
          <w:color w:val="auto"/>
          <w:sz w:val="24"/>
          <w:szCs w:val="24"/>
          <w:highlight w:val="none"/>
          <w:lang w:eastAsia="zh-CN"/>
        </w:rPr>
        <w:t>综合评分法</w:t>
      </w:r>
    </w:p>
    <w:p w14:paraId="67417DF0">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综合评分法，是指响应文件满足竞争性磋商文件全部实质性要求，且按照评审因素的量化指标评审得分最高的供应商为中标候选人的评标方法。</w:t>
      </w:r>
    </w:p>
    <w:p w14:paraId="0457857A">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26.3评审程序：</w:t>
      </w:r>
    </w:p>
    <w:p w14:paraId="32818D63">
      <w:pPr>
        <w:shd w:val="clear"/>
        <w:snapToGrid w:val="0"/>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成立评标委员会→初步评审（符合性审查）→错误性修正→详细评审（商务、技术部分评审，报价得分计算）→推荐中标候选人→完成评标报告</w:t>
      </w:r>
    </w:p>
    <w:p w14:paraId="7DA2C3F4">
      <w:pPr>
        <w:shd w:val="clear"/>
        <w:snapToGrid w:val="0"/>
        <w:spacing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通过初步评审的响应文件，方可进入下一环节的评审。</w:t>
      </w:r>
    </w:p>
    <w:p w14:paraId="5CB1F372">
      <w:pPr>
        <w:pStyle w:val="45"/>
        <w:shd w:val="clear"/>
        <w:snapToGrid w:val="0"/>
        <w:spacing w:before="113"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27.初步评审</w:t>
      </w:r>
    </w:p>
    <w:p w14:paraId="1237337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27.1评审小组对响应文件的有效性、完整性和响应程度进行审查时，应当以书面方式要求供应商对响应文件中含义不明确、对同类问题表述不一致或者有明显文字和计算错误的内容作必要的澄清、说明或补正。</w:t>
      </w:r>
    </w:p>
    <w:p w14:paraId="13FC22C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供应商的澄清、说明或补正应以书面方式进行，并加盖公章，或者由法定代表人或其授权的代表签字。供应商的澄清、说明或者补正不得超出响应文件的范围或者改变竞争性磋商文件的实质性内容。</w:t>
      </w:r>
    </w:p>
    <w:p w14:paraId="5A2071B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按上述规定，经供应商确认后，对供应商起约束作用。如果供应商不确认的，则其投标无效。</w:t>
      </w:r>
    </w:p>
    <w:p w14:paraId="0E27F0A5">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27.2采购方不接受不符合国家有关部门相关规定的投标报价或优惠方案。</w:t>
      </w:r>
    </w:p>
    <w:p w14:paraId="6C0CF70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27.3在评审过程中，评审小组发现供应商以他人名义投标、串通投标、以行贿手段谋取中标或者以其他弄虚作假方式投标的，该供应商的投标将被否决。</w:t>
      </w:r>
    </w:p>
    <w:p w14:paraId="0AD4EC50">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27.4有下列情形之一的，视为供应商串通投标，其投标无效：</w:t>
      </w:r>
    </w:p>
    <w:p w14:paraId="116FD29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(1)不同供应商的响应文件由同一单位或者个人编制；</w:t>
      </w:r>
    </w:p>
    <w:p w14:paraId="24046647">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(2)不同供应商委托同一单位或者个人办理投标事宜；</w:t>
      </w:r>
    </w:p>
    <w:p w14:paraId="67A4FA34">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(3)不同供应商的响应文件载明的项目管理成员或者联系人员为同一人；</w:t>
      </w:r>
    </w:p>
    <w:p w14:paraId="02B52C8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(4)不同供应商的响应文件异常一致或者投标报价呈规律性差异；</w:t>
      </w:r>
    </w:p>
    <w:p w14:paraId="54E5EE8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(5)不同供应商的响应文件相互混装；</w:t>
      </w:r>
    </w:p>
    <w:p w14:paraId="47AB374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(6)不同供应商的磋商保证金从同一单位或者个人的账户转出。</w:t>
      </w:r>
    </w:p>
    <w:p w14:paraId="1F70002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27.5供应商存在下列情况之一的，投标无效：</w:t>
      </w:r>
    </w:p>
    <w:p w14:paraId="4F8D033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(1)未按照竞争性磋商文件的规定提交磋商保证金的；</w:t>
      </w:r>
    </w:p>
    <w:p w14:paraId="7FA44A3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(2)响应文件未按竞争性磋商文件要求签署、盖章的；</w:t>
      </w:r>
    </w:p>
    <w:p w14:paraId="1F5C5CCC">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(3)不具备竞争性磋商文件中规定的资格要求的；</w:t>
      </w:r>
    </w:p>
    <w:p w14:paraId="4BB0ED9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(4)报价超过竞争性磋商文件中规定的预算金额或者最高限价的；</w:t>
      </w:r>
    </w:p>
    <w:p w14:paraId="5BC81121">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(5)响应文件含有采购人不能接受的附加条件的；</w:t>
      </w:r>
    </w:p>
    <w:p w14:paraId="133754B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(6)法律、法规和竞争性磋商文件规定的其他无效情形。</w:t>
      </w:r>
    </w:p>
    <w:p w14:paraId="52A6BD8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27.6评审小组应当审查每一响应文件是否对竞争性磋商文件提出的所有实质性要求和条件做出响应。未能在实质上响应的投标，其投标将被否决。</w:t>
      </w:r>
    </w:p>
    <w:p w14:paraId="4DC66232">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27.7供应商不得误导、干扰采购方的评审活动，否则将废除其投标。</w:t>
      </w:r>
    </w:p>
    <w:p w14:paraId="77FEAC16">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27.8评审小组根据上述规定否决不合格投标，因有效投标不足本次评审办法规定数量而使得投标明显缺乏竞争性时，根据《中华人民共和国政府采购法》的相关规定，将作流标处理。</w:t>
      </w:r>
    </w:p>
    <w:p w14:paraId="1BDDC583">
      <w:pPr>
        <w:shd w:val="clear"/>
        <w:snapToGrid w:val="0"/>
        <w:spacing w:line="579" w:lineRule="exact"/>
        <w:ind w:firstLine="482" w:firstLineChars="200"/>
        <w:rPr>
          <w:rStyle w:val="35"/>
          <w:rFonts w:hint="default" w:ascii="仿宋" w:hAnsi="仿宋" w:eastAsia="仿宋" w:cs="仿宋"/>
          <w:b/>
          <w:color w:val="auto"/>
          <w:sz w:val="24"/>
          <w:szCs w:val="24"/>
          <w:highlight w:val="none"/>
          <w:lang w:val="en-US" w:eastAsia="zh-CN"/>
        </w:rPr>
      </w:pPr>
      <w:r>
        <w:rPr>
          <w:rStyle w:val="35"/>
          <w:rFonts w:hint="eastAsia" w:ascii="仿宋" w:hAnsi="仿宋" w:eastAsia="仿宋" w:cs="仿宋"/>
          <w:b/>
          <w:color w:val="auto"/>
          <w:sz w:val="24"/>
          <w:szCs w:val="24"/>
          <w:highlight w:val="none"/>
          <w:lang w:eastAsia="zh-CN"/>
        </w:rPr>
        <w:t>初步评审的标准详见附表1、</w:t>
      </w:r>
      <w:r>
        <w:rPr>
          <w:rStyle w:val="35"/>
          <w:rFonts w:hint="eastAsia" w:ascii="仿宋" w:hAnsi="仿宋" w:eastAsia="仿宋" w:cs="仿宋"/>
          <w:b/>
          <w:color w:val="auto"/>
          <w:sz w:val="24"/>
          <w:szCs w:val="24"/>
          <w:highlight w:val="none"/>
          <w:lang w:val="en-US" w:eastAsia="zh-CN"/>
        </w:rPr>
        <w:t>2</w:t>
      </w:r>
    </w:p>
    <w:p w14:paraId="3231ADFE">
      <w:pPr>
        <w:pStyle w:val="45"/>
        <w:shd w:val="clear"/>
        <w:snapToGrid w:val="0"/>
        <w:spacing w:before="113"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28.响应文件计算错误的修正</w:t>
      </w:r>
    </w:p>
    <w:p w14:paraId="7DC51247">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28.1响应文件中报价出现前后不一致的，评审小组按以下原则对投标报价进行修正：</w:t>
      </w:r>
    </w:p>
    <w:p w14:paraId="3320B683">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a.响应文件中开标一览表（报价表）内容与响应文件中相应内容不一致的，以开标一览表（报价表）为准；</w:t>
      </w:r>
    </w:p>
    <w:p w14:paraId="7C610BBA">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b.大写金额和小写金额不一致的，以大写金额为准；</w:t>
      </w:r>
    </w:p>
    <w:p w14:paraId="3BEB8BF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c.单价金额小数点或者百分比有明显错位的，以开标一览表的总价为准，并修改单价；</w:t>
      </w:r>
    </w:p>
    <w:p w14:paraId="6793341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d.总价金额与按单价汇总金额不一致的，以单价金额计算结果为准。</w:t>
      </w:r>
    </w:p>
    <w:p w14:paraId="75D7C18E">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同时出现两种以上不一致的，按照前款规定的顺序修正。</w:t>
      </w:r>
    </w:p>
    <w:p w14:paraId="5F80FCB4">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28.2修正后的最终投标报价若超过最高投标限价（如有），评审小组应当否决其投标。</w:t>
      </w:r>
    </w:p>
    <w:p w14:paraId="198B17AA">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28.3按上述修正错误的原则及方法调整或修正响应文件的投标报价，经供应商确认后，对供应商起约束作用。如果供应商不确认的，则其投标无效。</w:t>
      </w:r>
    </w:p>
    <w:p w14:paraId="69B158AB">
      <w:pPr>
        <w:pStyle w:val="45"/>
        <w:shd w:val="clear"/>
        <w:snapToGrid w:val="0"/>
        <w:spacing w:before="113" w:line="579" w:lineRule="exact"/>
        <w:ind w:left="0" w:firstLine="458" w:firstLineChars="200"/>
        <w:rPr>
          <w:rStyle w:val="35"/>
          <w:rFonts w:ascii="仿宋" w:hAnsi="仿宋" w:eastAsia="仿宋" w:cs="仿宋"/>
          <w:color w:val="auto"/>
          <w:w w:val="95"/>
          <w:highlight w:val="none"/>
          <w:lang w:eastAsia="zh-CN"/>
        </w:rPr>
      </w:pPr>
      <w:r>
        <w:rPr>
          <w:rStyle w:val="35"/>
          <w:rFonts w:hint="eastAsia" w:ascii="仿宋" w:hAnsi="仿宋" w:eastAsia="仿宋" w:cs="仿宋"/>
          <w:color w:val="auto"/>
          <w:w w:val="95"/>
          <w:highlight w:val="none"/>
          <w:lang w:eastAsia="zh-CN"/>
        </w:rPr>
        <w:t>29.详细评审</w:t>
      </w:r>
    </w:p>
    <w:p w14:paraId="34467B9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29.1经符合性审查合格的响应文件，评审小组应当根据竞争性磋商文件确定的评审标准和方法，确定最终采购需求和提交最后报价的供应商后，由评审小组采用综合评分法对提交最后报价的供应商的响应文件进行综合评分。</w:t>
      </w:r>
    </w:p>
    <w:p w14:paraId="429BDE2A">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29.2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77FBE028">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29.3磋商小组所有成员应当集中与单一供应商分别进行磋商，并给予所有参加磋商的供应商平等的磋商机会。</w:t>
      </w:r>
    </w:p>
    <w:p w14:paraId="6B576B9D">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29.4根据综合评分法完成评审工作后，评审小组应当向采购人递交书面评审报告。</w:t>
      </w:r>
    </w:p>
    <w:p w14:paraId="2985FA2F">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w:t>
      </w:r>
      <w:r>
        <w:rPr>
          <w:rStyle w:val="35"/>
          <w:rFonts w:hint="eastAsia" w:ascii="仿宋" w:hAnsi="仿宋" w:eastAsia="仿宋" w:cs="仿宋"/>
          <w:color w:val="auto"/>
          <w:sz w:val="24"/>
          <w:szCs w:val="24"/>
          <w:highlight w:val="none"/>
          <w:lang w:val="en-US" w:eastAsia="zh-CN"/>
        </w:rPr>
        <w:t>5</w:t>
      </w:r>
      <w:r>
        <w:rPr>
          <w:rStyle w:val="35"/>
          <w:rFonts w:hint="eastAsia" w:ascii="仿宋" w:hAnsi="仿宋" w:eastAsia="仿宋" w:cs="仿宋"/>
          <w:color w:val="auto"/>
          <w:sz w:val="24"/>
          <w:szCs w:val="24"/>
          <w:highlight w:val="none"/>
          <w:lang w:eastAsia="zh-CN"/>
        </w:rPr>
        <w:t>评审因素及标准(详见评分细则)</w:t>
      </w:r>
    </w:p>
    <w:p w14:paraId="6E827D49">
      <w:pPr>
        <w:shd w:val="clear"/>
        <w:snapToGrid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评审因素：与供应商所提供货物服务的质量相关，包括投标报价、技术或者服务水平、履约能力、售后服务等。</w:t>
      </w:r>
    </w:p>
    <w:p w14:paraId="42564913">
      <w:pPr>
        <w:pStyle w:val="45"/>
        <w:shd w:val="clear"/>
        <w:spacing w:line="579" w:lineRule="exact"/>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（1）商务技术部分</w:t>
      </w:r>
      <w:r>
        <w:rPr>
          <w:rStyle w:val="35"/>
          <w:rFonts w:hint="eastAsia" w:ascii="仿宋" w:hAnsi="仿宋" w:eastAsia="仿宋" w:cs="仿宋"/>
          <w:color w:val="auto"/>
          <w:highlight w:val="none"/>
          <w:lang w:val="en-US" w:eastAsia="zh-CN"/>
        </w:rPr>
        <w:t>90</w:t>
      </w:r>
      <w:r>
        <w:rPr>
          <w:rStyle w:val="35"/>
          <w:rFonts w:hint="eastAsia" w:ascii="仿宋" w:hAnsi="仿宋" w:eastAsia="仿宋" w:cs="仿宋"/>
          <w:color w:val="auto"/>
          <w:highlight w:val="none"/>
          <w:lang w:eastAsia="zh-CN"/>
        </w:rPr>
        <w:t>分；</w:t>
      </w:r>
    </w:p>
    <w:p w14:paraId="1995CFEE">
      <w:pPr>
        <w:shd w:val="clear"/>
        <w:spacing w:before="125" w:line="579" w:lineRule="exact"/>
        <w:ind w:left="591"/>
        <w:rPr>
          <w:rStyle w:val="35"/>
          <w:rFonts w:ascii="仿宋" w:hAnsi="仿宋" w:eastAsia="仿宋" w:cs="仿宋"/>
          <w:b/>
          <w:color w:val="auto"/>
          <w:sz w:val="24"/>
          <w:highlight w:val="none"/>
          <w:lang w:eastAsia="zh-CN"/>
        </w:rPr>
      </w:pPr>
      <w:r>
        <w:rPr>
          <w:rStyle w:val="35"/>
          <w:rFonts w:hint="eastAsia" w:ascii="仿宋" w:hAnsi="仿宋" w:eastAsia="仿宋" w:cs="仿宋"/>
          <w:b/>
          <w:color w:val="auto"/>
          <w:sz w:val="24"/>
          <w:highlight w:val="none"/>
          <w:lang w:eastAsia="zh-CN"/>
        </w:rPr>
        <w:t>（2）投标报价部分</w:t>
      </w:r>
      <w:r>
        <w:rPr>
          <w:rStyle w:val="35"/>
          <w:rFonts w:hint="eastAsia" w:ascii="仿宋" w:hAnsi="仿宋" w:eastAsia="仿宋" w:cs="仿宋"/>
          <w:b/>
          <w:color w:val="auto"/>
          <w:sz w:val="24"/>
          <w:highlight w:val="none"/>
          <w:lang w:val="en-US" w:eastAsia="zh-CN"/>
        </w:rPr>
        <w:t>10</w:t>
      </w:r>
      <w:r>
        <w:rPr>
          <w:rStyle w:val="35"/>
          <w:rFonts w:hint="eastAsia" w:ascii="仿宋" w:hAnsi="仿宋" w:eastAsia="仿宋" w:cs="仿宋"/>
          <w:b/>
          <w:color w:val="auto"/>
          <w:sz w:val="24"/>
          <w:highlight w:val="none"/>
          <w:lang w:eastAsia="zh-CN"/>
        </w:rPr>
        <w:t>分。</w:t>
      </w:r>
    </w:p>
    <w:p w14:paraId="28F425F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计算各项分值时，按四舍五入的原则，保留小数点后二位。</w:t>
      </w:r>
    </w:p>
    <w:p w14:paraId="0F1CEACA">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29.7报价</w:t>
      </w:r>
    </w:p>
    <w:p w14:paraId="4A8F4A4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29.7.1本次采购方式为竞争性磋商，待评审小组与供应商对采购标的的技术、服务等磋商结束后，评审小组要求所有实质性响应的供应商，在规定的时间内提交最后报价。</w:t>
      </w:r>
    </w:p>
    <w:p w14:paraId="74206CE8">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29.7.2参与竞争性谈判和竞争性磋商项目供应商，开标结束后，进入“网上报价”页面，等待最终报价通知。如未在系统提示的报价时限内报价，则视为上一轮报价为最终报价。最后报价不进行公开唱标。</w:t>
      </w:r>
    </w:p>
    <w:p w14:paraId="1C4B13DE">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29.7.3经磋商确定最终采购需求和提交最后报价的供应商后，由评审小组采用综合评分法对提交最后报价的供应商的价格得分进行计算。</w:t>
      </w:r>
    </w:p>
    <w:p w14:paraId="6108E613">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29.7.4供应商的投标报价得分计算说明：</w:t>
      </w:r>
    </w:p>
    <w:p w14:paraId="2ED2B744">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价格分统一采用低价优先法计算，即满足磋商文件要求且最</w:t>
      </w:r>
      <w:r>
        <w:rPr>
          <w:rStyle w:val="35"/>
          <w:rFonts w:hint="eastAsia" w:ascii="仿宋" w:hAnsi="仿宋" w:eastAsia="仿宋" w:cs="仿宋"/>
          <w:color w:val="auto"/>
          <w:sz w:val="24"/>
          <w:szCs w:val="24"/>
          <w:highlight w:val="none"/>
          <w:lang w:val="en-US" w:eastAsia="zh-CN"/>
        </w:rPr>
        <w:t>终</w:t>
      </w:r>
      <w:r>
        <w:rPr>
          <w:rStyle w:val="35"/>
          <w:rFonts w:hint="eastAsia" w:ascii="仿宋" w:hAnsi="仿宋" w:eastAsia="仿宋" w:cs="仿宋"/>
          <w:color w:val="auto"/>
          <w:sz w:val="24"/>
          <w:szCs w:val="24"/>
          <w:highlight w:val="none"/>
          <w:lang w:eastAsia="zh-CN"/>
        </w:rPr>
        <w:t>报价最低的供应商的价格为磋商基准价，其价格分为满分。其他供应商的价格分统一按照下列公式计算：</w:t>
      </w:r>
    </w:p>
    <w:p w14:paraId="41C6568A">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磋商报价得分=（磋商基准价/最后磋商报价）×价格权值×100</w:t>
      </w:r>
    </w:p>
    <w:p w14:paraId="35F80DC9">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本项目的价格权值为</w:t>
      </w:r>
      <w:r>
        <w:rPr>
          <w:rStyle w:val="35"/>
          <w:rFonts w:hint="eastAsia" w:ascii="仿宋" w:hAnsi="仿宋" w:eastAsia="仿宋" w:cs="仿宋"/>
          <w:color w:val="auto"/>
          <w:sz w:val="24"/>
          <w:szCs w:val="24"/>
          <w:highlight w:val="none"/>
          <w:lang w:val="en-US" w:eastAsia="zh-CN"/>
        </w:rPr>
        <w:t>10</w:t>
      </w:r>
      <w:r>
        <w:rPr>
          <w:rStyle w:val="35"/>
          <w:rFonts w:hint="eastAsia" w:ascii="仿宋" w:hAnsi="仿宋" w:eastAsia="仿宋" w:cs="仿宋"/>
          <w:color w:val="auto"/>
          <w:sz w:val="24"/>
          <w:szCs w:val="24"/>
          <w:highlight w:val="none"/>
          <w:lang w:eastAsia="zh-CN"/>
        </w:rPr>
        <w:t>%</w:t>
      </w:r>
    </w:p>
    <w:p w14:paraId="0C0555A2">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项目评审过程中，不得去掉最终报价中的最高报价和最低报价。</w:t>
      </w:r>
    </w:p>
    <w:p w14:paraId="63C5B388">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29.7.5评审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评审小组应当将其作为无效投标处理。</w:t>
      </w:r>
    </w:p>
    <w:p w14:paraId="41E232E6">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29.8综合得分</w:t>
      </w:r>
    </w:p>
    <w:p w14:paraId="17F50459">
      <w:pPr>
        <w:shd w:val="clear"/>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综合得分=商务技术部分得分+投标报价部分得分。</w:t>
      </w:r>
    </w:p>
    <w:p w14:paraId="6BC6D3F7">
      <w:pPr>
        <w:shd w:val="clear"/>
        <w:spacing w:before="127" w:line="579" w:lineRule="exact"/>
        <w:ind w:left="581" w:right="3232"/>
        <w:rPr>
          <w:rStyle w:val="35"/>
          <w:rFonts w:ascii="仿宋" w:hAnsi="仿宋" w:eastAsia="仿宋" w:cs="仿宋"/>
          <w:b/>
          <w:color w:val="auto"/>
          <w:sz w:val="24"/>
          <w:highlight w:val="none"/>
          <w:lang w:eastAsia="zh-CN"/>
        </w:rPr>
      </w:pPr>
      <w:r>
        <w:rPr>
          <w:rStyle w:val="35"/>
          <w:rFonts w:hint="eastAsia" w:ascii="仿宋" w:hAnsi="仿宋" w:eastAsia="仿宋" w:cs="仿宋"/>
          <w:b/>
          <w:color w:val="auto"/>
          <w:sz w:val="24"/>
          <w:highlight w:val="none"/>
          <w:lang w:eastAsia="zh-CN"/>
        </w:rPr>
        <w:t>详细评审的标准详见附表</w:t>
      </w:r>
      <w:r>
        <w:rPr>
          <w:rStyle w:val="35"/>
          <w:rFonts w:hint="eastAsia" w:ascii="仿宋" w:hAnsi="仿宋" w:eastAsia="仿宋" w:cs="仿宋"/>
          <w:b/>
          <w:color w:val="auto"/>
          <w:sz w:val="24"/>
          <w:highlight w:val="none"/>
          <w:lang w:val="en-US" w:eastAsia="zh-CN"/>
        </w:rPr>
        <w:t>3</w:t>
      </w:r>
      <w:r>
        <w:rPr>
          <w:rStyle w:val="35"/>
          <w:rFonts w:hint="eastAsia" w:ascii="仿宋" w:hAnsi="仿宋" w:eastAsia="仿宋" w:cs="仿宋"/>
          <w:b/>
          <w:color w:val="auto"/>
          <w:sz w:val="24"/>
          <w:highlight w:val="none"/>
          <w:lang w:eastAsia="zh-CN"/>
        </w:rPr>
        <w:t>。</w:t>
      </w:r>
    </w:p>
    <w:p w14:paraId="4F56DEC3">
      <w:pPr>
        <w:shd w:val="clear"/>
        <w:rPr>
          <w:rStyle w:val="35"/>
          <w:rFonts w:ascii="仿宋" w:hAnsi="仿宋" w:eastAsia="仿宋" w:cs="仿宋"/>
          <w:color w:val="auto"/>
          <w:sz w:val="28"/>
          <w:highlight w:val="none"/>
          <w:lang w:eastAsia="zh-CN"/>
        </w:rPr>
        <w:sectPr>
          <w:footerReference r:id="rId4" w:type="default"/>
          <w:pgSz w:w="11910" w:h="16840"/>
          <w:pgMar w:top="1480" w:right="1180" w:bottom="1180" w:left="1480" w:header="0" w:footer="912" w:gutter="0"/>
          <w:pgBorders>
            <w:top w:val="none" w:sz="0" w:space="0"/>
            <w:left w:val="none" w:sz="0" w:space="0"/>
            <w:bottom w:val="none" w:sz="0" w:space="0"/>
            <w:right w:val="none" w:sz="0" w:space="0"/>
          </w:pgBorders>
          <w:pgNumType w:fmt="decimal" w:start="1"/>
          <w:cols w:space="720" w:num="1"/>
        </w:sectPr>
      </w:pPr>
    </w:p>
    <w:p w14:paraId="792EA004">
      <w:pPr>
        <w:shd w:val="clear"/>
        <w:spacing w:after="42" w:line="361" w:lineRule="exact"/>
        <w:ind w:left="169"/>
        <w:rPr>
          <w:rStyle w:val="35"/>
          <w:rFonts w:hint="eastAsia" w:ascii="仿宋" w:hAnsi="仿宋" w:eastAsia="仿宋" w:cs="仿宋"/>
          <w:b/>
          <w:color w:val="auto"/>
          <w:sz w:val="28"/>
          <w:highlight w:val="none"/>
          <w:lang w:eastAsia="zh-CN"/>
        </w:rPr>
      </w:pPr>
      <w:r>
        <w:rPr>
          <w:rStyle w:val="35"/>
          <w:rFonts w:hint="eastAsia" w:ascii="仿宋" w:hAnsi="仿宋" w:eastAsia="仿宋" w:cs="仿宋"/>
          <w:b/>
          <w:color w:val="auto"/>
          <w:sz w:val="28"/>
          <w:highlight w:val="none"/>
          <w:lang w:eastAsia="zh-CN"/>
        </w:rPr>
        <w:t>附表1：初步评审-</w:t>
      </w:r>
      <w:r>
        <w:rPr>
          <w:rStyle w:val="35"/>
          <w:rFonts w:hint="eastAsia" w:ascii="仿宋" w:hAnsi="仿宋" w:eastAsia="仿宋" w:cs="仿宋"/>
          <w:b/>
          <w:color w:val="auto"/>
          <w:sz w:val="28"/>
          <w:highlight w:val="none"/>
          <w:lang w:val="en-US" w:eastAsia="zh-CN"/>
        </w:rPr>
        <w:t>资格</w:t>
      </w:r>
      <w:r>
        <w:rPr>
          <w:rStyle w:val="35"/>
          <w:rFonts w:hint="eastAsia" w:ascii="仿宋" w:hAnsi="仿宋" w:eastAsia="仿宋" w:cs="仿宋"/>
          <w:b/>
          <w:color w:val="auto"/>
          <w:sz w:val="28"/>
          <w:highlight w:val="none"/>
          <w:lang w:eastAsia="zh-CN"/>
        </w:rPr>
        <w:t>性审查表</w:t>
      </w:r>
    </w:p>
    <w:tbl>
      <w:tblPr>
        <w:tblStyle w:val="27"/>
        <w:tblW w:w="9011" w:type="dxa"/>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7084"/>
        <w:gridCol w:w="631"/>
        <w:gridCol w:w="665"/>
      </w:tblGrid>
      <w:tr w14:paraId="23578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5" w:hRule="atLeast"/>
        </w:trPr>
        <w:tc>
          <w:tcPr>
            <w:tcW w:w="631" w:type="dxa"/>
            <w:vMerge w:val="restart"/>
            <w:tcBorders>
              <w:top w:val="single" w:color="000000" w:sz="4" w:space="0"/>
              <w:left w:val="single" w:color="000000" w:sz="4" w:space="0"/>
              <w:bottom w:val="single" w:color="000000" w:sz="4" w:space="0"/>
              <w:right w:val="single" w:color="000000" w:sz="4" w:space="0"/>
            </w:tcBorders>
          </w:tcPr>
          <w:p w14:paraId="2BAFEF8E">
            <w:pPr>
              <w:pStyle w:val="43"/>
              <w:shd w:val="clear"/>
              <w:rPr>
                <w:rStyle w:val="35"/>
                <w:rFonts w:ascii="仿宋" w:hAnsi="仿宋" w:eastAsia="仿宋" w:cs="仿宋"/>
                <w:b/>
                <w:color w:val="auto"/>
                <w:sz w:val="24"/>
                <w:szCs w:val="24"/>
                <w:highlight w:val="none"/>
                <w:lang w:eastAsia="zh-CN"/>
              </w:rPr>
            </w:pPr>
          </w:p>
          <w:p w14:paraId="54CE08B1">
            <w:pPr>
              <w:pStyle w:val="43"/>
              <w:shd w:val="clear"/>
              <w:rPr>
                <w:rStyle w:val="35"/>
                <w:rFonts w:ascii="仿宋" w:hAnsi="仿宋" w:eastAsia="仿宋" w:cs="仿宋"/>
                <w:b/>
                <w:color w:val="auto"/>
                <w:sz w:val="24"/>
                <w:szCs w:val="24"/>
                <w:highlight w:val="none"/>
                <w:lang w:eastAsia="zh-CN"/>
              </w:rPr>
            </w:pPr>
          </w:p>
          <w:p w14:paraId="3502215B">
            <w:pPr>
              <w:pStyle w:val="43"/>
              <w:shd w:val="clear"/>
              <w:spacing w:before="1"/>
              <w:ind w:left="134"/>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序号</w:t>
            </w:r>
          </w:p>
        </w:tc>
        <w:tc>
          <w:tcPr>
            <w:tcW w:w="7084" w:type="dxa"/>
            <w:vMerge w:val="restart"/>
            <w:tcBorders>
              <w:top w:val="single" w:color="000000" w:sz="4" w:space="0"/>
              <w:left w:val="single" w:color="000000" w:sz="4" w:space="0"/>
              <w:bottom w:val="single" w:color="000000" w:sz="4" w:space="0"/>
              <w:right w:val="single" w:color="000000" w:sz="4" w:space="0"/>
            </w:tcBorders>
          </w:tcPr>
          <w:p w14:paraId="6CBB47DD">
            <w:pPr>
              <w:pStyle w:val="43"/>
              <w:shd w:val="clear"/>
              <w:rPr>
                <w:rStyle w:val="35"/>
                <w:rFonts w:ascii="仿宋" w:hAnsi="仿宋" w:eastAsia="仿宋" w:cs="仿宋"/>
                <w:b/>
                <w:color w:val="auto"/>
                <w:sz w:val="24"/>
                <w:szCs w:val="24"/>
                <w:highlight w:val="none"/>
                <w:lang w:eastAsia="zh-CN"/>
              </w:rPr>
            </w:pPr>
          </w:p>
          <w:p w14:paraId="7490C9B8">
            <w:pPr>
              <w:pStyle w:val="43"/>
              <w:shd w:val="clear"/>
              <w:rPr>
                <w:rStyle w:val="35"/>
                <w:rFonts w:ascii="仿宋" w:hAnsi="仿宋" w:eastAsia="仿宋" w:cs="仿宋"/>
                <w:b/>
                <w:color w:val="auto"/>
                <w:sz w:val="24"/>
                <w:szCs w:val="24"/>
                <w:highlight w:val="none"/>
                <w:lang w:eastAsia="zh-CN"/>
              </w:rPr>
            </w:pPr>
          </w:p>
          <w:p w14:paraId="63FCF2A6">
            <w:pPr>
              <w:pStyle w:val="43"/>
              <w:shd w:val="clear"/>
              <w:spacing w:before="1"/>
              <w:ind w:left="2412"/>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响应文件</w:t>
            </w:r>
            <w:r>
              <w:rPr>
                <w:rStyle w:val="35"/>
                <w:rFonts w:hint="eastAsia" w:ascii="仿宋" w:hAnsi="仿宋" w:eastAsia="仿宋" w:cs="仿宋"/>
                <w:color w:val="auto"/>
                <w:sz w:val="24"/>
                <w:szCs w:val="24"/>
                <w:highlight w:val="none"/>
                <w:lang w:val="en-US" w:eastAsia="zh-CN"/>
              </w:rPr>
              <w:t>资格</w:t>
            </w:r>
            <w:r>
              <w:rPr>
                <w:rStyle w:val="35"/>
                <w:rFonts w:hint="eastAsia" w:ascii="仿宋" w:hAnsi="仿宋" w:eastAsia="仿宋" w:cs="仿宋"/>
                <w:color w:val="auto"/>
                <w:sz w:val="24"/>
                <w:szCs w:val="24"/>
                <w:highlight w:val="none"/>
                <w:lang w:eastAsia="zh-CN"/>
              </w:rPr>
              <w:t>性审查内容</w:t>
            </w:r>
          </w:p>
        </w:tc>
        <w:tc>
          <w:tcPr>
            <w:tcW w:w="1296" w:type="dxa"/>
            <w:gridSpan w:val="2"/>
            <w:tcBorders>
              <w:top w:val="single" w:color="000000" w:sz="4" w:space="0"/>
              <w:left w:val="single" w:color="000000" w:sz="4" w:space="0"/>
              <w:bottom w:val="single" w:color="000000" w:sz="4" w:space="0"/>
              <w:right w:val="single" w:color="000000" w:sz="4" w:space="0"/>
            </w:tcBorders>
            <w:vAlign w:val="center"/>
          </w:tcPr>
          <w:p w14:paraId="614D3466">
            <w:pPr>
              <w:pStyle w:val="43"/>
              <w:shd w:val="clear"/>
              <w:spacing w:before="157"/>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评审意见</w:t>
            </w:r>
          </w:p>
        </w:tc>
      </w:tr>
      <w:tr w14:paraId="7D6114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8" w:hRule="atLeast"/>
        </w:trPr>
        <w:tc>
          <w:tcPr>
            <w:tcW w:w="631" w:type="dxa"/>
            <w:vMerge w:val="continue"/>
            <w:tcBorders>
              <w:top w:val="nil"/>
              <w:left w:val="single" w:color="000000" w:sz="4" w:space="0"/>
              <w:bottom w:val="single" w:color="000000" w:sz="4" w:space="0"/>
              <w:right w:val="single" w:color="000000" w:sz="4" w:space="0"/>
            </w:tcBorders>
          </w:tcPr>
          <w:p w14:paraId="1DCD8D79">
            <w:pPr>
              <w:shd w:val="clear"/>
              <w:rPr>
                <w:rStyle w:val="35"/>
                <w:rFonts w:ascii="仿宋" w:hAnsi="仿宋" w:eastAsia="仿宋" w:cs="仿宋"/>
                <w:color w:val="auto"/>
                <w:sz w:val="24"/>
                <w:szCs w:val="24"/>
                <w:highlight w:val="none"/>
              </w:rPr>
            </w:pPr>
          </w:p>
        </w:tc>
        <w:tc>
          <w:tcPr>
            <w:tcW w:w="7084" w:type="dxa"/>
            <w:vMerge w:val="continue"/>
            <w:tcBorders>
              <w:top w:val="nil"/>
              <w:left w:val="single" w:color="000000" w:sz="4" w:space="0"/>
              <w:bottom w:val="single" w:color="000000" w:sz="4" w:space="0"/>
              <w:right w:val="single" w:color="000000" w:sz="4" w:space="0"/>
            </w:tcBorders>
          </w:tcPr>
          <w:p w14:paraId="1DDBFBF8">
            <w:pPr>
              <w:shd w:val="clear"/>
              <w:rPr>
                <w:rStyle w:val="35"/>
                <w:rFonts w:ascii="仿宋" w:hAnsi="仿宋" w:eastAsia="仿宋" w:cs="仿宋"/>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vAlign w:val="center"/>
          </w:tcPr>
          <w:p w14:paraId="03633E37">
            <w:pPr>
              <w:pStyle w:val="43"/>
              <w:shd w:val="clear"/>
              <w:spacing w:before="157"/>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是</w:t>
            </w:r>
          </w:p>
        </w:tc>
        <w:tc>
          <w:tcPr>
            <w:tcW w:w="665" w:type="dxa"/>
            <w:tcBorders>
              <w:top w:val="single" w:color="000000" w:sz="4" w:space="0"/>
              <w:left w:val="single" w:color="000000" w:sz="4" w:space="0"/>
              <w:bottom w:val="single" w:color="000000" w:sz="4" w:space="0"/>
              <w:right w:val="single" w:color="000000" w:sz="4" w:space="0"/>
            </w:tcBorders>
            <w:vAlign w:val="center"/>
          </w:tcPr>
          <w:p w14:paraId="64C0719F">
            <w:pPr>
              <w:pStyle w:val="43"/>
              <w:shd w:val="clear"/>
              <w:spacing w:before="157"/>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否</w:t>
            </w:r>
          </w:p>
        </w:tc>
      </w:tr>
      <w:tr w14:paraId="56AA9D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631" w:type="dxa"/>
            <w:tcBorders>
              <w:top w:val="single" w:color="000000" w:sz="4" w:space="0"/>
              <w:left w:val="single" w:color="000000" w:sz="4" w:space="0"/>
              <w:bottom w:val="single" w:color="000000" w:sz="4" w:space="0"/>
              <w:right w:val="single" w:color="000000" w:sz="4" w:space="0"/>
            </w:tcBorders>
          </w:tcPr>
          <w:p w14:paraId="6E089AF8">
            <w:pPr>
              <w:pStyle w:val="43"/>
              <w:shd w:val="clear"/>
              <w:spacing w:before="1"/>
              <w:rPr>
                <w:rStyle w:val="35"/>
                <w:rFonts w:ascii="仿宋" w:hAnsi="仿宋" w:eastAsia="仿宋" w:cs="仿宋"/>
                <w:b/>
                <w:color w:val="auto"/>
                <w:sz w:val="24"/>
                <w:szCs w:val="24"/>
                <w:highlight w:val="none"/>
              </w:rPr>
            </w:pPr>
          </w:p>
          <w:p w14:paraId="64BB245E">
            <w:pPr>
              <w:pStyle w:val="43"/>
              <w:shd w:val="clear"/>
              <w:spacing w:before="1"/>
              <w:ind w:left="65"/>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1</w:t>
            </w:r>
          </w:p>
        </w:tc>
        <w:tc>
          <w:tcPr>
            <w:tcW w:w="7084" w:type="dxa"/>
            <w:tcBorders>
              <w:top w:val="single" w:color="000000" w:sz="4" w:space="0"/>
              <w:left w:val="single" w:color="000000" w:sz="4" w:space="0"/>
              <w:bottom w:val="single" w:color="000000" w:sz="4" w:space="0"/>
              <w:right w:val="single" w:color="000000" w:sz="4" w:space="0"/>
            </w:tcBorders>
            <w:vAlign w:val="center"/>
          </w:tcPr>
          <w:p w14:paraId="6B525BDC">
            <w:pPr>
              <w:keepNext w:val="0"/>
              <w:keepLines w:val="0"/>
              <w:widowControl/>
              <w:suppressLineNumbers w:val="0"/>
              <w:shd w:val="clear"/>
              <w:jc w:val="left"/>
              <w:textAlignment w:val="center"/>
              <w:rPr>
                <w:rStyle w:val="35"/>
                <w:rFonts w:hint="eastAsia" w:ascii="仿宋" w:hAnsi="仿宋" w:eastAsia="仿宋" w:cs="仿宋"/>
                <w:color w:val="auto"/>
                <w:sz w:val="24"/>
                <w:szCs w:val="24"/>
                <w:highlight w:val="none"/>
                <w:lang w:val="en-US" w:eastAsia="zh-CN" w:bidi="ar-SA"/>
              </w:rPr>
            </w:pPr>
            <w:r>
              <w:rPr>
                <w:rStyle w:val="35"/>
                <w:rFonts w:hint="eastAsia" w:ascii="仿宋" w:hAnsi="仿宋" w:eastAsia="仿宋" w:cs="仿宋"/>
                <w:color w:val="auto"/>
                <w:sz w:val="24"/>
                <w:szCs w:val="24"/>
                <w:highlight w:val="none"/>
                <w:lang w:val="en-US" w:eastAsia="zh-CN" w:bidi="ar-SA"/>
              </w:rPr>
              <w:t>具有独立承担民事责任的能力；（法人或者其他组织的营业执照等证明文件；自然人需提供身份证明；）</w:t>
            </w:r>
          </w:p>
        </w:tc>
        <w:tc>
          <w:tcPr>
            <w:tcW w:w="631" w:type="dxa"/>
            <w:tcBorders>
              <w:top w:val="single" w:color="000000" w:sz="4" w:space="0"/>
              <w:left w:val="single" w:color="000000" w:sz="4" w:space="0"/>
              <w:bottom w:val="single" w:color="000000" w:sz="4" w:space="0"/>
              <w:right w:val="single" w:color="000000" w:sz="4" w:space="0"/>
            </w:tcBorders>
          </w:tcPr>
          <w:p w14:paraId="25BF255B">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5F385FA6">
            <w:pPr>
              <w:pStyle w:val="43"/>
              <w:shd w:val="clear"/>
              <w:rPr>
                <w:rStyle w:val="35"/>
                <w:rFonts w:ascii="仿宋" w:hAnsi="仿宋" w:eastAsia="仿宋" w:cs="仿宋"/>
                <w:color w:val="auto"/>
                <w:sz w:val="24"/>
                <w:szCs w:val="24"/>
                <w:highlight w:val="none"/>
                <w:lang w:eastAsia="zh-CN"/>
              </w:rPr>
            </w:pPr>
          </w:p>
        </w:tc>
      </w:tr>
      <w:tr w14:paraId="5E4D15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631" w:type="dxa"/>
            <w:tcBorders>
              <w:top w:val="single" w:color="000000" w:sz="4" w:space="0"/>
              <w:left w:val="single" w:color="000000" w:sz="4" w:space="0"/>
              <w:bottom w:val="single" w:color="000000" w:sz="4" w:space="0"/>
              <w:right w:val="single" w:color="000000" w:sz="4" w:space="0"/>
            </w:tcBorders>
            <w:vAlign w:val="center"/>
          </w:tcPr>
          <w:p w14:paraId="59F418D3">
            <w:pPr>
              <w:pStyle w:val="43"/>
              <w:shd w:val="clear"/>
              <w:spacing w:before="1"/>
              <w:ind w:left="65"/>
              <w:jc w:val="center"/>
              <w:rPr>
                <w:rStyle w:val="35"/>
                <w:rFonts w:hint="eastAsia"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2</w:t>
            </w:r>
          </w:p>
        </w:tc>
        <w:tc>
          <w:tcPr>
            <w:tcW w:w="7084" w:type="dxa"/>
            <w:tcBorders>
              <w:top w:val="single" w:color="000000" w:sz="4" w:space="0"/>
              <w:left w:val="single" w:color="000000" w:sz="4" w:space="0"/>
              <w:bottom w:val="single" w:color="000000" w:sz="4" w:space="0"/>
              <w:right w:val="single" w:color="000000" w:sz="4" w:space="0"/>
            </w:tcBorders>
            <w:vAlign w:val="center"/>
          </w:tcPr>
          <w:p w14:paraId="6A4007EC">
            <w:pPr>
              <w:keepNext w:val="0"/>
              <w:keepLines w:val="0"/>
              <w:widowControl/>
              <w:suppressLineNumbers w:val="0"/>
              <w:shd w:val="clear"/>
              <w:jc w:val="left"/>
              <w:textAlignment w:val="center"/>
              <w:rPr>
                <w:rStyle w:val="35"/>
                <w:rFonts w:hint="eastAsia" w:ascii="仿宋" w:hAnsi="仿宋" w:eastAsia="仿宋" w:cs="仿宋"/>
                <w:color w:val="auto"/>
                <w:sz w:val="24"/>
                <w:szCs w:val="24"/>
                <w:highlight w:val="none"/>
                <w:lang w:val="en-US" w:eastAsia="zh-CN" w:bidi="ar-SA"/>
              </w:rPr>
            </w:pPr>
            <w:r>
              <w:rPr>
                <w:rFonts w:hint="eastAsia" w:ascii="仿宋" w:hAnsi="仿宋" w:eastAsia="仿宋" w:cs="仿宋"/>
                <w:i w:val="0"/>
                <w:iCs w:val="0"/>
                <w:color w:val="auto"/>
                <w:spacing w:val="0"/>
                <w:sz w:val="24"/>
                <w:szCs w:val="24"/>
                <w:highlight w:val="none"/>
                <w:lang w:val="en-US" w:eastAsia="zh-CN"/>
              </w:rPr>
              <w:t>提供法定代表人身份证明或法定代表人授权委托书；</w:t>
            </w:r>
          </w:p>
        </w:tc>
        <w:tc>
          <w:tcPr>
            <w:tcW w:w="631" w:type="dxa"/>
            <w:tcBorders>
              <w:top w:val="single" w:color="000000" w:sz="4" w:space="0"/>
              <w:left w:val="single" w:color="000000" w:sz="4" w:space="0"/>
              <w:bottom w:val="single" w:color="000000" w:sz="4" w:space="0"/>
              <w:right w:val="single" w:color="000000" w:sz="4" w:space="0"/>
            </w:tcBorders>
          </w:tcPr>
          <w:p w14:paraId="637DF840">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76EF1D3">
            <w:pPr>
              <w:pStyle w:val="43"/>
              <w:shd w:val="clear"/>
              <w:rPr>
                <w:rStyle w:val="35"/>
                <w:rFonts w:ascii="仿宋" w:hAnsi="仿宋" w:eastAsia="仿宋" w:cs="仿宋"/>
                <w:color w:val="auto"/>
                <w:sz w:val="24"/>
                <w:szCs w:val="24"/>
                <w:highlight w:val="none"/>
                <w:lang w:eastAsia="zh-CN"/>
              </w:rPr>
            </w:pPr>
          </w:p>
        </w:tc>
      </w:tr>
      <w:tr w14:paraId="2A18C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631" w:type="dxa"/>
            <w:tcBorders>
              <w:top w:val="single" w:color="000000" w:sz="4" w:space="0"/>
              <w:left w:val="single" w:color="000000" w:sz="4" w:space="0"/>
              <w:bottom w:val="single" w:color="000000" w:sz="4" w:space="0"/>
              <w:right w:val="single" w:color="000000" w:sz="4" w:space="0"/>
            </w:tcBorders>
          </w:tcPr>
          <w:p w14:paraId="419DF671">
            <w:pPr>
              <w:pStyle w:val="43"/>
              <w:shd w:val="clear"/>
              <w:spacing w:before="5"/>
              <w:rPr>
                <w:rStyle w:val="35"/>
                <w:rFonts w:ascii="仿宋" w:hAnsi="仿宋" w:eastAsia="仿宋" w:cs="仿宋"/>
                <w:b/>
                <w:color w:val="auto"/>
                <w:sz w:val="24"/>
                <w:szCs w:val="24"/>
                <w:highlight w:val="none"/>
                <w:lang w:eastAsia="zh-CN"/>
              </w:rPr>
            </w:pPr>
          </w:p>
          <w:p w14:paraId="47086FA8">
            <w:pPr>
              <w:pStyle w:val="43"/>
              <w:shd w:val="clear"/>
              <w:ind w:left="65"/>
              <w:jc w:val="center"/>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3</w:t>
            </w:r>
          </w:p>
        </w:tc>
        <w:tc>
          <w:tcPr>
            <w:tcW w:w="7084" w:type="dxa"/>
            <w:tcBorders>
              <w:top w:val="single" w:color="000000" w:sz="4" w:space="0"/>
              <w:left w:val="single" w:color="000000" w:sz="4" w:space="0"/>
              <w:bottom w:val="single" w:color="000000" w:sz="4" w:space="0"/>
              <w:right w:val="single" w:color="000000" w:sz="4" w:space="0"/>
            </w:tcBorders>
            <w:vAlign w:val="center"/>
          </w:tcPr>
          <w:p w14:paraId="579EF7C3">
            <w:pPr>
              <w:keepNext w:val="0"/>
              <w:keepLines w:val="0"/>
              <w:widowControl/>
              <w:suppressLineNumbers w:val="0"/>
              <w:shd w:val="clear"/>
              <w:jc w:val="left"/>
              <w:textAlignment w:val="center"/>
              <w:rPr>
                <w:rStyle w:val="35"/>
                <w:rFonts w:hint="eastAsia" w:ascii="仿宋" w:hAnsi="仿宋" w:eastAsia="仿宋" w:cs="仿宋"/>
                <w:color w:val="auto"/>
                <w:sz w:val="24"/>
                <w:szCs w:val="24"/>
                <w:highlight w:val="none"/>
                <w:lang w:val="en-US" w:eastAsia="zh-CN" w:bidi="ar-SA"/>
              </w:rPr>
            </w:pPr>
            <w:r>
              <w:rPr>
                <w:rFonts w:hint="eastAsia" w:ascii="仿宋" w:hAnsi="仿宋" w:eastAsia="仿宋" w:cs="仿宋"/>
                <w:i w:val="0"/>
                <w:iCs w:val="0"/>
                <w:color w:val="auto"/>
                <w:spacing w:val="0"/>
                <w:sz w:val="24"/>
                <w:szCs w:val="24"/>
                <w:highlight w:val="none"/>
              </w:rPr>
              <w:t>满足《中华人民共和国政府采购法》第二十二条规定</w:t>
            </w:r>
            <w:r>
              <w:rPr>
                <w:rStyle w:val="35"/>
                <w:rFonts w:hint="eastAsia" w:ascii="仿宋" w:hAnsi="仿宋" w:eastAsia="仿宋" w:cs="仿宋"/>
                <w:color w:val="auto"/>
                <w:sz w:val="24"/>
                <w:szCs w:val="24"/>
                <w:highlight w:val="none"/>
                <w:lang w:val="en-US" w:eastAsia="zh-CN" w:bidi="ar-SA"/>
              </w:rPr>
              <w:t>；（须提政府采购供应商信用承诺函）</w:t>
            </w:r>
          </w:p>
        </w:tc>
        <w:tc>
          <w:tcPr>
            <w:tcW w:w="631" w:type="dxa"/>
            <w:tcBorders>
              <w:top w:val="single" w:color="000000" w:sz="4" w:space="0"/>
              <w:left w:val="single" w:color="000000" w:sz="4" w:space="0"/>
              <w:bottom w:val="single" w:color="000000" w:sz="4" w:space="0"/>
              <w:right w:val="single" w:color="000000" w:sz="4" w:space="0"/>
            </w:tcBorders>
          </w:tcPr>
          <w:p w14:paraId="65F85901">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56C4A6AF">
            <w:pPr>
              <w:pStyle w:val="43"/>
              <w:shd w:val="clear"/>
              <w:rPr>
                <w:rStyle w:val="35"/>
                <w:rFonts w:ascii="仿宋" w:hAnsi="仿宋" w:eastAsia="仿宋" w:cs="仿宋"/>
                <w:color w:val="auto"/>
                <w:sz w:val="24"/>
                <w:szCs w:val="24"/>
                <w:highlight w:val="none"/>
                <w:lang w:eastAsia="zh-CN"/>
              </w:rPr>
            </w:pPr>
          </w:p>
        </w:tc>
      </w:tr>
      <w:tr w14:paraId="1323D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631" w:type="dxa"/>
            <w:tcBorders>
              <w:top w:val="single" w:color="000000" w:sz="4" w:space="0"/>
              <w:left w:val="single" w:color="000000" w:sz="4" w:space="0"/>
              <w:bottom w:val="single" w:color="000000" w:sz="4" w:space="0"/>
              <w:right w:val="single" w:color="000000" w:sz="4" w:space="0"/>
            </w:tcBorders>
            <w:vAlign w:val="center"/>
          </w:tcPr>
          <w:p w14:paraId="5A293B92">
            <w:pPr>
              <w:pStyle w:val="43"/>
              <w:shd w:val="clear"/>
              <w:spacing w:before="1"/>
              <w:ind w:left="65"/>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4</w:t>
            </w:r>
          </w:p>
        </w:tc>
        <w:tc>
          <w:tcPr>
            <w:tcW w:w="7084" w:type="dxa"/>
            <w:tcBorders>
              <w:top w:val="single" w:color="000000" w:sz="4" w:space="0"/>
              <w:left w:val="single" w:color="000000" w:sz="4" w:space="0"/>
              <w:bottom w:val="single" w:color="000000" w:sz="4" w:space="0"/>
              <w:right w:val="single" w:color="000000" w:sz="4" w:space="0"/>
            </w:tcBorders>
            <w:vAlign w:val="center"/>
          </w:tcPr>
          <w:p w14:paraId="7831C7DB">
            <w:pPr>
              <w:keepNext w:val="0"/>
              <w:keepLines w:val="0"/>
              <w:widowControl/>
              <w:suppressLineNumbers w:val="0"/>
              <w:shd w:val="clear"/>
              <w:jc w:val="left"/>
              <w:textAlignment w:val="center"/>
              <w:rPr>
                <w:rFonts w:hint="eastAsia" w:ascii="仿宋" w:hAnsi="仿宋" w:eastAsia="仿宋" w:cs="仿宋"/>
                <w:i w:val="0"/>
                <w:iCs w:val="0"/>
                <w:color w:val="auto"/>
                <w:spacing w:val="0"/>
                <w:sz w:val="24"/>
                <w:szCs w:val="24"/>
                <w:highlight w:val="none"/>
              </w:rPr>
            </w:pPr>
            <w:r>
              <w:rPr>
                <w:rFonts w:hint="eastAsia" w:ascii="仿宋" w:hAnsi="仿宋" w:eastAsia="仿宋" w:cs="仿宋"/>
                <w:i w:val="0"/>
                <w:iCs w:val="0"/>
                <w:color w:val="auto"/>
                <w:spacing w:val="0"/>
                <w:sz w:val="24"/>
                <w:szCs w:val="24"/>
                <w:highlight w:val="none"/>
                <w:lang w:val="en-US" w:eastAsia="zh-CN"/>
              </w:rPr>
              <w:t>投标人须有测绘乙级及以上资质</w:t>
            </w:r>
          </w:p>
        </w:tc>
        <w:tc>
          <w:tcPr>
            <w:tcW w:w="631" w:type="dxa"/>
            <w:tcBorders>
              <w:top w:val="single" w:color="000000" w:sz="4" w:space="0"/>
              <w:left w:val="single" w:color="000000" w:sz="4" w:space="0"/>
              <w:bottom w:val="single" w:color="000000" w:sz="4" w:space="0"/>
              <w:right w:val="single" w:color="000000" w:sz="4" w:space="0"/>
            </w:tcBorders>
          </w:tcPr>
          <w:p w14:paraId="36E043D1">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4E568E0">
            <w:pPr>
              <w:pStyle w:val="43"/>
              <w:shd w:val="clear"/>
              <w:rPr>
                <w:rStyle w:val="35"/>
                <w:rFonts w:ascii="仿宋" w:hAnsi="仿宋" w:eastAsia="仿宋" w:cs="仿宋"/>
                <w:color w:val="auto"/>
                <w:sz w:val="24"/>
                <w:szCs w:val="24"/>
                <w:highlight w:val="none"/>
                <w:lang w:eastAsia="zh-CN"/>
              </w:rPr>
            </w:pPr>
          </w:p>
        </w:tc>
      </w:tr>
      <w:tr w14:paraId="645D7F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vAlign w:val="center"/>
          </w:tcPr>
          <w:p w14:paraId="030970B2">
            <w:pPr>
              <w:pStyle w:val="43"/>
              <w:shd w:val="clear"/>
              <w:spacing w:before="1"/>
              <w:ind w:left="65"/>
              <w:jc w:val="center"/>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5</w:t>
            </w:r>
          </w:p>
        </w:tc>
        <w:tc>
          <w:tcPr>
            <w:tcW w:w="7084" w:type="dxa"/>
            <w:tcBorders>
              <w:top w:val="single" w:color="000000" w:sz="4" w:space="0"/>
              <w:left w:val="single" w:color="000000" w:sz="4" w:space="0"/>
              <w:bottom w:val="single" w:color="000000" w:sz="4" w:space="0"/>
              <w:right w:val="single" w:color="000000" w:sz="4" w:space="0"/>
            </w:tcBorders>
            <w:vAlign w:val="center"/>
          </w:tcPr>
          <w:p w14:paraId="49553B26">
            <w:pPr>
              <w:keepNext w:val="0"/>
              <w:keepLines w:val="0"/>
              <w:widowControl/>
              <w:suppressLineNumbers w:val="0"/>
              <w:shd w:val="clear"/>
              <w:jc w:val="left"/>
              <w:textAlignment w:val="center"/>
              <w:rPr>
                <w:rStyle w:val="35"/>
                <w:rFonts w:hint="eastAsia" w:ascii="仿宋" w:hAnsi="仿宋" w:eastAsia="仿宋" w:cs="仿宋"/>
                <w:color w:val="auto"/>
                <w:sz w:val="24"/>
                <w:szCs w:val="24"/>
                <w:highlight w:val="none"/>
                <w:lang w:val="en-US" w:eastAsia="zh-CN" w:bidi="ar-SA"/>
              </w:rPr>
            </w:pPr>
            <w:r>
              <w:rPr>
                <w:rStyle w:val="35"/>
                <w:rFonts w:hint="eastAsia" w:ascii="仿宋" w:hAnsi="仿宋" w:eastAsia="仿宋" w:cs="仿宋"/>
                <w:color w:val="auto"/>
                <w:sz w:val="24"/>
                <w:szCs w:val="24"/>
                <w:highlight w:val="none"/>
                <w:lang w:val="en-US" w:eastAsia="zh-CN" w:bidi="ar-SA"/>
              </w:rPr>
              <w:t>单位负责人为同一人或者存在直接控股、管理关系的不同供应商，不得参加同一合同项下的政府采购活动；供应商不得为该整体项目或其中分项目前期工作提供过设计、编制、监理、检测、管理等服务的法人及附属单位；（须提供供应商无关联关系书面声明函）</w:t>
            </w:r>
          </w:p>
        </w:tc>
        <w:tc>
          <w:tcPr>
            <w:tcW w:w="631" w:type="dxa"/>
            <w:tcBorders>
              <w:top w:val="single" w:color="000000" w:sz="4" w:space="0"/>
              <w:left w:val="single" w:color="000000" w:sz="4" w:space="0"/>
              <w:bottom w:val="single" w:color="000000" w:sz="4" w:space="0"/>
              <w:right w:val="single" w:color="000000" w:sz="4" w:space="0"/>
            </w:tcBorders>
          </w:tcPr>
          <w:p w14:paraId="76AA32B3">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71232116">
            <w:pPr>
              <w:pStyle w:val="43"/>
              <w:shd w:val="clear"/>
              <w:rPr>
                <w:rStyle w:val="35"/>
                <w:rFonts w:ascii="仿宋" w:hAnsi="仿宋" w:eastAsia="仿宋" w:cs="仿宋"/>
                <w:color w:val="auto"/>
                <w:sz w:val="24"/>
                <w:szCs w:val="24"/>
                <w:highlight w:val="none"/>
                <w:lang w:eastAsia="zh-CN"/>
              </w:rPr>
            </w:pPr>
          </w:p>
        </w:tc>
      </w:tr>
      <w:tr w14:paraId="616AF7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vAlign w:val="center"/>
          </w:tcPr>
          <w:p w14:paraId="2D220AFE">
            <w:pPr>
              <w:pStyle w:val="43"/>
              <w:shd w:val="clear"/>
              <w:spacing w:before="1"/>
              <w:ind w:left="65"/>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6</w:t>
            </w:r>
          </w:p>
        </w:tc>
        <w:tc>
          <w:tcPr>
            <w:tcW w:w="7084" w:type="dxa"/>
            <w:tcBorders>
              <w:top w:val="single" w:color="000000" w:sz="4" w:space="0"/>
              <w:left w:val="single" w:color="000000" w:sz="4" w:space="0"/>
              <w:bottom w:val="single" w:color="000000" w:sz="4" w:space="0"/>
              <w:right w:val="single" w:color="000000" w:sz="4" w:space="0"/>
            </w:tcBorders>
            <w:vAlign w:val="center"/>
          </w:tcPr>
          <w:p w14:paraId="0298365E">
            <w:pPr>
              <w:keepNext w:val="0"/>
              <w:keepLines w:val="0"/>
              <w:widowControl/>
              <w:suppressLineNumbers w:val="0"/>
              <w:shd w:val="clear"/>
              <w:jc w:val="left"/>
              <w:textAlignment w:val="center"/>
              <w:rPr>
                <w:rFonts w:hint="eastAsia" w:ascii="仿宋" w:hAnsi="仿宋" w:eastAsia="仿宋" w:cs="仿宋"/>
                <w:i w:val="0"/>
                <w:iCs w:val="0"/>
                <w:color w:val="auto"/>
                <w:kern w:val="0"/>
                <w:sz w:val="26"/>
                <w:szCs w:val="26"/>
                <w:highlight w:val="none"/>
                <w:u w:val="none"/>
                <w:lang w:val="en-US" w:eastAsia="zh-CN" w:bidi="ar"/>
              </w:rPr>
            </w:pPr>
            <w:bookmarkStart w:id="55" w:name="OLE_LINK7"/>
            <w:r>
              <w:rPr>
                <w:rStyle w:val="35"/>
                <w:rFonts w:hint="eastAsia" w:ascii="仿宋" w:hAnsi="仿宋" w:eastAsia="仿宋" w:cs="仿宋"/>
                <w:color w:val="auto"/>
                <w:sz w:val="24"/>
                <w:szCs w:val="24"/>
                <w:highlight w:val="none"/>
                <w:lang w:val="en-US" w:eastAsia="zh-CN" w:bidi="ar-SA"/>
              </w:rPr>
              <w:t>提供《中小企业声明函》，供应商必须为中小企业（监狱企业、残疾人福利性单位视同小微企业）</w:t>
            </w:r>
            <w:bookmarkEnd w:id="55"/>
          </w:p>
        </w:tc>
        <w:tc>
          <w:tcPr>
            <w:tcW w:w="631" w:type="dxa"/>
            <w:tcBorders>
              <w:top w:val="single" w:color="000000" w:sz="4" w:space="0"/>
              <w:left w:val="single" w:color="000000" w:sz="4" w:space="0"/>
              <w:bottom w:val="single" w:color="000000" w:sz="4" w:space="0"/>
              <w:right w:val="single" w:color="000000" w:sz="4" w:space="0"/>
            </w:tcBorders>
          </w:tcPr>
          <w:p w14:paraId="25763088">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142E245">
            <w:pPr>
              <w:pStyle w:val="43"/>
              <w:shd w:val="clear"/>
              <w:rPr>
                <w:rStyle w:val="35"/>
                <w:rFonts w:ascii="仿宋" w:hAnsi="仿宋" w:eastAsia="仿宋" w:cs="仿宋"/>
                <w:color w:val="auto"/>
                <w:sz w:val="24"/>
                <w:szCs w:val="24"/>
                <w:highlight w:val="none"/>
                <w:lang w:eastAsia="zh-CN"/>
              </w:rPr>
            </w:pPr>
          </w:p>
        </w:tc>
      </w:tr>
      <w:tr w14:paraId="392ED2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7E87C897">
            <w:pPr>
              <w:pStyle w:val="43"/>
              <w:shd w:val="clear"/>
              <w:rPr>
                <w:rStyle w:val="35"/>
                <w:rFonts w:ascii="仿宋" w:hAnsi="仿宋" w:eastAsia="仿宋" w:cs="仿宋"/>
                <w:color w:val="auto"/>
                <w:sz w:val="24"/>
                <w:szCs w:val="24"/>
                <w:highlight w:val="none"/>
                <w:lang w:eastAsia="zh-CN"/>
              </w:rPr>
            </w:pPr>
          </w:p>
        </w:tc>
        <w:tc>
          <w:tcPr>
            <w:tcW w:w="7084" w:type="dxa"/>
            <w:tcBorders>
              <w:top w:val="single" w:color="000000" w:sz="4" w:space="0"/>
              <w:left w:val="single" w:color="000000" w:sz="4" w:space="0"/>
              <w:bottom w:val="single" w:color="000000" w:sz="4" w:space="0"/>
              <w:right w:val="single" w:color="000000" w:sz="4" w:space="0"/>
            </w:tcBorders>
          </w:tcPr>
          <w:p w14:paraId="684005CA">
            <w:pPr>
              <w:pStyle w:val="43"/>
              <w:shd w:val="clear"/>
              <w:tabs>
                <w:tab w:val="left" w:pos="686"/>
              </w:tabs>
              <w:spacing w:before="121"/>
              <w:ind w:left="55"/>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结论</w:t>
            </w:r>
          </w:p>
        </w:tc>
        <w:tc>
          <w:tcPr>
            <w:tcW w:w="631" w:type="dxa"/>
            <w:tcBorders>
              <w:top w:val="single" w:color="000000" w:sz="4" w:space="0"/>
              <w:left w:val="single" w:color="000000" w:sz="4" w:space="0"/>
              <w:bottom w:val="single" w:color="000000" w:sz="4" w:space="0"/>
              <w:right w:val="single" w:color="000000" w:sz="4" w:space="0"/>
            </w:tcBorders>
          </w:tcPr>
          <w:p w14:paraId="27EA312B">
            <w:pPr>
              <w:pStyle w:val="43"/>
              <w:shd w:val="clear"/>
              <w:rPr>
                <w:rStyle w:val="35"/>
                <w:rFonts w:ascii="仿宋" w:hAnsi="仿宋" w:eastAsia="仿宋" w:cs="仿宋"/>
                <w:color w:val="auto"/>
                <w:sz w:val="24"/>
                <w:szCs w:val="24"/>
                <w:highlight w:val="none"/>
              </w:rPr>
            </w:pPr>
          </w:p>
        </w:tc>
        <w:tc>
          <w:tcPr>
            <w:tcW w:w="665" w:type="dxa"/>
            <w:tcBorders>
              <w:top w:val="single" w:color="000000" w:sz="4" w:space="0"/>
              <w:left w:val="single" w:color="000000" w:sz="4" w:space="0"/>
              <w:bottom w:val="single" w:color="000000" w:sz="4" w:space="0"/>
              <w:right w:val="single" w:color="000000" w:sz="4" w:space="0"/>
            </w:tcBorders>
          </w:tcPr>
          <w:p w14:paraId="3B452236">
            <w:pPr>
              <w:pStyle w:val="43"/>
              <w:shd w:val="clear"/>
              <w:rPr>
                <w:rStyle w:val="35"/>
                <w:rFonts w:ascii="仿宋" w:hAnsi="仿宋" w:eastAsia="仿宋" w:cs="仿宋"/>
                <w:color w:val="auto"/>
                <w:sz w:val="24"/>
                <w:szCs w:val="24"/>
                <w:highlight w:val="none"/>
              </w:rPr>
            </w:pPr>
          </w:p>
        </w:tc>
      </w:tr>
    </w:tbl>
    <w:p w14:paraId="44889922">
      <w:pPr>
        <w:pStyle w:val="7"/>
        <w:shd w:val="clear"/>
        <w:rPr>
          <w:rStyle w:val="35"/>
          <w:rFonts w:hint="eastAsia" w:ascii="仿宋" w:hAnsi="仿宋" w:eastAsia="仿宋" w:cs="仿宋"/>
          <w:b/>
          <w:color w:val="auto"/>
          <w:sz w:val="28"/>
          <w:highlight w:val="none"/>
          <w:lang w:eastAsia="zh-CN"/>
        </w:rPr>
      </w:pPr>
    </w:p>
    <w:p w14:paraId="3976861D">
      <w:pPr>
        <w:shd w:val="clear"/>
        <w:spacing w:before="49"/>
        <w:ind w:left="531"/>
        <w:rPr>
          <w:rStyle w:val="35"/>
          <w:rFonts w:ascii="仿宋" w:hAnsi="仿宋" w:eastAsia="仿宋" w:cs="仿宋"/>
          <w:color w:val="auto"/>
          <w:sz w:val="20"/>
          <w:szCs w:val="24"/>
          <w:highlight w:val="none"/>
          <w:lang w:eastAsia="zh-CN"/>
        </w:rPr>
      </w:pPr>
      <w:r>
        <w:rPr>
          <w:rStyle w:val="35"/>
          <w:rFonts w:hint="eastAsia" w:ascii="仿宋" w:hAnsi="仿宋" w:eastAsia="仿宋" w:cs="仿宋"/>
          <w:color w:val="auto"/>
          <w:sz w:val="20"/>
          <w:szCs w:val="24"/>
          <w:highlight w:val="none"/>
          <w:lang w:eastAsia="zh-CN"/>
        </w:rPr>
        <w:t>说明：（1）上述各项中用“√”表示通过，“×”表示不通过；</w:t>
      </w:r>
    </w:p>
    <w:p w14:paraId="12F9E16C">
      <w:pPr>
        <w:shd w:val="clear"/>
        <w:spacing w:before="83" w:line="326" w:lineRule="auto"/>
        <w:ind w:left="171" w:right="208" w:firstLine="360"/>
        <w:rPr>
          <w:rStyle w:val="35"/>
          <w:rFonts w:ascii="仿宋" w:hAnsi="仿宋" w:eastAsia="仿宋" w:cs="仿宋"/>
          <w:color w:val="auto"/>
          <w:sz w:val="20"/>
          <w:szCs w:val="24"/>
          <w:highlight w:val="none"/>
          <w:lang w:eastAsia="zh-CN"/>
        </w:rPr>
      </w:pPr>
      <w:r>
        <w:rPr>
          <w:rStyle w:val="35"/>
          <w:rFonts w:hint="eastAsia" w:ascii="仿宋" w:hAnsi="仿宋" w:eastAsia="仿宋" w:cs="仿宋"/>
          <w:color w:val="auto"/>
          <w:spacing w:val="-5"/>
          <w:sz w:val="20"/>
          <w:szCs w:val="24"/>
          <w:highlight w:val="none"/>
          <w:lang w:eastAsia="zh-CN"/>
        </w:rPr>
        <w:t>（2）上述各项中如有一项为“×”，则结论为“×”，表示该响应文件不能通过</w:t>
      </w:r>
      <w:r>
        <w:rPr>
          <w:rStyle w:val="35"/>
          <w:rFonts w:hint="eastAsia" w:ascii="仿宋" w:hAnsi="仿宋" w:eastAsia="仿宋" w:cs="仿宋"/>
          <w:color w:val="auto"/>
          <w:spacing w:val="-5"/>
          <w:sz w:val="20"/>
          <w:szCs w:val="24"/>
          <w:highlight w:val="none"/>
          <w:lang w:val="en-US" w:eastAsia="zh-CN"/>
        </w:rPr>
        <w:t>资格审查，其响应文件不予评审</w:t>
      </w:r>
      <w:r>
        <w:rPr>
          <w:rStyle w:val="35"/>
          <w:rFonts w:hint="eastAsia" w:ascii="仿宋" w:hAnsi="仿宋" w:eastAsia="仿宋" w:cs="仿宋"/>
          <w:color w:val="auto"/>
          <w:spacing w:val="-5"/>
          <w:sz w:val="20"/>
          <w:szCs w:val="24"/>
          <w:highlight w:val="none"/>
          <w:lang w:eastAsia="zh-CN"/>
        </w:rPr>
        <w:t>。</w:t>
      </w:r>
    </w:p>
    <w:p w14:paraId="23A9BB46">
      <w:pPr>
        <w:shd w:val="clear"/>
        <w:spacing w:before="83" w:line="326" w:lineRule="auto"/>
        <w:ind w:left="171" w:right="122" w:firstLine="360"/>
        <w:rPr>
          <w:rStyle w:val="35"/>
          <w:rFonts w:hint="eastAsia" w:ascii="仿宋" w:hAnsi="仿宋" w:eastAsia="仿宋" w:cs="仿宋"/>
          <w:color w:val="auto"/>
          <w:sz w:val="20"/>
          <w:szCs w:val="24"/>
          <w:highlight w:val="none"/>
          <w:lang w:eastAsia="zh-CN"/>
        </w:rPr>
      </w:pPr>
      <w:r>
        <w:rPr>
          <w:rStyle w:val="35"/>
          <w:rFonts w:hint="eastAsia" w:ascii="仿宋" w:hAnsi="仿宋" w:eastAsia="仿宋" w:cs="仿宋"/>
          <w:color w:val="auto"/>
          <w:sz w:val="20"/>
          <w:szCs w:val="24"/>
          <w:highlight w:val="none"/>
          <w:lang w:eastAsia="zh-CN"/>
        </w:rPr>
        <w:t>（</w:t>
      </w:r>
      <w:r>
        <w:rPr>
          <w:rStyle w:val="35"/>
          <w:rFonts w:hint="eastAsia" w:ascii="仿宋" w:hAnsi="仿宋" w:eastAsia="仿宋" w:cs="仿宋"/>
          <w:color w:val="auto"/>
          <w:sz w:val="20"/>
          <w:szCs w:val="24"/>
          <w:highlight w:val="none"/>
          <w:lang w:val="en-US" w:eastAsia="zh-CN"/>
        </w:rPr>
        <w:t>3</w:t>
      </w:r>
      <w:r>
        <w:rPr>
          <w:rStyle w:val="35"/>
          <w:rFonts w:hint="eastAsia" w:ascii="仿宋" w:hAnsi="仿宋" w:eastAsia="仿宋" w:cs="仿宋"/>
          <w:color w:val="auto"/>
          <w:sz w:val="20"/>
          <w:szCs w:val="24"/>
          <w:highlight w:val="none"/>
          <w:lang w:eastAsia="zh-CN"/>
        </w:rPr>
        <w:t>）供应商请认真阅读和理解上述内容，避免响应文件中有违背上述审查标准之一的情况发生而造成投标被否决。</w:t>
      </w:r>
    </w:p>
    <w:p w14:paraId="62D98AEA">
      <w:pPr>
        <w:shd w:val="clear"/>
        <w:spacing w:before="83" w:line="326" w:lineRule="auto"/>
        <w:ind w:left="171" w:right="122" w:firstLine="360"/>
        <w:rPr>
          <w:rStyle w:val="35"/>
          <w:rFonts w:hint="eastAsia" w:ascii="仿宋" w:hAnsi="仿宋" w:eastAsia="仿宋" w:cs="仿宋"/>
          <w:color w:val="auto"/>
          <w:sz w:val="20"/>
          <w:szCs w:val="24"/>
          <w:highlight w:val="none"/>
          <w:lang w:eastAsia="zh-CN"/>
        </w:rPr>
      </w:pPr>
    </w:p>
    <w:p w14:paraId="2AB2FA28">
      <w:pPr>
        <w:shd w:val="clear"/>
        <w:spacing w:before="83" w:line="326" w:lineRule="auto"/>
        <w:ind w:left="171" w:right="122" w:firstLine="360"/>
        <w:rPr>
          <w:rStyle w:val="35"/>
          <w:rFonts w:hint="eastAsia" w:ascii="仿宋" w:hAnsi="仿宋" w:eastAsia="仿宋" w:cs="仿宋"/>
          <w:color w:val="auto"/>
          <w:sz w:val="20"/>
          <w:szCs w:val="24"/>
          <w:highlight w:val="none"/>
          <w:lang w:eastAsia="zh-CN"/>
        </w:rPr>
      </w:pPr>
    </w:p>
    <w:p w14:paraId="75A2871F">
      <w:pPr>
        <w:shd w:val="clear"/>
        <w:rPr>
          <w:rStyle w:val="35"/>
          <w:rFonts w:hint="eastAsia" w:ascii="仿宋" w:hAnsi="仿宋" w:eastAsia="仿宋" w:cs="仿宋"/>
          <w:b/>
          <w:color w:val="auto"/>
          <w:sz w:val="28"/>
          <w:highlight w:val="none"/>
          <w:lang w:eastAsia="zh-CN"/>
        </w:rPr>
      </w:pPr>
    </w:p>
    <w:p w14:paraId="6EA48E83">
      <w:pPr>
        <w:pStyle w:val="7"/>
        <w:shd w:val="clear"/>
        <w:rPr>
          <w:rStyle w:val="35"/>
          <w:rFonts w:hint="eastAsia" w:ascii="仿宋" w:hAnsi="仿宋" w:eastAsia="仿宋" w:cs="仿宋"/>
          <w:b/>
          <w:color w:val="auto"/>
          <w:sz w:val="28"/>
          <w:highlight w:val="none"/>
          <w:lang w:eastAsia="zh-CN"/>
        </w:rPr>
      </w:pPr>
    </w:p>
    <w:p w14:paraId="34EC22F7">
      <w:pPr>
        <w:shd w:val="clear"/>
        <w:rPr>
          <w:rStyle w:val="35"/>
          <w:rFonts w:hint="eastAsia" w:ascii="仿宋" w:hAnsi="仿宋" w:eastAsia="仿宋" w:cs="仿宋"/>
          <w:b/>
          <w:color w:val="auto"/>
          <w:sz w:val="28"/>
          <w:highlight w:val="none"/>
          <w:lang w:eastAsia="zh-CN"/>
        </w:rPr>
      </w:pPr>
    </w:p>
    <w:p w14:paraId="3B593184">
      <w:pPr>
        <w:pStyle w:val="33"/>
        <w:keepNext/>
        <w:keepLines/>
        <w:pageBreakBefore w:val="0"/>
        <w:widowControl/>
        <w:shd w:val="clear"/>
        <w:kinsoku/>
        <w:wordWrap/>
        <w:overflowPunct/>
        <w:topLinePunct w:val="0"/>
        <w:autoSpaceDE/>
        <w:autoSpaceDN/>
        <w:bidi w:val="0"/>
        <w:adjustRightInd/>
        <w:snapToGrid/>
        <w:spacing w:line="377" w:lineRule="auto"/>
        <w:textAlignment w:val="baseline"/>
        <w:outlineLvl w:val="9"/>
        <w:rPr>
          <w:rStyle w:val="35"/>
          <w:rFonts w:hint="eastAsia" w:ascii="仿宋" w:hAnsi="仿宋" w:eastAsia="仿宋" w:cs="仿宋"/>
          <w:b/>
          <w:color w:val="auto"/>
          <w:sz w:val="28"/>
          <w:highlight w:val="none"/>
          <w:lang w:eastAsia="zh-CN"/>
        </w:rPr>
      </w:pPr>
    </w:p>
    <w:p w14:paraId="3775D3D8">
      <w:pPr>
        <w:pStyle w:val="34"/>
        <w:shd w:val="clear"/>
        <w:rPr>
          <w:rStyle w:val="35"/>
          <w:rFonts w:hint="eastAsia" w:ascii="仿宋" w:hAnsi="仿宋" w:eastAsia="仿宋" w:cs="仿宋"/>
          <w:b/>
          <w:color w:val="auto"/>
          <w:sz w:val="28"/>
          <w:highlight w:val="none"/>
          <w:lang w:eastAsia="zh-CN"/>
        </w:rPr>
      </w:pPr>
    </w:p>
    <w:p w14:paraId="73AFCB1D">
      <w:pPr>
        <w:pStyle w:val="34"/>
        <w:shd w:val="clear"/>
        <w:rPr>
          <w:rStyle w:val="35"/>
          <w:rFonts w:hint="eastAsia" w:ascii="仿宋" w:hAnsi="仿宋" w:eastAsia="仿宋" w:cs="仿宋"/>
          <w:b/>
          <w:color w:val="auto"/>
          <w:sz w:val="28"/>
          <w:highlight w:val="none"/>
          <w:lang w:eastAsia="zh-CN"/>
        </w:rPr>
      </w:pPr>
    </w:p>
    <w:p w14:paraId="56715BB2">
      <w:pPr>
        <w:pStyle w:val="34"/>
        <w:shd w:val="clear"/>
        <w:rPr>
          <w:rStyle w:val="35"/>
          <w:rFonts w:hint="eastAsia" w:ascii="仿宋" w:hAnsi="仿宋" w:eastAsia="仿宋" w:cs="仿宋"/>
          <w:b/>
          <w:color w:val="auto"/>
          <w:sz w:val="28"/>
          <w:highlight w:val="none"/>
          <w:lang w:eastAsia="zh-CN"/>
        </w:rPr>
      </w:pPr>
    </w:p>
    <w:p w14:paraId="440BEBA9">
      <w:pPr>
        <w:pStyle w:val="7"/>
        <w:shd w:val="clear"/>
        <w:ind w:left="0" w:leftChars="0" w:firstLine="0" w:firstLineChars="0"/>
        <w:rPr>
          <w:color w:val="auto"/>
          <w:highlight w:val="none"/>
          <w:lang w:eastAsia="zh-CN"/>
        </w:rPr>
      </w:pPr>
      <w:r>
        <w:rPr>
          <w:rStyle w:val="35"/>
          <w:rFonts w:hint="eastAsia" w:ascii="仿宋" w:hAnsi="仿宋" w:eastAsia="仿宋" w:cs="仿宋"/>
          <w:b/>
          <w:color w:val="auto"/>
          <w:sz w:val="28"/>
          <w:highlight w:val="none"/>
          <w:lang w:val="en-US" w:eastAsia="zh-CN"/>
        </w:rPr>
        <w:t>附表2：</w:t>
      </w:r>
      <w:r>
        <w:rPr>
          <w:rStyle w:val="35"/>
          <w:rFonts w:hint="eastAsia" w:ascii="仿宋" w:hAnsi="仿宋" w:eastAsia="仿宋" w:cs="仿宋"/>
          <w:b/>
          <w:color w:val="auto"/>
          <w:sz w:val="28"/>
          <w:highlight w:val="none"/>
          <w:lang w:eastAsia="zh-CN"/>
        </w:rPr>
        <w:t>初步评审-</w:t>
      </w:r>
      <w:r>
        <w:rPr>
          <w:rStyle w:val="35"/>
          <w:rFonts w:hint="eastAsia" w:ascii="仿宋" w:hAnsi="仿宋" w:eastAsia="仿宋" w:cs="仿宋"/>
          <w:b/>
          <w:color w:val="auto"/>
          <w:sz w:val="28"/>
          <w:highlight w:val="none"/>
          <w:lang w:val="en-US" w:eastAsia="zh-CN"/>
        </w:rPr>
        <w:t>符合</w:t>
      </w:r>
      <w:r>
        <w:rPr>
          <w:rStyle w:val="35"/>
          <w:rFonts w:hint="eastAsia" w:ascii="仿宋" w:hAnsi="仿宋" w:eastAsia="仿宋" w:cs="仿宋"/>
          <w:b/>
          <w:color w:val="auto"/>
          <w:sz w:val="28"/>
          <w:highlight w:val="none"/>
          <w:lang w:eastAsia="zh-CN"/>
        </w:rPr>
        <w:t>性审查表</w:t>
      </w:r>
    </w:p>
    <w:tbl>
      <w:tblPr>
        <w:tblStyle w:val="27"/>
        <w:tblW w:w="9011" w:type="dxa"/>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5"/>
        <w:gridCol w:w="6990"/>
        <w:gridCol w:w="631"/>
        <w:gridCol w:w="665"/>
      </w:tblGrid>
      <w:tr w14:paraId="2CDC8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27" w:hRule="atLeast"/>
        </w:trPr>
        <w:tc>
          <w:tcPr>
            <w:tcW w:w="725" w:type="dxa"/>
            <w:vMerge w:val="restart"/>
            <w:tcBorders>
              <w:top w:val="single" w:color="000000" w:sz="4" w:space="0"/>
              <w:left w:val="single" w:color="000000" w:sz="4" w:space="0"/>
              <w:bottom w:val="single" w:color="000000" w:sz="4" w:space="0"/>
              <w:right w:val="single" w:color="000000" w:sz="4" w:space="0"/>
            </w:tcBorders>
            <w:vAlign w:val="center"/>
          </w:tcPr>
          <w:p w14:paraId="7F4819FA">
            <w:pPr>
              <w:pStyle w:val="43"/>
              <w:shd w:val="clear"/>
              <w:spacing w:before="1"/>
              <w:ind w:left="134"/>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序号</w:t>
            </w:r>
          </w:p>
        </w:tc>
        <w:tc>
          <w:tcPr>
            <w:tcW w:w="6990" w:type="dxa"/>
            <w:vMerge w:val="restart"/>
            <w:tcBorders>
              <w:top w:val="single" w:color="000000" w:sz="4" w:space="0"/>
              <w:left w:val="single" w:color="000000" w:sz="4" w:space="0"/>
              <w:bottom w:val="single" w:color="000000" w:sz="4" w:space="0"/>
              <w:right w:val="single" w:color="000000" w:sz="4" w:space="0"/>
            </w:tcBorders>
            <w:vAlign w:val="center"/>
          </w:tcPr>
          <w:p w14:paraId="134EB53E">
            <w:pPr>
              <w:pStyle w:val="43"/>
              <w:shd w:val="clear"/>
              <w:spacing w:before="1"/>
              <w:ind w:left="2412"/>
              <w:jc w:val="left"/>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响应文件符合性审查内容</w:t>
            </w:r>
          </w:p>
        </w:tc>
        <w:tc>
          <w:tcPr>
            <w:tcW w:w="1296" w:type="dxa"/>
            <w:gridSpan w:val="2"/>
            <w:tcBorders>
              <w:top w:val="single" w:color="000000" w:sz="4" w:space="0"/>
              <w:left w:val="single" w:color="000000" w:sz="4" w:space="0"/>
              <w:bottom w:val="single" w:color="000000" w:sz="4" w:space="0"/>
              <w:right w:val="single" w:color="000000" w:sz="4" w:space="0"/>
            </w:tcBorders>
          </w:tcPr>
          <w:p w14:paraId="29BE16A9">
            <w:pPr>
              <w:pStyle w:val="43"/>
              <w:shd w:val="clear"/>
              <w:spacing w:before="157"/>
              <w:ind w:left="254"/>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评审意见</w:t>
            </w:r>
          </w:p>
        </w:tc>
      </w:tr>
      <w:tr w14:paraId="64AAA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90" w:hRule="atLeast"/>
        </w:trPr>
        <w:tc>
          <w:tcPr>
            <w:tcW w:w="725" w:type="dxa"/>
            <w:vMerge w:val="continue"/>
            <w:tcBorders>
              <w:top w:val="nil"/>
              <w:left w:val="single" w:color="000000" w:sz="4" w:space="0"/>
              <w:bottom w:val="single" w:color="000000" w:sz="4" w:space="0"/>
              <w:right w:val="single" w:color="000000" w:sz="4" w:space="0"/>
            </w:tcBorders>
          </w:tcPr>
          <w:p w14:paraId="4F1B7540">
            <w:pPr>
              <w:shd w:val="clear"/>
              <w:rPr>
                <w:rStyle w:val="35"/>
                <w:rFonts w:ascii="仿宋" w:hAnsi="仿宋" w:eastAsia="仿宋" w:cs="仿宋"/>
                <w:color w:val="auto"/>
                <w:sz w:val="24"/>
                <w:szCs w:val="24"/>
                <w:highlight w:val="none"/>
              </w:rPr>
            </w:pPr>
          </w:p>
        </w:tc>
        <w:tc>
          <w:tcPr>
            <w:tcW w:w="6990" w:type="dxa"/>
            <w:vMerge w:val="continue"/>
            <w:tcBorders>
              <w:top w:val="nil"/>
              <w:left w:val="single" w:color="000000" w:sz="4" w:space="0"/>
              <w:bottom w:val="single" w:color="000000" w:sz="4" w:space="0"/>
              <w:right w:val="single" w:color="000000" w:sz="4" w:space="0"/>
            </w:tcBorders>
          </w:tcPr>
          <w:p w14:paraId="4768EF7B">
            <w:pPr>
              <w:shd w:val="clear"/>
              <w:rPr>
                <w:rStyle w:val="35"/>
                <w:rFonts w:ascii="仿宋" w:hAnsi="仿宋" w:eastAsia="仿宋" w:cs="仿宋"/>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tcPr>
          <w:p w14:paraId="54694D1C">
            <w:pPr>
              <w:pStyle w:val="43"/>
              <w:shd w:val="clear"/>
              <w:spacing w:before="157"/>
              <w:ind w:left="235"/>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是</w:t>
            </w:r>
          </w:p>
        </w:tc>
        <w:tc>
          <w:tcPr>
            <w:tcW w:w="665" w:type="dxa"/>
            <w:tcBorders>
              <w:top w:val="single" w:color="000000" w:sz="4" w:space="0"/>
              <w:left w:val="single" w:color="000000" w:sz="4" w:space="0"/>
              <w:bottom w:val="single" w:color="000000" w:sz="4" w:space="0"/>
              <w:right w:val="single" w:color="000000" w:sz="4" w:space="0"/>
            </w:tcBorders>
          </w:tcPr>
          <w:p w14:paraId="1BE3155B">
            <w:pPr>
              <w:pStyle w:val="43"/>
              <w:shd w:val="clear"/>
              <w:spacing w:before="157"/>
              <w:ind w:left="254"/>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否</w:t>
            </w:r>
          </w:p>
        </w:tc>
      </w:tr>
      <w:tr w14:paraId="06546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725" w:type="dxa"/>
            <w:tcBorders>
              <w:top w:val="single" w:color="000000" w:sz="4" w:space="0"/>
              <w:left w:val="single" w:color="000000" w:sz="4" w:space="0"/>
              <w:bottom w:val="single" w:color="000000" w:sz="4" w:space="0"/>
              <w:right w:val="single" w:color="000000" w:sz="4" w:space="0"/>
            </w:tcBorders>
          </w:tcPr>
          <w:p w14:paraId="4A17ECAC">
            <w:pPr>
              <w:pStyle w:val="43"/>
              <w:shd w:val="clear"/>
              <w:spacing w:before="1"/>
              <w:rPr>
                <w:rStyle w:val="35"/>
                <w:rFonts w:ascii="仿宋" w:hAnsi="仿宋" w:eastAsia="仿宋" w:cs="仿宋"/>
                <w:b/>
                <w:color w:val="auto"/>
                <w:sz w:val="24"/>
                <w:szCs w:val="24"/>
                <w:highlight w:val="none"/>
              </w:rPr>
            </w:pPr>
          </w:p>
          <w:p w14:paraId="158794D6">
            <w:pPr>
              <w:pStyle w:val="43"/>
              <w:shd w:val="clear"/>
              <w:spacing w:before="1"/>
              <w:ind w:left="65"/>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1</w:t>
            </w:r>
          </w:p>
        </w:tc>
        <w:tc>
          <w:tcPr>
            <w:tcW w:w="6990" w:type="dxa"/>
            <w:tcBorders>
              <w:top w:val="single" w:color="000000" w:sz="4" w:space="0"/>
              <w:left w:val="single" w:color="000000" w:sz="4" w:space="0"/>
              <w:bottom w:val="single" w:color="000000" w:sz="4" w:space="0"/>
              <w:right w:val="single" w:color="000000" w:sz="4" w:space="0"/>
            </w:tcBorders>
          </w:tcPr>
          <w:p w14:paraId="042E2CDC">
            <w:pPr>
              <w:pStyle w:val="43"/>
              <w:shd w:val="clear"/>
              <w:spacing w:before="114" w:line="242" w:lineRule="auto"/>
              <w:ind w:left="55" w:right="72"/>
              <w:rPr>
                <w:rStyle w:val="35"/>
                <w:rFonts w:ascii="仿宋" w:hAnsi="仿宋" w:eastAsia="仿宋" w:cs="仿宋"/>
                <w:color w:val="auto"/>
                <w:sz w:val="24"/>
                <w:szCs w:val="24"/>
                <w:highlight w:val="none"/>
                <w:lang w:eastAsia="zh-CN"/>
              </w:rPr>
            </w:pPr>
            <w:bookmarkStart w:id="56" w:name="OLE_LINK8"/>
            <w:r>
              <w:rPr>
                <w:rStyle w:val="35"/>
                <w:rFonts w:hint="eastAsia" w:ascii="仿宋" w:hAnsi="仿宋" w:eastAsia="仿宋" w:cs="仿宋"/>
                <w:color w:val="auto"/>
                <w:sz w:val="24"/>
                <w:szCs w:val="24"/>
                <w:highlight w:val="none"/>
                <w:lang w:eastAsia="zh-CN"/>
              </w:rPr>
              <w:t>凡竞争性磋商文件中要求盖章或签字处，是否按要求加盖单位公章、法定代表人或被授权委托人签字或盖章的。</w:t>
            </w:r>
            <w:bookmarkEnd w:id="56"/>
          </w:p>
        </w:tc>
        <w:tc>
          <w:tcPr>
            <w:tcW w:w="631" w:type="dxa"/>
            <w:tcBorders>
              <w:top w:val="single" w:color="000000" w:sz="4" w:space="0"/>
              <w:left w:val="single" w:color="000000" w:sz="4" w:space="0"/>
              <w:bottom w:val="single" w:color="000000" w:sz="4" w:space="0"/>
              <w:right w:val="single" w:color="000000" w:sz="4" w:space="0"/>
            </w:tcBorders>
          </w:tcPr>
          <w:p w14:paraId="3FEFD873">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6C568CC2">
            <w:pPr>
              <w:pStyle w:val="43"/>
              <w:shd w:val="clear"/>
              <w:rPr>
                <w:rStyle w:val="35"/>
                <w:rFonts w:ascii="仿宋" w:hAnsi="仿宋" w:eastAsia="仿宋" w:cs="仿宋"/>
                <w:color w:val="auto"/>
                <w:sz w:val="24"/>
                <w:szCs w:val="24"/>
                <w:highlight w:val="none"/>
                <w:lang w:eastAsia="zh-CN"/>
              </w:rPr>
            </w:pPr>
          </w:p>
        </w:tc>
      </w:tr>
      <w:tr w14:paraId="4916E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25" w:type="dxa"/>
            <w:tcBorders>
              <w:top w:val="single" w:color="000000" w:sz="4" w:space="0"/>
              <w:left w:val="single" w:color="000000" w:sz="4" w:space="0"/>
              <w:bottom w:val="single" w:color="000000" w:sz="4" w:space="0"/>
              <w:right w:val="single" w:color="000000" w:sz="4" w:space="0"/>
            </w:tcBorders>
          </w:tcPr>
          <w:p w14:paraId="0621DF2D">
            <w:pPr>
              <w:pStyle w:val="43"/>
              <w:shd w:val="clear"/>
              <w:spacing w:before="171"/>
              <w:ind w:left="65"/>
              <w:jc w:val="center"/>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2</w:t>
            </w:r>
          </w:p>
        </w:tc>
        <w:tc>
          <w:tcPr>
            <w:tcW w:w="6990" w:type="dxa"/>
            <w:tcBorders>
              <w:top w:val="single" w:color="000000" w:sz="4" w:space="0"/>
              <w:left w:val="single" w:color="000000" w:sz="4" w:space="0"/>
              <w:bottom w:val="single" w:color="000000" w:sz="4" w:space="0"/>
              <w:right w:val="single" w:color="000000" w:sz="4" w:space="0"/>
            </w:tcBorders>
          </w:tcPr>
          <w:p w14:paraId="15DCA8C3">
            <w:pPr>
              <w:pStyle w:val="43"/>
              <w:shd w:val="clear"/>
              <w:spacing w:before="122"/>
              <w:ind w:left="55"/>
              <w:rPr>
                <w:rStyle w:val="35"/>
                <w:rFonts w:hint="default" w:ascii="仿宋" w:hAnsi="仿宋" w:eastAsia="仿宋" w:cs="仿宋"/>
                <w:color w:val="auto"/>
                <w:sz w:val="24"/>
                <w:szCs w:val="24"/>
                <w:highlight w:val="none"/>
                <w:lang w:val="en-US" w:eastAsia="zh-CN"/>
              </w:rPr>
            </w:pPr>
            <w:bookmarkStart w:id="57" w:name="OLE_LINK9"/>
            <w:r>
              <w:rPr>
                <w:rStyle w:val="35"/>
                <w:rFonts w:hint="eastAsia" w:ascii="仿宋" w:hAnsi="仿宋" w:eastAsia="仿宋" w:cs="仿宋"/>
                <w:color w:val="auto"/>
                <w:sz w:val="24"/>
                <w:szCs w:val="24"/>
                <w:highlight w:val="none"/>
                <w:lang w:eastAsia="zh-CN"/>
              </w:rPr>
              <w:t>供应商按照竞争性磋商文件规定的金额、形式、时效和内容提供了投标保证金。</w:t>
            </w:r>
            <w:bookmarkEnd w:id="57"/>
          </w:p>
        </w:tc>
        <w:tc>
          <w:tcPr>
            <w:tcW w:w="631" w:type="dxa"/>
            <w:tcBorders>
              <w:top w:val="single" w:color="000000" w:sz="4" w:space="0"/>
              <w:left w:val="single" w:color="000000" w:sz="4" w:space="0"/>
              <w:bottom w:val="single" w:color="000000" w:sz="4" w:space="0"/>
              <w:right w:val="single" w:color="000000" w:sz="4" w:space="0"/>
            </w:tcBorders>
          </w:tcPr>
          <w:p w14:paraId="3736A9F7">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4596642">
            <w:pPr>
              <w:pStyle w:val="43"/>
              <w:shd w:val="clear"/>
              <w:rPr>
                <w:rStyle w:val="35"/>
                <w:rFonts w:ascii="仿宋" w:hAnsi="仿宋" w:eastAsia="仿宋" w:cs="仿宋"/>
                <w:color w:val="auto"/>
                <w:sz w:val="24"/>
                <w:szCs w:val="24"/>
                <w:highlight w:val="none"/>
                <w:lang w:eastAsia="zh-CN"/>
              </w:rPr>
            </w:pPr>
          </w:p>
        </w:tc>
      </w:tr>
      <w:tr w14:paraId="3274C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25" w:type="dxa"/>
            <w:tcBorders>
              <w:top w:val="single" w:color="000000" w:sz="4" w:space="0"/>
              <w:left w:val="single" w:color="000000" w:sz="4" w:space="0"/>
              <w:bottom w:val="single" w:color="000000" w:sz="4" w:space="0"/>
              <w:right w:val="single" w:color="000000" w:sz="4" w:space="0"/>
            </w:tcBorders>
          </w:tcPr>
          <w:p w14:paraId="33743748">
            <w:pPr>
              <w:pStyle w:val="43"/>
              <w:shd w:val="clear"/>
              <w:spacing w:before="171"/>
              <w:ind w:left="65"/>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3</w:t>
            </w:r>
          </w:p>
        </w:tc>
        <w:tc>
          <w:tcPr>
            <w:tcW w:w="6990" w:type="dxa"/>
            <w:tcBorders>
              <w:top w:val="single" w:color="000000" w:sz="4" w:space="0"/>
              <w:left w:val="single" w:color="000000" w:sz="4" w:space="0"/>
              <w:bottom w:val="single" w:color="000000" w:sz="4" w:space="0"/>
              <w:right w:val="single" w:color="000000" w:sz="4" w:space="0"/>
            </w:tcBorders>
          </w:tcPr>
          <w:p w14:paraId="623F2D36">
            <w:pPr>
              <w:pStyle w:val="43"/>
              <w:shd w:val="clear"/>
              <w:spacing w:before="122"/>
              <w:ind w:left="55"/>
              <w:rPr>
                <w:rStyle w:val="35"/>
                <w:rFonts w:hint="eastAsia" w:ascii="仿宋" w:hAnsi="仿宋" w:eastAsia="仿宋" w:cs="仿宋"/>
                <w:color w:val="auto"/>
                <w:sz w:val="24"/>
                <w:szCs w:val="24"/>
                <w:highlight w:val="none"/>
                <w:lang w:eastAsia="zh-CN"/>
              </w:rPr>
            </w:pPr>
            <w:bookmarkStart w:id="58" w:name="OLE_LINK10"/>
            <w:r>
              <w:rPr>
                <w:rStyle w:val="35"/>
                <w:rFonts w:hint="eastAsia" w:ascii="仿宋" w:hAnsi="仿宋" w:eastAsia="仿宋" w:cs="仿宋"/>
                <w:color w:val="auto"/>
                <w:sz w:val="24"/>
                <w:szCs w:val="24"/>
                <w:highlight w:val="none"/>
                <w:lang w:val="en-US" w:eastAsia="zh-CN"/>
              </w:rPr>
              <w:t>投标</w:t>
            </w:r>
            <w:r>
              <w:rPr>
                <w:rStyle w:val="35"/>
                <w:rFonts w:hint="eastAsia" w:ascii="仿宋" w:hAnsi="仿宋" w:eastAsia="仿宋" w:cs="仿宋"/>
                <w:color w:val="auto"/>
                <w:sz w:val="24"/>
                <w:szCs w:val="24"/>
                <w:highlight w:val="none"/>
                <w:lang w:eastAsia="zh-CN"/>
              </w:rPr>
              <w:t>文件承诺</w:t>
            </w:r>
            <w:r>
              <w:rPr>
                <w:rStyle w:val="35"/>
                <w:rFonts w:hint="eastAsia" w:ascii="仿宋" w:hAnsi="仿宋" w:eastAsia="仿宋" w:cs="仿宋"/>
                <w:color w:val="auto"/>
                <w:sz w:val="24"/>
                <w:szCs w:val="24"/>
                <w:highlight w:val="none"/>
                <w:lang w:val="en-US" w:eastAsia="zh-CN"/>
              </w:rPr>
              <w:t>投标</w:t>
            </w:r>
            <w:r>
              <w:rPr>
                <w:rStyle w:val="35"/>
                <w:rFonts w:hint="eastAsia" w:ascii="仿宋" w:hAnsi="仿宋" w:eastAsia="仿宋" w:cs="仿宋"/>
                <w:color w:val="auto"/>
                <w:sz w:val="24"/>
                <w:szCs w:val="24"/>
                <w:highlight w:val="none"/>
                <w:lang w:eastAsia="zh-CN"/>
              </w:rPr>
              <w:t>有效期满足磋商文件要求（90日（日历日））</w:t>
            </w:r>
            <w:bookmarkEnd w:id="58"/>
          </w:p>
        </w:tc>
        <w:tc>
          <w:tcPr>
            <w:tcW w:w="631" w:type="dxa"/>
            <w:tcBorders>
              <w:top w:val="single" w:color="000000" w:sz="4" w:space="0"/>
              <w:left w:val="single" w:color="000000" w:sz="4" w:space="0"/>
              <w:bottom w:val="single" w:color="000000" w:sz="4" w:space="0"/>
              <w:right w:val="single" w:color="000000" w:sz="4" w:space="0"/>
            </w:tcBorders>
          </w:tcPr>
          <w:p w14:paraId="15EAB212">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43C3FA93">
            <w:pPr>
              <w:pStyle w:val="43"/>
              <w:shd w:val="clear"/>
              <w:rPr>
                <w:rStyle w:val="35"/>
                <w:rFonts w:ascii="仿宋" w:hAnsi="仿宋" w:eastAsia="仿宋" w:cs="仿宋"/>
                <w:color w:val="auto"/>
                <w:sz w:val="24"/>
                <w:szCs w:val="24"/>
                <w:highlight w:val="none"/>
                <w:lang w:eastAsia="zh-CN"/>
              </w:rPr>
            </w:pPr>
          </w:p>
        </w:tc>
      </w:tr>
      <w:tr w14:paraId="587E6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0" w:hRule="atLeast"/>
        </w:trPr>
        <w:tc>
          <w:tcPr>
            <w:tcW w:w="725" w:type="dxa"/>
            <w:tcBorders>
              <w:top w:val="single" w:color="000000" w:sz="4" w:space="0"/>
              <w:left w:val="single" w:color="000000" w:sz="4" w:space="0"/>
              <w:bottom w:val="single" w:color="000000" w:sz="4" w:space="0"/>
              <w:right w:val="single" w:color="000000" w:sz="4" w:space="0"/>
            </w:tcBorders>
          </w:tcPr>
          <w:p w14:paraId="02FCE3D9">
            <w:pPr>
              <w:pStyle w:val="43"/>
              <w:shd w:val="clear"/>
              <w:rPr>
                <w:rStyle w:val="35"/>
                <w:rFonts w:ascii="仿宋" w:hAnsi="仿宋" w:eastAsia="仿宋" w:cs="仿宋"/>
                <w:b/>
                <w:color w:val="auto"/>
                <w:sz w:val="24"/>
                <w:szCs w:val="24"/>
                <w:highlight w:val="none"/>
                <w:lang w:eastAsia="zh-CN"/>
              </w:rPr>
            </w:pPr>
          </w:p>
          <w:p w14:paraId="41D2160A">
            <w:pPr>
              <w:pStyle w:val="43"/>
              <w:shd w:val="clear"/>
              <w:spacing w:before="154"/>
              <w:ind w:left="65"/>
              <w:jc w:val="center"/>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4</w:t>
            </w:r>
          </w:p>
        </w:tc>
        <w:tc>
          <w:tcPr>
            <w:tcW w:w="6990" w:type="dxa"/>
            <w:tcBorders>
              <w:top w:val="single" w:color="000000" w:sz="4" w:space="0"/>
              <w:left w:val="single" w:color="000000" w:sz="4" w:space="0"/>
              <w:bottom w:val="single" w:color="000000" w:sz="4" w:space="0"/>
              <w:right w:val="single" w:color="000000" w:sz="4" w:space="0"/>
            </w:tcBorders>
          </w:tcPr>
          <w:p w14:paraId="65A588C1">
            <w:pPr>
              <w:pStyle w:val="43"/>
              <w:shd w:val="clear"/>
              <w:spacing w:before="112" w:line="244" w:lineRule="auto"/>
              <w:ind w:left="55" w:right="72"/>
              <w:jc w:val="both"/>
              <w:rPr>
                <w:rStyle w:val="35"/>
                <w:rFonts w:ascii="仿宋" w:hAnsi="仿宋" w:eastAsia="仿宋" w:cs="仿宋"/>
                <w:color w:val="auto"/>
                <w:sz w:val="24"/>
                <w:szCs w:val="24"/>
                <w:highlight w:val="none"/>
                <w:lang w:eastAsia="zh-CN"/>
              </w:rPr>
            </w:pPr>
            <w:bookmarkStart w:id="59" w:name="OLE_LINK11"/>
            <w:r>
              <w:rPr>
                <w:rStyle w:val="35"/>
                <w:rFonts w:hint="eastAsia" w:ascii="仿宋" w:hAnsi="仿宋" w:eastAsia="仿宋" w:cs="仿宋"/>
                <w:color w:val="auto"/>
                <w:sz w:val="24"/>
                <w:szCs w:val="24"/>
                <w:highlight w:val="none"/>
                <w:lang w:eastAsia="zh-CN"/>
              </w:rPr>
              <w:t>响应文件是否实质上响应了竞争性磋商文件的要求。实质上响应的投标应该是与竞争性磋商文件要求的全部条款、条件等相符，没有重大偏离或保留的投标。</w:t>
            </w:r>
            <w:bookmarkEnd w:id="59"/>
          </w:p>
        </w:tc>
        <w:tc>
          <w:tcPr>
            <w:tcW w:w="631" w:type="dxa"/>
            <w:tcBorders>
              <w:top w:val="single" w:color="000000" w:sz="4" w:space="0"/>
              <w:left w:val="single" w:color="000000" w:sz="4" w:space="0"/>
              <w:bottom w:val="single" w:color="000000" w:sz="4" w:space="0"/>
              <w:right w:val="single" w:color="000000" w:sz="4" w:space="0"/>
            </w:tcBorders>
          </w:tcPr>
          <w:p w14:paraId="019EDD9D">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BA2774A">
            <w:pPr>
              <w:pStyle w:val="43"/>
              <w:shd w:val="clear"/>
              <w:rPr>
                <w:rStyle w:val="35"/>
                <w:rFonts w:ascii="仿宋" w:hAnsi="仿宋" w:eastAsia="仿宋" w:cs="仿宋"/>
                <w:color w:val="auto"/>
                <w:sz w:val="24"/>
                <w:szCs w:val="24"/>
                <w:highlight w:val="none"/>
                <w:lang w:eastAsia="zh-CN"/>
              </w:rPr>
            </w:pPr>
          </w:p>
        </w:tc>
      </w:tr>
      <w:tr w14:paraId="6B4C74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2" w:hRule="atLeast"/>
        </w:trPr>
        <w:tc>
          <w:tcPr>
            <w:tcW w:w="725" w:type="dxa"/>
            <w:tcBorders>
              <w:top w:val="single" w:color="000000" w:sz="4" w:space="0"/>
              <w:left w:val="single" w:color="000000" w:sz="4" w:space="0"/>
              <w:bottom w:val="single" w:color="000000" w:sz="4" w:space="0"/>
              <w:right w:val="single" w:color="000000" w:sz="4" w:space="0"/>
            </w:tcBorders>
          </w:tcPr>
          <w:p w14:paraId="06C2A072">
            <w:pPr>
              <w:pStyle w:val="43"/>
              <w:shd w:val="clear"/>
              <w:spacing w:before="2"/>
              <w:rPr>
                <w:rStyle w:val="35"/>
                <w:rFonts w:ascii="仿宋" w:hAnsi="仿宋" w:eastAsia="仿宋" w:cs="仿宋"/>
                <w:b/>
                <w:color w:val="auto"/>
                <w:sz w:val="24"/>
                <w:szCs w:val="24"/>
                <w:highlight w:val="none"/>
                <w:lang w:eastAsia="zh-CN"/>
              </w:rPr>
            </w:pPr>
          </w:p>
          <w:p w14:paraId="7F46ADE7">
            <w:pPr>
              <w:pStyle w:val="43"/>
              <w:shd w:val="clear"/>
              <w:ind w:left="65"/>
              <w:jc w:val="center"/>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5</w:t>
            </w:r>
          </w:p>
        </w:tc>
        <w:tc>
          <w:tcPr>
            <w:tcW w:w="6990" w:type="dxa"/>
            <w:tcBorders>
              <w:top w:val="single" w:color="000000" w:sz="4" w:space="0"/>
              <w:left w:val="single" w:color="000000" w:sz="4" w:space="0"/>
              <w:bottom w:val="single" w:color="000000" w:sz="4" w:space="0"/>
              <w:right w:val="single" w:color="000000" w:sz="4" w:space="0"/>
            </w:tcBorders>
          </w:tcPr>
          <w:p w14:paraId="54262590">
            <w:pPr>
              <w:pStyle w:val="43"/>
              <w:shd w:val="clear"/>
              <w:spacing w:before="49" w:line="242" w:lineRule="auto"/>
              <w:ind w:left="55" w:right="32"/>
              <w:rPr>
                <w:rStyle w:val="35"/>
                <w:rFonts w:ascii="仿宋" w:hAnsi="仿宋" w:eastAsia="仿宋" w:cs="仿宋"/>
                <w:color w:val="auto"/>
                <w:sz w:val="24"/>
                <w:szCs w:val="24"/>
                <w:highlight w:val="none"/>
                <w:lang w:eastAsia="zh-CN"/>
              </w:rPr>
            </w:pPr>
            <w:bookmarkStart w:id="60" w:name="OLE_LINK12"/>
            <w:r>
              <w:rPr>
                <w:rStyle w:val="35"/>
                <w:rFonts w:hint="eastAsia" w:ascii="仿宋" w:hAnsi="仿宋" w:eastAsia="仿宋" w:cs="仿宋"/>
                <w:color w:val="auto"/>
                <w:sz w:val="24"/>
                <w:szCs w:val="24"/>
                <w:highlight w:val="none"/>
                <w:lang w:eastAsia="zh-CN"/>
              </w:rPr>
              <w:t>一份响应文件应只有一个投标报价，在竞争性磋商文件没有规定的情况下，未提交选择性的报价。</w:t>
            </w:r>
            <w:bookmarkEnd w:id="60"/>
          </w:p>
        </w:tc>
        <w:tc>
          <w:tcPr>
            <w:tcW w:w="631" w:type="dxa"/>
            <w:tcBorders>
              <w:top w:val="single" w:color="000000" w:sz="4" w:space="0"/>
              <w:left w:val="single" w:color="000000" w:sz="4" w:space="0"/>
              <w:bottom w:val="single" w:color="000000" w:sz="4" w:space="0"/>
              <w:right w:val="single" w:color="000000" w:sz="4" w:space="0"/>
            </w:tcBorders>
          </w:tcPr>
          <w:p w14:paraId="3CB15939">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161E738D">
            <w:pPr>
              <w:pStyle w:val="43"/>
              <w:shd w:val="clear"/>
              <w:rPr>
                <w:rStyle w:val="35"/>
                <w:rFonts w:ascii="仿宋" w:hAnsi="仿宋" w:eastAsia="仿宋" w:cs="仿宋"/>
                <w:color w:val="auto"/>
                <w:sz w:val="24"/>
                <w:szCs w:val="24"/>
                <w:highlight w:val="none"/>
                <w:lang w:eastAsia="zh-CN"/>
              </w:rPr>
            </w:pPr>
          </w:p>
        </w:tc>
      </w:tr>
      <w:tr w14:paraId="33319F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1" w:hRule="atLeast"/>
        </w:trPr>
        <w:tc>
          <w:tcPr>
            <w:tcW w:w="725" w:type="dxa"/>
            <w:tcBorders>
              <w:top w:val="single" w:color="000000" w:sz="4" w:space="0"/>
              <w:left w:val="single" w:color="000000" w:sz="4" w:space="0"/>
              <w:bottom w:val="single" w:color="000000" w:sz="4" w:space="0"/>
              <w:right w:val="single" w:color="000000" w:sz="4" w:space="0"/>
            </w:tcBorders>
          </w:tcPr>
          <w:p w14:paraId="3489DF02">
            <w:pPr>
              <w:pStyle w:val="43"/>
              <w:shd w:val="clear"/>
              <w:ind w:left="65"/>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6</w:t>
            </w:r>
          </w:p>
        </w:tc>
        <w:tc>
          <w:tcPr>
            <w:tcW w:w="6990" w:type="dxa"/>
            <w:tcBorders>
              <w:top w:val="single" w:color="000000" w:sz="4" w:space="0"/>
              <w:left w:val="single" w:color="000000" w:sz="4" w:space="0"/>
              <w:bottom w:val="single" w:color="000000" w:sz="4" w:space="0"/>
              <w:right w:val="single" w:color="000000" w:sz="4" w:space="0"/>
            </w:tcBorders>
          </w:tcPr>
          <w:p w14:paraId="39F99483">
            <w:pPr>
              <w:pStyle w:val="43"/>
              <w:shd w:val="clear"/>
              <w:spacing w:before="49" w:line="242" w:lineRule="auto"/>
              <w:ind w:left="55" w:right="32"/>
              <w:rPr>
                <w:rStyle w:val="35"/>
                <w:rFonts w:hint="eastAsia" w:ascii="仿宋" w:hAnsi="仿宋" w:eastAsia="仿宋" w:cs="仿宋"/>
                <w:color w:val="auto"/>
                <w:sz w:val="24"/>
                <w:szCs w:val="24"/>
                <w:highlight w:val="none"/>
                <w:lang w:eastAsia="zh-CN"/>
              </w:rPr>
            </w:pPr>
            <w:bookmarkStart w:id="61" w:name="OLE_LINK13"/>
            <w:r>
              <w:rPr>
                <w:rStyle w:val="35"/>
                <w:rFonts w:hint="eastAsia" w:ascii="仿宋" w:hAnsi="仿宋" w:eastAsia="仿宋" w:cs="仿宋"/>
                <w:color w:val="auto"/>
                <w:sz w:val="24"/>
                <w:szCs w:val="24"/>
                <w:highlight w:val="none"/>
                <w:lang w:val="en-US" w:eastAsia="zh-CN"/>
              </w:rPr>
              <w:t>投标报价未超出最高限价。</w:t>
            </w:r>
            <w:bookmarkEnd w:id="61"/>
          </w:p>
        </w:tc>
        <w:tc>
          <w:tcPr>
            <w:tcW w:w="631" w:type="dxa"/>
            <w:tcBorders>
              <w:top w:val="single" w:color="000000" w:sz="4" w:space="0"/>
              <w:left w:val="single" w:color="000000" w:sz="4" w:space="0"/>
              <w:bottom w:val="single" w:color="000000" w:sz="4" w:space="0"/>
              <w:right w:val="single" w:color="000000" w:sz="4" w:space="0"/>
            </w:tcBorders>
          </w:tcPr>
          <w:p w14:paraId="0C8D7F33">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E730866">
            <w:pPr>
              <w:pStyle w:val="43"/>
              <w:shd w:val="clear"/>
              <w:rPr>
                <w:rStyle w:val="35"/>
                <w:rFonts w:ascii="仿宋" w:hAnsi="仿宋" w:eastAsia="仿宋" w:cs="仿宋"/>
                <w:color w:val="auto"/>
                <w:sz w:val="24"/>
                <w:szCs w:val="24"/>
                <w:highlight w:val="none"/>
                <w:lang w:eastAsia="zh-CN"/>
              </w:rPr>
            </w:pPr>
          </w:p>
        </w:tc>
      </w:tr>
      <w:tr w14:paraId="060DE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725" w:type="dxa"/>
            <w:tcBorders>
              <w:top w:val="single" w:color="000000" w:sz="4" w:space="0"/>
              <w:left w:val="single" w:color="000000" w:sz="4" w:space="0"/>
              <w:bottom w:val="single" w:color="000000" w:sz="4" w:space="0"/>
              <w:right w:val="single" w:color="000000" w:sz="4" w:space="0"/>
            </w:tcBorders>
          </w:tcPr>
          <w:p w14:paraId="56992521">
            <w:pPr>
              <w:pStyle w:val="43"/>
              <w:shd w:val="clear"/>
              <w:spacing w:before="168"/>
              <w:ind w:left="65"/>
              <w:jc w:val="center"/>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val="en-US" w:eastAsia="zh-CN"/>
              </w:rPr>
              <w:t>7</w:t>
            </w:r>
          </w:p>
        </w:tc>
        <w:tc>
          <w:tcPr>
            <w:tcW w:w="6990" w:type="dxa"/>
            <w:tcBorders>
              <w:top w:val="single" w:color="000000" w:sz="4" w:space="0"/>
              <w:left w:val="single" w:color="000000" w:sz="4" w:space="0"/>
              <w:bottom w:val="single" w:color="000000" w:sz="4" w:space="0"/>
              <w:right w:val="single" w:color="000000" w:sz="4" w:space="0"/>
            </w:tcBorders>
          </w:tcPr>
          <w:p w14:paraId="2BB1692D">
            <w:pPr>
              <w:pStyle w:val="43"/>
              <w:shd w:val="clear"/>
              <w:spacing w:before="119"/>
              <w:ind w:left="55"/>
              <w:rPr>
                <w:rStyle w:val="35"/>
                <w:rFonts w:ascii="仿宋" w:hAnsi="仿宋" w:eastAsia="仿宋" w:cs="仿宋"/>
                <w:color w:val="auto"/>
                <w:sz w:val="24"/>
                <w:szCs w:val="24"/>
                <w:highlight w:val="none"/>
                <w:lang w:eastAsia="zh-CN"/>
              </w:rPr>
            </w:pPr>
            <w:bookmarkStart w:id="62" w:name="OLE_LINK14"/>
            <w:r>
              <w:rPr>
                <w:rStyle w:val="35"/>
                <w:rFonts w:hint="eastAsia" w:ascii="仿宋" w:hAnsi="仿宋" w:eastAsia="仿宋" w:cs="仿宋"/>
                <w:color w:val="auto"/>
                <w:sz w:val="24"/>
                <w:szCs w:val="24"/>
                <w:highlight w:val="none"/>
                <w:lang w:eastAsia="zh-CN"/>
              </w:rPr>
              <w:t>供应商的合同履行期限</w:t>
            </w:r>
            <w:r>
              <w:rPr>
                <w:rStyle w:val="35"/>
                <w:rFonts w:hint="eastAsia" w:ascii="仿宋" w:hAnsi="仿宋" w:eastAsia="仿宋" w:cs="仿宋"/>
                <w:color w:val="auto"/>
                <w:sz w:val="24"/>
                <w:szCs w:val="24"/>
                <w:highlight w:val="none"/>
                <w:lang w:val="en-US" w:eastAsia="zh-CN"/>
              </w:rPr>
              <w:t>满足</w:t>
            </w:r>
            <w:r>
              <w:rPr>
                <w:rStyle w:val="35"/>
                <w:rFonts w:hint="eastAsia" w:ascii="仿宋" w:hAnsi="仿宋" w:eastAsia="仿宋" w:cs="仿宋"/>
                <w:color w:val="auto"/>
                <w:sz w:val="24"/>
                <w:szCs w:val="24"/>
                <w:highlight w:val="none"/>
                <w:lang w:eastAsia="zh-CN"/>
              </w:rPr>
              <w:t>竞争性磋商文件规定的期限要求。</w:t>
            </w:r>
            <w:bookmarkEnd w:id="62"/>
          </w:p>
        </w:tc>
        <w:tc>
          <w:tcPr>
            <w:tcW w:w="631" w:type="dxa"/>
            <w:tcBorders>
              <w:top w:val="single" w:color="000000" w:sz="4" w:space="0"/>
              <w:left w:val="single" w:color="000000" w:sz="4" w:space="0"/>
              <w:bottom w:val="single" w:color="000000" w:sz="4" w:space="0"/>
              <w:right w:val="single" w:color="000000" w:sz="4" w:space="0"/>
            </w:tcBorders>
          </w:tcPr>
          <w:p w14:paraId="1B1E9BED">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231F8575">
            <w:pPr>
              <w:pStyle w:val="43"/>
              <w:shd w:val="clear"/>
              <w:rPr>
                <w:rStyle w:val="35"/>
                <w:rFonts w:ascii="仿宋" w:hAnsi="仿宋" w:eastAsia="仿宋" w:cs="仿宋"/>
                <w:color w:val="auto"/>
                <w:sz w:val="24"/>
                <w:szCs w:val="24"/>
                <w:highlight w:val="none"/>
                <w:lang w:eastAsia="zh-CN"/>
              </w:rPr>
            </w:pPr>
          </w:p>
        </w:tc>
      </w:tr>
      <w:tr w14:paraId="694A3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725" w:type="dxa"/>
            <w:tcBorders>
              <w:top w:val="single" w:color="000000" w:sz="4" w:space="0"/>
              <w:left w:val="single" w:color="000000" w:sz="4" w:space="0"/>
              <w:bottom w:val="single" w:color="000000" w:sz="4" w:space="0"/>
              <w:right w:val="single" w:color="000000" w:sz="4" w:space="0"/>
            </w:tcBorders>
          </w:tcPr>
          <w:p w14:paraId="2E5E71AC">
            <w:pPr>
              <w:pStyle w:val="43"/>
              <w:shd w:val="clear"/>
              <w:spacing w:before="171"/>
              <w:ind w:left="65"/>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8</w:t>
            </w:r>
          </w:p>
        </w:tc>
        <w:tc>
          <w:tcPr>
            <w:tcW w:w="6990" w:type="dxa"/>
            <w:tcBorders>
              <w:top w:val="single" w:color="000000" w:sz="4" w:space="0"/>
              <w:left w:val="single" w:color="000000" w:sz="4" w:space="0"/>
              <w:bottom w:val="single" w:color="000000" w:sz="4" w:space="0"/>
              <w:right w:val="single" w:color="000000" w:sz="4" w:space="0"/>
            </w:tcBorders>
          </w:tcPr>
          <w:p w14:paraId="6A496F00">
            <w:pPr>
              <w:pStyle w:val="43"/>
              <w:shd w:val="clear"/>
              <w:spacing w:before="121"/>
              <w:ind w:left="55"/>
              <w:rPr>
                <w:rStyle w:val="35"/>
                <w:rFonts w:ascii="仿宋" w:hAnsi="仿宋" w:eastAsia="仿宋" w:cs="仿宋"/>
                <w:color w:val="auto"/>
                <w:sz w:val="24"/>
                <w:szCs w:val="24"/>
                <w:highlight w:val="none"/>
                <w:lang w:eastAsia="zh-CN"/>
              </w:rPr>
            </w:pPr>
            <w:bookmarkStart w:id="63" w:name="OLE_LINK15"/>
            <w:r>
              <w:rPr>
                <w:rStyle w:val="35"/>
                <w:rFonts w:hint="eastAsia" w:ascii="仿宋" w:hAnsi="仿宋" w:eastAsia="仿宋" w:cs="仿宋"/>
                <w:color w:val="auto"/>
                <w:sz w:val="24"/>
                <w:szCs w:val="24"/>
                <w:highlight w:val="none"/>
                <w:lang w:eastAsia="zh-CN"/>
              </w:rPr>
              <w:t>供应商未提出不同的验收、计量、支付办法。</w:t>
            </w:r>
            <w:bookmarkEnd w:id="63"/>
          </w:p>
        </w:tc>
        <w:tc>
          <w:tcPr>
            <w:tcW w:w="631" w:type="dxa"/>
            <w:tcBorders>
              <w:top w:val="single" w:color="000000" w:sz="4" w:space="0"/>
              <w:left w:val="single" w:color="000000" w:sz="4" w:space="0"/>
              <w:bottom w:val="single" w:color="000000" w:sz="4" w:space="0"/>
              <w:right w:val="single" w:color="000000" w:sz="4" w:space="0"/>
            </w:tcBorders>
          </w:tcPr>
          <w:p w14:paraId="66D4E93C">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4AA98F92">
            <w:pPr>
              <w:pStyle w:val="43"/>
              <w:shd w:val="clear"/>
              <w:rPr>
                <w:rStyle w:val="35"/>
                <w:rFonts w:ascii="仿宋" w:hAnsi="仿宋" w:eastAsia="仿宋" w:cs="仿宋"/>
                <w:color w:val="auto"/>
                <w:sz w:val="24"/>
                <w:szCs w:val="24"/>
                <w:highlight w:val="none"/>
                <w:lang w:eastAsia="zh-CN"/>
              </w:rPr>
            </w:pPr>
          </w:p>
        </w:tc>
      </w:tr>
      <w:tr w14:paraId="2FAB8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725" w:type="dxa"/>
            <w:tcBorders>
              <w:top w:val="single" w:color="000000" w:sz="4" w:space="0"/>
              <w:left w:val="single" w:color="000000" w:sz="4" w:space="0"/>
              <w:bottom w:val="single" w:color="000000" w:sz="4" w:space="0"/>
              <w:right w:val="single" w:color="000000" w:sz="4" w:space="0"/>
            </w:tcBorders>
          </w:tcPr>
          <w:p w14:paraId="3AFC9DEB">
            <w:pPr>
              <w:pStyle w:val="43"/>
              <w:shd w:val="clear"/>
              <w:spacing w:before="171"/>
              <w:ind w:left="218" w:right="153"/>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9</w:t>
            </w:r>
          </w:p>
        </w:tc>
        <w:tc>
          <w:tcPr>
            <w:tcW w:w="6990" w:type="dxa"/>
            <w:tcBorders>
              <w:top w:val="single" w:color="000000" w:sz="4" w:space="0"/>
              <w:left w:val="single" w:color="000000" w:sz="4" w:space="0"/>
              <w:bottom w:val="single" w:color="000000" w:sz="4" w:space="0"/>
              <w:right w:val="single" w:color="000000" w:sz="4" w:space="0"/>
            </w:tcBorders>
          </w:tcPr>
          <w:p w14:paraId="6EDD1E14">
            <w:pPr>
              <w:pStyle w:val="43"/>
              <w:shd w:val="clear"/>
              <w:spacing w:before="121"/>
              <w:ind w:left="55"/>
              <w:rPr>
                <w:rStyle w:val="35"/>
                <w:rFonts w:ascii="仿宋" w:hAnsi="仿宋" w:eastAsia="仿宋" w:cs="仿宋"/>
                <w:color w:val="auto"/>
                <w:sz w:val="24"/>
                <w:szCs w:val="24"/>
                <w:highlight w:val="none"/>
                <w:lang w:eastAsia="zh-CN"/>
              </w:rPr>
            </w:pPr>
            <w:bookmarkStart w:id="64" w:name="OLE_LINK16"/>
            <w:r>
              <w:rPr>
                <w:rStyle w:val="35"/>
                <w:rFonts w:hint="eastAsia" w:ascii="仿宋" w:hAnsi="仿宋" w:eastAsia="仿宋" w:cs="仿宋"/>
                <w:color w:val="auto"/>
                <w:sz w:val="24"/>
                <w:szCs w:val="24"/>
                <w:highlight w:val="none"/>
                <w:lang w:eastAsia="zh-CN"/>
              </w:rPr>
              <w:t>响应文件未附有采购人不能接受的附加条件的。</w:t>
            </w:r>
            <w:bookmarkEnd w:id="64"/>
          </w:p>
        </w:tc>
        <w:tc>
          <w:tcPr>
            <w:tcW w:w="631" w:type="dxa"/>
            <w:tcBorders>
              <w:top w:val="single" w:color="000000" w:sz="4" w:space="0"/>
              <w:left w:val="single" w:color="000000" w:sz="4" w:space="0"/>
              <w:bottom w:val="single" w:color="000000" w:sz="4" w:space="0"/>
              <w:right w:val="single" w:color="000000" w:sz="4" w:space="0"/>
            </w:tcBorders>
          </w:tcPr>
          <w:p w14:paraId="663B460D">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56C453BC">
            <w:pPr>
              <w:pStyle w:val="43"/>
              <w:shd w:val="clear"/>
              <w:rPr>
                <w:rStyle w:val="35"/>
                <w:rFonts w:ascii="仿宋" w:hAnsi="仿宋" w:eastAsia="仿宋" w:cs="仿宋"/>
                <w:color w:val="auto"/>
                <w:sz w:val="24"/>
                <w:szCs w:val="24"/>
                <w:highlight w:val="none"/>
                <w:lang w:eastAsia="zh-CN"/>
              </w:rPr>
            </w:pPr>
          </w:p>
        </w:tc>
      </w:tr>
      <w:tr w14:paraId="6CC3E9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725" w:type="dxa"/>
            <w:tcBorders>
              <w:top w:val="single" w:color="000000" w:sz="4" w:space="0"/>
              <w:left w:val="single" w:color="000000" w:sz="4" w:space="0"/>
              <w:bottom w:val="single" w:color="000000" w:sz="4" w:space="0"/>
              <w:right w:val="single" w:color="000000" w:sz="4" w:space="0"/>
            </w:tcBorders>
          </w:tcPr>
          <w:p w14:paraId="74408614">
            <w:pPr>
              <w:pStyle w:val="43"/>
              <w:shd w:val="clear"/>
              <w:spacing w:before="171"/>
              <w:ind w:left="218" w:right="153"/>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10</w:t>
            </w:r>
          </w:p>
        </w:tc>
        <w:tc>
          <w:tcPr>
            <w:tcW w:w="6990" w:type="dxa"/>
            <w:tcBorders>
              <w:top w:val="single" w:color="000000" w:sz="4" w:space="0"/>
              <w:left w:val="single" w:color="000000" w:sz="4" w:space="0"/>
              <w:bottom w:val="single" w:color="000000" w:sz="4" w:space="0"/>
              <w:right w:val="single" w:color="000000" w:sz="4" w:space="0"/>
            </w:tcBorders>
          </w:tcPr>
          <w:p w14:paraId="27058A6E">
            <w:pPr>
              <w:pStyle w:val="43"/>
              <w:shd w:val="clear"/>
              <w:spacing w:before="121"/>
              <w:ind w:left="55"/>
              <w:rPr>
                <w:rStyle w:val="35"/>
                <w:rFonts w:ascii="仿宋" w:hAnsi="仿宋" w:eastAsia="仿宋" w:cs="仿宋"/>
                <w:color w:val="auto"/>
                <w:sz w:val="24"/>
                <w:szCs w:val="24"/>
                <w:highlight w:val="none"/>
                <w:lang w:eastAsia="zh-CN"/>
              </w:rPr>
            </w:pPr>
            <w:bookmarkStart w:id="65" w:name="OLE_LINK17"/>
            <w:r>
              <w:rPr>
                <w:rStyle w:val="35"/>
                <w:rFonts w:hint="eastAsia" w:ascii="仿宋" w:hAnsi="仿宋" w:eastAsia="仿宋" w:cs="仿宋"/>
                <w:color w:val="auto"/>
                <w:sz w:val="24"/>
                <w:szCs w:val="24"/>
                <w:highlight w:val="none"/>
                <w:lang w:eastAsia="zh-CN"/>
              </w:rPr>
              <w:t>不存在与其他供应商相互串通报价，或者与采购人串通投标的情形。</w:t>
            </w:r>
            <w:bookmarkEnd w:id="65"/>
          </w:p>
        </w:tc>
        <w:tc>
          <w:tcPr>
            <w:tcW w:w="631" w:type="dxa"/>
            <w:tcBorders>
              <w:top w:val="single" w:color="000000" w:sz="4" w:space="0"/>
              <w:left w:val="single" w:color="000000" w:sz="4" w:space="0"/>
              <w:bottom w:val="single" w:color="000000" w:sz="4" w:space="0"/>
              <w:right w:val="single" w:color="000000" w:sz="4" w:space="0"/>
            </w:tcBorders>
          </w:tcPr>
          <w:p w14:paraId="5FCA2C05">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44E485CF">
            <w:pPr>
              <w:pStyle w:val="43"/>
              <w:shd w:val="clear"/>
              <w:rPr>
                <w:rStyle w:val="35"/>
                <w:rFonts w:ascii="仿宋" w:hAnsi="仿宋" w:eastAsia="仿宋" w:cs="仿宋"/>
                <w:color w:val="auto"/>
                <w:sz w:val="24"/>
                <w:szCs w:val="24"/>
                <w:highlight w:val="none"/>
                <w:lang w:eastAsia="zh-CN"/>
              </w:rPr>
            </w:pPr>
          </w:p>
        </w:tc>
      </w:tr>
      <w:tr w14:paraId="072FAE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725" w:type="dxa"/>
            <w:tcBorders>
              <w:top w:val="single" w:color="000000" w:sz="4" w:space="0"/>
              <w:left w:val="single" w:color="000000" w:sz="4" w:space="0"/>
              <w:bottom w:val="single" w:color="000000" w:sz="4" w:space="0"/>
              <w:right w:val="single" w:color="000000" w:sz="4" w:space="0"/>
            </w:tcBorders>
          </w:tcPr>
          <w:p w14:paraId="6039A21D">
            <w:pPr>
              <w:pStyle w:val="43"/>
              <w:shd w:val="clear"/>
              <w:spacing w:before="171"/>
              <w:ind w:left="218" w:right="153"/>
              <w:jc w:val="center"/>
              <w:rPr>
                <w:rStyle w:val="35"/>
                <w:rFonts w:hint="default" w:ascii="仿宋" w:hAnsi="仿宋" w:eastAsia="仿宋" w:cs="仿宋"/>
                <w:color w:val="auto"/>
                <w:sz w:val="24"/>
                <w:szCs w:val="24"/>
                <w:highlight w:val="none"/>
                <w:lang w:val="en-US" w:eastAsia="zh-CN"/>
              </w:rPr>
            </w:pPr>
            <w:r>
              <w:rPr>
                <w:rStyle w:val="35"/>
                <w:rFonts w:hint="eastAsia" w:ascii="仿宋" w:hAnsi="仿宋" w:eastAsia="仿宋" w:cs="仿宋"/>
                <w:color w:val="auto"/>
                <w:sz w:val="24"/>
                <w:szCs w:val="24"/>
                <w:highlight w:val="none"/>
                <w:lang w:val="en-US" w:eastAsia="zh-CN"/>
              </w:rPr>
              <w:t>11</w:t>
            </w:r>
          </w:p>
        </w:tc>
        <w:tc>
          <w:tcPr>
            <w:tcW w:w="6990" w:type="dxa"/>
            <w:tcBorders>
              <w:top w:val="single" w:color="000000" w:sz="4" w:space="0"/>
              <w:left w:val="single" w:color="000000" w:sz="4" w:space="0"/>
              <w:bottom w:val="single" w:color="000000" w:sz="4" w:space="0"/>
              <w:right w:val="single" w:color="000000" w:sz="4" w:space="0"/>
            </w:tcBorders>
          </w:tcPr>
          <w:p w14:paraId="374AE963">
            <w:pPr>
              <w:pStyle w:val="43"/>
              <w:shd w:val="clear"/>
              <w:spacing w:before="121"/>
              <w:ind w:left="55"/>
              <w:rPr>
                <w:rStyle w:val="35"/>
                <w:rFonts w:ascii="仿宋" w:hAnsi="仿宋" w:eastAsia="仿宋" w:cs="仿宋"/>
                <w:color w:val="auto"/>
                <w:sz w:val="24"/>
                <w:szCs w:val="24"/>
                <w:highlight w:val="none"/>
                <w:lang w:eastAsia="zh-CN"/>
              </w:rPr>
            </w:pPr>
            <w:bookmarkStart w:id="66" w:name="OLE_LINK18"/>
            <w:r>
              <w:rPr>
                <w:rStyle w:val="35"/>
                <w:rFonts w:hint="eastAsia" w:ascii="仿宋" w:hAnsi="仿宋" w:eastAsia="仿宋" w:cs="仿宋"/>
                <w:color w:val="auto"/>
                <w:sz w:val="24"/>
                <w:szCs w:val="24"/>
                <w:highlight w:val="none"/>
                <w:lang w:eastAsia="zh-CN"/>
              </w:rPr>
              <w:t>不存在法律、法规和竞争性磋商文件规定的其他无效情形。</w:t>
            </w:r>
            <w:bookmarkEnd w:id="66"/>
          </w:p>
        </w:tc>
        <w:tc>
          <w:tcPr>
            <w:tcW w:w="631" w:type="dxa"/>
            <w:tcBorders>
              <w:top w:val="single" w:color="000000" w:sz="4" w:space="0"/>
              <w:left w:val="single" w:color="000000" w:sz="4" w:space="0"/>
              <w:bottom w:val="single" w:color="000000" w:sz="4" w:space="0"/>
              <w:right w:val="single" w:color="000000" w:sz="4" w:space="0"/>
            </w:tcBorders>
          </w:tcPr>
          <w:p w14:paraId="3E527BF4">
            <w:pPr>
              <w:pStyle w:val="43"/>
              <w:shd w:val="clear"/>
              <w:rPr>
                <w:rStyle w:val="35"/>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4748ACA9">
            <w:pPr>
              <w:pStyle w:val="43"/>
              <w:shd w:val="clear"/>
              <w:rPr>
                <w:rStyle w:val="35"/>
                <w:rFonts w:ascii="仿宋" w:hAnsi="仿宋" w:eastAsia="仿宋" w:cs="仿宋"/>
                <w:color w:val="auto"/>
                <w:sz w:val="24"/>
                <w:szCs w:val="24"/>
                <w:highlight w:val="none"/>
                <w:lang w:eastAsia="zh-CN"/>
              </w:rPr>
            </w:pPr>
          </w:p>
        </w:tc>
      </w:tr>
      <w:tr w14:paraId="46259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725" w:type="dxa"/>
            <w:tcBorders>
              <w:top w:val="single" w:color="000000" w:sz="4" w:space="0"/>
              <w:left w:val="single" w:color="000000" w:sz="4" w:space="0"/>
              <w:bottom w:val="single" w:color="000000" w:sz="4" w:space="0"/>
              <w:right w:val="single" w:color="000000" w:sz="4" w:space="0"/>
            </w:tcBorders>
          </w:tcPr>
          <w:p w14:paraId="280CFF70">
            <w:pPr>
              <w:pStyle w:val="43"/>
              <w:shd w:val="clear"/>
              <w:rPr>
                <w:rStyle w:val="35"/>
                <w:rFonts w:ascii="仿宋" w:hAnsi="仿宋" w:eastAsia="仿宋" w:cs="仿宋"/>
                <w:color w:val="auto"/>
                <w:sz w:val="24"/>
                <w:szCs w:val="24"/>
                <w:highlight w:val="none"/>
                <w:lang w:eastAsia="zh-CN"/>
              </w:rPr>
            </w:pPr>
          </w:p>
        </w:tc>
        <w:tc>
          <w:tcPr>
            <w:tcW w:w="6990" w:type="dxa"/>
            <w:tcBorders>
              <w:top w:val="single" w:color="000000" w:sz="4" w:space="0"/>
              <w:left w:val="single" w:color="000000" w:sz="4" w:space="0"/>
              <w:bottom w:val="single" w:color="000000" w:sz="4" w:space="0"/>
              <w:right w:val="single" w:color="000000" w:sz="4" w:space="0"/>
            </w:tcBorders>
          </w:tcPr>
          <w:p w14:paraId="1EB43E36">
            <w:pPr>
              <w:pStyle w:val="43"/>
              <w:shd w:val="clear"/>
              <w:tabs>
                <w:tab w:val="left" w:pos="686"/>
              </w:tabs>
              <w:spacing w:before="121"/>
              <w:ind w:left="55"/>
              <w:jc w:val="center"/>
              <w:rPr>
                <w:rStyle w:val="35"/>
                <w:rFonts w:ascii="仿宋" w:hAnsi="仿宋" w:eastAsia="仿宋" w:cs="仿宋"/>
                <w:color w:val="auto"/>
                <w:sz w:val="24"/>
                <w:szCs w:val="24"/>
                <w:highlight w:val="none"/>
              </w:rPr>
            </w:pPr>
            <w:r>
              <w:rPr>
                <w:rStyle w:val="35"/>
                <w:rFonts w:hint="eastAsia" w:ascii="仿宋" w:hAnsi="仿宋" w:eastAsia="仿宋" w:cs="仿宋"/>
                <w:color w:val="auto"/>
                <w:sz w:val="24"/>
                <w:szCs w:val="24"/>
                <w:highlight w:val="none"/>
              </w:rPr>
              <w:t>结论</w:t>
            </w:r>
          </w:p>
        </w:tc>
        <w:tc>
          <w:tcPr>
            <w:tcW w:w="631" w:type="dxa"/>
            <w:tcBorders>
              <w:top w:val="single" w:color="000000" w:sz="4" w:space="0"/>
              <w:left w:val="single" w:color="000000" w:sz="4" w:space="0"/>
              <w:bottom w:val="single" w:color="000000" w:sz="4" w:space="0"/>
              <w:right w:val="single" w:color="000000" w:sz="4" w:space="0"/>
            </w:tcBorders>
          </w:tcPr>
          <w:p w14:paraId="7FCFF879">
            <w:pPr>
              <w:pStyle w:val="43"/>
              <w:shd w:val="clear"/>
              <w:rPr>
                <w:rStyle w:val="35"/>
                <w:rFonts w:ascii="仿宋" w:hAnsi="仿宋" w:eastAsia="仿宋" w:cs="仿宋"/>
                <w:color w:val="auto"/>
                <w:sz w:val="24"/>
                <w:szCs w:val="24"/>
                <w:highlight w:val="none"/>
              </w:rPr>
            </w:pPr>
          </w:p>
        </w:tc>
        <w:tc>
          <w:tcPr>
            <w:tcW w:w="665" w:type="dxa"/>
            <w:tcBorders>
              <w:top w:val="single" w:color="000000" w:sz="4" w:space="0"/>
              <w:left w:val="single" w:color="000000" w:sz="4" w:space="0"/>
              <w:bottom w:val="single" w:color="000000" w:sz="4" w:space="0"/>
              <w:right w:val="single" w:color="000000" w:sz="4" w:space="0"/>
            </w:tcBorders>
          </w:tcPr>
          <w:p w14:paraId="17D35D67">
            <w:pPr>
              <w:pStyle w:val="43"/>
              <w:shd w:val="clear"/>
              <w:rPr>
                <w:rStyle w:val="35"/>
                <w:rFonts w:ascii="仿宋" w:hAnsi="仿宋" w:eastAsia="仿宋" w:cs="仿宋"/>
                <w:color w:val="auto"/>
                <w:sz w:val="24"/>
                <w:szCs w:val="24"/>
                <w:highlight w:val="none"/>
              </w:rPr>
            </w:pPr>
          </w:p>
        </w:tc>
      </w:tr>
    </w:tbl>
    <w:p w14:paraId="4FA70023">
      <w:pPr>
        <w:shd w:val="clear"/>
        <w:spacing w:before="49"/>
        <w:ind w:left="531"/>
        <w:rPr>
          <w:rStyle w:val="35"/>
          <w:rFonts w:ascii="仿宋" w:hAnsi="仿宋" w:eastAsia="仿宋" w:cs="仿宋"/>
          <w:color w:val="auto"/>
          <w:sz w:val="20"/>
          <w:szCs w:val="24"/>
          <w:highlight w:val="none"/>
          <w:lang w:eastAsia="zh-CN"/>
        </w:rPr>
      </w:pPr>
      <w:r>
        <w:rPr>
          <w:rStyle w:val="35"/>
          <w:rFonts w:hint="eastAsia" w:ascii="仿宋" w:hAnsi="仿宋" w:eastAsia="仿宋" w:cs="仿宋"/>
          <w:color w:val="auto"/>
          <w:sz w:val="20"/>
          <w:szCs w:val="24"/>
          <w:highlight w:val="none"/>
          <w:lang w:eastAsia="zh-CN"/>
        </w:rPr>
        <w:t>说明：（1）上述各项中用“√”表示通过，“×”表示不通过；</w:t>
      </w:r>
    </w:p>
    <w:p w14:paraId="03CEA24C">
      <w:pPr>
        <w:shd w:val="clear"/>
        <w:spacing w:before="83" w:line="326" w:lineRule="auto"/>
        <w:ind w:left="171" w:right="208" w:firstLine="360"/>
        <w:rPr>
          <w:rStyle w:val="35"/>
          <w:rFonts w:ascii="仿宋" w:hAnsi="仿宋" w:eastAsia="仿宋" w:cs="仿宋"/>
          <w:color w:val="auto"/>
          <w:sz w:val="20"/>
          <w:szCs w:val="24"/>
          <w:highlight w:val="none"/>
          <w:lang w:eastAsia="zh-CN"/>
        </w:rPr>
      </w:pPr>
      <w:r>
        <w:rPr>
          <w:rStyle w:val="35"/>
          <w:rFonts w:hint="eastAsia" w:ascii="仿宋" w:hAnsi="仿宋" w:eastAsia="仿宋" w:cs="仿宋"/>
          <w:color w:val="auto"/>
          <w:spacing w:val="-5"/>
          <w:sz w:val="20"/>
          <w:szCs w:val="24"/>
          <w:highlight w:val="none"/>
          <w:lang w:eastAsia="zh-CN"/>
        </w:rPr>
        <w:t>（2）上述各项中如有一项为“×”，则结论为“×”，表示该响应文件中存在重大偏差，不能通过初步评审评委对某一分项评审认为不合格时，必须要写明原因。</w:t>
      </w:r>
    </w:p>
    <w:p w14:paraId="2614A4D7">
      <w:pPr>
        <w:shd w:val="clear"/>
        <w:spacing w:before="20"/>
        <w:ind w:left="531"/>
        <w:rPr>
          <w:rStyle w:val="35"/>
          <w:rFonts w:ascii="仿宋" w:hAnsi="仿宋" w:eastAsia="仿宋" w:cs="仿宋"/>
          <w:color w:val="auto"/>
          <w:sz w:val="20"/>
          <w:szCs w:val="24"/>
          <w:highlight w:val="none"/>
          <w:lang w:eastAsia="zh-CN"/>
        </w:rPr>
      </w:pPr>
      <w:r>
        <w:rPr>
          <w:rStyle w:val="35"/>
          <w:rFonts w:hint="eastAsia" w:ascii="仿宋" w:hAnsi="仿宋" w:eastAsia="仿宋" w:cs="仿宋"/>
          <w:color w:val="auto"/>
          <w:sz w:val="20"/>
          <w:szCs w:val="24"/>
          <w:highlight w:val="none"/>
          <w:lang w:eastAsia="zh-CN"/>
        </w:rPr>
        <w:t>（3）响应文件最终合格与否，以所有评委的评审意见中少数服从多数为原则定论。</w:t>
      </w:r>
    </w:p>
    <w:p w14:paraId="2183F497">
      <w:pPr>
        <w:shd w:val="clear"/>
        <w:spacing w:before="83" w:line="326" w:lineRule="auto"/>
        <w:ind w:left="171" w:right="122" w:firstLine="360"/>
        <w:rPr>
          <w:rStyle w:val="35"/>
          <w:rFonts w:ascii="仿宋" w:hAnsi="仿宋" w:eastAsia="仿宋" w:cs="仿宋"/>
          <w:color w:val="auto"/>
          <w:sz w:val="20"/>
          <w:szCs w:val="24"/>
          <w:highlight w:val="none"/>
          <w:lang w:eastAsia="zh-CN"/>
        </w:rPr>
      </w:pPr>
      <w:r>
        <w:rPr>
          <w:rStyle w:val="35"/>
          <w:rFonts w:hint="eastAsia" w:ascii="仿宋" w:hAnsi="仿宋" w:eastAsia="仿宋" w:cs="仿宋"/>
          <w:color w:val="auto"/>
          <w:sz w:val="20"/>
          <w:szCs w:val="24"/>
          <w:highlight w:val="none"/>
          <w:lang w:eastAsia="zh-CN"/>
        </w:rPr>
        <w:t>（4）供应商请认真阅读和理解上述内容，避免响应文件中有违背上述审查标准之一的情况发生而造成投标被否决。</w:t>
      </w:r>
    </w:p>
    <w:p w14:paraId="1A73DF68">
      <w:pPr>
        <w:shd w:val="clear"/>
        <w:spacing w:line="333" w:lineRule="exact"/>
        <w:ind w:left="169"/>
        <w:rPr>
          <w:rStyle w:val="35"/>
          <w:rFonts w:ascii="仿宋" w:hAnsi="仿宋" w:eastAsia="仿宋" w:cs="仿宋"/>
          <w:b/>
          <w:color w:val="auto"/>
          <w:sz w:val="28"/>
          <w:highlight w:val="none"/>
          <w:lang w:eastAsia="zh-CN"/>
        </w:rPr>
      </w:pPr>
    </w:p>
    <w:p w14:paraId="4903DE4F">
      <w:pPr>
        <w:shd w:val="clear"/>
        <w:spacing w:before="32"/>
        <w:ind w:left="169"/>
        <w:rPr>
          <w:rStyle w:val="35"/>
          <w:rFonts w:ascii="仿宋" w:hAnsi="仿宋" w:eastAsia="仿宋" w:cs="仿宋"/>
          <w:b/>
          <w:color w:val="auto"/>
          <w:sz w:val="28"/>
          <w:highlight w:val="none"/>
          <w:lang w:eastAsia="zh-CN"/>
        </w:rPr>
      </w:pPr>
    </w:p>
    <w:p w14:paraId="382A4DB6">
      <w:pPr>
        <w:shd w:val="clear"/>
        <w:rPr>
          <w:rStyle w:val="35"/>
          <w:rFonts w:ascii="仿宋" w:hAnsi="仿宋" w:eastAsia="仿宋" w:cs="仿宋"/>
          <w:color w:val="auto"/>
          <w:sz w:val="28"/>
          <w:highlight w:val="none"/>
          <w:lang w:eastAsia="zh-CN"/>
        </w:rPr>
        <w:sectPr>
          <w:pgSz w:w="11910" w:h="16840"/>
          <w:pgMar w:top="1420" w:right="1240" w:bottom="1180" w:left="1420" w:header="0" w:footer="912" w:gutter="0"/>
          <w:pgBorders>
            <w:top w:val="none" w:sz="0" w:space="0"/>
            <w:left w:val="none" w:sz="0" w:space="0"/>
            <w:bottom w:val="none" w:sz="0" w:space="0"/>
            <w:right w:val="none" w:sz="0" w:space="0"/>
          </w:pgBorders>
          <w:pgNumType w:fmt="decimal"/>
          <w:cols w:space="720" w:num="1"/>
        </w:sectPr>
      </w:pPr>
    </w:p>
    <w:p w14:paraId="584ACB06">
      <w:pPr>
        <w:keepNext w:val="0"/>
        <w:keepLines w:val="0"/>
        <w:pageBreakBefore w:val="0"/>
        <w:shd w:val="clear"/>
        <w:kinsoku/>
        <w:wordWrap/>
        <w:overflowPunct/>
        <w:topLinePunct w:val="0"/>
        <w:bidi w:val="0"/>
        <w:spacing w:line="361" w:lineRule="exact"/>
        <w:rPr>
          <w:rStyle w:val="35"/>
          <w:rFonts w:ascii="仿宋" w:hAnsi="仿宋" w:eastAsia="仿宋" w:cs="仿宋"/>
          <w:b/>
          <w:color w:val="auto"/>
          <w:sz w:val="28"/>
          <w:highlight w:val="none"/>
          <w:lang w:eastAsia="zh-CN"/>
        </w:rPr>
      </w:pPr>
      <w:r>
        <w:rPr>
          <w:rStyle w:val="35"/>
          <w:rFonts w:hint="eastAsia" w:ascii="仿宋" w:hAnsi="仿宋" w:eastAsia="仿宋" w:cs="仿宋"/>
          <w:b/>
          <w:color w:val="auto"/>
          <w:sz w:val="28"/>
          <w:highlight w:val="none"/>
          <w:lang w:eastAsia="zh-CN"/>
        </w:rPr>
        <w:t>附表</w:t>
      </w:r>
      <w:r>
        <w:rPr>
          <w:rStyle w:val="35"/>
          <w:rFonts w:hint="eastAsia" w:ascii="仿宋" w:hAnsi="仿宋" w:eastAsia="仿宋" w:cs="仿宋"/>
          <w:b/>
          <w:color w:val="auto"/>
          <w:sz w:val="28"/>
          <w:highlight w:val="none"/>
          <w:lang w:val="en-US" w:eastAsia="zh-CN"/>
        </w:rPr>
        <w:t>3</w:t>
      </w:r>
      <w:r>
        <w:rPr>
          <w:rStyle w:val="35"/>
          <w:rFonts w:hint="eastAsia" w:ascii="仿宋" w:hAnsi="仿宋" w:eastAsia="仿宋" w:cs="仿宋"/>
          <w:b/>
          <w:color w:val="auto"/>
          <w:sz w:val="28"/>
          <w:highlight w:val="none"/>
          <w:lang w:eastAsia="zh-CN"/>
        </w:rPr>
        <w:t>：详细评审标准</w:t>
      </w:r>
    </w:p>
    <w:tbl>
      <w:tblPr>
        <w:tblStyle w:val="27"/>
        <w:tblW w:w="929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1"/>
        <w:gridCol w:w="1836"/>
        <w:gridCol w:w="5665"/>
        <w:gridCol w:w="741"/>
      </w:tblGrid>
      <w:tr w14:paraId="6EE7E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887" w:type="dxa"/>
            <w:gridSpan w:val="2"/>
          </w:tcPr>
          <w:p w14:paraId="73B5667B">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5665" w:type="dxa"/>
          </w:tcPr>
          <w:p w14:paraId="79B3FC8A">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评审标准</w:t>
            </w:r>
          </w:p>
        </w:tc>
        <w:tc>
          <w:tcPr>
            <w:tcW w:w="741" w:type="dxa"/>
            <w:vAlign w:val="center"/>
          </w:tcPr>
          <w:p w14:paraId="49F729D1">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分值</w:t>
            </w:r>
          </w:p>
        </w:tc>
      </w:tr>
      <w:tr w14:paraId="704C20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2887" w:type="dxa"/>
            <w:gridSpan w:val="2"/>
            <w:vMerge w:val="restart"/>
          </w:tcPr>
          <w:p w14:paraId="2680B3C9">
            <w:pPr>
              <w:pStyle w:val="58"/>
              <w:keepNext w:val="0"/>
              <w:keepLines w:val="0"/>
              <w:pageBreakBefore w:val="0"/>
              <w:kinsoku/>
              <w:wordWrap/>
              <w:overflowPunct/>
              <w:topLinePunct w:val="0"/>
              <w:bidi w:val="0"/>
              <w:adjustRightInd/>
              <w:snapToGrid/>
              <w:spacing w:line="360" w:lineRule="auto"/>
              <w:ind w:left="0" w:right="0"/>
              <w:rPr>
                <w:rFonts w:ascii="仿宋" w:hAnsi="仿宋" w:eastAsia="仿宋" w:cs="仿宋"/>
                <w:b/>
                <w:bCs/>
                <w:color w:val="auto"/>
                <w:sz w:val="24"/>
                <w:szCs w:val="24"/>
                <w:highlight w:val="none"/>
              </w:rPr>
            </w:pPr>
          </w:p>
          <w:p w14:paraId="472FD4AE">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分值构成</w:t>
            </w:r>
          </w:p>
          <w:p w14:paraId="0D663BCE">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（总分100分)</w:t>
            </w:r>
          </w:p>
        </w:tc>
        <w:tc>
          <w:tcPr>
            <w:tcW w:w="5665" w:type="dxa"/>
          </w:tcPr>
          <w:p w14:paraId="43FF14F4">
            <w:pPr>
              <w:pStyle w:val="58"/>
              <w:keepNext w:val="0"/>
              <w:keepLines w:val="0"/>
              <w:pageBreakBefore w:val="0"/>
              <w:kinsoku/>
              <w:wordWrap/>
              <w:overflowPunct/>
              <w:topLinePunct w:val="0"/>
              <w:bidi w:val="0"/>
              <w:adjustRightInd/>
              <w:snapToGrid/>
              <w:spacing w:line="360" w:lineRule="auto"/>
              <w:ind w:left="0" w:right="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评审价格：</w:t>
            </w:r>
            <w:r>
              <w:rPr>
                <w:rFonts w:hint="eastAsia" w:ascii="仿宋" w:hAnsi="仿宋" w:eastAsia="仿宋" w:cs="仿宋"/>
                <w:b/>
                <w:bCs/>
                <w:color w:val="auto"/>
                <w:sz w:val="24"/>
                <w:szCs w:val="24"/>
                <w:highlight w:val="none"/>
                <w:lang w:val="en-US" w:eastAsia="zh-CN"/>
              </w:rPr>
              <w:t>10</w:t>
            </w:r>
            <w:r>
              <w:rPr>
                <w:rFonts w:hint="eastAsia" w:ascii="仿宋" w:hAnsi="仿宋" w:eastAsia="仿宋" w:cs="仿宋"/>
                <w:b/>
                <w:bCs/>
                <w:color w:val="auto"/>
                <w:sz w:val="24"/>
                <w:szCs w:val="24"/>
                <w:highlight w:val="none"/>
              </w:rPr>
              <w:t xml:space="preserve">分 </w:t>
            </w:r>
          </w:p>
        </w:tc>
        <w:tc>
          <w:tcPr>
            <w:tcW w:w="741" w:type="dxa"/>
            <w:vMerge w:val="restart"/>
            <w:vAlign w:val="center"/>
          </w:tcPr>
          <w:p w14:paraId="011E4EA1">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100</w:t>
            </w:r>
          </w:p>
        </w:tc>
      </w:tr>
      <w:tr w14:paraId="34B0F1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2887" w:type="dxa"/>
            <w:gridSpan w:val="2"/>
            <w:vMerge w:val="continue"/>
            <w:tcBorders>
              <w:top w:val="nil"/>
            </w:tcBorders>
          </w:tcPr>
          <w:p w14:paraId="2960E5DC">
            <w:pPr>
              <w:keepNext w:val="0"/>
              <w:keepLines w:val="0"/>
              <w:pageBreakBefore w:val="0"/>
              <w:kinsoku/>
              <w:wordWrap/>
              <w:overflowPunct/>
              <w:topLinePunct w:val="0"/>
              <w:bidi w:val="0"/>
              <w:adjustRightInd/>
              <w:snapToGrid/>
              <w:spacing w:line="360" w:lineRule="auto"/>
              <w:ind w:left="0" w:right="0"/>
              <w:rPr>
                <w:rFonts w:ascii="仿宋" w:hAnsi="仿宋" w:eastAsia="仿宋" w:cs="仿宋"/>
                <w:color w:val="auto"/>
                <w:sz w:val="24"/>
                <w:szCs w:val="24"/>
                <w:highlight w:val="none"/>
              </w:rPr>
            </w:pPr>
          </w:p>
        </w:tc>
        <w:tc>
          <w:tcPr>
            <w:tcW w:w="5665" w:type="dxa"/>
          </w:tcPr>
          <w:p w14:paraId="4B11A8B6">
            <w:pPr>
              <w:pStyle w:val="58"/>
              <w:keepNext w:val="0"/>
              <w:keepLines w:val="0"/>
              <w:pageBreakBefore w:val="0"/>
              <w:kinsoku/>
              <w:wordWrap/>
              <w:overflowPunct/>
              <w:topLinePunct w:val="0"/>
              <w:bidi w:val="0"/>
              <w:adjustRightInd/>
              <w:snapToGrid/>
              <w:spacing w:line="360" w:lineRule="auto"/>
              <w:ind w:left="0" w:right="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商务技术部分方案：</w:t>
            </w:r>
            <w:r>
              <w:rPr>
                <w:rFonts w:hint="eastAsia" w:ascii="仿宋" w:hAnsi="仿宋" w:eastAsia="仿宋" w:cs="仿宋"/>
                <w:b/>
                <w:bCs/>
                <w:color w:val="auto"/>
                <w:sz w:val="24"/>
                <w:szCs w:val="24"/>
                <w:highlight w:val="none"/>
                <w:lang w:val="en-US" w:eastAsia="zh-CN"/>
              </w:rPr>
              <w:t>9</w:t>
            </w:r>
            <w:r>
              <w:rPr>
                <w:rFonts w:hint="eastAsia" w:ascii="仿宋" w:hAnsi="仿宋" w:eastAsia="仿宋" w:cs="仿宋"/>
                <w:b/>
                <w:bCs/>
                <w:color w:val="auto"/>
                <w:sz w:val="24"/>
                <w:szCs w:val="24"/>
                <w:highlight w:val="none"/>
              </w:rPr>
              <w:t xml:space="preserve">0分 </w:t>
            </w:r>
          </w:p>
        </w:tc>
        <w:tc>
          <w:tcPr>
            <w:tcW w:w="741" w:type="dxa"/>
            <w:vMerge w:val="continue"/>
          </w:tcPr>
          <w:p w14:paraId="57E709E1">
            <w:pPr>
              <w:pStyle w:val="58"/>
              <w:keepNext w:val="0"/>
              <w:keepLines w:val="0"/>
              <w:pageBreakBefore w:val="0"/>
              <w:kinsoku/>
              <w:wordWrap/>
              <w:overflowPunct/>
              <w:topLinePunct w:val="0"/>
              <w:bidi w:val="0"/>
              <w:adjustRightInd/>
              <w:snapToGrid/>
              <w:spacing w:line="360" w:lineRule="auto"/>
              <w:ind w:left="0" w:right="0"/>
              <w:rPr>
                <w:rFonts w:ascii="仿宋" w:hAnsi="仿宋" w:eastAsia="仿宋" w:cs="仿宋"/>
                <w:color w:val="auto"/>
                <w:sz w:val="24"/>
                <w:szCs w:val="24"/>
                <w:highlight w:val="none"/>
              </w:rPr>
            </w:pPr>
          </w:p>
        </w:tc>
      </w:tr>
      <w:tr w14:paraId="6F900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7" w:hRule="atLeast"/>
        </w:trPr>
        <w:tc>
          <w:tcPr>
            <w:tcW w:w="2887" w:type="dxa"/>
            <w:gridSpan w:val="2"/>
            <w:vAlign w:val="center"/>
          </w:tcPr>
          <w:p w14:paraId="78648686">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p w14:paraId="4CB64FF3">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p w14:paraId="0DB9AF62">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评审价格</w:t>
            </w:r>
          </w:p>
          <w:p w14:paraId="1EB252F6">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5665" w:type="dxa"/>
            <w:vAlign w:val="center"/>
          </w:tcPr>
          <w:p w14:paraId="7AF9726B">
            <w:pPr>
              <w:pStyle w:val="58"/>
              <w:keepNext w:val="0"/>
              <w:keepLines w:val="0"/>
              <w:pageBreakBefore w:val="0"/>
              <w:kinsoku/>
              <w:wordWrap/>
              <w:overflowPunct/>
              <w:topLinePunct w:val="0"/>
              <w:bidi w:val="0"/>
              <w:adjustRightInd/>
              <w:snapToGrid/>
              <w:spacing w:line="360" w:lineRule="auto"/>
              <w:ind w:left="0" w:right="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满足磋商文件要求且最终报价最低的报价为评审基准价，其价格分为满分。其他满足磋商文件要求的供应商的价格分统一按照下列公式计算：</w:t>
            </w:r>
          </w:p>
          <w:p w14:paraId="277907A8">
            <w:pPr>
              <w:pStyle w:val="58"/>
              <w:keepNext w:val="0"/>
              <w:keepLines w:val="0"/>
              <w:pageBreakBefore w:val="0"/>
              <w:kinsoku/>
              <w:wordWrap/>
              <w:overflowPunct/>
              <w:topLinePunct w:val="0"/>
              <w:bidi w:val="0"/>
              <w:adjustRightInd/>
              <w:snapToGrid/>
              <w:spacing w:line="360" w:lineRule="auto"/>
              <w:ind w:left="0" w:right="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评审价格分数=（评审基准价/最终报价）×价格权重（10%）×100 </w:t>
            </w:r>
          </w:p>
          <w:p w14:paraId="32170A1C">
            <w:pPr>
              <w:pStyle w:val="58"/>
              <w:keepNext w:val="0"/>
              <w:keepLines w:val="0"/>
              <w:pageBreakBefore w:val="0"/>
              <w:kinsoku/>
              <w:wordWrap/>
              <w:overflowPunct/>
              <w:topLinePunct w:val="0"/>
              <w:bidi w:val="0"/>
              <w:adjustRightInd/>
              <w:snapToGrid/>
              <w:spacing w:line="360" w:lineRule="auto"/>
              <w:ind w:left="0" w:right="0"/>
              <w:jc w:val="both"/>
              <w:rPr>
                <w:rFonts w:hint="eastAsia" w:ascii="仿宋" w:hAnsi="仿宋" w:eastAsia="仿宋" w:cs="仿宋"/>
                <w:color w:val="auto"/>
                <w:spacing w:val="-8"/>
                <w:sz w:val="24"/>
                <w:szCs w:val="24"/>
                <w:highlight w:val="none"/>
              </w:rPr>
            </w:pPr>
            <w:r>
              <w:rPr>
                <w:rFonts w:hint="eastAsia" w:ascii="仿宋" w:hAnsi="仿宋" w:eastAsia="仿宋" w:cs="仿宋"/>
                <w:color w:val="auto"/>
                <w:sz w:val="24"/>
                <w:szCs w:val="24"/>
                <w:highlight w:val="none"/>
                <w:lang w:val="en-US" w:eastAsia="zh-CN"/>
              </w:rPr>
              <w:t>评标委员会认为投标人的报价明显低于其他通过符合性审查投标人的报价，有可能影响服务质量或者不能诚信履约的，应当要求其在合理的时间内提供书面说明，必要时提交相关证明材料；投标人不能证明其报价合理性的，其投标将被作为无效投标被拒绝。</w:t>
            </w:r>
          </w:p>
        </w:tc>
        <w:tc>
          <w:tcPr>
            <w:tcW w:w="741" w:type="dxa"/>
            <w:vAlign w:val="center"/>
          </w:tcPr>
          <w:p w14:paraId="522D1C0B">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41E38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6" w:hRule="atLeast"/>
        </w:trPr>
        <w:tc>
          <w:tcPr>
            <w:tcW w:w="1051" w:type="dxa"/>
            <w:vMerge w:val="restart"/>
            <w:vAlign w:val="center"/>
          </w:tcPr>
          <w:p w14:paraId="1E0359B1">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商务</w:t>
            </w:r>
          </w:p>
          <w:p w14:paraId="46946706">
            <w:pPr>
              <w:pStyle w:val="58"/>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pacing w:val="-2"/>
                <w:sz w:val="24"/>
                <w:szCs w:val="24"/>
                <w:highlight w:val="none"/>
              </w:rPr>
            </w:pPr>
            <w:r>
              <w:rPr>
                <w:rFonts w:hint="eastAsia" w:ascii="仿宋" w:hAnsi="仿宋" w:eastAsia="仿宋" w:cs="仿宋"/>
                <w:color w:val="auto"/>
                <w:spacing w:val="-2"/>
                <w:sz w:val="24"/>
                <w:szCs w:val="24"/>
                <w:highlight w:val="none"/>
              </w:rPr>
              <w:t>技术部分</w:t>
            </w:r>
          </w:p>
          <w:p w14:paraId="5CAE6217">
            <w:pPr>
              <w:pStyle w:val="58"/>
              <w:keepNext w:val="0"/>
              <w:keepLines w:val="0"/>
              <w:pageBreakBefore w:val="0"/>
              <w:kinsoku/>
              <w:wordWrap/>
              <w:overflowPunct/>
              <w:topLinePunct w:val="0"/>
              <w:bidi w:val="0"/>
              <w:adjustRightInd/>
              <w:snapToGrid/>
              <w:spacing w:line="360" w:lineRule="auto"/>
              <w:ind w:left="0" w:right="0"/>
              <w:jc w:val="center"/>
              <w:rPr>
                <w:color w:val="auto"/>
                <w:highlight w:val="none"/>
              </w:rPr>
            </w:pPr>
          </w:p>
        </w:tc>
        <w:tc>
          <w:tcPr>
            <w:tcW w:w="1836" w:type="dxa"/>
            <w:vAlign w:val="center"/>
          </w:tcPr>
          <w:p w14:paraId="5583D29F">
            <w:pPr>
              <w:keepNext w:val="0"/>
              <w:keepLines w:val="0"/>
              <w:pageBreakBefore w:val="0"/>
              <w:kinsoku/>
              <w:wordWrap/>
              <w:overflowPunct/>
              <w:topLinePunct w:val="0"/>
              <w:bidi w:val="0"/>
              <w:adjustRightInd/>
              <w:snapToGrid/>
              <w:spacing w:line="360" w:lineRule="auto"/>
              <w:ind w:left="0" w:right="0"/>
              <w:jc w:val="center"/>
              <w:rPr>
                <w:rFonts w:hint="eastAsia" w:ascii="仿宋" w:hAnsi="仿宋" w:eastAsia="仿宋" w:cs="仿宋"/>
                <w:color w:val="auto"/>
                <w:spacing w:val="-8"/>
                <w:kern w:val="2"/>
                <w:sz w:val="24"/>
                <w:szCs w:val="24"/>
                <w:highlight w:val="none"/>
                <w:lang w:val="en-US" w:eastAsia="zh-CN" w:bidi="ar-SA"/>
              </w:rPr>
            </w:pPr>
            <w:r>
              <w:rPr>
                <w:rFonts w:hint="eastAsia" w:ascii="仿宋" w:hAnsi="仿宋" w:eastAsia="仿宋" w:cs="仿宋"/>
                <w:color w:val="auto"/>
                <w:spacing w:val="-8"/>
                <w:kern w:val="2"/>
                <w:sz w:val="24"/>
                <w:szCs w:val="24"/>
                <w:highlight w:val="none"/>
                <w:lang w:val="en-US" w:eastAsia="zh-CN" w:bidi="ar-SA"/>
              </w:rPr>
              <w:t>类似业绩</w:t>
            </w:r>
          </w:p>
        </w:tc>
        <w:tc>
          <w:tcPr>
            <w:tcW w:w="5665" w:type="dxa"/>
            <w:vAlign w:val="center"/>
          </w:tcPr>
          <w:p w14:paraId="19E853C5">
            <w:pPr>
              <w:pStyle w:val="58"/>
              <w:keepNext w:val="0"/>
              <w:keepLines w:val="0"/>
              <w:pageBreakBefore w:val="0"/>
              <w:kinsoku/>
              <w:wordWrap/>
              <w:overflowPunct/>
              <w:topLinePunct w:val="0"/>
              <w:bidi w:val="0"/>
              <w:adjustRightInd/>
              <w:snapToGrid/>
              <w:spacing w:line="360" w:lineRule="auto"/>
              <w:ind w:left="0" w:right="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供应商提供近5年（2020年1月1日-至今）独立承担的与本项目类似的相关业绩，每提供一项得2分，最多得10分。</w:t>
            </w:r>
          </w:p>
          <w:p w14:paraId="0332C2EC">
            <w:pPr>
              <w:pStyle w:val="58"/>
              <w:keepNext w:val="0"/>
              <w:keepLines w:val="0"/>
              <w:pageBreakBefore w:val="0"/>
              <w:kinsoku/>
              <w:wordWrap/>
              <w:overflowPunct/>
              <w:topLinePunct w:val="0"/>
              <w:bidi w:val="0"/>
              <w:adjustRightInd/>
              <w:snapToGrid/>
              <w:spacing w:line="360" w:lineRule="auto"/>
              <w:ind w:left="0" w:right="0"/>
              <w:jc w:val="both"/>
              <w:rPr>
                <w:rFonts w:hint="eastAsia" w:ascii="仿宋" w:hAnsi="仿宋" w:eastAsia="仿宋" w:cs="仿宋"/>
                <w:color w:val="auto"/>
                <w:spacing w:val="-8"/>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备注：业绩证明以合同或中标通知书为准，在投标文件中附合同（协议）扫描件（合同须包含合同首页、金额页、服务内容页、签字盖章页）或中标（成交）通知书扫描件加盖单位公章，未提供业绩证明材或内容模糊不清的，其业绩不予认定，弄虚作假者取消其投标资格并追究其法律责任）。</w:t>
            </w:r>
          </w:p>
        </w:tc>
        <w:tc>
          <w:tcPr>
            <w:tcW w:w="741" w:type="dxa"/>
            <w:vAlign w:val="center"/>
          </w:tcPr>
          <w:p w14:paraId="07BF7D9D">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34AB9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51" w:type="dxa"/>
            <w:vMerge w:val="continue"/>
            <w:vAlign w:val="center"/>
          </w:tcPr>
          <w:p w14:paraId="201568A5">
            <w:pPr>
              <w:pStyle w:val="58"/>
              <w:keepNext w:val="0"/>
              <w:keepLines w:val="0"/>
              <w:pageBreakBefore w:val="0"/>
              <w:kinsoku/>
              <w:wordWrap/>
              <w:overflowPunct/>
              <w:topLinePunct w:val="0"/>
              <w:bidi w:val="0"/>
              <w:adjustRightInd/>
              <w:snapToGrid/>
              <w:spacing w:line="360" w:lineRule="auto"/>
              <w:ind w:left="0" w:right="0"/>
              <w:jc w:val="center"/>
              <w:rPr>
                <w:color w:val="auto"/>
                <w:highlight w:val="none"/>
              </w:rPr>
            </w:pPr>
          </w:p>
        </w:tc>
        <w:tc>
          <w:tcPr>
            <w:tcW w:w="1836" w:type="dxa"/>
            <w:tcBorders>
              <w:top w:val="single" w:color="auto" w:sz="4" w:space="0"/>
            </w:tcBorders>
            <w:vAlign w:val="center"/>
          </w:tcPr>
          <w:p w14:paraId="56AF1877">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企业实力</w:t>
            </w:r>
          </w:p>
        </w:tc>
        <w:tc>
          <w:tcPr>
            <w:tcW w:w="5665" w:type="dxa"/>
            <w:vAlign w:val="center"/>
          </w:tcPr>
          <w:p w14:paraId="7477BAD0">
            <w:pPr>
              <w:pStyle w:val="58"/>
              <w:keepNext w:val="0"/>
              <w:keepLines w:val="0"/>
              <w:pageBreakBefore w:val="0"/>
              <w:kinsoku/>
              <w:wordWrap/>
              <w:overflowPunct/>
              <w:topLinePunct w:val="0"/>
              <w:bidi w:val="0"/>
              <w:adjustRightInd/>
              <w:snapToGrid/>
              <w:spacing w:line="360" w:lineRule="auto"/>
              <w:ind w:left="0" w:right="0"/>
              <w:jc w:val="both"/>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投标人具备有效的质量管理体系认证证书、信息技术服务管理体系认证证书，每提供一个得2分，最多得4分。</w:t>
            </w:r>
          </w:p>
        </w:tc>
        <w:tc>
          <w:tcPr>
            <w:tcW w:w="741" w:type="dxa"/>
            <w:vAlign w:val="center"/>
          </w:tcPr>
          <w:p w14:paraId="773997CA">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r>
      <w:tr w14:paraId="64149E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051" w:type="dxa"/>
            <w:vMerge w:val="continue"/>
            <w:vAlign w:val="center"/>
          </w:tcPr>
          <w:p w14:paraId="1B4626C0">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bookmarkStart w:id="67" w:name="OLE_LINK19" w:colFirst="1" w:colLast="2"/>
          </w:p>
        </w:tc>
        <w:tc>
          <w:tcPr>
            <w:tcW w:w="1836" w:type="dxa"/>
            <w:vMerge w:val="restart"/>
            <w:vAlign w:val="center"/>
          </w:tcPr>
          <w:p w14:paraId="10FAAC0F">
            <w:pPr>
              <w:keepNext w:val="0"/>
              <w:keepLines w:val="0"/>
              <w:pageBreakBefore w:val="0"/>
              <w:kinsoku/>
              <w:wordWrap/>
              <w:overflowPunct/>
              <w:topLinePunct w:val="0"/>
              <w:bidi w:val="0"/>
              <w:adjustRightInd/>
              <w:snapToGrid/>
              <w:spacing w:line="36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项目组人员配备</w:t>
            </w:r>
          </w:p>
        </w:tc>
        <w:tc>
          <w:tcPr>
            <w:tcW w:w="5665" w:type="dxa"/>
            <w:vAlign w:val="center"/>
          </w:tcPr>
          <w:p w14:paraId="4F8D27E0">
            <w:pPr>
              <w:keepNext w:val="0"/>
              <w:keepLines w:val="0"/>
              <w:pageBreakBefore w:val="0"/>
              <w:kinsoku/>
              <w:wordWrap/>
              <w:overflowPunct/>
              <w:topLinePunct w:val="0"/>
              <w:bidi w:val="0"/>
              <w:adjustRightInd/>
              <w:snapToGrid/>
              <w:spacing w:line="360" w:lineRule="auto"/>
              <w:ind w:left="0" w:right="0"/>
              <w:jc w:val="both"/>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项目负责</w:t>
            </w:r>
            <w:r>
              <w:rPr>
                <w:rFonts w:hint="eastAsia" w:ascii="仿宋" w:hAnsi="仿宋" w:eastAsia="仿宋" w:cs="仿宋"/>
                <w:color w:val="auto"/>
                <w:sz w:val="24"/>
                <w:szCs w:val="24"/>
                <w:highlight w:val="none"/>
                <w:lang w:val="en-US" w:eastAsia="zh-CN"/>
              </w:rPr>
              <w:t>人：具有相关专业副高级职称证书及以上的得3分；具备相关类似业绩，每提供一项业绩得1分，业绩需体现项目负责人的；最高得6分；</w:t>
            </w:r>
          </w:p>
        </w:tc>
        <w:tc>
          <w:tcPr>
            <w:tcW w:w="741" w:type="dxa"/>
            <w:vAlign w:val="center"/>
          </w:tcPr>
          <w:p w14:paraId="0568DF87">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29E91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7" w:hRule="atLeast"/>
        </w:trPr>
        <w:tc>
          <w:tcPr>
            <w:tcW w:w="1051" w:type="dxa"/>
            <w:vMerge w:val="continue"/>
            <w:vAlign w:val="center"/>
          </w:tcPr>
          <w:p w14:paraId="34B60D31">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Merge w:val="continue"/>
            <w:vAlign w:val="center"/>
          </w:tcPr>
          <w:p w14:paraId="0B1E8F14">
            <w:pPr>
              <w:keepNext w:val="0"/>
              <w:keepLines w:val="0"/>
              <w:pageBreakBefore w:val="0"/>
              <w:kinsoku/>
              <w:wordWrap/>
              <w:overflowPunct/>
              <w:topLinePunct w:val="0"/>
              <w:bidi w:val="0"/>
              <w:adjustRightInd/>
              <w:snapToGrid/>
              <w:spacing w:line="360" w:lineRule="auto"/>
              <w:ind w:left="0" w:right="0"/>
              <w:jc w:val="center"/>
              <w:rPr>
                <w:rFonts w:hint="eastAsia" w:ascii="仿宋" w:hAnsi="仿宋" w:eastAsia="仿宋" w:cs="仿宋"/>
                <w:color w:val="auto"/>
                <w:sz w:val="24"/>
                <w:szCs w:val="24"/>
                <w:highlight w:val="none"/>
                <w:lang w:val="en-US" w:eastAsia="zh-CN"/>
              </w:rPr>
            </w:pPr>
          </w:p>
        </w:tc>
        <w:tc>
          <w:tcPr>
            <w:tcW w:w="5665" w:type="dxa"/>
            <w:vAlign w:val="center"/>
          </w:tcPr>
          <w:p w14:paraId="419B3DE5">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项目团队成员（不包括项目负责人）：每具有一名相关专业中级及以上职称得1分，其余不得分；最高得7分。</w:t>
            </w:r>
          </w:p>
          <w:p w14:paraId="0D887DF1">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人员不重复计分。投标文件中提供以上人员近六个月任意一个月的社会保险缴纳证明和相关人员职称证书及相应的证明材料复印件加盖公章，否则不得分;如属于退休返聘人员，则须提供人员的退休证及与投标人单位的劳动合同 (或返聘协议或同类的合同/协议) 证明。</w:t>
            </w:r>
          </w:p>
        </w:tc>
        <w:tc>
          <w:tcPr>
            <w:tcW w:w="741" w:type="dxa"/>
            <w:vAlign w:val="center"/>
          </w:tcPr>
          <w:p w14:paraId="066D7AE7">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r>
      <w:bookmarkEnd w:id="67"/>
      <w:tr w14:paraId="5177B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16" w:hRule="atLeast"/>
        </w:trPr>
        <w:tc>
          <w:tcPr>
            <w:tcW w:w="1051" w:type="dxa"/>
            <w:vMerge w:val="continue"/>
            <w:vAlign w:val="center"/>
          </w:tcPr>
          <w:p w14:paraId="47F33AB7">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53B3C40C">
            <w:pPr>
              <w:keepNext w:val="0"/>
              <w:keepLines w:val="0"/>
              <w:pageBreakBefore w:val="0"/>
              <w:kinsoku/>
              <w:wordWrap/>
              <w:overflowPunct/>
              <w:topLinePunct w:val="0"/>
              <w:bidi w:val="0"/>
              <w:adjustRightInd/>
              <w:snapToGrid/>
              <w:spacing w:line="36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项目需求分析</w:t>
            </w:r>
          </w:p>
          <w:p w14:paraId="377670FA">
            <w:pPr>
              <w:keepNext w:val="0"/>
              <w:keepLines w:val="0"/>
              <w:pageBreakBefore w:val="0"/>
              <w:kinsoku/>
              <w:wordWrap/>
              <w:overflowPunct/>
              <w:topLinePunct w:val="0"/>
              <w:bidi w:val="0"/>
              <w:adjustRightInd/>
              <w:snapToGrid/>
              <w:spacing w:line="360" w:lineRule="auto"/>
              <w:ind w:left="0" w:right="0"/>
              <w:jc w:val="center"/>
              <w:rPr>
                <w:rFonts w:hint="eastAsia" w:ascii="仿宋" w:hAnsi="仿宋" w:eastAsia="仿宋" w:cs="仿宋"/>
                <w:color w:val="auto"/>
                <w:sz w:val="24"/>
                <w:szCs w:val="24"/>
                <w:highlight w:val="none"/>
                <w:lang w:eastAsia="zh-CN"/>
              </w:rPr>
            </w:pPr>
          </w:p>
        </w:tc>
        <w:tc>
          <w:tcPr>
            <w:tcW w:w="5665" w:type="dxa"/>
            <w:vAlign w:val="center"/>
          </w:tcPr>
          <w:p w14:paraId="097755B9">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针对本项目采购需求，对项目背景、工作目标、工作任务、工作内容等进行描述，理解充分，表达清晰，符合采购人实际情况得4分，每有一项缺项或漏项扣1分，</w:t>
            </w:r>
            <w:r>
              <w:rPr>
                <w:rFonts w:hint="eastAsia" w:ascii="仿宋" w:hAnsi="仿宋" w:eastAsia="仿宋" w:cs="仿宋"/>
                <w:color w:val="auto"/>
                <w:sz w:val="24"/>
                <w:szCs w:val="24"/>
                <w:highlight w:val="none"/>
              </w:rPr>
              <w:t>每有一处缺陷扣1分，扣完为止。</w:t>
            </w:r>
          </w:p>
          <w:p w14:paraId="45F0567B">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color w:val="auto"/>
                <w:highlight w:val="none"/>
                <w:lang w:eastAsia="zh-CN"/>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w:t>
            </w:r>
            <w:r>
              <w:rPr>
                <w:rFonts w:hint="eastAsia" w:ascii="仿宋" w:hAnsi="仿宋" w:eastAsia="仿宋" w:cs="仿宋"/>
                <w:color w:val="auto"/>
                <w:sz w:val="24"/>
                <w:szCs w:val="24"/>
                <w:highlight w:val="none"/>
                <w:lang w:eastAsia="zh-CN"/>
              </w:rPr>
              <w:t>不详细</w:t>
            </w:r>
            <w:r>
              <w:rPr>
                <w:rFonts w:hint="eastAsia" w:ascii="仿宋" w:hAnsi="仿宋" w:eastAsia="仿宋" w:cs="仿宋"/>
                <w:color w:val="auto"/>
                <w:sz w:val="24"/>
                <w:szCs w:val="24"/>
                <w:highlight w:val="none"/>
              </w:rPr>
              <w:t>或与本项目无关等任意一种情形等，后续评审项缺陷定义同此项）</w:t>
            </w:r>
          </w:p>
        </w:tc>
        <w:tc>
          <w:tcPr>
            <w:tcW w:w="741" w:type="dxa"/>
            <w:vAlign w:val="center"/>
          </w:tcPr>
          <w:p w14:paraId="2BC834EB">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r>
      <w:tr w14:paraId="00E13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51" w:type="dxa"/>
            <w:vMerge w:val="continue"/>
            <w:vAlign w:val="center"/>
          </w:tcPr>
          <w:p w14:paraId="46D6DAB4">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33BF8644">
            <w:pPr>
              <w:keepNext w:val="0"/>
              <w:keepLines w:val="0"/>
              <w:pageBreakBefore w:val="0"/>
              <w:numPr>
                <w:ilvl w:val="0"/>
                <w:numId w:val="0"/>
              </w:numPr>
              <w:kinsoku/>
              <w:wordWrap/>
              <w:overflowPunct/>
              <w:topLinePunct w:val="0"/>
              <w:bidi w:val="0"/>
              <w:adjustRightInd/>
              <w:snapToGrid/>
              <w:spacing w:line="360" w:lineRule="auto"/>
              <w:ind w:left="0" w:right="0" w:right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系统保障</w:t>
            </w:r>
          </w:p>
        </w:tc>
        <w:tc>
          <w:tcPr>
            <w:tcW w:w="5665" w:type="dxa"/>
            <w:vAlign w:val="center"/>
          </w:tcPr>
          <w:p w14:paraId="52D7C4D4">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系统保障方案包括但不限于：系统现有功能维护、同时更新完善用户日志记录、时间轴功能优化以及重点城市地价动态监测成果的附件预览等功能；</w:t>
            </w:r>
            <w:r>
              <w:rPr>
                <w:rFonts w:hint="eastAsia" w:ascii="仿宋" w:hAnsi="仿宋" w:eastAsia="仿宋" w:cs="仿宋"/>
                <w:color w:val="auto"/>
                <w:sz w:val="24"/>
                <w:szCs w:val="24"/>
                <w:highlight w:val="none"/>
                <w:lang w:val="en-US" w:eastAsia="zh-CN"/>
              </w:rPr>
              <w:t>符合采购人实际情况得10分，每有一项缺项或漏项扣2.5分，</w:t>
            </w:r>
            <w:r>
              <w:rPr>
                <w:rFonts w:hint="eastAsia" w:ascii="仿宋" w:hAnsi="仿宋" w:eastAsia="仿宋" w:cs="仿宋"/>
                <w:color w:val="auto"/>
                <w:sz w:val="24"/>
                <w:szCs w:val="24"/>
                <w:highlight w:val="none"/>
                <w:lang w:eastAsia="zh-CN"/>
              </w:rPr>
              <w:t>每有一处缺陷扣1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分，扣完为止。</w:t>
            </w:r>
          </w:p>
        </w:tc>
        <w:tc>
          <w:tcPr>
            <w:tcW w:w="741" w:type="dxa"/>
            <w:vAlign w:val="center"/>
          </w:tcPr>
          <w:p w14:paraId="485C356C">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32F11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51" w:type="dxa"/>
            <w:vMerge w:val="continue"/>
            <w:vAlign w:val="center"/>
          </w:tcPr>
          <w:p w14:paraId="7A4A4A55">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22E9FAB1">
            <w:pPr>
              <w:keepNext w:val="0"/>
              <w:keepLines w:val="0"/>
              <w:pageBreakBefore w:val="0"/>
              <w:shd w:val="clear" w:color="000000" w:fill="auto"/>
              <w:kinsoku/>
              <w:wordWrap/>
              <w:overflowPunct/>
              <w:topLinePunct w:val="0"/>
              <w:bidi w:val="0"/>
              <w:adjustRightInd/>
              <w:snapToGrid/>
              <w:spacing w:line="360" w:lineRule="auto"/>
              <w:ind w:left="0" w:right="0"/>
              <w:jc w:val="center"/>
              <w:rPr>
                <w:rFonts w:ascii="仿宋" w:hAnsi="仿宋" w:eastAsia="仿宋" w:cs="仿宋"/>
                <w:color w:val="auto"/>
                <w:sz w:val="24"/>
                <w:highlight w:val="none"/>
                <w:shd w:val="clear" w:color="000000" w:fill="auto"/>
              </w:rPr>
            </w:pPr>
            <w:r>
              <w:rPr>
                <w:rFonts w:hint="eastAsia" w:ascii="仿宋" w:hAnsi="仿宋" w:eastAsia="仿宋" w:cs="仿宋"/>
                <w:color w:val="auto"/>
                <w:sz w:val="24"/>
                <w:highlight w:val="none"/>
                <w:shd w:val="clear" w:color="000000" w:fill="auto"/>
              </w:rPr>
              <w:t>数据处理</w:t>
            </w:r>
          </w:p>
          <w:p w14:paraId="25DB33FE">
            <w:pPr>
              <w:keepNext w:val="0"/>
              <w:keepLines w:val="0"/>
              <w:pageBreakBefore w:val="0"/>
              <w:numPr>
                <w:ilvl w:val="0"/>
                <w:numId w:val="0"/>
              </w:numPr>
              <w:kinsoku/>
              <w:wordWrap/>
              <w:overflowPunct/>
              <w:topLinePunct w:val="0"/>
              <w:bidi w:val="0"/>
              <w:adjustRightInd/>
              <w:snapToGrid/>
              <w:spacing w:line="360" w:lineRule="auto"/>
              <w:ind w:left="0" w:right="0" w:rightChars="0"/>
              <w:jc w:val="center"/>
              <w:rPr>
                <w:rFonts w:hint="eastAsia" w:ascii="仿宋" w:hAnsi="仿宋" w:eastAsia="仿宋" w:cs="仿宋"/>
                <w:color w:val="auto"/>
                <w:sz w:val="24"/>
                <w:szCs w:val="24"/>
                <w:highlight w:val="none"/>
                <w:lang w:eastAsia="zh-CN"/>
              </w:rPr>
            </w:pPr>
          </w:p>
        </w:tc>
        <w:tc>
          <w:tcPr>
            <w:tcW w:w="5665" w:type="dxa"/>
            <w:vAlign w:val="center"/>
          </w:tcPr>
          <w:p w14:paraId="19832B0C">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数据处理包括但不限于：建设用地与开发区土地数据进行标准化处理、自治区各地级市、县（市、区）评价数据表处理、数据表内容的完整性检查等；</w:t>
            </w:r>
            <w:r>
              <w:rPr>
                <w:rFonts w:hint="eastAsia" w:ascii="仿宋" w:hAnsi="仿宋" w:eastAsia="仿宋" w:cs="仿宋"/>
                <w:color w:val="auto"/>
                <w:sz w:val="24"/>
                <w:szCs w:val="24"/>
                <w:highlight w:val="none"/>
                <w:lang w:val="en-US" w:eastAsia="zh-CN"/>
              </w:rPr>
              <w:t>符合采购人实际情况得9分，每有一项缺项或漏项扣3分，</w:t>
            </w:r>
            <w:r>
              <w:rPr>
                <w:rFonts w:hint="eastAsia" w:ascii="仿宋" w:hAnsi="仿宋" w:eastAsia="仿宋" w:cs="仿宋"/>
                <w:color w:val="auto"/>
                <w:sz w:val="24"/>
                <w:szCs w:val="24"/>
                <w:highlight w:val="none"/>
                <w:lang w:eastAsia="zh-CN"/>
              </w:rPr>
              <w:t>每有一处缺陷扣1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分，扣完为止。</w:t>
            </w:r>
          </w:p>
        </w:tc>
        <w:tc>
          <w:tcPr>
            <w:tcW w:w="741" w:type="dxa"/>
            <w:vAlign w:val="center"/>
          </w:tcPr>
          <w:p w14:paraId="00825F89">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r>
      <w:tr w14:paraId="08052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51" w:type="dxa"/>
            <w:vMerge w:val="continue"/>
            <w:vAlign w:val="center"/>
          </w:tcPr>
          <w:p w14:paraId="5AAB4B3A">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3224BFCB">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评价分析</w:t>
            </w:r>
          </w:p>
          <w:p w14:paraId="008F9CE7">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eastAsia="zh-CN"/>
              </w:rPr>
            </w:pPr>
          </w:p>
        </w:tc>
        <w:tc>
          <w:tcPr>
            <w:tcW w:w="5665" w:type="dxa"/>
            <w:vAlign w:val="center"/>
          </w:tcPr>
          <w:p w14:paraId="5FF14251">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right="0" w:rightChars="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包括但不限于：建设用地开发区集约利用评价数据录入、预览检查、指标模板管理工作、执行评价分析、评价成果检查等；</w:t>
            </w:r>
            <w:r>
              <w:rPr>
                <w:rFonts w:hint="eastAsia" w:ascii="仿宋" w:hAnsi="仿宋" w:eastAsia="仿宋" w:cs="仿宋"/>
                <w:color w:val="auto"/>
                <w:sz w:val="24"/>
                <w:szCs w:val="24"/>
                <w:highlight w:val="none"/>
                <w:lang w:val="en-US" w:eastAsia="zh-CN"/>
              </w:rPr>
              <w:t>符合采购人实际情况得10分，每有一项缺项或漏项扣2分，</w:t>
            </w:r>
            <w:r>
              <w:rPr>
                <w:rFonts w:hint="eastAsia" w:ascii="仿宋" w:hAnsi="仿宋" w:eastAsia="仿宋" w:cs="仿宋"/>
                <w:color w:val="auto"/>
                <w:sz w:val="24"/>
                <w:szCs w:val="24"/>
                <w:highlight w:val="none"/>
                <w:lang w:eastAsia="zh-CN"/>
              </w:rPr>
              <w:t>每有一处缺陷扣1分，扣完为止。</w:t>
            </w:r>
          </w:p>
        </w:tc>
        <w:tc>
          <w:tcPr>
            <w:tcW w:w="741" w:type="dxa"/>
            <w:vAlign w:val="center"/>
          </w:tcPr>
          <w:p w14:paraId="2501ECDB">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09260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51" w:type="dxa"/>
            <w:vMerge w:val="continue"/>
            <w:vAlign w:val="center"/>
          </w:tcPr>
          <w:p w14:paraId="2F9A213B">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0ED6ACF0">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数据整合分析平台更新完善</w:t>
            </w:r>
          </w:p>
        </w:tc>
        <w:tc>
          <w:tcPr>
            <w:tcW w:w="5665" w:type="dxa"/>
            <w:vAlign w:val="center"/>
          </w:tcPr>
          <w:p w14:paraId="48481D61">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right="0" w:rightChars="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包括但不限于：矢量数据、表格数据、文本数据、栅格数据、附件数据等类型数据更新入库；</w:t>
            </w:r>
            <w:r>
              <w:rPr>
                <w:rFonts w:hint="eastAsia" w:ascii="仿宋" w:hAnsi="仿宋" w:eastAsia="仿宋" w:cs="仿宋"/>
                <w:color w:val="auto"/>
                <w:sz w:val="24"/>
                <w:szCs w:val="24"/>
                <w:highlight w:val="none"/>
                <w:lang w:val="en-US" w:eastAsia="zh-CN"/>
              </w:rPr>
              <w:t>符合采购人实际情况得10分，每有一项缺项或漏项扣2分，</w:t>
            </w:r>
            <w:r>
              <w:rPr>
                <w:rFonts w:hint="eastAsia" w:ascii="仿宋" w:hAnsi="仿宋" w:eastAsia="仿宋" w:cs="仿宋"/>
                <w:color w:val="auto"/>
                <w:sz w:val="24"/>
                <w:szCs w:val="24"/>
                <w:highlight w:val="none"/>
                <w:lang w:eastAsia="zh-CN"/>
              </w:rPr>
              <w:t>每有一处缺陷扣1分，扣完为止。</w:t>
            </w:r>
          </w:p>
        </w:tc>
        <w:tc>
          <w:tcPr>
            <w:tcW w:w="741" w:type="dxa"/>
            <w:vAlign w:val="center"/>
          </w:tcPr>
          <w:p w14:paraId="7F7B4F45">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2BFCCE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51" w:type="dxa"/>
            <w:vMerge w:val="continue"/>
            <w:vAlign w:val="center"/>
          </w:tcPr>
          <w:p w14:paraId="5A39F988">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6F7AC977">
            <w:pPr>
              <w:keepNext w:val="0"/>
              <w:keepLines w:val="0"/>
              <w:pageBreakBefore w:val="0"/>
              <w:numPr>
                <w:ilvl w:val="0"/>
                <w:numId w:val="0"/>
              </w:numPr>
              <w:kinsoku/>
              <w:wordWrap/>
              <w:overflowPunct/>
              <w:topLinePunct w:val="0"/>
              <w:bidi w:val="0"/>
              <w:adjustRightInd/>
              <w:snapToGrid/>
              <w:spacing w:line="360" w:lineRule="auto"/>
              <w:ind w:left="0" w:right="0" w:right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园林草基准地价数据整合处理</w:t>
            </w:r>
          </w:p>
        </w:tc>
        <w:tc>
          <w:tcPr>
            <w:tcW w:w="5665" w:type="dxa"/>
            <w:vAlign w:val="center"/>
          </w:tcPr>
          <w:p w14:paraId="4856B9AA">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right="0" w:rightChars="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shd w:val="clear" w:color="000000" w:fill="auto"/>
                <w:lang w:eastAsia="zh-CN"/>
              </w:rPr>
              <w:t>包括但不限于：</w:t>
            </w:r>
            <w:r>
              <w:rPr>
                <w:rFonts w:hint="eastAsia" w:ascii="仿宋" w:hAnsi="仿宋" w:eastAsia="仿宋" w:cs="仿宋"/>
                <w:color w:val="auto"/>
                <w:sz w:val="24"/>
                <w:highlight w:val="none"/>
                <w:shd w:val="clear" w:color="000000" w:fill="auto"/>
              </w:rPr>
              <w:t>园林草地基准地价</w:t>
            </w:r>
            <w:r>
              <w:rPr>
                <w:rFonts w:hint="eastAsia" w:ascii="仿宋" w:hAnsi="仿宋" w:eastAsia="仿宋" w:cs="仿宋"/>
                <w:color w:val="auto"/>
                <w:sz w:val="24"/>
                <w:highlight w:val="none"/>
                <w:shd w:val="clear" w:color="000000" w:fill="auto"/>
                <w:lang w:val="en-US" w:eastAsia="zh-CN"/>
              </w:rPr>
              <w:t>矢量数据的标准化处理、</w:t>
            </w:r>
            <w:r>
              <w:rPr>
                <w:rFonts w:hint="eastAsia" w:ascii="仿宋" w:hAnsi="仿宋" w:eastAsia="仿宋" w:cs="仿宋"/>
                <w:color w:val="auto"/>
                <w:sz w:val="24"/>
                <w:highlight w:val="none"/>
                <w:shd w:val="clear" w:color="000000" w:fill="auto"/>
              </w:rPr>
              <w:t>数据质检、入库及汇总工作</w:t>
            </w:r>
            <w:r>
              <w:rPr>
                <w:rFonts w:hint="eastAsia" w:ascii="仿宋" w:hAnsi="仿宋" w:eastAsia="仿宋" w:cs="仿宋"/>
                <w:color w:val="auto"/>
                <w:sz w:val="24"/>
                <w:highlight w:val="none"/>
                <w:shd w:val="clear" w:color="000000" w:fill="auto"/>
                <w:lang w:eastAsia="zh-CN"/>
              </w:rPr>
              <w:t>等，</w:t>
            </w:r>
            <w:r>
              <w:rPr>
                <w:rFonts w:hint="eastAsia" w:ascii="仿宋" w:hAnsi="仿宋" w:eastAsia="仿宋" w:cs="仿宋"/>
                <w:color w:val="auto"/>
                <w:sz w:val="24"/>
                <w:highlight w:val="none"/>
                <w:shd w:val="clear" w:color="000000" w:fill="auto"/>
                <w:lang w:val="en-US" w:eastAsia="zh-CN"/>
              </w:rPr>
              <w:t>符合采购人实际情况得4分，每有一项缺项或漏项扣1分，</w:t>
            </w:r>
            <w:r>
              <w:rPr>
                <w:rFonts w:hint="eastAsia" w:ascii="仿宋" w:hAnsi="仿宋" w:eastAsia="仿宋" w:cs="仿宋"/>
                <w:color w:val="auto"/>
                <w:sz w:val="24"/>
                <w:highlight w:val="none"/>
                <w:shd w:val="clear" w:color="000000" w:fill="auto"/>
                <w:lang w:eastAsia="zh-CN"/>
              </w:rPr>
              <w:t>每有一处缺陷扣</w:t>
            </w:r>
            <w:r>
              <w:rPr>
                <w:rFonts w:hint="eastAsia" w:ascii="仿宋" w:hAnsi="仿宋" w:eastAsia="仿宋" w:cs="仿宋"/>
                <w:color w:val="auto"/>
                <w:sz w:val="24"/>
                <w:highlight w:val="none"/>
                <w:shd w:val="clear" w:color="000000" w:fill="auto"/>
                <w:lang w:val="en-US" w:eastAsia="zh-CN"/>
              </w:rPr>
              <w:t>0.5</w:t>
            </w:r>
            <w:r>
              <w:rPr>
                <w:rFonts w:hint="eastAsia" w:ascii="仿宋" w:hAnsi="仿宋" w:eastAsia="仿宋" w:cs="仿宋"/>
                <w:color w:val="auto"/>
                <w:sz w:val="24"/>
                <w:highlight w:val="none"/>
                <w:shd w:val="clear" w:color="000000" w:fill="auto"/>
                <w:lang w:eastAsia="zh-CN"/>
              </w:rPr>
              <w:t>分，扣完为止。</w:t>
            </w:r>
          </w:p>
        </w:tc>
        <w:tc>
          <w:tcPr>
            <w:tcW w:w="741" w:type="dxa"/>
            <w:vAlign w:val="center"/>
          </w:tcPr>
          <w:p w14:paraId="5CCEAD2C">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r>
      <w:tr w14:paraId="6C64A4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51" w:type="dxa"/>
            <w:vMerge w:val="continue"/>
            <w:vAlign w:val="center"/>
          </w:tcPr>
          <w:p w14:paraId="7949F40F">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32E2A657">
            <w:pPr>
              <w:pStyle w:val="23"/>
              <w:widowControl/>
              <w:spacing w:beforeAutospacing="0" w:afterAutospacing="0" w:line="560" w:lineRule="exact"/>
              <w:jc w:val="both"/>
              <w:rPr>
                <w:rFonts w:hint="eastAsia" w:ascii="仿宋" w:hAnsi="仿宋" w:eastAsia="仿宋" w:cs="仿宋"/>
                <w:color w:val="auto"/>
                <w:sz w:val="24"/>
                <w:szCs w:val="22"/>
                <w:highlight w:val="none"/>
                <w:shd w:val="clear" w:color="000000" w:fill="auto"/>
                <w:lang w:val="en-US" w:eastAsia="zh-CN" w:bidi="ar-SA"/>
              </w:rPr>
            </w:pPr>
            <w:r>
              <w:rPr>
                <w:rFonts w:hint="eastAsia" w:ascii="仿宋" w:hAnsi="仿宋" w:eastAsia="仿宋" w:cs="仿宋"/>
                <w:color w:val="auto"/>
                <w:sz w:val="24"/>
                <w:szCs w:val="22"/>
                <w:highlight w:val="none"/>
                <w:shd w:val="clear" w:color="000000" w:fill="auto"/>
                <w:lang w:val="en-US" w:eastAsia="zh-CN" w:bidi="ar-SA"/>
              </w:rPr>
              <w:t>项目成果产出</w:t>
            </w:r>
          </w:p>
        </w:tc>
        <w:tc>
          <w:tcPr>
            <w:tcW w:w="5665" w:type="dxa"/>
            <w:vAlign w:val="center"/>
          </w:tcPr>
          <w:p w14:paraId="5A1B90CD">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right="0" w:rightChars="0"/>
              <w:jc w:val="both"/>
              <w:textAlignment w:val="baseline"/>
              <w:rPr>
                <w:rFonts w:hint="eastAsia" w:ascii="仿宋" w:hAnsi="仿宋" w:eastAsia="仿宋" w:cs="仿宋"/>
                <w:color w:val="auto"/>
                <w:sz w:val="24"/>
                <w:szCs w:val="22"/>
                <w:highlight w:val="none"/>
                <w:shd w:val="clear" w:color="000000" w:fill="auto"/>
                <w:lang w:val="en-US" w:eastAsia="zh-CN" w:bidi="ar-SA"/>
              </w:rPr>
            </w:pPr>
            <w:r>
              <w:rPr>
                <w:rFonts w:hint="eastAsia" w:ascii="仿宋" w:hAnsi="仿宋" w:eastAsia="仿宋" w:cs="仿宋"/>
                <w:color w:val="auto"/>
                <w:sz w:val="24"/>
                <w:szCs w:val="22"/>
                <w:highlight w:val="none"/>
                <w:shd w:val="clear" w:color="000000" w:fill="auto"/>
                <w:lang w:val="en-US" w:eastAsia="zh-CN" w:bidi="ar-SA"/>
              </w:rPr>
              <w:t>包括但不限于：数据库模型完整性、</w:t>
            </w:r>
            <w:r>
              <w:rPr>
                <w:rFonts w:hint="eastAsia" w:ascii="仿宋" w:hAnsi="仿宋" w:eastAsia="仿宋" w:cs="仿宋"/>
                <w:color w:val="auto"/>
                <w:sz w:val="24"/>
                <w:szCs w:val="22"/>
                <w:highlight w:val="none"/>
                <w:shd w:val="clear" w:color="000000" w:fill="auto"/>
                <w:lang w:val="en-US" w:eastAsia="en-US" w:bidi="ar-SA"/>
              </w:rPr>
              <w:t>数据库</w:t>
            </w:r>
            <w:r>
              <w:rPr>
                <w:rFonts w:hint="eastAsia" w:ascii="仿宋" w:hAnsi="仿宋" w:eastAsia="仿宋" w:cs="仿宋"/>
                <w:color w:val="auto"/>
                <w:sz w:val="24"/>
                <w:szCs w:val="22"/>
                <w:highlight w:val="none"/>
                <w:shd w:val="clear" w:color="000000" w:fill="auto"/>
                <w:lang w:val="en-US" w:eastAsia="zh-CN" w:bidi="ar-SA"/>
              </w:rPr>
              <w:t>数据规范性、</w:t>
            </w:r>
            <w:r>
              <w:rPr>
                <w:rFonts w:hint="eastAsia" w:ascii="仿宋" w:hAnsi="仿宋" w:eastAsia="仿宋" w:cs="仿宋"/>
                <w:color w:val="auto"/>
                <w:sz w:val="24"/>
                <w:szCs w:val="22"/>
                <w:highlight w:val="none"/>
                <w:shd w:val="clear" w:color="000000" w:fill="auto"/>
                <w:lang w:val="en-US" w:eastAsia="en-US" w:bidi="ar-SA"/>
              </w:rPr>
              <w:t>数据库</w:t>
            </w:r>
            <w:r>
              <w:rPr>
                <w:rFonts w:hint="eastAsia" w:ascii="仿宋" w:hAnsi="仿宋" w:eastAsia="仿宋" w:cs="仿宋"/>
                <w:color w:val="auto"/>
                <w:sz w:val="24"/>
                <w:szCs w:val="22"/>
                <w:highlight w:val="none"/>
                <w:shd w:val="clear" w:color="000000" w:fill="auto"/>
                <w:lang w:val="en-US" w:eastAsia="zh-CN" w:bidi="ar-SA"/>
              </w:rPr>
              <w:t>系统实用性、</w:t>
            </w:r>
            <w:r>
              <w:rPr>
                <w:rFonts w:hint="eastAsia" w:ascii="仿宋" w:hAnsi="仿宋" w:eastAsia="仿宋" w:cs="仿宋"/>
                <w:color w:val="auto"/>
                <w:sz w:val="24"/>
                <w:szCs w:val="22"/>
                <w:highlight w:val="none"/>
                <w:shd w:val="clear" w:color="000000" w:fill="auto"/>
                <w:lang w:val="en-US" w:eastAsia="en-US" w:bidi="ar-SA"/>
              </w:rPr>
              <w:t>工作报告</w:t>
            </w:r>
            <w:r>
              <w:rPr>
                <w:rFonts w:hint="eastAsia" w:ascii="仿宋" w:hAnsi="仿宋" w:eastAsia="仿宋" w:cs="仿宋"/>
                <w:color w:val="auto"/>
                <w:sz w:val="24"/>
                <w:szCs w:val="22"/>
                <w:highlight w:val="none"/>
                <w:shd w:val="clear" w:color="000000" w:fill="auto"/>
                <w:lang w:val="en-US" w:eastAsia="zh-CN" w:bidi="ar-SA"/>
              </w:rPr>
              <w:t>完整性、</w:t>
            </w:r>
            <w:r>
              <w:rPr>
                <w:rFonts w:hint="eastAsia" w:ascii="仿宋" w:hAnsi="仿宋" w:eastAsia="仿宋" w:cs="仿宋"/>
                <w:color w:val="auto"/>
                <w:sz w:val="24"/>
                <w:szCs w:val="22"/>
                <w:highlight w:val="none"/>
                <w:shd w:val="clear" w:color="000000" w:fill="auto"/>
                <w:lang w:val="en-US" w:eastAsia="en-US" w:bidi="ar-SA"/>
              </w:rPr>
              <w:t>技术报告</w:t>
            </w:r>
            <w:r>
              <w:rPr>
                <w:rFonts w:hint="eastAsia" w:ascii="仿宋" w:hAnsi="仿宋" w:eastAsia="仿宋" w:cs="仿宋"/>
                <w:color w:val="auto"/>
                <w:sz w:val="24"/>
                <w:szCs w:val="22"/>
                <w:highlight w:val="none"/>
                <w:shd w:val="clear" w:color="000000" w:fill="auto"/>
                <w:lang w:val="en-US" w:eastAsia="zh-CN" w:bidi="ar-SA"/>
              </w:rPr>
              <w:t>完整性、</w:t>
            </w:r>
            <w:r>
              <w:rPr>
                <w:rFonts w:hint="eastAsia" w:ascii="仿宋" w:hAnsi="仿宋" w:eastAsia="仿宋" w:cs="仿宋"/>
                <w:color w:val="auto"/>
                <w:sz w:val="24"/>
                <w:szCs w:val="22"/>
                <w:highlight w:val="none"/>
                <w:shd w:val="clear" w:color="000000" w:fill="auto"/>
                <w:lang w:val="en-US" w:eastAsia="en-US" w:bidi="ar-SA"/>
              </w:rPr>
              <w:t>质检报告</w:t>
            </w:r>
            <w:r>
              <w:rPr>
                <w:rFonts w:hint="eastAsia" w:ascii="仿宋" w:hAnsi="仿宋" w:eastAsia="仿宋" w:cs="仿宋"/>
                <w:color w:val="auto"/>
                <w:sz w:val="24"/>
                <w:szCs w:val="22"/>
                <w:highlight w:val="none"/>
                <w:shd w:val="clear" w:color="000000" w:fill="auto"/>
                <w:lang w:val="en-US" w:eastAsia="zh-CN" w:bidi="ar-SA"/>
              </w:rPr>
              <w:t>完整性、经费决算合理性；内容详细完整符合采购人实际情况得7分，每有一项缺项或漏项扣1分，每有一处缺陷扣0.5分，扣完为止。</w:t>
            </w:r>
          </w:p>
        </w:tc>
        <w:tc>
          <w:tcPr>
            <w:tcW w:w="741" w:type="dxa"/>
            <w:vAlign w:val="center"/>
          </w:tcPr>
          <w:p w14:paraId="1DC4B468">
            <w:pPr>
              <w:pStyle w:val="58"/>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r>
      <w:tr w14:paraId="73875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051" w:type="dxa"/>
            <w:vMerge w:val="continue"/>
            <w:vAlign w:val="center"/>
          </w:tcPr>
          <w:p w14:paraId="7DABB395">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29031683">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保密措施</w:t>
            </w:r>
          </w:p>
        </w:tc>
        <w:tc>
          <w:tcPr>
            <w:tcW w:w="5665" w:type="dxa"/>
            <w:vAlign w:val="center"/>
          </w:tcPr>
          <w:p w14:paraId="5D5996DA">
            <w:pPr>
              <w:keepNext w:val="0"/>
              <w:keepLines w:val="0"/>
              <w:pageBreakBefore w:val="0"/>
              <w:kinsoku/>
              <w:wordWrap/>
              <w:overflowPunct/>
              <w:topLinePunct w:val="0"/>
              <w:bidi w:val="0"/>
              <w:adjustRightInd/>
              <w:snapToGrid/>
              <w:spacing w:line="360" w:lineRule="auto"/>
              <w:ind w:left="0" w:right="0"/>
              <w:jc w:val="both"/>
              <w:rPr>
                <w:rFonts w:ascii="仿宋" w:hAnsi="仿宋" w:eastAsia="仿宋" w:cs="仿宋"/>
                <w:color w:val="auto"/>
                <w:sz w:val="24"/>
                <w:szCs w:val="24"/>
                <w:highlight w:val="none"/>
                <w:lang w:eastAsia="zh-CN"/>
              </w:rPr>
            </w:pPr>
            <w:r>
              <w:rPr>
                <w:rFonts w:hint="eastAsia" w:ascii="仿宋" w:hAnsi="仿宋" w:eastAsia="仿宋" w:cs="仿宋"/>
                <w:color w:val="auto"/>
                <w:sz w:val="24"/>
                <w:highlight w:val="none"/>
                <w:shd w:val="clear" w:color="000000" w:fill="auto"/>
                <w:lang w:val="en-US" w:eastAsia="zh-CN"/>
              </w:rPr>
              <w:t>根据项目制定保密管理制度、明确保密责任、制定数据和设备安全管理措施，内容详细完整满足采购人实际需求得4分，每有一项缺项或漏项扣1分，每有一处缺陷扣0.5分，扣完为止。</w:t>
            </w:r>
          </w:p>
        </w:tc>
        <w:tc>
          <w:tcPr>
            <w:tcW w:w="741" w:type="dxa"/>
            <w:vAlign w:val="center"/>
          </w:tcPr>
          <w:p w14:paraId="36E5058C">
            <w:pPr>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r>
      <w:tr w14:paraId="3CC95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51" w:type="dxa"/>
            <w:vMerge w:val="continue"/>
            <w:vAlign w:val="center"/>
          </w:tcPr>
          <w:p w14:paraId="581B8644">
            <w:pPr>
              <w:keepNext w:val="0"/>
              <w:keepLines w:val="0"/>
              <w:pageBreakBefore w:val="0"/>
              <w:kinsoku/>
              <w:wordWrap/>
              <w:overflowPunct/>
              <w:topLinePunct w:val="0"/>
              <w:bidi w:val="0"/>
              <w:adjustRightInd/>
              <w:snapToGrid/>
              <w:spacing w:line="360" w:lineRule="auto"/>
              <w:ind w:left="0" w:right="0"/>
              <w:jc w:val="center"/>
              <w:rPr>
                <w:rFonts w:ascii="仿宋" w:hAnsi="仿宋" w:eastAsia="仿宋" w:cs="仿宋"/>
                <w:color w:val="auto"/>
                <w:sz w:val="24"/>
                <w:szCs w:val="24"/>
                <w:highlight w:val="none"/>
              </w:rPr>
            </w:pPr>
          </w:p>
        </w:tc>
        <w:tc>
          <w:tcPr>
            <w:tcW w:w="1836" w:type="dxa"/>
            <w:vAlign w:val="center"/>
          </w:tcPr>
          <w:p w14:paraId="3A8AFBCD">
            <w:pPr>
              <w:keepNext w:val="0"/>
              <w:keepLines w:val="0"/>
              <w:pageBreakBefore w:val="0"/>
              <w:widowControl w:val="0"/>
              <w:kinsoku/>
              <w:wordWrap/>
              <w:overflowPunct/>
              <w:topLinePunct w:val="0"/>
              <w:bidi w:val="0"/>
              <w:adjustRightInd/>
              <w:snapToGrid/>
              <w:spacing w:line="360" w:lineRule="auto"/>
              <w:ind w:left="0" w:right="0"/>
              <w:jc w:val="center"/>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售后服务</w:t>
            </w:r>
          </w:p>
        </w:tc>
        <w:tc>
          <w:tcPr>
            <w:tcW w:w="5665" w:type="dxa"/>
            <w:vAlign w:val="center"/>
          </w:tcPr>
          <w:p w14:paraId="612BCEFB">
            <w:pPr>
              <w:keepNext w:val="0"/>
              <w:keepLines w:val="0"/>
              <w:pageBreakBefore w:val="0"/>
              <w:kinsoku/>
              <w:wordWrap/>
              <w:overflowPunct/>
              <w:topLinePunct w:val="0"/>
              <w:bidi w:val="0"/>
              <w:adjustRightInd/>
              <w:snapToGrid/>
              <w:spacing w:line="360" w:lineRule="auto"/>
              <w:ind w:left="0" w:right="0"/>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售后服务方案内容包括但不限于售后时间、支持服务、响应时间、培训组织、应急保障，满足采购需求的得5分，每有一项缺项或漏项扣1分，每有一处缺陷扣0.5分，扣完为止。</w:t>
            </w:r>
          </w:p>
        </w:tc>
        <w:tc>
          <w:tcPr>
            <w:tcW w:w="741" w:type="dxa"/>
            <w:vAlign w:val="center"/>
          </w:tcPr>
          <w:p w14:paraId="798A8AA1">
            <w:pPr>
              <w:keepNext w:val="0"/>
              <w:keepLines w:val="0"/>
              <w:pageBreakBefore w:val="0"/>
              <w:kinsoku/>
              <w:wordWrap/>
              <w:overflowPunct/>
              <w:topLinePunct w:val="0"/>
              <w:bidi w:val="0"/>
              <w:adjustRightInd/>
              <w:snapToGrid/>
              <w:spacing w:line="360" w:lineRule="auto"/>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bl>
    <w:p w14:paraId="0BEF8C64">
      <w:pPr>
        <w:keepNext w:val="0"/>
        <w:keepLines w:val="0"/>
        <w:pageBreakBefore w:val="0"/>
        <w:shd w:val="clear"/>
        <w:kinsoku/>
        <w:wordWrap/>
        <w:overflowPunct/>
        <w:topLinePunct w:val="0"/>
        <w:bidi w:val="0"/>
        <w:spacing w:line="579" w:lineRule="exact"/>
        <w:ind w:firstLine="480" w:firstLineChars="200"/>
        <w:outlineLvl w:val="9"/>
        <w:rPr>
          <w:rStyle w:val="35"/>
          <w:rFonts w:hint="eastAsia"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说明：评标过程</w:t>
      </w:r>
      <w:r>
        <w:rPr>
          <w:rStyle w:val="35"/>
          <w:rFonts w:hint="eastAsia" w:ascii="仿宋" w:hAnsi="仿宋" w:eastAsia="仿宋" w:cs="仿宋"/>
          <w:color w:val="auto"/>
          <w:sz w:val="24"/>
          <w:szCs w:val="24"/>
          <w:highlight w:val="none"/>
          <w:lang w:val="en-US" w:eastAsia="zh-CN"/>
        </w:rPr>
        <w:t>中</w:t>
      </w:r>
      <w:r>
        <w:rPr>
          <w:rStyle w:val="35"/>
          <w:rFonts w:hint="eastAsia" w:ascii="仿宋" w:hAnsi="仿宋" w:eastAsia="仿宋" w:cs="仿宋"/>
          <w:color w:val="auto"/>
          <w:sz w:val="24"/>
          <w:szCs w:val="24"/>
          <w:highlight w:val="none"/>
          <w:lang w:eastAsia="zh-CN"/>
        </w:rPr>
        <w:t>，不得去掉报价中的最高报价和最低报价，且最低报价不是中标的唯一依据。</w:t>
      </w:r>
    </w:p>
    <w:p w14:paraId="02B9D2F7">
      <w:pPr>
        <w:rPr>
          <w:rStyle w:val="35"/>
          <w:rFonts w:hint="eastAsia" w:ascii="仿宋" w:hAnsi="仿宋" w:eastAsia="仿宋" w:cs="仿宋"/>
          <w:color w:val="auto"/>
          <w:w w:val="95"/>
          <w:highlight w:val="none"/>
        </w:rPr>
      </w:pPr>
      <w:r>
        <w:rPr>
          <w:rStyle w:val="35"/>
          <w:rFonts w:hint="eastAsia" w:ascii="仿宋" w:hAnsi="仿宋" w:eastAsia="仿宋" w:cs="仿宋"/>
          <w:color w:val="auto"/>
          <w:w w:val="95"/>
          <w:highlight w:val="none"/>
        </w:rPr>
        <w:br w:type="page"/>
      </w:r>
    </w:p>
    <w:p w14:paraId="0C9730E1">
      <w:pPr>
        <w:pStyle w:val="45"/>
        <w:keepNext w:val="0"/>
        <w:keepLines w:val="0"/>
        <w:pageBreakBefore w:val="0"/>
        <w:shd w:val="clear"/>
        <w:kinsoku/>
        <w:wordWrap/>
        <w:overflowPunct/>
        <w:topLinePunct w:val="0"/>
        <w:bidi w:val="0"/>
        <w:spacing w:before="0" w:line="579" w:lineRule="exact"/>
        <w:ind w:left="0" w:firstLine="458" w:firstLineChars="200"/>
        <w:rPr>
          <w:rStyle w:val="35"/>
          <w:rFonts w:ascii="仿宋" w:hAnsi="仿宋" w:eastAsia="仿宋" w:cs="仿宋"/>
          <w:color w:val="auto"/>
          <w:highlight w:val="none"/>
        </w:rPr>
      </w:pPr>
      <w:r>
        <w:rPr>
          <w:rStyle w:val="35"/>
          <w:rFonts w:hint="eastAsia" w:ascii="仿宋" w:hAnsi="仿宋" w:eastAsia="仿宋" w:cs="仿宋"/>
          <w:color w:val="auto"/>
          <w:w w:val="95"/>
          <w:highlight w:val="none"/>
        </w:rPr>
        <w:t>30．定标原则</w:t>
      </w:r>
    </w:p>
    <w:p w14:paraId="2A7FCEBD">
      <w:pPr>
        <w:keepNext w:val="0"/>
        <w:keepLines w:val="0"/>
        <w:pageBreakBefore w:val="0"/>
        <w:shd w:val="clear"/>
        <w:kinsoku/>
        <w:wordWrap/>
        <w:overflowPunct/>
        <w:topLinePunct w:val="0"/>
        <w:bidi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30.1评审小组应当根据综合评分情况，按照供应商综合得分由高到低的顺序排列，依次推荐3名中标候选人，并编写评审报告。供应商综合得分相同的，按照投标报价由低到高的顺序排列。供应商综合得分相同且投标报价也相同的并列，评审小组将按照技术指标优劣顺序推荐。</w:t>
      </w:r>
    </w:p>
    <w:p w14:paraId="6888C97D">
      <w:pPr>
        <w:keepNext w:val="0"/>
        <w:keepLines w:val="0"/>
        <w:pageBreakBefore w:val="0"/>
        <w:shd w:val="clear"/>
        <w:kinsoku/>
        <w:wordWrap/>
        <w:overflowPunct/>
        <w:topLinePunct w:val="0"/>
        <w:bidi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30.2采购代理机构应当在评标结束后2个工作日内将评审报告送采购人。采购人应当自收到评审报告之日起5个工作日内，在评审报告确定的中标候选人名单中按顺序确定中标人。</w:t>
      </w:r>
    </w:p>
    <w:p w14:paraId="1E2EACFF">
      <w:pPr>
        <w:keepNext w:val="0"/>
        <w:keepLines w:val="0"/>
        <w:pageBreakBefore w:val="0"/>
        <w:shd w:val="clear"/>
        <w:kinsoku/>
        <w:wordWrap/>
        <w:overflowPunct/>
        <w:topLinePunct w:val="0"/>
        <w:bidi w:val="0"/>
        <w:spacing w:line="579" w:lineRule="exact"/>
        <w:ind w:firstLine="48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30.3根据评审报告，应当确定排名第一的中标候选人为中标人。排名第一的中标候选人放弃中标、因不可抗力不能履行合同的或者竞争性磋商文件规定应当提交履约保证金而在规定的期限内未能提交的（如有）、其他不符合中标条件的或者被查实存在影响中标结果的违法行为等情形，采购人可以按照评审小组提出的中标候选人名单排序依次确定其他中标候选人为中标人，也可以重新采购。</w:t>
      </w:r>
    </w:p>
    <w:p w14:paraId="03F3AC83">
      <w:pPr>
        <w:shd w:val="clear"/>
        <w:spacing w:line="579" w:lineRule="exact"/>
        <w:ind w:left="3453" w:right="3385"/>
        <w:jc w:val="both"/>
        <w:outlineLvl w:val="1"/>
        <w:rPr>
          <w:rStyle w:val="35"/>
          <w:rFonts w:ascii="仿宋" w:hAnsi="仿宋" w:eastAsia="仿宋" w:cs="仿宋"/>
          <w:color w:val="auto"/>
          <w:sz w:val="28"/>
          <w:szCs w:val="28"/>
          <w:highlight w:val="none"/>
          <w:lang w:eastAsia="zh-CN"/>
        </w:rPr>
      </w:pPr>
      <w:bookmarkStart w:id="68" w:name="_Toc6624"/>
      <w:bookmarkStart w:id="69" w:name="_Toc752"/>
      <w:bookmarkStart w:id="70" w:name="_Toc19739"/>
      <w:bookmarkStart w:id="71" w:name="_Toc8567"/>
      <w:bookmarkStart w:id="72" w:name="_Toc15580"/>
      <w:bookmarkStart w:id="73" w:name="_Toc6244"/>
      <w:r>
        <w:rPr>
          <w:rStyle w:val="35"/>
          <w:rFonts w:hint="eastAsia" w:ascii="仿宋" w:hAnsi="仿宋" w:eastAsia="仿宋" w:cs="仿宋"/>
          <w:b/>
          <w:color w:val="auto"/>
          <w:sz w:val="28"/>
          <w:szCs w:val="28"/>
          <w:highlight w:val="none"/>
          <w:lang w:eastAsia="zh-CN"/>
        </w:rPr>
        <w:t>第七章 授予合同</w:t>
      </w:r>
      <w:bookmarkEnd w:id="68"/>
      <w:bookmarkEnd w:id="69"/>
      <w:bookmarkEnd w:id="70"/>
      <w:bookmarkEnd w:id="71"/>
      <w:bookmarkEnd w:id="72"/>
      <w:bookmarkEnd w:id="73"/>
    </w:p>
    <w:p w14:paraId="17EF1977">
      <w:pPr>
        <w:shd w:val="clear"/>
        <w:snapToGrid w:val="0"/>
        <w:spacing w:before="124" w:line="579" w:lineRule="exact"/>
        <w:ind w:firstLine="482"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31.合同授予标准</w:t>
      </w:r>
    </w:p>
    <w:p w14:paraId="13561935">
      <w:pPr>
        <w:pStyle w:val="47"/>
        <w:shd w:val="clear"/>
        <w:tabs>
          <w:tab w:val="left" w:pos="1213"/>
        </w:tabs>
        <w:snapToGrid w:val="0"/>
        <w:spacing w:before="124" w:line="579" w:lineRule="exact"/>
        <w:ind w:left="0" w:right="114" w:firstLine="468"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3"/>
          <w:sz w:val="24"/>
          <w:szCs w:val="24"/>
          <w:highlight w:val="none"/>
          <w:lang w:eastAsia="zh-CN"/>
        </w:rPr>
        <w:t>31.1合同将授予被确定为实质上响应竞争性磋商文件要求，评标认为具备履行合</w:t>
      </w:r>
      <w:r>
        <w:rPr>
          <w:rStyle w:val="35"/>
          <w:rFonts w:hint="eastAsia" w:ascii="仿宋" w:hAnsi="仿宋" w:eastAsia="仿宋" w:cs="仿宋"/>
          <w:color w:val="auto"/>
          <w:spacing w:val="-7"/>
          <w:sz w:val="24"/>
          <w:szCs w:val="24"/>
          <w:highlight w:val="none"/>
          <w:lang w:eastAsia="zh-CN"/>
        </w:rPr>
        <w:t>同义务条件、报价合理、技术和商务条件都符合条件基础上对买方最为有利的供应商。</w:t>
      </w:r>
    </w:p>
    <w:p w14:paraId="40E1A42B">
      <w:pPr>
        <w:pStyle w:val="47"/>
        <w:shd w:val="clear"/>
        <w:tabs>
          <w:tab w:val="left" w:pos="1113"/>
        </w:tabs>
        <w:snapToGrid w:val="0"/>
        <w:spacing w:before="14" w:line="579" w:lineRule="exact"/>
        <w:ind w:left="0" w:firstLine="46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5"/>
          <w:sz w:val="24"/>
          <w:szCs w:val="24"/>
          <w:highlight w:val="none"/>
          <w:lang w:eastAsia="zh-CN"/>
        </w:rPr>
        <w:t>31.2最低投标价不一定是被授予合同的保证。</w:t>
      </w:r>
    </w:p>
    <w:p w14:paraId="0D27A1B0">
      <w:pPr>
        <w:pStyle w:val="47"/>
        <w:shd w:val="clear"/>
        <w:tabs>
          <w:tab w:val="left" w:pos="1173"/>
        </w:tabs>
        <w:snapToGrid w:val="0"/>
        <w:spacing w:before="124" w:line="579" w:lineRule="exact"/>
        <w:ind w:left="0" w:right="231" w:firstLine="468" w:firstLineChars="200"/>
        <w:rPr>
          <w:rStyle w:val="35"/>
          <w:rFonts w:ascii="仿宋" w:hAnsi="仿宋" w:eastAsia="仿宋" w:cs="仿宋"/>
          <w:b/>
          <w:color w:val="auto"/>
          <w:sz w:val="24"/>
          <w:szCs w:val="24"/>
          <w:highlight w:val="none"/>
          <w:lang w:eastAsia="zh-CN"/>
        </w:rPr>
      </w:pPr>
      <w:r>
        <w:rPr>
          <w:rStyle w:val="35"/>
          <w:rFonts w:hint="eastAsia" w:ascii="仿宋" w:hAnsi="仿宋" w:eastAsia="仿宋" w:cs="仿宋"/>
          <w:color w:val="auto"/>
          <w:spacing w:val="-3"/>
          <w:sz w:val="24"/>
          <w:szCs w:val="24"/>
          <w:highlight w:val="none"/>
          <w:lang w:eastAsia="zh-CN"/>
        </w:rPr>
        <w:t>31.3如果确定该供应商不能无条件圆满履行合同，采购人将对下一个可能中标的</w:t>
      </w:r>
      <w:r>
        <w:rPr>
          <w:rStyle w:val="35"/>
          <w:rFonts w:hint="eastAsia" w:ascii="仿宋" w:hAnsi="仿宋" w:eastAsia="仿宋" w:cs="仿宋"/>
          <w:color w:val="auto"/>
          <w:spacing w:val="-5"/>
          <w:sz w:val="24"/>
          <w:szCs w:val="24"/>
          <w:highlight w:val="none"/>
          <w:lang w:eastAsia="zh-CN"/>
        </w:rPr>
        <w:t>供应商资格做出类似的审查。</w:t>
      </w:r>
    </w:p>
    <w:p w14:paraId="479F9937">
      <w:pPr>
        <w:pStyle w:val="45"/>
        <w:shd w:val="clear"/>
        <w:snapToGrid w:val="0"/>
        <w:spacing w:before="26" w:line="579" w:lineRule="exact"/>
        <w:ind w:left="0" w:firstLine="458"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32.接受和拒绝任何投标的权力</w:t>
      </w:r>
    </w:p>
    <w:p w14:paraId="25C64862">
      <w:pPr>
        <w:pStyle w:val="38"/>
        <w:shd w:val="clear"/>
        <w:snapToGrid w:val="0"/>
        <w:spacing w:before="125"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32.1为维护国家利益，采购人在授予合同之前仍有选择或拒绝任何投标的权力。</w:t>
      </w:r>
    </w:p>
    <w:p w14:paraId="235C113C">
      <w:pPr>
        <w:pStyle w:val="45"/>
        <w:shd w:val="clear"/>
        <w:snapToGrid w:val="0"/>
        <w:spacing w:before="127" w:line="579" w:lineRule="exact"/>
        <w:ind w:left="0" w:firstLine="458"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33.中标通知书</w:t>
      </w:r>
    </w:p>
    <w:p w14:paraId="5AB90A56">
      <w:pPr>
        <w:pStyle w:val="47"/>
        <w:shd w:val="clear"/>
        <w:tabs>
          <w:tab w:val="left" w:pos="1173"/>
        </w:tabs>
        <w:snapToGrid w:val="0"/>
        <w:spacing w:before="124" w:line="579" w:lineRule="exact"/>
        <w:ind w:left="0" w:right="231" w:firstLine="468"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3"/>
          <w:sz w:val="24"/>
          <w:szCs w:val="24"/>
          <w:highlight w:val="none"/>
          <w:lang w:eastAsia="zh-CN"/>
        </w:rPr>
        <w:t>33.1中标结果公示结束后，采购人将以书面形式发出《中标通知书》，《中标通</w:t>
      </w:r>
      <w:r>
        <w:rPr>
          <w:rStyle w:val="35"/>
          <w:rFonts w:hint="eastAsia" w:ascii="仿宋" w:hAnsi="仿宋" w:eastAsia="仿宋" w:cs="仿宋"/>
          <w:color w:val="auto"/>
          <w:spacing w:val="-5"/>
          <w:sz w:val="24"/>
          <w:szCs w:val="24"/>
          <w:highlight w:val="none"/>
          <w:lang w:eastAsia="zh-CN"/>
        </w:rPr>
        <w:t>知书》一经发出即发生法律效力。</w:t>
      </w:r>
    </w:p>
    <w:p w14:paraId="22AC1229">
      <w:pPr>
        <w:pStyle w:val="47"/>
        <w:shd w:val="clear"/>
        <w:tabs>
          <w:tab w:val="left" w:pos="1056"/>
        </w:tabs>
        <w:snapToGrid w:val="0"/>
        <w:spacing w:line="579" w:lineRule="exact"/>
        <w:ind w:left="0" w:firstLine="46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5"/>
          <w:sz w:val="24"/>
          <w:szCs w:val="24"/>
          <w:highlight w:val="none"/>
          <w:lang w:eastAsia="zh-CN"/>
        </w:rPr>
        <w:t>33.2《中标通知书》将作为签订合同的依据。</w:t>
      </w:r>
    </w:p>
    <w:p w14:paraId="45CDD849">
      <w:pPr>
        <w:pStyle w:val="45"/>
        <w:shd w:val="clear"/>
        <w:snapToGrid w:val="0"/>
        <w:spacing w:before="124" w:line="579" w:lineRule="exact"/>
        <w:ind w:left="0" w:firstLine="458"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34.履约担保</w:t>
      </w:r>
    </w:p>
    <w:p w14:paraId="61AA8AE1">
      <w:pPr>
        <w:pStyle w:val="47"/>
        <w:shd w:val="clear"/>
        <w:tabs>
          <w:tab w:val="left" w:pos="1113"/>
        </w:tabs>
        <w:snapToGrid w:val="0"/>
        <w:spacing w:before="124" w:line="579" w:lineRule="exact"/>
        <w:ind w:left="0" w:firstLine="46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5"/>
          <w:sz w:val="24"/>
          <w:szCs w:val="24"/>
          <w:highlight w:val="none"/>
          <w:lang w:eastAsia="zh-CN"/>
        </w:rPr>
        <w:t>34.1履约保证金：详见供应商须知前附表。</w:t>
      </w:r>
    </w:p>
    <w:p w14:paraId="203B1321">
      <w:pPr>
        <w:pStyle w:val="47"/>
        <w:shd w:val="clear"/>
        <w:tabs>
          <w:tab w:val="left" w:pos="1113"/>
        </w:tabs>
        <w:snapToGrid w:val="0"/>
        <w:spacing w:before="127" w:line="579" w:lineRule="exact"/>
        <w:ind w:left="0" w:firstLine="460"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5"/>
          <w:sz w:val="24"/>
          <w:szCs w:val="24"/>
          <w:highlight w:val="none"/>
          <w:lang w:eastAsia="zh-CN"/>
        </w:rPr>
        <w:t>34.2履约保证金在合同执行完毕后无息退还。</w:t>
      </w:r>
    </w:p>
    <w:p w14:paraId="4C5A2211">
      <w:pPr>
        <w:pStyle w:val="47"/>
        <w:shd w:val="clear"/>
        <w:tabs>
          <w:tab w:val="left" w:pos="1173"/>
        </w:tabs>
        <w:snapToGrid w:val="0"/>
        <w:spacing w:before="125" w:line="579" w:lineRule="exact"/>
        <w:ind w:left="0" w:right="231" w:firstLine="468"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3"/>
          <w:sz w:val="24"/>
          <w:szCs w:val="24"/>
          <w:highlight w:val="none"/>
          <w:lang w:eastAsia="zh-CN"/>
        </w:rPr>
        <w:t>34.3如中标候选人不能提供则取消其中标资格。供应商须承诺如成为中标候选人</w:t>
      </w:r>
      <w:r>
        <w:rPr>
          <w:rStyle w:val="35"/>
          <w:rFonts w:hint="eastAsia" w:ascii="仿宋" w:hAnsi="仿宋" w:eastAsia="仿宋" w:cs="仿宋"/>
          <w:color w:val="auto"/>
          <w:spacing w:val="-5"/>
          <w:sz w:val="24"/>
          <w:szCs w:val="24"/>
          <w:highlight w:val="none"/>
          <w:lang w:eastAsia="zh-CN"/>
        </w:rPr>
        <w:t>能够及时提供该笔资金。</w:t>
      </w:r>
    </w:p>
    <w:p w14:paraId="71104C59">
      <w:pPr>
        <w:pStyle w:val="45"/>
        <w:keepNext w:val="0"/>
        <w:keepLines w:val="0"/>
        <w:pageBreakBefore w:val="0"/>
        <w:widowControl/>
        <w:shd w:val="clear"/>
        <w:kinsoku/>
        <w:wordWrap/>
        <w:overflowPunct/>
        <w:topLinePunct w:val="0"/>
        <w:autoSpaceDE/>
        <w:autoSpaceDN/>
        <w:bidi w:val="0"/>
        <w:adjustRightInd/>
        <w:snapToGrid w:val="0"/>
        <w:spacing w:before="0" w:line="579" w:lineRule="exact"/>
        <w:ind w:left="0" w:right="0" w:firstLine="458" w:firstLineChars="200"/>
        <w:textAlignment w:val="baseline"/>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35．签订合同</w:t>
      </w:r>
    </w:p>
    <w:p w14:paraId="175457D3">
      <w:pPr>
        <w:pStyle w:val="47"/>
        <w:keepNext w:val="0"/>
        <w:keepLines w:val="0"/>
        <w:pageBreakBefore w:val="0"/>
        <w:widowControl/>
        <w:shd w:val="clear"/>
        <w:tabs>
          <w:tab w:val="left" w:pos="1113"/>
        </w:tabs>
        <w:kinsoku/>
        <w:wordWrap/>
        <w:overflowPunct/>
        <w:topLinePunct w:val="0"/>
        <w:autoSpaceDE/>
        <w:autoSpaceDN/>
        <w:bidi w:val="0"/>
        <w:adjustRightInd/>
        <w:snapToGrid w:val="0"/>
        <w:spacing w:before="0" w:line="579" w:lineRule="exact"/>
        <w:ind w:left="0" w:right="0" w:firstLine="460" w:firstLineChars="200"/>
        <w:textAlignment w:val="baseline"/>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5"/>
          <w:sz w:val="24"/>
          <w:szCs w:val="24"/>
          <w:highlight w:val="none"/>
          <w:lang w:eastAsia="zh-CN"/>
        </w:rPr>
        <w:t>35.1中标候选人在收到招标方的《中标通知书》后，须及时按照竞争性磋商文件</w:t>
      </w:r>
      <w:r>
        <w:rPr>
          <w:rStyle w:val="35"/>
          <w:rFonts w:hint="eastAsia" w:ascii="仿宋" w:hAnsi="仿宋" w:eastAsia="仿宋" w:cs="仿宋"/>
          <w:color w:val="auto"/>
          <w:spacing w:val="-8"/>
          <w:sz w:val="24"/>
          <w:szCs w:val="24"/>
          <w:highlight w:val="none"/>
          <w:lang w:eastAsia="zh-CN"/>
        </w:rPr>
        <w:t>和其所提供的响应文件中的约定与采购单位签订书面合同，所签订的合同不得对竞争性</w:t>
      </w:r>
      <w:r>
        <w:rPr>
          <w:rStyle w:val="35"/>
          <w:rFonts w:hint="eastAsia" w:ascii="仿宋" w:hAnsi="仿宋" w:eastAsia="仿宋" w:cs="仿宋"/>
          <w:color w:val="auto"/>
          <w:spacing w:val="-5"/>
          <w:sz w:val="24"/>
          <w:szCs w:val="24"/>
          <w:highlight w:val="none"/>
          <w:lang w:eastAsia="zh-CN"/>
        </w:rPr>
        <w:t>磋商文件和中标方的响应文件作实质性修改。</w:t>
      </w:r>
    </w:p>
    <w:p w14:paraId="32CF0C4D">
      <w:pPr>
        <w:pStyle w:val="47"/>
        <w:shd w:val="clear"/>
        <w:tabs>
          <w:tab w:val="left" w:pos="1113"/>
        </w:tabs>
        <w:snapToGrid w:val="0"/>
        <w:spacing w:before="28" w:line="579" w:lineRule="exact"/>
        <w:ind w:left="0" w:right="114" w:firstLine="436" w:firstLineChars="200"/>
        <w:rPr>
          <w:rStyle w:val="35"/>
          <w:rFonts w:ascii="仿宋" w:hAnsi="仿宋" w:eastAsia="仿宋" w:cs="仿宋"/>
          <w:color w:val="auto"/>
          <w:spacing w:val="-11"/>
          <w:sz w:val="24"/>
          <w:szCs w:val="24"/>
          <w:highlight w:val="none"/>
          <w:lang w:eastAsia="zh-CN"/>
        </w:rPr>
      </w:pPr>
      <w:r>
        <w:rPr>
          <w:rStyle w:val="35"/>
          <w:rFonts w:hint="eastAsia" w:ascii="仿宋" w:hAnsi="仿宋" w:eastAsia="仿宋" w:cs="仿宋"/>
          <w:color w:val="auto"/>
          <w:spacing w:val="-11"/>
          <w:sz w:val="24"/>
          <w:szCs w:val="24"/>
          <w:highlight w:val="none"/>
          <w:lang w:eastAsia="zh-CN"/>
        </w:rPr>
        <w:t>35.2竞争性磋商文件、中标方的响应文件及其澄清文件等，均为签订合同的依据。</w:t>
      </w:r>
    </w:p>
    <w:p w14:paraId="5D4B4835">
      <w:pPr>
        <w:pStyle w:val="47"/>
        <w:shd w:val="clear"/>
        <w:tabs>
          <w:tab w:val="left" w:pos="1113"/>
        </w:tabs>
        <w:snapToGrid w:val="0"/>
        <w:spacing w:before="28" w:line="579" w:lineRule="exact"/>
        <w:ind w:left="0" w:right="114" w:firstLine="468" w:firstLineChars="2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3"/>
          <w:sz w:val="24"/>
          <w:szCs w:val="24"/>
          <w:highlight w:val="none"/>
          <w:lang w:eastAsia="zh-CN"/>
        </w:rPr>
        <w:t>35.3</w:t>
      </w:r>
      <w:r>
        <w:rPr>
          <w:rStyle w:val="35"/>
          <w:rFonts w:hint="eastAsia" w:ascii="仿宋" w:hAnsi="仿宋" w:eastAsia="仿宋" w:cs="仿宋"/>
          <w:color w:val="auto"/>
          <w:spacing w:val="-11"/>
          <w:sz w:val="24"/>
          <w:szCs w:val="24"/>
          <w:highlight w:val="none"/>
          <w:lang w:eastAsia="zh-CN"/>
        </w:rPr>
        <w:t>如果中标人不能按本须知第</w:t>
      </w:r>
      <w:r>
        <w:rPr>
          <w:rStyle w:val="35"/>
          <w:rFonts w:hint="eastAsia" w:ascii="仿宋" w:hAnsi="仿宋" w:eastAsia="仿宋" w:cs="仿宋"/>
          <w:color w:val="auto"/>
          <w:sz w:val="24"/>
          <w:szCs w:val="24"/>
          <w:highlight w:val="none"/>
          <w:lang w:eastAsia="zh-CN"/>
        </w:rPr>
        <w:t>35.1</w:t>
      </w:r>
      <w:r>
        <w:rPr>
          <w:rStyle w:val="35"/>
          <w:rFonts w:hint="eastAsia" w:ascii="仿宋" w:hAnsi="仿宋" w:eastAsia="仿宋" w:cs="仿宋"/>
          <w:color w:val="auto"/>
          <w:spacing w:val="-16"/>
          <w:sz w:val="24"/>
          <w:szCs w:val="24"/>
          <w:highlight w:val="none"/>
          <w:lang w:eastAsia="zh-CN"/>
        </w:rPr>
        <w:t>款的规定执行，采购人将有充分的理由废除</w:t>
      </w:r>
      <w:r>
        <w:rPr>
          <w:rStyle w:val="35"/>
          <w:rFonts w:hint="eastAsia" w:ascii="仿宋" w:hAnsi="仿宋" w:eastAsia="仿宋" w:cs="仿宋"/>
          <w:color w:val="auto"/>
          <w:spacing w:val="-12"/>
          <w:sz w:val="24"/>
          <w:szCs w:val="24"/>
          <w:highlight w:val="none"/>
          <w:lang w:eastAsia="zh-CN"/>
        </w:rPr>
        <w:t>其中标资格，并没收其磋商保证金，给采购人造成的损失超过磋商保证金数额的，还应</w:t>
      </w:r>
      <w:r>
        <w:rPr>
          <w:rStyle w:val="35"/>
          <w:rFonts w:hint="eastAsia" w:ascii="仿宋" w:hAnsi="仿宋" w:eastAsia="仿宋" w:cs="仿宋"/>
          <w:color w:val="auto"/>
          <w:spacing w:val="-13"/>
          <w:sz w:val="24"/>
          <w:szCs w:val="24"/>
          <w:highlight w:val="none"/>
          <w:lang w:eastAsia="zh-CN"/>
        </w:rPr>
        <w:t>当对超过部分予以赔偿，同时依法承担相应法律责任；同时，采购人有权将标授予另一</w:t>
      </w:r>
      <w:r>
        <w:rPr>
          <w:rStyle w:val="35"/>
          <w:rFonts w:hint="eastAsia" w:ascii="仿宋" w:hAnsi="仿宋" w:eastAsia="仿宋" w:cs="仿宋"/>
          <w:color w:val="auto"/>
          <w:spacing w:val="-5"/>
          <w:sz w:val="24"/>
          <w:szCs w:val="24"/>
          <w:highlight w:val="none"/>
          <w:lang w:eastAsia="zh-CN"/>
        </w:rPr>
        <w:t>个候选中标人或重新招标。</w:t>
      </w:r>
    </w:p>
    <w:p w14:paraId="626B9162">
      <w:pPr>
        <w:pStyle w:val="38"/>
        <w:shd w:val="clear"/>
        <w:snapToGrid w:val="0"/>
        <w:spacing w:before="31" w:line="579" w:lineRule="exact"/>
        <w:ind w:left="0" w:right="232" w:firstLine="468" w:firstLineChars="200"/>
        <w:jc w:val="both"/>
        <w:rPr>
          <w:rStyle w:val="35"/>
          <w:rFonts w:ascii="仿宋" w:hAnsi="仿宋" w:eastAsia="仿宋" w:cs="仿宋"/>
          <w:color w:val="auto"/>
          <w:highlight w:val="none"/>
          <w:lang w:eastAsia="zh-CN"/>
        </w:rPr>
      </w:pPr>
      <w:r>
        <w:rPr>
          <w:rStyle w:val="35"/>
          <w:rFonts w:hint="eastAsia" w:ascii="仿宋" w:hAnsi="仿宋" w:eastAsia="仿宋" w:cs="仿宋"/>
          <w:color w:val="auto"/>
          <w:spacing w:val="-3"/>
          <w:highlight w:val="none"/>
          <w:lang w:eastAsia="zh-CN"/>
        </w:rPr>
        <w:t>35.4</w:t>
      </w:r>
      <w:r>
        <w:rPr>
          <w:rStyle w:val="35"/>
          <w:rFonts w:hint="eastAsia" w:ascii="仿宋" w:hAnsi="仿宋" w:eastAsia="仿宋" w:cs="仿宋"/>
          <w:color w:val="auto"/>
          <w:spacing w:val="-5"/>
          <w:highlight w:val="none"/>
          <w:lang w:eastAsia="zh-CN"/>
        </w:rPr>
        <w:t>不允许中标人将中标项目分包或转交他人承担。特殊情况下，中标人必须与</w:t>
      </w:r>
      <w:r>
        <w:rPr>
          <w:rStyle w:val="35"/>
          <w:rFonts w:hint="eastAsia" w:ascii="仿宋" w:hAnsi="仿宋" w:eastAsia="仿宋" w:cs="仿宋"/>
          <w:color w:val="auto"/>
          <w:spacing w:val="-8"/>
          <w:highlight w:val="none"/>
          <w:lang w:eastAsia="zh-CN"/>
        </w:rPr>
        <w:t>招标方协商后共同决定将合同标的中的部分由第三方承担供货和服务责任，但中标方必</w:t>
      </w:r>
      <w:r>
        <w:rPr>
          <w:rStyle w:val="35"/>
          <w:rFonts w:hint="eastAsia" w:ascii="仿宋" w:hAnsi="仿宋" w:eastAsia="仿宋" w:cs="仿宋"/>
          <w:color w:val="auto"/>
          <w:spacing w:val="-9"/>
          <w:highlight w:val="none"/>
          <w:lang w:eastAsia="zh-CN"/>
        </w:rPr>
        <w:t>须对合同标的的全部内容向招标方负责，并保证第三方提供的供货和服务符合竞争性磋</w:t>
      </w:r>
      <w:r>
        <w:rPr>
          <w:rStyle w:val="35"/>
          <w:rFonts w:hint="eastAsia" w:ascii="仿宋" w:hAnsi="仿宋" w:eastAsia="仿宋" w:cs="仿宋"/>
          <w:color w:val="auto"/>
          <w:spacing w:val="-5"/>
          <w:highlight w:val="none"/>
          <w:lang w:eastAsia="zh-CN"/>
        </w:rPr>
        <w:t>商文件的约定和响应文件的承诺及相关约定。</w:t>
      </w:r>
    </w:p>
    <w:p w14:paraId="3DBD781F">
      <w:pPr>
        <w:pStyle w:val="46"/>
        <w:keepNext w:val="0"/>
        <w:keepLines w:val="0"/>
        <w:pageBreakBefore w:val="0"/>
        <w:widowControl/>
        <w:shd w:val="clear"/>
        <w:kinsoku/>
        <w:wordWrap/>
        <w:overflowPunct/>
        <w:topLinePunct w:val="0"/>
        <w:autoSpaceDE/>
        <w:autoSpaceDN/>
        <w:bidi w:val="0"/>
        <w:adjustRightInd/>
        <w:snapToGrid/>
        <w:spacing w:before="15" w:line="579" w:lineRule="exact"/>
        <w:ind w:left="0" w:right="34"/>
        <w:textAlignment w:val="baseline"/>
        <w:outlineLvl w:val="9"/>
        <w:rPr>
          <w:rStyle w:val="35"/>
          <w:rFonts w:ascii="仿宋" w:hAnsi="仿宋" w:eastAsia="仿宋" w:cs="仿宋"/>
          <w:color w:val="auto"/>
          <w:sz w:val="28"/>
          <w:szCs w:val="28"/>
          <w:highlight w:val="none"/>
          <w:lang w:eastAsia="zh-CN"/>
        </w:rPr>
      </w:pPr>
      <w:bookmarkStart w:id="74" w:name="_Toc20686"/>
    </w:p>
    <w:p w14:paraId="6171CBCB">
      <w:pPr>
        <w:pStyle w:val="46"/>
        <w:shd w:val="clear"/>
        <w:spacing w:before="15" w:line="579" w:lineRule="exact"/>
        <w:ind w:left="0" w:right="34"/>
        <w:outlineLvl w:val="1"/>
        <w:rPr>
          <w:rStyle w:val="35"/>
          <w:rFonts w:ascii="仿宋" w:hAnsi="仿宋" w:eastAsia="仿宋" w:cs="仿宋"/>
          <w:color w:val="auto"/>
          <w:sz w:val="28"/>
          <w:szCs w:val="28"/>
          <w:highlight w:val="none"/>
          <w:lang w:eastAsia="zh-CN"/>
        </w:rPr>
      </w:pPr>
      <w:bookmarkStart w:id="75" w:name="_Toc3106"/>
      <w:bookmarkStart w:id="76" w:name="_Toc11289"/>
      <w:bookmarkStart w:id="77" w:name="_Toc4813"/>
      <w:bookmarkStart w:id="78" w:name="_Toc15794"/>
      <w:bookmarkStart w:id="79" w:name="_Toc12143"/>
      <w:r>
        <w:rPr>
          <w:rStyle w:val="35"/>
          <w:rFonts w:hint="eastAsia" w:ascii="仿宋" w:hAnsi="仿宋" w:eastAsia="仿宋" w:cs="仿宋"/>
          <w:color w:val="auto"/>
          <w:sz w:val="28"/>
          <w:szCs w:val="28"/>
          <w:highlight w:val="none"/>
          <w:lang w:eastAsia="zh-CN"/>
        </w:rPr>
        <w:t>第八章 其他</w:t>
      </w:r>
      <w:bookmarkEnd w:id="74"/>
      <w:bookmarkEnd w:id="75"/>
      <w:bookmarkEnd w:id="76"/>
      <w:bookmarkEnd w:id="77"/>
      <w:bookmarkEnd w:id="78"/>
      <w:bookmarkEnd w:id="79"/>
    </w:p>
    <w:p w14:paraId="2AA38F2B">
      <w:pPr>
        <w:pStyle w:val="38"/>
        <w:shd w:val="clear"/>
        <w:snapToGrid w:val="0"/>
        <w:spacing w:before="31" w:line="579" w:lineRule="exact"/>
        <w:ind w:left="0" w:right="232" w:firstLine="458" w:firstLineChars="200"/>
        <w:jc w:val="both"/>
        <w:rPr>
          <w:rStyle w:val="35"/>
          <w:rFonts w:ascii="仿宋" w:hAnsi="仿宋" w:eastAsia="仿宋" w:cs="仿宋"/>
          <w:b/>
          <w:color w:val="auto"/>
          <w:w w:val="95"/>
          <w:highlight w:val="none"/>
          <w:lang w:eastAsia="zh-CN"/>
        </w:rPr>
      </w:pPr>
      <w:r>
        <w:rPr>
          <w:rStyle w:val="35"/>
          <w:rFonts w:hint="eastAsia" w:ascii="仿宋" w:hAnsi="仿宋" w:eastAsia="仿宋" w:cs="仿宋"/>
          <w:b/>
          <w:color w:val="auto"/>
          <w:w w:val="95"/>
          <w:highlight w:val="none"/>
          <w:lang w:eastAsia="zh-CN"/>
        </w:rPr>
        <w:t>36.需要补充的其他内容</w:t>
      </w:r>
    </w:p>
    <w:p w14:paraId="47A0D910">
      <w:pPr>
        <w:pStyle w:val="38"/>
        <w:shd w:val="clear"/>
        <w:snapToGrid w:val="0"/>
        <w:spacing w:before="31" w:line="579" w:lineRule="exact"/>
        <w:ind w:left="0" w:right="232" w:firstLine="480" w:firstLineChars="200"/>
        <w:jc w:val="both"/>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36.1需要补充的其他内容详见供应商须知前附表。</w:t>
      </w:r>
    </w:p>
    <w:p w14:paraId="7A91C62D">
      <w:pPr>
        <w:pStyle w:val="38"/>
        <w:shd w:val="clear"/>
        <w:snapToGrid w:val="0"/>
        <w:spacing w:before="31" w:line="579" w:lineRule="exact"/>
        <w:ind w:left="0" w:right="232" w:firstLine="480" w:firstLineChars="200"/>
        <w:jc w:val="both"/>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36.2本竞争性磋商文件解释权归新疆君凯杰工程项目管理有限公司</w:t>
      </w:r>
    </w:p>
    <w:p w14:paraId="5C0FFCBB">
      <w:pPr>
        <w:shd w:val="clear"/>
        <w:spacing w:before="20" w:line="579" w:lineRule="exact"/>
        <w:ind w:left="590" w:right="556"/>
        <w:jc w:val="center"/>
        <w:outlineLvl w:val="1"/>
        <w:rPr>
          <w:rStyle w:val="35"/>
          <w:rFonts w:ascii="仿宋" w:hAnsi="仿宋" w:eastAsia="仿宋" w:cs="仿宋"/>
          <w:b/>
          <w:color w:val="auto"/>
          <w:sz w:val="28"/>
          <w:szCs w:val="28"/>
          <w:highlight w:val="none"/>
          <w:lang w:eastAsia="zh-CN"/>
        </w:rPr>
      </w:pPr>
      <w:bookmarkStart w:id="80" w:name="_Toc32146"/>
      <w:bookmarkStart w:id="81" w:name="_Toc13072"/>
      <w:bookmarkStart w:id="82" w:name="_Toc29713"/>
      <w:bookmarkStart w:id="83" w:name="_Toc16294"/>
      <w:bookmarkStart w:id="84" w:name="_Toc18458"/>
      <w:bookmarkStart w:id="85" w:name="_Toc13216"/>
      <w:r>
        <w:rPr>
          <w:rStyle w:val="35"/>
          <w:rFonts w:hint="eastAsia" w:ascii="仿宋" w:hAnsi="仿宋" w:eastAsia="仿宋" w:cs="仿宋"/>
          <w:b/>
          <w:bCs/>
          <w:color w:val="auto"/>
          <w:sz w:val="28"/>
          <w:szCs w:val="28"/>
          <w:highlight w:val="none"/>
          <w:lang w:eastAsia="zh-CN"/>
        </w:rPr>
        <w:t>第九章 质疑的提出及处理</w:t>
      </w:r>
      <w:bookmarkEnd w:id="80"/>
      <w:bookmarkEnd w:id="81"/>
      <w:bookmarkEnd w:id="82"/>
      <w:bookmarkEnd w:id="83"/>
      <w:bookmarkEnd w:id="84"/>
      <w:bookmarkEnd w:id="85"/>
    </w:p>
    <w:p w14:paraId="7F32C899">
      <w:pPr>
        <w:pStyle w:val="38"/>
        <w:shd w:val="clear"/>
        <w:spacing w:before="116" w:line="579" w:lineRule="exact"/>
        <w:ind w:right="255" w:firstLine="47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政府采购供应商（以下简称供应商）提出质疑和投诉应当坚持依法依规、诚实信用原则。</w:t>
      </w:r>
    </w:p>
    <w:p w14:paraId="7A36511C">
      <w:pPr>
        <w:pStyle w:val="45"/>
        <w:shd w:val="clear"/>
        <w:spacing w:before="29"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37.质疑的提出</w:t>
      </w:r>
    </w:p>
    <w:p w14:paraId="32B028C7">
      <w:pPr>
        <w:pStyle w:val="38"/>
        <w:shd w:val="clear"/>
        <w:spacing w:before="26"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37.1供应商认为采购文件、采购过程、中标或者成交结果使自己的权益受到损害的，可以在知道或者应知其权益受到损害之日起七个工作日内，以书面形式向采购人、采购代理机构提出质疑。</w:t>
      </w:r>
    </w:p>
    <w:p w14:paraId="2C732B2D">
      <w:pPr>
        <w:pStyle w:val="38"/>
        <w:shd w:val="clear"/>
        <w:spacing w:before="26"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采购文件可以要求供应商在法定质疑期内一次性提出针对同一采购程序环节的质疑。</w:t>
      </w:r>
    </w:p>
    <w:p w14:paraId="38D55A69">
      <w:pPr>
        <w:pStyle w:val="38"/>
        <w:shd w:val="clear"/>
        <w:spacing w:before="26"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供应商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w:t>
      </w:r>
    </w:p>
    <w:p w14:paraId="6785BB95">
      <w:pPr>
        <w:pStyle w:val="38"/>
        <w:shd w:val="clear"/>
        <w:spacing w:before="26"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37.2提出质疑的供应商（以下简称质疑供应商）应当是参与所质疑项目采购活动的供应商。</w:t>
      </w:r>
    </w:p>
    <w:p w14:paraId="6B67E7BC">
      <w:pPr>
        <w:pStyle w:val="38"/>
        <w:shd w:val="clear"/>
        <w:spacing w:before="26"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潜在供应商已依法获取其可质疑的采购文件的，可以对该文件提出质疑。对采购文件提出质疑的，应当在获取采购文件或者采购文件公告期限届满之日起7个工作日内提出。</w:t>
      </w:r>
    </w:p>
    <w:p w14:paraId="1C868CFA">
      <w:pPr>
        <w:pStyle w:val="38"/>
        <w:shd w:val="clear"/>
        <w:spacing w:before="26"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37.3供应商提出质疑应当提交质疑函和必要的证明材料。质疑函应当包括下列内容：</w:t>
      </w:r>
    </w:p>
    <w:p w14:paraId="0CFCF96E">
      <w:pPr>
        <w:pStyle w:val="38"/>
        <w:shd w:val="clear"/>
        <w:spacing w:before="26" w:line="579" w:lineRule="exact"/>
        <w:ind w:left="58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（1）供应商的姓名或者名称、地址、邮编、联系人及联系电话；</w:t>
      </w:r>
    </w:p>
    <w:p w14:paraId="1A966586">
      <w:pPr>
        <w:pStyle w:val="38"/>
        <w:shd w:val="clear"/>
        <w:spacing w:before="125" w:line="579" w:lineRule="exact"/>
        <w:ind w:left="58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（2）质疑项目的名称、编号；</w:t>
      </w:r>
    </w:p>
    <w:p w14:paraId="4F869C9A">
      <w:pPr>
        <w:pStyle w:val="38"/>
        <w:shd w:val="clear"/>
        <w:spacing w:before="127" w:line="579" w:lineRule="exact"/>
        <w:ind w:left="58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（3）具体、明确的质疑事项和与质疑事项相关的请求；</w:t>
      </w:r>
    </w:p>
    <w:p w14:paraId="7C378A9E">
      <w:pPr>
        <w:pStyle w:val="38"/>
        <w:shd w:val="clear"/>
        <w:spacing w:before="14" w:line="579" w:lineRule="exact"/>
        <w:ind w:left="58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（4）事实依据；</w:t>
      </w:r>
    </w:p>
    <w:p w14:paraId="04369D9F">
      <w:pPr>
        <w:pStyle w:val="38"/>
        <w:shd w:val="clear"/>
        <w:spacing w:before="124" w:line="579" w:lineRule="exact"/>
        <w:ind w:left="58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（5）必要的法律依据；</w:t>
      </w:r>
    </w:p>
    <w:p w14:paraId="2D67CEF6">
      <w:pPr>
        <w:pStyle w:val="38"/>
        <w:shd w:val="clear"/>
        <w:spacing w:before="127" w:line="579" w:lineRule="exact"/>
        <w:ind w:left="589"/>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（6）提出质疑的日期。</w:t>
      </w:r>
    </w:p>
    <w:p w14:paraId="65477DD0">
      <w:pPr>
        <w:pStyle w:val="45"/>
        <w:shd w:val="clear"/>
        <w:snapToGrid w:val="0"/>
        <w:spacing w:before="26" w:line="579" w:lineRule="exact"/>
        <w:ind w:left="0" w:firstLine="480" w:firstLineChars="200"/>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37.4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5AC36874">
      <w:pPr>
        <w:pStyle w:val="45"/>
        <w:shd w:val="clear"/>
        <w:snapToGrid w:val="0"/>
        <w:spacing w:before="26" w:line="579" w:lineRule="exact"/>
        <w:ind w:left="0" w:firstLine="480" w:firstLineChars="200"/>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代理人提出质疑和投诉，应当提交供应商签署的授权委托书。</w:t>
      </w:r>
    </w:p>
    <w:p w14:paraId="0E1C0E9D">
      <w:pPr>
        <w:pStyle w:val="45"/>
        <w:shd w:val="clear"/>
        <w:snapToGrid w:val="0"/>
        <w:spacing w:before="26" w:line="579" w:lineRule="exact"/>
        <w:ind w:left="0" w:firstLine="480" w:firstLineChars="200"/>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37.5以联合体形式参加政府采购活动的，其投诉应当由组成联合体的所有供应商共同提出。</w:t>
      </w:r>
    </w:p>
    <w:p w14:paraId="45AB297C">
      <w:pPr>
        <w:pStyle w:val="45"/>
        <w:shd w:val="clear"/>
        <w:snapToGrid w:val="0"/>
        <w:spacing w:before="26" w:line="579" w:lineRule="exact"/>
        <w:ind w:left="0" w:firstLine="480" w:firstLineChars="200"/>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37.6质疑必须提供合法的信息来源或有效证据。质疑人捏造事实、提供虚假材料或者以非法手段取得证明材料进行质疑的，将不予受理。质疑人应当保证所提出的质疑内容及相关证明材料的真实性及来源的合法性，并承担相应的法律责任。属于须由相关部门调查、鉴定或者先行做出相关认定的事项，质疑人应当依法申请具有法定职权的部门查清、认定，并将相关结果提供给招标方。招标方不具有法定调查、认定权限和义务。</w:t>
      </w:r>
    </w:p>
    <w:p w14:paraId="713795AC">
      <w:pPr>
        <w:pStyle w:val="45"/>
        <w:shd w:val="clear"/>
        <w:snapToGrid w:val="0"/>
        <w:spacing w:before="26" w:line="579" w:lineRule="exact"/>
        <w:ind w:left="0" w:firstLine="480" w:firstLineChars="200"/>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37.7证明材料要具备客观性、关联性、合法性，无法查实的（如宣传册、媒体报道、猜测、推理等）不能作为证明材料。</w:t>
      </w:r>
    </w:p>
    <w:p w14:paraId="76326489">
      <w:pPr>
        <w:pStyle w:val="45"/>
        <w:shd w:val="clear"/>
        <w:snapToGrid w:val="0"/>
        <w:spacing w:before="26" w:line="579" w:lineRule="exact"/>
        <w:ind w:left="0" w:firstLine="480" w:firstLineChars="200"/>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37.8对不能提供相关证明材料的、涉及商业秘密的、非书面形式送达的、匿名的质疑将不予受理。</w:t>
      </w:r>
    </w:p>
    <w:p w14:paraId="2AF5DC4F">
      <w:pPr>
        <w:pStyle w:val="45"/>
        <w:shd w:val="clear"/>
        <w:snapToGrid w:val="0"/>
        <w:spacing w:before="26"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38.受理和处理</w:t>
      </w:r>
    </w:p>
    <w:p w14:paraId="7F31BCDE">
      <w:pPr>
        <w:shd w:val="clear"/>
        <w:snapToGrid w:val="0"/>
        <w:spacing w:line="579" w:lineRule="exact"/>
        <w:ind w:firstLine="448" w:firstLineChars="200"/>
        <w:rPr>
          <w:rStyle w:val="35"/>
          <w:rFonts w:ascii="仿宋" w:hAnsi="仿宋" w:eastAsia="仿宋" w:cs="仿宋"/>
          <w:color w:val="auto"/>
          <w:spacing w:val="-8"/>
          <w:sz w:val="24"/>
          <w:szCs w:val="24"/>
          <w:highlight w:val="none"/>
          <w:lang w:eastAsia="zh-CN"/>
        </w:rPr>
      </w:pPr>
      <w:r>
        <w:rPr>
          <w:rStyle w:val="35"/>
          <w:rFonts w:hint="eastAsia" w:ascii="仿宋" w:hAnsi="仿宋" w:eastAsia="仿宋" w:cs="仿宋"/>
          <w:color w:val="auto"/>
          <w:spacing w:val="-8"/>
          <w:sz w:val="24"/>
          <w:szCs w:val="24"/>
          <w:highlight w:val="none"/>
          <w:lang w:eastAsia="zh-CN"/>
        </w:rPr>
        <w:t>38.1《质疑函》必须由质疑方的法定代表人或参与本次投标的被授权人以书面的形式送达招标方或采购单位。</w:t>
      </w:r>
    </w:p>
    <w:p w14:paraId="3C26F799">
      <w:pPr>
        <w:shd w:val="clear"/>
        <w:snapToGrid w:val="0"/>
        <w:spacing w:line="579" w:lineRule="exact"/>
        <w:ind w:firstLine="448" w:firstLineChars="200"/>
        <w:rPr>
          <w:rStyle w:val="35"/>
          <w:rFonts w:ascii="仿宋" w:hAnsi="仿宋" w:eastAsia="仿宋" w:cs="仿宋"/>
          <w:color w:val="auto"/>
          <w:spacing w:val="-8"/>
          <w:sz w:val="24"/>
          <w:szCs w:val="24"/>
          <w:highlight w:val="none"/>
          <w:lang w:eastAsia="zh-CN"/>
        </w:rPr>
      </w:pPr>
      <w:r>
        <w:rPr>
          <w:rStyle w:val="35"/>
          <w:rFonts w:hint="eastAsia" w:ascii="仿宋" w:hAnsi="仿宋" w:eastAsia="仿宋" w:cs="仿宋"/>
          <w:color w:val="auto"/>
          <w:spacing w:val="-8"/>
          <w:sz w:val="24"/>
          <w:szCs w:val="24"/>
          <w:highlight w:val="none"/>
          <w:lang w:eastAsia="zh-CN"/>
        </w:rPr>
        <w:t>38.2采购人、采购代理机构不得拒收质疑供应商在法定质疑期内发出的质疑函，应当在收到质疑函后7个工作日内作出答复，并以书面形式通知质疑供应商和其他有关供应商。</w:t>
      </w:r>
    </w:p>
    <w:p w14:paraId="508E7896">
      <w:pPr>
        <w:pStyle w:val="38"/>
        <w:shd w:val="clear"/>
        <w:snapToGrid w:val="0"/>
        <w:spacing w:before="31" w:line="579" w:lineRule="exact"/>
        <w:ind w:left="0" w:right="232" w:firstLine="448" w:firstLineChars="200"/>
        <w:jc w:val="both"/>
        <w:rPr>
          <w:rStyle w:val="35"/>
          <w:rFonts w:ascii="仿宋" w:hAnsi="仿宋" w:eastAsia="仿宋" w:cs="仿宋"/>
          <w:color w:val="auto"/>
          <w:spacing w:val="-8"/>
          <w:highlight w:val="none"/>
          <w:lang w:eastAsia="zh-CN"/>
        </w:rPr>
      </w:pPr>
      <w:r>
        <w:rPr>
          <w:rStyle w:val="35"/>
          <w:rFonts w:hint="eastAsia" w:ascii="仿宋" w:hAnsi="仿宋" w:eastAsia="仿宋" w:cs="仿宋"/>
          <w:color w:val="auto"/>
          <w:spacing w:val="-8"/>
          <w:highlight w:val="none"/>
          <w:lang w:eastAsia="zh-CN"/>
        </w:rPr>
        <w:t>38.3质疑答复的内容不得涉及商业秘密。</w:t>
      </w:r>
    </w:p>
    <w:p w14:paraId="23C53375">
      <w:pPr>
        <w:pStyle w:val="38"/>
        <w:shd w:val="clear"/>
        <w:snapToGrid w:val="0"/>
        <w:spacing w:before="31" w:line="579" w:lineRule="exact"/>
        <w:ind w:right="135" w:firstLine="448" w:firstLineChars="200"/>
        <w:rPr>
          <w:rStyle w:val="35"/>
          <w:rFonts w:ascii="仿宋" w:hAnsi="仿宋" w:eastAsia="仿宋" w:cs="仿宋"/>
          <w:color w:val="auto"/>
          <w:spacing w:val="-8"/>
          <w:highlight w:val="none"/>
          <w:lang w:eastAsia="zh-CN"/>
        </w:rPr>
      </w:pPr>
      <w:r>
        <w:rPr>
          <w:rStyle w:val="35"/>
          <w:rFonts w:hint="eastAsia" w:ascii="仿宋" w:hAnsi="仿宋" w:eastAsia="仿宋" w:cs="仿宋"/>
          <w:color w:val="auto"/>
          <w:spacing w:val="-8"/>
          <w:highlight w:val="none"/>
          <w:lang w:eastAsia="zh-CN"/>
        </w:rPr>
        <w:t>38.4对于不符合上述37项所述的相关条款要求的质疑，招标方将不予受理。</w:t>
      </w:r>
    </w:p>
    <w:p w14:paraId="57C78CF8">
      <w:pPr>
        <w:pStyle w:val="38"/>
        <w:shd w:val="clear"/>
        <w:snapToGrid w:val="0"/>
        <w:spacing w:before="31" w:line="579" w:lineRule="exact"/>
        <w:ind w:right="135" w:firstLine="448" w:firstLineChars="200"/>
        <w:rPr>
          <w:rStyle w:val="35"/>
          <w:rFonts w:ascii="仿宋" w:hAnsi="仿宋" w:eastAsia="仿宋" w:cs="仿宋"/>
          <w:color w:val="auto"/>
          <w:spacing w:val="-8"/>
          <w:highlight w:val="none"/>
          <w:lang w:eastAsia="zh-CN"/>
        </w:rPr>
      </w:pPr>
      <w:r>
        <w:rPr>
          <w:rStyle w:val="35"/>
          <w:rFonts w:hint="eastAsia" w:ascii="仿宋" w:hAnsi="仿宋" w:eastAsia="仿宋" w:cs="仿宋"/>
          <w:color w:val="auto"/>
          <w:spacing w:val="-8"/>
          <w:highlight w:val="none"/>
          <w:lang w:eastAsia="zh-CN"/>
        </w:rPr>
        <w:t>38.5在处理过程中，发现需要质疑人进一步补充相关佐证材料的，要求质疑人在规定时间内提供。质疑人不能按照要求提供相关佐证材料的，视同放弃质疑。</w:t>
      </w:r>
    </w:p>
    <w:p w14:paraId="3A2AAC86">
      <w:pPr>
        <w:pStyle w:val="38"/>
        <w:shd w:val="clear"/>
        <w:snapToGrid w:val="0"/>
        <w:spacing w:before="31" w:line="579" w:lineRule="exact"/>
        <w:ind w:right="135" w:firstLine="448" w:firstLineChars="200"/>
        <w:rPr>
          <w:rStyle w:val="35"/>
          <w:rFonts w:ascii="仿宋" w:hAnsi="仿宋" w:eastAsia="仿宋" w:cs="仿宋"/>
          <w:color w:val="auto"/>
          <w:spacing w:val="-8"/>
          <w:highlight w:val="none"/>
          <w:lang w:eastAsia="zh-CN"/>
        </w:rPr>
      </w:pPr>
      <w:r>
        <w:rPr>
          <w:rStyle w:val="35"/>
          <w:rFonts w:hint="eastAsia" w:ascii="仿宋" w:hAnsi="仿宋" w:eastAsia="仿宋" w:cs="仿宋"/>
          <w:color w:val="auto"/>
          <w:spacing w:val="-8"/>
          <w:highlight w:val="none"/>
          <w:lang w:eastAsia="zh-CN"/>
        </w:rPr>
        <w:t>38.6招标方或采购单位负责对质疑的回复工作，将质疑人的质疑材料提供给相关专家或评审小组，并将处理意见回复质疑人。</w:t>
      </w:r>
    </w:p>
    <w:p w14:paraId="07310EC2">
      <w:pPr>
        <w:pStyle w:val="38"/>
        <w:shd w:val="clear"/>
        <w:snapToGrid w:val="0"/>
        <w:spacing w:before="31" w:line="579" w:lineRule="exact"/>
        <w:ind w:right="135" w:firstLine="448" w:firstLineChars="200"/>
        <w:rPr>
          <w:rStyle w:val="35"/>
          <w:rFonts w:ascii="仿宋" w:hAnsi="仿宋" w:eastAsia="仿宋" w:cs="仿宋"/>
          <w:color w:val="auto"/>
          <w:spacing w:val="-8"/>
          <w:highlight w:val="none"/>
          <w:lang w:eastAsia="zh-CN"/>
        </w:rPr>
      </w:pPr>
      <w:r>
        <w:rPr>
          <w:rStyle w:val="35"/>
          <w:rFonts w:hint="eastAsia" w:ascii="仿宋" w:hAnsi="仿宋" w:eastAsia="仿宋" w:cs="仿宋"/>
          <w:color w:val="auto"/>
          <w:spacing w:val="-8"/>
          <w:highlight w:val="none"/>
          <w:lang w:eastAsia="zh-CN"/>
        </w:rPr>
        <w:t>38.7采购人、采购代理机构认为供应商质疑不成立，或者成立但未对中标、成交结果构成影响的，继续开展采购活动；认为供应商质疑成立且影响或者可能影响中标、成交结果的，按照下列情况处理：</w:t>
      </w:r>
    </w:p>
    <w:p w14:paraId="28B8C037">
      <w:pPr>
        <w:pStyle w:val="38"/>
        <w:shd w:val="clear"/>
        <w:snapToGrid w:val="0"/>
        <w:spacing w:before="31" w:line="579" w:lineRule="exact"/>
        <w:ind w:right="135" w:firstLine="480" w:firstLineChars="200"/>
        <w:rPr>
          <w:rStyle w:val="35"/>
          <w:rFonts w:ascii="仿宋" w:hAnsi="仿宋" w:eastAsia="仿宋" w:cs="仿宋"/>
          <w:color w:val="auto"/>
          <w:spacing w:val="-8"/>
          <w:highlight w:val="none"/>
          <w:lang w:eastAsia="zh-CN"/>
        </w:rPr>
      </w:pPr>
      <w:r>
        <w:rPr>
          <w:rStyle w:val="35"/>
          <w:rFonts w:hint="eastAsia" w:ascii="仿宋" w:hAnsi="仿宋" w:eastAsia="仿宋" w:cs="仿宋"/>
          <w:color w:val="auto"/>
          <w:highlight w:val="none"/>
          <w:lang w:eastAsia="zh-CN"/>
        </w:rPr>
        <w:t>（1）对采购文件提出的质疑，依法通过澄清或者修改可以继续开展采购活动的，澄清或者修改采购文件后继续开展采购活动；否则应当修改采购文件后重新开展采购活动。</w:t>
      </w:r>
    </w:p>
    <w:p w14:paraId="384AFD19">
      <w:pPr>
        <w:pStyle w:val="38"/>
        <w:shd w:val="clear"/>
        <w:snapToGrid w:val="0"/>
        <w:spacing w:before="31" w:line="579" w:lineRule="exact"/>
        <w:ind w:left="0" w:right="134"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2）对采购过程、中标或者成交结果提出的质疑，合格供应商符合法定数量时，可以从合格的中标或者成交候选人中另行确定中标、成交供应商的，应当依法另行确定中标、成交供应商；否则应当重新开展采购活动。</w:t>
      </w:r>
    </w:p>
    <w:p w14:paraId="6E037E35">
      <w:pPr>
        <w:pStyle w:val="38"/>
        <w:shd w:val="clear"/>
        <w:snapToGrid w:val="0"/>
        <w:spacing w:before="31" w:line="579" w:lineRule="exact"/>
        <w:ind w:left="0" w:right="255"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质疑答复导致中标、成交结果改变的，采购人或者采购代理机构应当将有关情况书面报告本级财政部门。</w:t>
      </w:r>
    </w:p>
    <w:p w14:paraId="01F19839">
      <w:pPr>
        <w:pStyle w:val="45"/>
        <w:shd w:val="clear"/>
        <w:snapToGrid w:val="0"/>
        <w:spacing w:before="29" w:line="579" w:lineRule="exact"/>
        <w:ind w:left="0" w:firstLine="482"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39.质疑无效的处理</w:t>
      </w:r>
    </w:p>
    <w:p w14:paraId="4C4383C5">
      <w:pPr>
        <w:pStyle w:val="45"/>
        <w:shd w:val="clear"/>
        <w:snapToGrid w:val="0"/>
        <w:spacing w:before="28" w:line="579" w:lineRule="exact"/>
        <w:ind w:left="0" w:firstLine="460" w:firstLineChars="200"/>
        <w:rPr>
          <w:rStyle w:val="35"/>
          <w:rFonts w:ascii="仿宋" w:hAnsi="仿宋" w:eastAsia="仿宋" w:cs="仿宋"/>
          <w:b w:val="0"/>
          <w:bCs w:val="0"/>
          <w:color w:val="auto"/>
          <w:spacing w:val="-5"/>
          <w:highlight w:val="none"/>
          <w:lang w:eastAsia="zh-CN"/>
        </w:rPr>
      </w:pPr>
      <w:r>
        <w:rPr>
          <w:rStyle w:val="35"/>
          <w:rFonts w:hint="eastAsia" w:ascii="仿宋" w:hAnsi="仿宋" w:eastAsia="仿宋" w:cs="仿宋"/>
          <w:b w:val="0"/>
          <w:bCs w:val="0"/>
          <w:color w:val="auto"/>
          <w:spacing w:val="-5"/>
          <w:highlight w:val="none"/>
          <w:lang w:eastAsia="zh-CN"/>
        </w:rPr>
        <w:t>39.1质疑人提供的相关佐证材料不能证明质疑成立的，招标方可要求质疑人补充相关佐证材料，如补充材料仍不能证明质疑成立的，将不予受理。</w:t>
      </w:r>
    </w:p>
    <w:p w14:paraId="2A91DF34">
      <w:pPr>
        <w:pStyle w:val="45"/>
        <w:shd w:val="clear"/>
        <w:snapToGrid w:val="0"/>
        <w:spacing w:before="28" w:line="579" w:lineRule="exact"/>
        <w:ind w:left="0" w:firstLine="460" w:firstLineChars="200"/>
        <w:rPr>
          <w:rStyle w:val="35"/>
          <w:rFonts w:ascii="仿宋" w:hAnsi="仿宋" w:eastAsia="仿宋" w:cs="仿宋"/>
          <w:b w:val="0"/>
          <w:bCs w:val="0"/>
          <w:color w:val="auto"/>
          <w:spacing w:val="-5"/>
          <w:highlight w:val="none"/>
          <w:lang w:eastAsia="zh-CN"/>
        </w:rPr>
      </w:pPr>
      <w:r>
        <w:rPr>
          <w:rStyle w:val="35"/>
          <w:rFonts w:hint="eastAsia" w:ascii="仿宋" w:hAnsi="仿宋" w:eastAsia="仿宋" w:cs="仿宋"/>
          <w:b w:val="0"/>
          <w:bCs w:val="0"/>
          <w:color w:val="auto"/>
          <w:spacing w:val="-5"/>
          <w:highlight w:val="none"/>
          <w:lang w:eastAsia="zh-CN"/>
        </w:rPr>
        <w:t>39.2对于质疑人在质疑期间不配合进行质疑调查处理的，视为自动放弃质疑。</w:t>
      </w:r>
    </w:p>
    <w:p w14:paraId="5AB6EF1C">
      <w:pPr>
        <w:pStyle w:val="45"/>
        <w:shd w:val="clear"/>
        <w:snapToGrid w:val="0"/>
        <w:spacing w:before="28" w:line="579" w:lineRule="exact"/>
        <w:ind w:left="0" w:firstLine="460" w:firstLineChars="200"/>
        <w:rPr>
          <w:rStyle w:val="35"/>
          <w:rFonts w:ascii="仿宋" w:hAnsi="仿宋" w:eastAsia="仿宋" w:cs="仿宋"/>
          <w:b w:val="0"/>
          <w:bCs w:val="0"/>
          <w:color w:val="auto"/>
          <w:spacing w:val="-5"/>
          <w:highlight w:val="none"/>
          <w:lang w:eastAsia="zh-CN"/>
        </w:rPr>
      </w:pPr>
      <w:r>
        <w:rPr>
          <w:rStyle w:val="35"/>
          <w:rFonts w:hint="eastAsia" w:ascii="仿宋" w:hAnsi="仿宋" w:eastAsia="仿宋" w:cs="仿宋"/>
          <w:b w:val="0"/>
          <w:bCs w:val="0"/>
          <w:color w:val="auto"/>
          <w:spacing w:val="-5"/>
          <w:highlight w:val="none"/>
          <w:lang w:eastAsia="zh-CN"/>
        </w:rPr>
        <w:t>39.3质疑人提出的质疑，经评标专家审定后驳回的，列为无效质疑。</w:t>
      </w:r>
    </w:p>
    <w:p w14:paraId="4EC438FC">
      <w:pPr>
        <w:pStyle w:val="45"/>
        <w:shd w:val="clear"/>
        <w:snapToGrid w:val="0"/>
        <w:spacing w:before="28" w:line="579" w:lineRule="exact"/>
        <w:ind w:left="0" w:firstLine="460" w:firstLineChars="200"/>
        <w:rPr>
          <w:rStyle w:val="35"/>
          <w:rFonts w:ascii="仿宋" w:hAnsi="仿宋" w:eastAsia="仿宋" w:cs="仿宋"/>
          <w:b w:val="0"/>
          <w:bCs w:val="0"/>
          <w:color w:val="auto"/>
          <w:spacing w:val="-5"/>
          <w:highlight w:val="none"/>
          <w:lang w:eastAsia="zh-CN"/>
        </w:rPr>
      </w:pPr>
      <w:r>
        <w:rPr>
          <w:rStyle w:val="35"/>
          <w:rFonts w:hint="eastAsia" w:ascii="仿宋" w:hAnsi="仿宋" w:eastAsia="仿宋" w:cs="仿宋"/>
          <w:b w:val="0"/>
          <w:bCs w:val="0"/>
          <w:color w:val="auto"/>
          <w:spacing w:val="-5"/>
          <w:highlight w:val="none"/>
          <w:lang w:eastAsia="zh-CN"/>
        </w:rPr>
        <w:t>39.4对于质疑中使用虚假材料或恶意方式质疑的，按无效质疑处理，并列入不良记录供应商名单。</w:t>
      </w:r>
    </w:p>
    <w:p w14:paraId="17FBCC01">
      <w:pPr>
        <w:pStyle w:val="45"/>
        <w:shd w:val="clear"/>
        <w:snapToGrid w:val="0"/>
        <w:spacing w:before="28" w:line="579" w:lineRule="exact"/>
        <w:ind w:left="0" w:firstLine="460" w:firstLineChars="200"/>
        <w:rPr>
          <w:rStyle w:val="35"/>
          <w:rFonts w:ascii="仿宋" w:hAnsi="仿宋" w:eastAsia="仿宋" w:cs="仿宋"/>
          <w:b w:val="0"/>
          <w:bCs w:val="0"/>
          <w:color w:val="auto"/>
          <w:spacing w:val="-5"/>
          <w:highlight w:val="none"/>
          <w:lang w:eastAsia="zh-CN"/>
        </w:rPr>
      </w:pPr>
      <w:r>
        <w:rPr>
          <w:rStyle w:val="35"/>
          <w:rFonts w:hint="eastAsia" w:ascii="仿宋" w:hAnsi="仿宋" w:eastAsia="仿宋" w:cs="仿宋"/>
          <w:b w:val="0"/>
          <w:bCs w:val="0"/>
          <w:color w:val="auto"/>
          <w:spacing w:val="-5"/>
          <w:highlight w:val="none"/>
          <w:lang w:eastAsia="zh-CN"/>
        </w:rPr>
        <w:t>39.5质疑人进行质疑后，招标方在法定时间内对质疑进行回复，质疑人认为回复不满意的，可向相关的采购管理部门进行投诉。</w:t>
      </w:r>
    </w:p>
    <w:p w14:paraId="0BAE8A52">
      <w:pPr>
        <w:pStyle w:val="45"/>
        <w:shd w:val="clear"/>
        <w:snapToGrid w:val="0"/>
        <w:spacing w:before="28" w:line="579" w:lineRule="exact"/>
        <w:ind w:firstLine="458" w:firstLineChars="200"/>
        <w:rPr>
          <w:rStyle w:val="35"/>
          <w:rFonts w:ascii="仿宋" w:hAnsi="仿宋" w:eastAsia="仿宋" w:cs="仿宋"/>
          <w:b w:val="0"/>
          <w:bCs w:val="0"/>
          <w:color w:val="auto"/>
          <w:spacing w:val="-5"/>
          <w:highlight w:val="none"/>
          <w:lang w:eastAsia="zh-CN"/>
        </w:rPr>
      </w:pPr>
      <w:r>
        <w:rPr>
          <w:rStyle w:val="35"/>
          <w:rFonts w:hint="eastAsia" w:ascii="仿宋" w:hAnsi="仿宋" w:eastAsia="仿宋" w:cs="仿宋"/>
          <w:color w:val="auto"/>
          <w:w w:val="95"/>
          <w:highlight w:val="none"/>
          <w:lang w:eastAsia="zh-CN"/>
        </w:rPr>
        <w:t>40.其他</w:t>
      </w:r>
    </w:p>
    <w:p w14:paraId="7E4148C1">
      <w:pPr>
        <w:pStyle w:val="45"/>
        <w:shd w:val="clear"/>
        <w:spacing w:before="14" w:line="579" w:lineRule="exact"/>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40.1质疑函和投诉书应当使用中文。质疑函和投诉书的范本，由财政部制定。</w:t>
      </w:r>
    </w:p>
    <w:p w14:paraId="110C28F9">
      <w:pPr>
        <w:pStyle w:val="45"/>
        <w:shd w:val="clear"/>
        <w:spacing w:before="14" w:line="579" w:lineRule="exact"/>
        <w:rPr>
          <w:rStyle w:val="35"/>
          <w:rFonts w:ascii="仿宋" w:hAnsi="仿宋" w:eastAsia="仿宋" w:cs="仿宋"/>
          <w:b w:val="0"/>
          <w:bCs w:val="0"/>
          <w:color w:val="auto"/>
          <w:highlight w:val="none"/>
          <w:lang w:eastAsia="zh-CN"/>
        </w:rPr>
      </w:pPr>
      <w:r>
        <w:rPr>
          <w:rStyle w:val="35"/>
          <w:rFonts w:hint="eastAsia" w:ascii="仿宋" w:hAnsi="仿宋" w:eastAsia="仿宋" w:cs="仿宋"/>
          <w:b w:val="0"/>
          <w:bCs w:val="0"/>
          <w:color w:val="auto"/>
          <w:highlight w:val="none"/>
          <w:lang w:eastAsia="zh-CN"/>
        </w:rPr>
        <w:t>40.2对在质疑答复和投诉处理过程中知悉的国家秘密、商业秘密、个人隐私和依法不予公开的信息，财政部门、采购人、采购代理机构等相关知情人应当保密。</w:t>
      </w:r>
    </w:p>
    <w:p w14:paraId="37D82931">
      <w:pPr>
        <w:pStyle w:val="45"/>
        <w:shd w:val="clear"/>
        <w:spacing w:before="14" w:line="579" w:lineRule="exact"/>
        <w:ind w:left="0"/>
        <w:rPr>
          <w:rStyle w:val="35"/>
          <w:rFonts w:ascii="仿宋" w:hAnsi="仿宋" w:eastAsia="仿宋" w:cs="仿宋"/>
          <w:color w:val="auto"/>
          <w:highlight w:val="none"/>
          <w:lang w:eastAsia="zh-CN"/>
        </w:rPr>
      </w:pPr>
      <w:r>
        <w:rPr>
          <w:rStyle w:val="35"/>
          <w:rFonts w:hint="eastAsia" w:ascii="仿宋" w:hAnsi="仿宋" w:eastAsia="仿宋" w:cs="仿宋"/>
          <w:color w:val="auto"/>
          <w:w w:val="95"/>
          <w:highlight w:val="none"/>
          <w:lang w:eastAsia="zh-CN"/>
        </w:rPr>
        <w:t>质疑函制作说明:</w:t>
      </w:r>
    </w:p>
    <w:p w14:paraId="68CA6897">
      <w:pPr>
        <w:pStyle w:val="38"/>
        <w:shd w:val="clear"/>
        <w:spacing w:before="124"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1.供应商提出质疑时，应提交质疑函和必要的证明材料。</w:t>
      </w:r>
    </w:p>
    <w:p w14:paraId="32F2F9E5">
      <w:pPr>
        <w:pStyle w:val="38"/>
        <w:shd w:val="clear"/>
        <w:spacing w:before="124"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AFD1E82">
      <w:pPr>
        <w:pStyle w:val="38"/>
        <w:shd w:val="clear"/>
        <w:spacing w:before="31"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3.质疑供应商若对项目的某一分包进行质疑，质疑函中应列明具体分包号。</w:t>
      </w:r>
    </w:p>
    <w:p w14:paraId="23106854">
      <w:pPr>
        <w:pStyle w:val="38"/>
        <w:shd w:val="clear"/>
        <w:spacing w:before="124"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4.质疑函的质疑事项应具体、明确，并有必要的事实依据和法律依据。</w:t>
      </w:r>
    </w:p>
    <w:p w14:paraId="4C99C457">
      <w:pPr>
        <w:pStyle w:val="38"/>
        <w:shd w:val="clear"/>
        <w:spacing w:before="124" w:line="579" w:lineRule="exact"/>
        <w:ind w:left="0" w:firstLine="480" w:firstLineChars="200"/>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5.质疑函的质疑请求应与质疑事项相关。</w:t>
      </w:r>
    </w:p>
    <w:p w14:paraId="6E80AA9F">
      <w:pPr>
        <w:pStyle w:val="38"/>
        <w:shd w:val="clear"/>
        <w:snapToGrid w:val="0"/>
        <w:spacing w:before="31" w:line="579" w:lineRule="exact"/>
        <w:ind w:left="0" w:right="232" w:firstLine="480" w:firstLineChars="200"/>
        <w:jc w:val="both"/>
        <w:rPr>
          <w:rStyle w:val="35"/>
          <w:rFonts w:ascii="仿宋" w:hAnsi="仿宋" w:eastAsia="仿宋" w:cs="仿宋"/>
          <w:color w:val="auto"/>
          <w:highlight w:val="none"/>
          <w:lang w:eastAsia="zh-CN"/>
        </w:rPr>
        <w:sectPr>
          <w:pgSz w:w="11910" w:h="16840"/>
          <w:pgMar w:top="1480" w:right="1180" w:bottom="1180" w:left="1480" w:header="0" w:footer="912" w:gutter="0"/>
          <w:pgBorders>
            <w:top w:val="none" w:sz="0" w:space="0"/>
            <w:left w:val="none" w:sz="0" w:space="0"/>
            <w:bottom w:val="none" w:sz="0" w:space="0"/>
            <w:right w:val="none" w:sz="0" w:space="0"/>
          </w:pgBorders>
          <w:pgNumType w:fmt="decimal"/>
          <w:cols w:space="720" w:num="1"/>
        </w:sectPr>
      </w:pPr>
      <w:r>
        <w:rPr>
          <w:rStyle w:val="35"/>
          <w:rFonts w:hint="eastAsia" w:ascii="仿宋" w:hAnsi="仿宋" w:eastAsia="仿宋" w:cs="仿宋"/>
          <w:color w:val="auto"/>
          <w:highlight w:val="none"/>
          <w:lang w:eastAsia="zh-CN"/>
        </w:rPr>
        <w:t>6.质疑供应商为自然人的，质疑函应由本人签字；质疑供应商为法人或者其他组织的，质疑函应由法定代表人、主要负责人，或者其授权代表签字或者盖章，并加盖公章。</w:t>
      </w:r>
    </w:p>
    <w:p w14:paraId="780D242C">
      <w:pPr>
        <w:shd w:val="clear"/>
        <w:spacing w:line="579" w:lineRule="exact"/>
        <w:ind w:left="702" w:right="693"/>
        <w:jc w:val="center"/>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w w:val="95"/>
          <w:sz w:val="24"/>
          <w:szCs w:val="24"/>
          <w:highlight w:val="none"/>
          <w:lang w:eastAsia="zh-CN"/>
        </w:rPr>
        <w:t>质疑函范本</w:t>
      </w:r>
    </w:p>
    <w:p w14:paraId="6867FF0C">
      <w:pPr>
        <w:shd w:val="clear"/>
        <w:spacing w:before="62" w:line="579" w:lineRule="exact"/>
        <w:ind w:left="109" w:right="6225"/>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一、质疑供应商基本信息</w:t>
      </w:r>
    </w:p>
    <w:p w14:paraId="0DA3EA7B">
      <w:pPr>
        <w:shd w:val="clear"/>
        <w:spacing w:before="62" w:line="579" w:lineRule="exact"/>
        <w:ind w:left="109" w:right="6225"/>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质疑供应商：</w:t>
      </w:r>
    </w:p>
    <w:p w14:paraId="7DC41530">
      <w:pPr>
        <w:pStyle w:val="38"/>
        <w:shd w:val="clear"/>
        <w:spacing w:before="9" w:line="579" w:lineRule="exact"/>
        <w:ind w:right="5874"/>
        <w:jc w:val="both"/>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地址：邮编：</w:t>
      </w:r>
    </w:p>
    <w:p w14:paraId="44DBC4C9">
      <w:pPr>
        <w:pStyle w:val="38"/>
        <w:shd w:val="clear"/>
        <w:spacing w:before="9" w:line="579" w:lineRule="exact"/>
        <w:ind w:right="5874"/>
        <w:jc w:val="both"/>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联系人：联系电话：授权代表：</w:t>
      </w:r>
    </w:p>
    <w:p w14:paraId="15E752F4">
      <w:pPr>
        <w:pStyle w:val="38"/>
        <w:shd w:val="clear"/>
        <w:spacing w:before="9" w:line="579" w:lineRule="exact"/>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联系电话：</w:t>
      </w:r>
    </w:p>
    <w:p w14:paraId="71B63123">
      <w:pPr>
        <w:shd w:val="clear"/>
        <w:spacing w:before="45" w:line="579" w:lineRule="exact"/>
        <w:ind w:left="109" w:right="5874"/>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地址：邮编：</w:t>
      </w:r>
    </w:p>
    <w:p w14:paraId="00F0A875">
      <w:pPr>
        <w:shd w:val="clear"/>
        <w:spacing w:before="45" w:line="579" w:lineRule="exact"/>
        <w:ind w:left="109" w:right="5874"/>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w w:val="95"/>
          <w:sz w:val="24"/>
          <w:szCs w:val="24"/>
          <w:highlight w:val="none"/>
          <w:lang w:eastAsia="zh-CN"/>
        </w:rPr>
        <w:t>二、质疑项目基本情况</w:t>
      </w:r>
    </w:p>
    <w:p w14:paraId="00DF5458">
      <w:pPr>
        <w:pStyle w:val="38"/>
        <w:shd w:val="clear"/>
        <w:spacing w:before="9" w:line="579" w:lineRule="exact"/>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质疑项目的名称：</w:t>
      </w:r>
    </w:p>
    <w:p w14:paraId="7B255401">
      <w:pPr>
        <w:pStyle w:val="38"/>
        <w:shd w:val="clear"/>
        <w:spacing w:before="45" w:line="579" w:lineRule="exact"/>
        <w:ind w:right="5394"/>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质疑项目的编号：包号：</w:t>
      </w:r>
    </w:p>
    <w:p w14:paraId="4AC2A462">
      <w:pPr>
        <w:pStyle w:val="38"/>
        <w:shd w:val="clear"/>
        <w:spacing w:before="45" w:line="579" w:lineRule="exact"/>
        <w:ind w:right="5394"/>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采购人名称：</w:t>
      </w:r>
    </w:p>
    <w:p w14:paraId="605164F7">
      <w:pPr>
        <w:shd w:val="clear"/>
        <w:spacing w:before="9" w:line="579" w:lineRule="exact"/>
        <w:ind w:left="109" w:right="6465"/>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采购文件获取日期：</w:t>
      </w:r>
    </w:p>
    <w:p w14:paraId="1781F7BD">
      <w:pPr>
        <w:shd w:val="clear"/>
        <w:spacing w:before="9" w:line="579" w:lineRule="exact"/>
        <w:ind w:left="109" w:right="6465"/>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三、质疑事项具体内容</w:t>
      </w:r>
    </w:p>
    <w:p w14:paraId="646AE7DA">
      <w:pPr>
        <w:shd w:val="clear"/>
        <w:spacing w:before="9" w:line="579" w:lineRule="exact"/>
        <w:ind w:left="109" w:right="6465"/>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pacing w:val="-13"/>
          <w:sz w:val="24"/>
          <w:szCs w:val="24"/>
          <w:highlight w:val="none"/>
          <w:lang w:eastAsia="zh-CN"/>
        </w:rPr>
        <w:t>质疑事项</w:t>
      </w:r>
      <w:r>
        <w:rPr>
          <w:rStyle w:val="35"/>
          <w:rFonts w:hint="eastAsia" w:ascii="仿宋" w:hAnsi="仿宋" w:eastAsia="仿宋" w:cs="仿宋"/>
          <w:color w:val="auto"/>
          <w:sz w:val="24"/>
          <w:szCs w:val="24"/>
          <w:highlight w:val="none"/>
          <w:lang w:eastAsia="zh-CN"/>
        </w:rPr>
        <w:t>1：</w:t>
      </w:r>
    </w:p>
    <w:p w14:paraId="4C4CD22A">
      <w:pPr>
        <w:pStyle w:val="38"/>
        <w:shd w:val="clear"/>
        <w:spacing w:before="9" w:line="579" w:lineRule="exact"/>
        <w:ind w:right="7675"/>
        <w:jc w:val="both"/>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事实依据：法律依据：质疑事项2</w:t>
      </w:r>
    </w:p>
    <w:p w14:paraId="7DCFDA09">
      <w:pPr>
        <w:pStyle w:val="38"/>
        <w:shd w:val="clear"/>
        <w:spacing w:before="9" w:line="579" w:lineRule="exact"/>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w:t>
      </w:r>
    </w:p>
    <w:p w14:paraId="030437AC">
      <w:pPr>
        <w:shd w:val="clear"/>
        <w:spacing w:before="45" w:line="579" w:lineRule="exact"/>
        <w:ind w:left="109" w:right="5500"/>
        <w:rPr>
          <w:rStyle w:val="35"/>
          <w:rFonts w:ascii="仿宋" w:hAnsi="仿宋" w:eastAsia="仿宋" w:cs="仿宋"/>
          <w:b/>
          <w:color w:val="auto"/>
          <w:sz w:val="24"/>
          <w:szCs w:val="24"/>
          <w:highlight w:val="none"/>
          <w:lang w:eastAsia="zh-CN"/>
        </w:rPr>
      </w:pPr>
      <w:r>
        <w:rPr>
          <w:rStyle w:val="35"/>
          <w:rFonts w:hint="eastAsia" w:ascii="仿宋" w:hAnsi="仿宋" w:eastAsia="仿宋" w:cs="仿宋"/>
          <w:b/>
          <w:color w:val="auto"/>
          <w:sz w:val="24"/>
          <w:szCs w:val="24"/>
          <w:highlight w:val="none"/>
          <w:lang w:eastAsia="zh-CN"/>
        </w:rPr>
        <w:t>四、与质疑事项相关的质疑请求</w:t>
      </w:r>
    </w:p>
    <w:p w14:paraId="02C7F427">
      <w:pPr>
        <w:shd w:val="clear"/>
        <w:spacing w:before="45" w:line="579" w:lineRule="exact"/>
        <w:ind w:left="109" w:right="5500"/>
        <w:rPr>
          <w:rStyle w:val="35"/>
          <w:rFonts w:ascii="仿宋" w:hAnsi="仿宋" w:eastAsia="仿宋" w:cs="仿宋"/>
          <w:color w:val="auto"/>
          <w:sz w:val="24"/>
          <w:szCs w:val="24"/>
          <w:highlight w:val="none"/>
          <w:lang w:eastAsia="zh-CN"/>
        </w:rPr>
      </w:pPr>
      <w:r>
        <w:rPr>
          <w:rStyle w:val="35"/>
          <w:rFonts w:hint="eastAsia" w:ascii="仿宋" w:hAnsi="仿宋" w:eastAsia="仿宋" w:cs="仿宋"/>
          <w:color w:val="auto"/>
          <w:sz w:val="24"/>
          <w:szCs w:val="24"/>
          <w:highlight w:val="none"/>
          <w:lang w:eastAsia="zh-CN"/>
        </w:rPr>
        <w:t>请求：</w:t>
      </w:r>
    </w:p>
    <w:p w14:paraId="0AF09644">
      <w:pPr>
        <w:pStyle w:val="38"/>
        <w:shd w:val="clear"/>
        <w:spacing w:before="9" w:line="579" w:lineRule="exact"/>
        <w:ind w:right="6354"/>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签字（盖章）：公章：</w:t>
      </w:r>
    </w:p>
    <w:p w14:paraId="0394352C">
      <w:pPr>
        <w:pStyle w:val="38"/>
        <w:shd w:val="clear"/>
        <w:spacing w:before="9" w:line="579" w:lineRule="exact"/>
        <w:ind w:right="6354"/>
        <w:rPr>
          <w:rStyle w:val="35"/>
          <w:rFonts w:ascii="仿宋" w:hAnsi="仿宋" w:eastAsia="仿宋" w:cs="仿宋"/>
          <w:color w:val="auto"/>
          <w:highlight w:val="none"/>
          <w:lang w:eastAsia="zh-CN"/>
        </w:rPr>
      </w:pPr>
      <w:r>
        <w:rPr>
          <w:rStyle w:val="35"/>
          <w:rFonts w:hint="eastAsia" w:ascii="仿宋" w:hAnsi="仿宋" w:eastAsia="仿宋" w:cs="仿宋"/>
          <w:color w:val="auto"/>
          <w:highlight w:val="none"/>
          <w:lang w:eastAsia="zh-CN"/>
        </w:rPr>
        <w:t>日期：</w:t>
      </w:r>
    </w:p>
    <w:p w14:paraId="3B26966D">
      <w:pPr>
        <w:shd w:val="clear"/>
        <w:spacing w:line="579" w:lineRule="exact"/>
        <w:rPr>
          <w:rStyle w:val="35"/>
          <w:rFonts w:ascii="仿宋" w:hAnsi="仿宋" w:eastAsia="仿宋" w:cs="仿宋"/>
          <w:color w:val="auto"/>
          <w:sz w:val="24"/>
          <w:szCs w:val="24"/>
          <w:highlight w:val="none"/>
          <w:lang w:eastAsia="zh-CN"/>
        </w:rPr>
        <w:sectPr>
          <w:pgSz w:w="11910" w:h="16840"/>
          <w:pgMar w:top="1480" w:right="1320" w:bottom="1180" w:left="1480" w:header="0" w:footer="912" w:gutter="0"/>
          <w:pgBorders>
            <w:top w:val="none" w:sz="0" w:space="0"/>
            <w:left w:val="none" w:sz="0" w:space="0"/>
            <w:bottom w:val="none" w:sz="0" w:space="0"/>
            <w:right w:val="none" w:sz="0" w:space="0"/>
          </w:pgBorders>
          <w:pgNumType w:fmt="decimal"/>
          <w:cols w:space="720" w:num="1"/>
        </w:sectPr>
      </w:pPr>
    </w:p>
    <w:p w14:paraId="44771572">
      <w:pPr>
        <w:shd w:val="clear"/>
        <w:tabs>
          <w:tab w:val="left" w:pos="1990"/>
        </w:tabs>
        <w:spacing w:line="579" w:lineRule="exact"/>
        <w:ind w:right="147"/>
        <w:jc w:val="center"/>
        <w:outlineLvl w:val="0"/>
        <w:rPr>
          <w:rFonts w:hint="eastAsia" w:ascii="仿宋_GB2312" w:hAnsi="仿宋_GB2312" w:eastAsia="仿宋_GB2312" w:cs="仿宋_GB2312"/>
          <w:color w:val="auto"/>
          <w:sz w:val="32"/>
          <w:szCs w:val="32"/>
          <w:highlight w:val="none"/>
        </w:rPr>
      </w:pPr>
      <w:bookmarkStart w:id="86" w:name="_Toc28108"/>
      <w:bookmarkStart w:id="87" w:name="_Toc16613"/>
      <w:bookmarkStart w:id="88" w:name="_Toc27166"/>
      <w:bookmarkStart w:id="89" w:name="_Toc1688"/>
      <w:bookmarkStart w:id="90" w:name="_Toc24190"/>
      <w:bookmarkStart w:id="91" w:name="_Toc25644"/>
      <w:r>
        <w:rPr>
          <w:rStyle w:val="35"/>
          <w:rFonts w:hint="eastAsia" w:ascii="仿宋" w:hAnsi="仿宋" w:eastAsia="仿宋" w:cs="仿宋"/>
          <w:b/>
          <w:bCs/>
          <w:color w:val="auto"/>
          <w:sz w:val="28"/>
          <w:szCs w:val="28"/>
          <w:highlight w:val="none"/>
          <w:lang w:eastAsia="zh-CN"/>
        </w:rPr>
        <w:t>第三部分采购</w:t>
      </w:r>
      <w:r>
        <w:rPr>
          <w:rStyle w:val="35"/>
          <w:rFonts w:hint="eastAsia" w:ascii="仿宋" w:hAnsi="仿宋" w:eastAsia="仿宋" w:cs="仿宋"/>
          <w:b/>
          <w:bCs/>
          <w:color w:val="auto"/>
          <w:sz w:val="28"/>
          <w:szCs w:val="28"/>
          <w:highlight w:val="none"/>
          <w:lang w:val="en-US" w:eastAsia="zh-CN"/>
        </w:rPr>
        <w:t>需求</w:t>
      </w:r>
      <w:r>
        <w:rPr>
          <w:rStyle w:val="35"/>
          <w:rFonts w:hint="eastAsia" w:ascii="仿宋" w:hAnsi="仿宋" w:eastAsia="仿宋" w:cs="仿宋"/>
          <w:b/>
          <w:bCs/>
          <w:color w:val="auto"/>
          <w:sz w:val="28"/>
          <w:szCs w:val="28"/>
          <w:highlight w:val="none"/>
          <w:lang w:eastAsia="zh-CN"/>
        </w:rPr>
        <w:t>及要求</w:t>
      </w:r>
      <w:bookmarkEnd w:id="86"/>
      <w:bookmarkEnd w:id="87"/>
      <w:bookmarkEnd w:id="88"/>
      <w:bookmarkEnd w:id="89"/>
      <w:bookmarkEnd w:id="90"/>
      <w:bookmarkEnd w:id="91"/>
      <w:bookmarkStart w:id="92" w:name="_Toc15289"/>
      <w:bookmarkStart w:id="93" w:name="_Toc20896"/>
      <w:bookmarkStart w:id="94" w:name="_Toc28991"/>
      <w:bookmarkStart w:id="95" w:name="_Toc22849"/>
      <w:bookmarkStart w:id="96" w:name="_Toc15456"/>
    </w:p>
    <w:p w14:paraId="29EF50C2">
      <w:pPr>
        <w:pStyle w:val="23"/>
        <w:pageBreakBefore w:val="0"/>
        <w:widowControl/>
        <w:kinsoku/>
        <w:wordWrap/>
        <w:overflowPunct/>
        <w:topLinePunct w:val="0"/>
        <w:autoSpaceDE/>
        <w:autoSpaceDN/>
        <w:bidi w:val="0"/>
        <w:adjustRightInd/>
        <w:snapToGrid/>
        <w:spacing w:before="0" w:beforeAutospacing="0" w:after="0" w:afterAutospacing="0" w:line="360" w:lineRule="auto"/>
        <w:jc w:val="both"/>
        <w:outlineLvl w:val="0"/>
        <w:rPr>
          <w:rStyle w:val="30"/>
          <w:rFonts w:hint="eastAsia" w:ascii="仿宋" w:hAnsi="仿宋" w:eastAsia="仿宋" w:cs="仿宋"/>
          <w:color w:val="auto"/>
          <w:sz w:val="24"/>
          <w:szCs w:val="24"/>
          <w:highlight w:val="none"/>
        </w:rPr>
      </w:pPr>
      <w:bookmarkStart w:id="97" w:name="_Toc24334"/>
      <w:r>
        <w:rPr>
          <w:rStyle w:val="30"/>
          <w:rFonts w:hint="eastAsia" w:ascii="仿宋" w:hAnsi="仿宋" w:eastAsia="仿宋" w:cs="仿宋"/>
          <w:color w:val="auto"/>
          <w:sz w:val="24"/>
          <w:szCs w:val="24"/>
          <w:highlight w:val="none"/>
        </w:rPr>
        <w:t>（</w:t>
      </w:r>
      <w:r>
        <w:rPr>
          <w:rStyle w:val="30"/>
          <w:rFonts w:hint="eastAsia" w:ascii="仿宋" w:hAnsi="仿宋" w:eastAsia="仿宋" w:cs="仿宋"/>
          <w:color w:val="auto"/>
          <w:sz w:val="24"/>
          <w:szCs w:val="24"/>
          <w:highlight w:val="none"/>
          <w:lang w:eastAsia="zh-CN"/>
        </w:rPr>
        <w:t>一</w:t>
      </w:r>
      <w:r>
        <w:rPr>
          <w:rStyle w:val="30"/>
          <w:rFonts w:hint="eastAsia" w:ascii="仿宋" w:hAnsi="仿宋" w:eastAsia="仿宋" w:cs="仿宋"/>
          <w:color w:val="auto"/>
          <w:sz w:val="24"/>
          <w:szCs w:val="24"/>
          <w:highlight w:val="none"/>
        </w:rPr>
        <w:t>）工作目标与任务</w:t>
      </w:r>
    </w:p>
    <w:p w14:paraId="3D4CB536">
      <w:pPr>
        <w:pStyle w:val="3"/>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1.工作目标</w:t>
      </w:r>
    </w:p>
    <w:p w14:paraId="19DBEF92">
      <w:pPr>
        <w:pageBreakBefore w:val="0"/>
        <w:widowControl/>
        <w:kinsoku/>
        <w:wordWrap/>
        <w:overflowPunct/>
        <w:topLinePunct w:val="0"/>
        <w:autoSpaceDE/>
        <w:autoSpaceDN/>
        <w:bidi w:val="0"/>
        <w:adjustRightInd/>
        <w:snapToGrid/>
        <w:spacing w:beforeAutospacing="0" w:afterAutospacing="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完善自治区建设用地节约集约利用评价模型，重点完善开发区集约评价指标、重点城市地价监测等相关模块功能和展示。</w:t>
      </w:r>
    </w:p>
    <w:p w14:paraId="04E2E424">
      <w:pPr>
        <w:pageBreakBefore w:val="0"/>
        <w:widowControl/>
        <w:kinsoku/>
        <w:wordWrap/>
        <w:overflowPunct/>
        <w:topLinePunct w:val="0"/>
        <w:autoSpaceDE/>
        <w:autoSpaceDN/>
        <w:bidi w:val="0"/>
        <w:adjustRightInd/>
        <w:snapToGrid/>
        <w:spacing w:beforeAutospacing="0" w:afterAutospacing="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整理本年度自治区建设用地与开发区土地集约利用数据，实现标准化处理并更新入库，确保数据准确可靠。</w:t>
      </w:r>
    </w:p>
    <w:p w14:paraId="3188B8F9">
      <w:pPr>
        <w:pageBreakBefore w:val="0"/>
        <w:widowControl/>
        <w:kinsoku/>
        <w:wordWrap/>
        <w:overflowPunct/>
        <w:topLinePunct w:val="0"/>
        <w:autoSpaceDE/>
        <w:autoSpaceDN/>
        <w:bidi w:val="0"/>
        <w:adjustRightInd/>
        <w:snapToGrid/>
        <w:spacing w:beforeAutospacing="0" w:afterAutospacing="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现建设用地集约利用评价、开发区集约利用评价、重点城市地价动态监测、园林草基准地价成果的平台录入及预览，更新完善土地节约集约利用数据整合分析平台的数据成果展示、历年变化趋势展示、分级别分区域成果对比展示等功能，保障系统正常运行，增强系统的功能性和灵活性。</w:t>
      </w:r>
    </w:p>
    <w:p w14:paraId="66D8FA73">
      <w:pPr>
        <w:pageBreakBefore w:val="0"/>
        <w:widowControl/>
        <w:kinsoku/>
        <w:wordWrap/>
        <w:overflowPunct/>
        <w:topLinePunct w:val="0"/>
        <w:autoSpaceDE/>
        <w:autoSpaceDN/>
        <w:bidi w:val="0"/>
        <w:adjustRightInd/>
        <w:snapToGrid/>
        <w:spacing w:beforeAutospacing="0" w:afterAutospacing="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整合处理园地、林地、草地基准地价数据，经过质检修改后汇总入库，为地价评估与土地管理提供坚实数据支撑。通过实现这些目标，推动土地资源高效利用与可持续发展。</w:t>
      </w:r>
    </w:p>
    <w:p w14:paraId="52728D23">
      <w:pPr>
        <w:pStyle w:val="3"/>
        <w:pageBreakBefore w:val="0"/>
        <w:widowControl/>
        <w:kinsoku/>
        <w:wordWrap/>
        <w:overflowPunct/>
        <w:topLinePunct w:val="0"/>
        <w:autoSpaceDE/>
        <w:autoSpaceDN/>
        <w:bidi w:val="0"/>
        <w:adjustRightInd/>
        <w:snapToGrid/>
        <w:spacing w:before="0" w:beforeAutospacing="0" w:after="0" w:afterAutospacing="0" w:line="360" w:lineRule="auto"/>
        <w:jc w:val="left"/>
        <w:rPr>
          <w:rFonts w:hint="eastAsia" w:ascii="仿宋" w:hAnsi="仿宋" w:eastAsia="仿宋" w:cs="仿宋"/>
          <w:color w:val="auto"/>
          <w:sz w:val="24"/>
          <w:szCs w:val="24"/>
          <w:highlight w:val="none"/>
        </w:rPr>
      </w:pPr>
      <w:bookmarkStart w:id="98" w:name="_Hlk65234920"/>
      <w:r>
        <w:rPr>
          <w:rFonts w:hint="eastAsia" w:ascii="仿宋" w:hAnsi="仿宋" w:eastAsia="仿宋" w:cs="仿宋"/>
          <w:color w:val="auto"/>
          <w:sz w:val="24"/>
          <w:szCs w:val="24"/>
          <w:highlight w:val="none"/>
        </w:rPr>
        <w:t>2.工作任务</w:t>
      </w:r>
    </w:p>
    <w:tbl>
      <w:tblPr>
        <w:tblStyle w:val="28"/>
        <w:tblpPr w:leftFromText="180" w:rightFromText="180" w:vertAnchor="text" w:tblpXSpec="left" w:tblpY="1"/>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53"/>
        <w:gridCol w:w="6345"/>
        <w:gridCol w:w="1359"/>
      </w:tblGrid>
      <w:tr w14:paraId="1E2C2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7" w:type="pct"/>
            <w:vAlign w:val="center"/>
          </w:tcPr>
          <w:p w14:paraId="496E7E9F">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委托项目名称</w:t>
            </w:r>
          </w:p>
        </w:tc>
        <w:tc>
          <w:tcPr>
            <w:tcW w:w="3502" w:type="pct"/>
            <w:vAlign w:val="center"/>
          </w:tcPr>
          <w:p w14:paraId="233C4404">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主要任务</w:t>
            </w:r>
          </w:p>
        </w:tc>
        <w:tc>
          <w:tcPr>
            <w:tcW w:w="750" w:type="pct"/>
            <w:vAlign w:val="center"/>
          </w:tcPr>
          <w:p w14:paraId="5D818998">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预算（万元）</w:t>
            </w:r>
          </w:p>
        </w:tc>
      </w:tr>
      <w:tr w14:paraId="551B5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7" w:type="pct"/>
            <w:vAlign w:val="center"/>
          </w:tcPr>
          <w:p w14:paraId="768A4CAE">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2025年自治区建设用地节约集约利用评价模型功能完善</w:t>
            </w:r>
          </w:p>
        </w:tc>
        <w:tc>
          <w:tcPr>
            <w:tcW w:w="3502" w:type="pct"/>
            <w:vAlign w:val="center"/>
          </w:tcPr>
          <w:p w14:paraId="340B1F0F">
            <w:pPr>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2025年自治区土地节约集约利用整合分析模型功能的修改完善，实现建设用地、开发区等地理信息的更新、存储、分析、研究：</w:t>
            </w:r>
          </w:p>
          <w:p w14:paraId="4D57A4C4">
            <w:pPr>
              <w:keepNext w:val="0"/>
              <w:keepLines w:val="0"/>
              <w:pageBreakBefore w:val="0"/>
              <w:widowControl/>
              <w:kinsoku/>
              <w:wordWrap/>
              <w:overflowPunct/>
              <w:topLinePunct w:val="0"/>
              <w:autoSpaceDE/>
              <w:autoSpaceDN/>
              <w:bidi w:val="0"/>
              <w:adjustRightInd/>
              <w:snapToGrid/>
              <w:spacing w:beforeAutospacing="0" w:afterAutospacing="0" w:line="360" w:lineRule="auto"/>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委托开展土地节约集约利用数据整合分析平台功能修改完善，实现建设用地、开发区土地节约集约利用数据预览、评价分析；2、完成建设用地集约利用定性分析、定量评价以及与上一年度评价的对比分析功能的完善；3、完成开发区评价分析系统完善更新以及开发区土地集约利用程度评价分析功能的完善。4、开展2025年度建设用地人口状况数据、经济数据、土地利用数据等基础数据的处理计算与整理，完成数据录入、数据标准化处理与更新入库；5、委托开展2025年度重点城市地价动态监测、开发区土地利用状况数据、社会经济状况数据、建筑工程状况数据、矢量数据、表格数据、文本数据、栅格数据、附件数据等基础数据的整理与处理计算，完成数据录入、数据标准化处理与更新入库。</w:t>
            </w:r>
          </w:p>
        </w:tc>
        <w:tc>
          <w:tcPr>
            <w:tcW w:w="750" w:type="pct"/>
            <w:vAlign w:val="center"/>
          </w:tcPr>
          <w:p w14:paraId="4A8DC903">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40.00</w:t>
            </w:r>
          </w:p>
        </w:tc>
      </w:tr>
    </w:tbl>
    <w:p w14:paraId="55F04978">
      <w:pPr>
        <w:pStyle w:val="3"/>
        <w:pageBreakBefore w:val="0"/>
        <w:widowControl/>
        <w:kinsoku/>
        <w:wordWrap/>
        <w:overflowPunct/>
        <w:topLinePunct w:val="0"/>
        <w:autoSpaceDE/>
        <w:autoSpaceDN/>
        <w:bidi w:val="0"/>
        <w:adjustRightInd/>
        <w:snapToGrid/>
        <w:spacing w:before="0" w:beforeAutospacing="0" w:after="0" w:afterAutospacing="0" w:line="360" w:lineRule="auto"/>
        <w:ind w:left="0" w:leftChars="0"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3.工作内容</w:t>
      </w:r>
    </w:p>
    <w:tbl>
      <w:tblPr>
        <w:tblStyle w:val="28"/>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1"/>
        <w:gridCol w:w="2268"/>
        <w:gridCol w:w="5590"/>
      </w:tblGrid>
      <w:tr w14:paraId="3080D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3" w:type="pct"/>
          </w:tcPr>
          <w:p w14:paraId="40AC92AD">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序号</w:t>
            </w:r>
          </w:p>
        </w:tc>
        <w:tc>
          <w:tcPr>
            <w:tcW w:w="1251" w:type="pct"/>
          </w:tcPr>
          <w:p w14:paraId="71B0ED47">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主要内容</w:t>
            </w:r>
          </w:p>
        </w:tc>
        <w:tc>
          <w:tcPr>
            <w:tcW w:w="3084" w:type="pct"/>
          </w:tcPr>
          <w:p w14:paraId="6E30FF50">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具体要求</w:t>
            </w:r>
          </w:p>
        </w:tc>
      </w:tr>
      <w:tr w14:paraId="5E7B0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663" w:type="pct"/>
            <w:vMerge w:val="restart"/>
            <w:vAlign w:val="center"/>
          </w:tcPr>
          <w:p w14:paraId="6659BDD4">
            <w:pPr>
              <w:pStyle w:val="4"/>
              <w:pageBreakBefore w:val="0"/>
              <w:widowControl/>
              <w:kinsoku/>
              <w:wordWrap/>
              <w:overflowPunct/>
              <w:topLinePunct w:val="0"/>
              <w:autoSpaceDE/>
              <w:autoSpaceDN/>
              <w:bidi w:val="0"/>
              <w:adjustRightInd/>
              <w:snapToGrid/>
              <w:spacing w:before="0" w:beforeAutospacing="0" w:after="0" w:afterAutospacing="0" w:line="360" w:lineRule="auto"/>
              <w:jc w:val="both"/>
              <w:rPr>
                <w:rFonts w:hint="eastAsia" w:ascii="仿宋" w:hAnsi="仿宋" w:eastAsia="仿宋" w:cs="仿宋"/>
                <w:b w:val="0"/>
                <w:color w:val="auto"/>
                <w:sz w:val="24"/>
                <w:szCs w:val="24"/>
                <w:highlight w:val="none"/>
              </w:rPr>
            </w:pPr>
          </w:p>
          <w:p w14:paraId="575E1F62">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63470DB5">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052FCAB4">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38BB521D">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6B4B2DC2">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10E5FB29">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0F89FF12">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p w14:paraId="41D34624">
            <w:pPr>
              <w:pageBreakBefore w:val="0"/>
              <w:widowControl/>
              <w:kinsoku/>
              <w:wordWrap/>
              <w:overflowPunct/>
              <w:topLinePunct w:val="0"/>
              <w:autoSpaceDE/>
              <w:autoSpaceDN/>
              <w:bidi w:val="0"/>
              <w:adjustRightInd/>
              <w:snapToGrid/>
              <w:spacing w:beforeAutospacing="0" w:afterAutospacing="0" w:line="360" w:lineRule="auto"/>
              <w:ind w:firstLine="480" w:firstLineChars="200"/>
              <w:jc w:val="both"/>
              <w:rPr>
                <w:rFonts w:hint="eastAsia" w:ascii="仿宋" w:hAnsi="仿宋" w:eastAsia="仿宋" w:cs="仿宋"/>
                <w:color w:val="auto"/>
                <w:sz w:val="24"/>
                <w:szCs w:val="24"/>
                <w:highlight w:val="none"/>
              </w:rPr>
            </w:pPr>
          </w:p>
          <w:p w14:paraId="0842206A">
            <w:pPr>
              <w:pageBreakBefore w:val="0"/>
              <w:widowControl/>
              <w:kinsoku/>
              <w:wordWrap/>
              <w:overflowPunct/>
              <w:topLinePunct w:val="0"/>
              <w:autoSpaceDE/>
              <w:autoSpaceDN/>
              <w:bidi w:val="0"/>
              <w:adjustRightInd/>
              <w:snapToGrid/>
              <w:spacing w:beforeAutospacing="0" w:afterAutospacing="0" w:line="360" w:lineRule="auto"/>
              <w:ind w:firstLine="480" w:firstLineChars="200"/>
              <w:jc w:val="both"/>
              <w:rPr>
                <w:rFonts w:hint="eastAsia" w:ascii="仿宋" w:hAnsi="仿宋" w:eastAsia="仿宋" w:cs="仿宋"/>
                <w:color w:val="auto"/>
                <w:sz w:val="24"/>
                <w:szCs w:val="24"/>
                <w:highlight w:val="none"/>
              </w:rPr>
            </w:pPr>
          </w:p>
          <w:p w14:paraId="4BEAE076">
            <w:pPr>
              <w:pageBreakBefore w:val="0"/>
              <w:widowControl/>
              <w:kinsoku/>
              <w:wordWrap/>
              <w:overflowPunct/>
              <w:topLinePunct w:val="0"/>
              <w:autoSpaceDE/>
              <w:autoSpaceDN/>
              <w:bidi w:val="0"/>
              <w:adjustRightInd/>
              <w:snapToGrid/>
              <w:spacing w:beforeAutospacing="0" w:afterAutospacing="0" w:line="360" w:lineRule="auto"/>
              <w:ind w:firstLine="480" w:firstLineChars="200"/>
              <w:jc w:val="both"/>
              <w:rPr>
                <w:rFonts w:hint="eastAsia" w:ascii="仿宋" w:hAnsi="仿宋" w:eastAsia="仿宋" w:cs="仿宋"/>
                <w:color w:val="auto"/>
                <w:sz w:val="24"/>
                <w:szCs w:val="24"/>
                <w:highlight w:val="none"/>
              </w:rPr>
            </w:pPr>
          </w:p>
          <w:p w14:paraId="47525E7D">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2025年</w:t>
            </w:r>
          </w:p>
          <w:p w14:paraId="312493F4">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自治区建设用地节约集约利用评价模型功能完善</w:t>
            </w:r>
          </w:p>
          <w:p w14:paraId="31BD6C6C">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p>
        </w:tc>
        <w:tc>
          <w:tcPr>
            <w:tcW w:w="1251" w:type="pct"/>
            <w:vAlign w:val="center"/>
          </w:tcPr>
          <w:p w14:paraId="7C20739B">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（1）本年度建设用地与开发区土地节约集约利用数据标准化处理与更新入库</w:t>
            </w:r>
          </w:p>
        </w:tc>
        <w:tc>
          <w:tcPr>
            <w:tcW w:w="3084" w:type="pct"/>
          </w:tcPr>
          <w:p w14:paraId="3AB4B275">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本年度自治区土地节约集约利用数据标准化处理与更新入库包括以下两个方面的内容：</w:t>
            </w:r>
          </w:p>
          <w:p w14:paraId="0D18291D">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（1）保障系统正常运行，对现有系统指标评价模块和大屏展示模块进行维护，同时新增用户日志、时间轴功能优化以及重点城市地价动态监测附件预览等功能，以提升用户体验和系统效能。</w:t>
            </w:r>
          </w:p>
          <w:p w14:paraId="631B1327">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（2）本年度建设用地数据标准化处理与更新</w:t>
            </w:r>
          </w:p>
          <w:p w14:paraId="0B58E5D6">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0"/>
              <w:jc w:val="left"/>
              <w:textAlignment w:val="baseline"/>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本年度建设用地节约集约利用评价数据进行标准化处理，形成自治区各地级市、县（市、区）评价数据表，完成评价数据表内容的完整性检查，包括人口数据、经济数据、土地数据，将整理后的建设用地集约利用评价相关数据更新入库。</w:t>
            </w:r>
          </w:p>
        </w:tc>
      </w:tr>
      <w:tr w14:paraId="5701D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63" w:type="pct"/>
            <w:vMerge w:val="continue"/>
            <w:vAlign w:val="center"/>
          </w:tcPr>
          <w:p w14:paraId="18A9E67F">
            <w:pPr>
              <w:pStyle w:val="4"/>
              <w:pageBreakBefore w:val="0"/>
              <w:widowControl/>
              <w:kinsoku/>
              <w:wordWrap/>
              <w:overflowPunct/>
              <w:topLinePunct w:val="0"/>
              <w:autoSpaceDE/>
              <w:autoSpaceDN/>
              <w:bidi w:val="0"/>
              <w:adjustRightInd/>
              <w:snapToGrid/>
              <w:spacing w:before="0" w:beforeAutospacing="0" w:after="0" w:afterAutospacing="0" w:line="360" w:lineRule="auto"/>
              <w:jc w:val="both"/>
              <w:rPr>
                <w:rFonts w:hint="eastAsia" w:ascii="仿宋" w:hAnsi="仿宋" w:eastAsia="仿宋" w:cs="仿宋"/>
                <w:b w:val="0"/>
                <w:color w:val="auto"/>
                <w:sz w:val="24"/>
                <w:szCs w:val="24"/>
                <w:highlight w:val="none"/>
              </w:rPr>
            </w:pPr>
          </w:p>
        </w:tc>
        <w:tc>
          <w:tcPr>
            <w:tcW w:w="1251" w:type="pct"/>
          </w:tcPr>
          <w:p w14:paraId="30882E65">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（2）本年度建设用地与开发区土地节约集约利用评价分析</w:t>
            </w:r>
          </w:p>
        </w:tc>
        <w:tc>
          <w:tcPr>
            <w:tcW w:w="3084" w:type="pct"/>
            <w:vAlign w:val="center"/>
          </w:tcPr>
          <w:p w14:paraId="14887923">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完成本年度建设用地节约集约利用评价数据录入、预览、指标模板管理以及评价分析等工作，建设用地节约集约利用评价分析主要包括定性分析、定量评价以及与上一年度评价的对比分析。</w:t>
            </w:r>
          </w:p>
        </w:tc>
      </w:tr>
      <w:tr w14:paraId="4E85E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63" w:type="pct"/>
            <w:vMerge w:val="continue"/>
            <w:vAlign w:val="center"/>
          </w:tcPr>
          <w:p w14:paraId="491919D9">
            <w:pPr>
              <w:pStyle w:val="4"/>
              <w:pageBreakBefore w:val="0"/>
              <w:widowControl/>
              <w:kinsoku/>
              <w:wordWrap/>
              <w:overflowPunct/>
              <w:topLinePunct w:val="0"/>
              <w:autoSpaceDE/>
              <w:autoSpaceDN/>
              <w:bidi w:val="0"/>
              <w:adjustRightInd/>
              <w:snapToGrid/>
              <w:spacing w:before="0" w:beforeAutospacing="0" w:after="0" w:afterAutospacing="0" w:line="360" w:lineRule="auto"/>
              <w:jc w:val="both"/>
              <w:rPr>
                <w:rFonts w:hint="eastAsia" w:ascii="仿宋" w:hAnsi="仿宋" w:eastAsia="仿宋" w:cs="仿宋"/>
                <w:b w:val="0"/>
                <w:color w:val="auto"/>
                <w:sz w:val="24"/>
                <w:szCs w:val="24"/>
                <w:highlight w:val="none"/>
              </w:rPr>
            </w:pPr>
          </w:p>
        </w:tc>
        <w:tc>
          <w:tcPr>
            <w:tcW w:w="1251" w:type="pct"/>
          </w:tcPr>
          <w:p w14:paraId="39EB7C88">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（3）开发区集约利用数据整合分析平台更新完善</w:t>
            </w:r>
          </w:p>
        </w:tc>
        <w:tc>
          <w:tcPr>
            <w:tcW w:w="3084" w:type="pct"/>
            <w:vAlign w:val="center"/>
          </w:tcPr>
          <w:p w14:paraId="4F792F96">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本年度公告目录开发区集约利用评价分析</w:t>
            </w:r>
          </w:p>
          <w:p w14:paraId="29575CD7">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本年度公告目录的开发区数据分类型进行归纳整理与标准化处理，包括矢量数据、表格数据、文本数据、栅格数据、附件数据。不同类型数据分别更新入库，完成本年度数据管理工作。形成开发区土地集约利用评价结果，具体包括数据的准确录入、附件的详尽录入、评价分析的严谨执行、评价成果的细致检查以及评价指标模板的科学管理。</w:t>
            </w:r>
          </w:p>
        </w:tc>
      </w:tr>
      <w:tr w14:paraId="06B3E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trPr>
        <w:tc>
          <w:tcPr>
            <w:tcW w:w="663" w:type="pct"/>
            <w:vMerge w:val="continue"/>
            <w:vAlign w:val="center"/>
          </w:tcPr>
          <w:p w14:paraId="6EA1F14F">
            <w:pPr>
              <w:pStyle w:val="4"/>
              <w:pageBreakBefore w:val="0"/>
              <w:widowControl/>
              <w:kinsoku/>
              <w:wordWrap/>
              <w:overflowPunct/>
              <w:topLinePunct w:val="0"/>
              <w:autoSpaceDE/>
              <w:autoSpaceDN/>
              <w:bidi w:val="0"/>
              <w:adjustRightInd/>
              <w:snapToGrid/>
              <w:spacing w:before="0" w:beforeAutospacing="0" w:after="0" w:afterAutospacing="0" w:line="360" w:lineRule="auto"/>
              <w:jc w:val="both"/>
              <w:rPr>
                <w:rFonts w:hint="eastAsia" w:ascii="仿宋" w:hAnsi="仿宋" w:eastAsia="仿宋" w:cs="仿宋"/>
                <w:b w:val="0"/>
                <w:color w:val="auto"/>
                <w:sz w:val="24"/>
                <w:szCs w:val="24"/>
                <w:highlight w:val="none"/>
              </w:rPr>
            </w:pPr>
          </w:p>
        </w:tc>
        <w:tc>
          <w:tcPr>
            <w:tcW w:w="1251" w:type="pct"/>
          </w:tcPr>
          <w:p w14:paraId="34755B33">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（4）园地、林地、草地基准地价更新入库</w:t>
            </w:r>
          </w:p>
        </w:tc>
        <w:tc>
          <w:tcPr>
            <w:tcW w:w="3084" w:type="pct"/>
            <w:vAlign w:val="center"/>
          </w:tcPr>
          <w:p w14:paraId="2A9D9330">
            <w:pPr>
              <w:pageBreakBefore w:val="0"/>
              <w:widowControl/>
              <w:kinsoku/>
              <w:wordWrap/>
              <w:overflowPunct/>
              <w:topLinePunct w:val="0"/>
              <w:autoSpaceDE/>
              <w:autoSpaceDN/>
              <w:bidi w:val="0"/>
              <w:adjustRightInd/>
              <w:snapToGrid/>
              <w:spacing w:beforeAutospacing="0" w:afterAutospacing="0" w:line="360" w:lineRule="auto"/>
              <w:jc w:val="both"/>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整合处理园地、林地、草地基准地价更新数据，经过质检修改后汇总入库</w:t>
            </w:r>
          </w:p>
        </w:tc>
      </w:tr>
      <w:tr w14:paraId="211F7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63" w:type="pct"/>
            <w:vMerge w:val="continue"/>
            <w:vAlign w:val="center"/>
          </w:tcPr>
          <w:p w14:paraId="00EE8F8F">
            <w:pPr>
              <w:pStyle w:val="4"/>
              <w:pageBreakBefore w:val="0"/>
              <w:widowControl/>
              <w:kinsoku/>
              <w:wordWrap/>
              <w:overflowPunct/>
              <w:topLinePunct w:val="0"/>
              <w:autoSpaceDE/>
              <w:autoSpaceDN/>
              <w:bidi w:val="0"/>
              <w:adjustRightInd/>
              <w:snapToGrid/>
              <w:spacing w:before="0" w:beforeAutospacing="0" w:after="0" w:afterAutospacing="0" w:line="360" w:lineRule="auto"/>
              <w:jc w:val="both"/>
              <w:rPr>
                <w:rFonts w:hint="eastAsia" w:ascii="仿宋" w:hAnsi="仿宋" w:eastAsia="仿宋" w:cs="仿宋"/>
                <w:b w:val="0"/>
                <w:color w:val="auto"/>
                <w:sz w:val="24"/>
                <w:szCs w:val="24"/>
                <w:highlight w:val="none"/>
              </w:rPr>
            </w:pPr>
          </w:p>
        </w:tc>
        <w:tc>
          <w:tcPr>
            <w:tcW w:w="1251" w:type="pct"/>
            <w:vAlign w:val="center"/>
          </w:tcPr>
          <w:p w14:paraId="60939F3E">
            <w:pPr>
              <w:pageBreakBefore w:val="0"/>
              <w:widowControl/>
              <w:kinsoku/>
              <w:wordWrap/>
              <w:overflowPunct/>
              <w:topLinePunct w:val="0"/>
              <w:autoSpaceDE/>
              <w:autoSpaceDN/>
              <w:bidi w:val="0"/>
              <w:adjustRightInd/>
              <w:snapToGrid/>
              <w:spacing w:beforeAutospacing="0" w:afterAutospacing="0" w:line="360" w:lineRule="auto"/>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（5）采购人交办的其他任务</w:t>
            </w:r>
          </w:p>
        </w:tc>
        <w:tc>
          <w:tcPr>
            <w:tcW w:w="3084" w:type="pct"/>
            <w:vAlign w:val="center"/>
          </w:tcPr>
          <w:p w14:paraId="6BF06875">
            <w:pPr>
              <w:pStyle w:val="4"/>
              <w:pageBreakBefore w:val="0"/>
              <w:widowControl/>
              <w:kinsoku/>
              <w:wordWrap/>
              <w:overflowPunct/>
              <w:topLinePunct w:val="0"/>
              <w:autoSpaceDE/>
              <w:autoSpaceDN/>
              <w:bidi w:val="0"/>
              <w:adjustRightInd/>
              <w:snapToGrid/>
              <w:spacing w:before="0" w:beforeAutospacing="0" w:after="0" w:afterAutospacing="0" w:line="360" w:lineRule="auto"/>
              <w:jc w:val="both"/>
              <w:rPr>
                <w:rFonts w:hint="eastAsia" w:ascii="仿宋" w:hAnsi="仿宋" w:eastAsia="仿宋" w:cs="仿宋"/>
                <w:b w:val="0"/>
                <w:color w:val="auto"/>
                <w:sz w:val="24"/>
                <w:szCs w:val="24"/>
                <w:highlight w:val="none"/>
              </w:rPr>
            </w:pPr>
          </w:p>
        </w:tc>
      </w:tr>
    </w:tbl>
    <w:p w14:paraId="4FAB2E65">
      <w:pPr>
        <w:pStyle w:val="23"/>
        <w:pageBreakBefore w:val="0"/>
        <w:widowControl/>
        <w:kinsoku/>
        <w:wordWrap/>
        <w:overflowPunct/>
        <w:topLinePunct w:val="0"/>
        <w:autoSpaceDE/>
        <w:autoSpaceDN/>
        <w:bidi w:val="0"/>
        <w:adjustRightInd/>
        <w:snapToGrid/>
        <w:spacing w:before="0" w:beforeAutospacing="0" w:after="0" w:afterAutospacing="0" w:line="360" w:lineRule="auto"/>
        <w:jc w:val="both"/>
        <w:outlineLvl w:val="0"/>
        <w:rPr>
          <w:rStyle w:val="30"/>
          <w:rFonts w:hint="eastAsia" w:ascii="仿宋" w:hAnsi="仿宋" w:eastAsia="仿宋" w:cs="仿宋"/>
          <w:color w:val="auto"/>
          <w:sz w:val="24"/>
          <w:szCs w:val="24"/>
          <w:highlight w:val="none"/>
        </w:rPr>
      </w:pPr>
      <w:r>
        <w:rPr>
          <w:rStyle w:val="30"/>
          <w:rFonts w:hint="eastAsia" w:ascii="仿宋" w:hAnsi="仿宋" w:eastAsia="仿宋" w:cs="仿宋"/>
          <w:color w:val="auto"/>
          <w:sz w:val="24"/>
          <w:szCs w:val="24"/>
          <w:highlight w:val="none"/>
        </w:rPr>
        <w:t>（</w:t>
      </w:r>
      <w:r>
        <w:rPr>
          <w:rStyle w:val="30"/>
          <w:rFonts w:hint="eastAsia" w:ascii="仿宋" w:hAnsi="仿宋" w:eastAsia="仿宋" w:cs="仿宋"/>
          <w:color w:val="auto"/>
          <w:sz w:val="24"/>
          <w:szCs w:val="24"/>
          <w:highlight w:val="none"/>
          <w:lang w:eastAsia="zh-CN"/>
        </w:rPr>
        <w:t>二</w:t>
      </w:r>
      <w:r>
        <w:rPr>
          <w:rStyle w:val="30"/>
          <w:rFonts w:hint="eastAsia" w:ascii="仿宋" w:hAnsi="仿宋" w:eastAsia="仿宋" w:cs="仿宋"/>
          <w:color w:val="auto"/>
          <w:sz w:val="24"/>
          <w:szCs w:val="24"/>
          <w:highlight w:val="none"/>
        </w:rPr>
        <w:t>）相关要求</w:t>
      </w:r>
    </w:p>
    <w:p w14:paraId="68615C9C">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leftChars="0" w:firstLine="482" w:firstLineChars="200"/>
        <w:jc w:val="both"/>
        <w:textAlignment w:val="baseline"/>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en-US" w:bidi="ar-SA"/>
        </w:rPr>
        <w:t>（一）</w:t>
      </w:r>
      <w:r>
        <w:rPr>
          <w:rFonts w:hint="eastAsia" w:ascii="仿宋" w:hAnsi="仿宋" w:eastAsia="仿宋" w:cs="仿宋"/>
          <w:color w:val="auto"/>
          <w:sz w:val="24"/>
          <w:szCs w:val="24"/>
          <w:highlight w:val="none"/>
        </w:rPr>
        <w:t>质量要求</w:t>
      </w:r>
    </w:p>
    <w:p w14:paraId="0799CD8D">
      <w:pPr>
        <w:keepNext w:val="0"/>
        <w:keepLines w:val="0"/>
        <w:pageBreakBefore w:val="0"/>
        <w:widowControl/>
        <w:kinsoku/>
        <w:wordWrap/>
        <w:overflowPunct/>
        <w:topLinePunct w:val="0"/>
        <w:autoSpaceDE/>
        <w:autoSpaceDN/>
        <w:bidi w:val="0"/>
        <w:adjustRightInd/>
        <w:snapToGrid/>
        <w:spacing w:beforeAutospacing="0" w:afterAutospacing="0" w:line="360" w:lineRule="auto"/>
        <w:ind w:left="0" w:firstLine="640"/>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制定质量保障措施，要求按月对项目工作进度及项目完成情况进行汇报。项目过程中所有参与者均对发现的问题及时反应，追溯问题原因和形成机制，根据问题种类采取相应的改进措施，并持续跟踪，完成项目工作内容及预期成果，项目通过专家验收。</w:t>
      </w:r>
    </w:p>
    <w:p w14:paraId="58E3CBE9">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leftChars="0" w:firstLine="482" w:firstLineChars="200"/>
        <w:jc w:val="both"/>
        <w:textAlignment w:val="baseline"/>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en-US" w:bidi="ar-SA"/>
        </w:rPr>
        <w:t>（二）</w:t>
      </w:r>
      <w:r>
        <w:rPr>
          <w:rFonts w:hint="eastAsia" w:ascii="仿宋" w:hAnsi="仿宋" w:eastAsia="仿宋" w:cs="仿宋"/>
          <w:color w:val="auto"/>
          <w:sz w:val="24"/>
          <w:szCs w:val="24"/>
          <w:highlight w:val="none"/>
        </w:rPr>
        <w:t>工期要求</w:t>
      </w:r>
    </w:p>
    <w:p w14:paraId="4E814C3F">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本项目要求在2025年11月30日前完成全部工作（由于国家政策所带来的不可控因素导致项目实施周期延长，双方另行协商）。</w:t>
      </w:r>
    </w:p>
    <w:p w14:paraId="38282C26">
      <w:pPr>
        <w:rPr>
          <w:rFonts w:hint="eastAsia" w:ascii="仿宋" w:hAnsi="仿宋" w:eastAsia="仿宋" w:cs="仿宋"/>
          <w:b/>
          <w:color w:val="auto"/>
          <w:sz w:val="24"/>
          <w:szCs w:val="24"/>
          <w:highlight w:val="none"/>
          <w:lang w:val="en-US" w:eastAsia="en-US" w:bidi="ar-SA"/>
        </w:rPr>
      </w:pPr>
      <w:r>
        <w:rPr>
          <w:rFonts w:hint="eastAsia" w:ascii="仿宋" w:hAnsi="仿宋" w:eastAsia="仿宋" w:cs="仿宋"/>
          <w:b/>
          <w:color w:val="auto"/>
          <w:sz w:val="24"/>
          <w:szCs w:val="24"/>
          <w:highlight w:val="none"/>
          <w:lang w:val="en-US" w:eastAsia="en-US" w:bidi="ar-SA"/>
        </w:rPr>
        <w:br w:type="page"/>
      </w:r>
    </w:p>
    <w:p w14:paraId="6A918E05">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leftChars="0" w:firstLine="482"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en-US" w:bidi="ar-SA"/>
        </w:rPr>
        <w:t>（三）</w:t>
      </w:r>
      <w:r>
        <w:rPr>
          <w:rFonts w:hint="eastAsia" w:ascii="仿宋" w:hAnsi="仿宋" w:eastAsia="仿宋" w:cs="仿宋"/>
          <w:color w:val="auto"/>
          <w:sz w:val="24"/>
          <w:szCs w:val="24"/>
          <w:highlight w:val="none"/>
        </w:rPr>
        <w:t>人员要求</w:t>
      </w:r>
    </w:p>
    <w:p w14:paraId="0575FDEE">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中标供应商应按采购人要求实时响应采购人提出的应急服务，派遣人员工资、食宿和交通等因项目工作发生的全部费用由中标供应商承担。</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3021"/>
        <w:gridCol w:w="5139"/>
      </w:tblGrid>
      <w:tr w14:paraId="7F193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5000" w:type="pct"/>
            <w:gridSpan w:val="3"/>
            <w:vAlign w:val="center"/>
          </w:tcPr>
          <w:p w14:paraId="6E8B8737">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color w:val="auto"/>
                <w:sz w:val="24"/>
                <w:szCs w:val="24"/>
                <w:highlight w:val="none"/>
              </w:rPr>
              <w:t>2025年自治区建设用地节约集约利用评价模型功能完善人员要求</w:t>
            </w:r>
          </w:p>
        </w:tc>
      </w:tr>
      <w:tr w14:paraId="46860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497" w:type="pct"/>
            <w:vAlign w:val="center"/>
          </w:tcPr>
          <w:p w14:paraId="094409D1">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包号</w:t>
            </w:r>
          </w:p>
        </w:tc>
        <w:tc>
          <w:tcPr>
            <w:tcW w:w="1667" w:type="pct"/>
            <w:vAlign w:val="center"/>
          </w:tcPr>
          <w:p w14:paraId="08AE81D2">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类型</w:t>
            </w:r>
          </w:p>
        </w:tc>
        <w:tc>
          <w:tcPr>
            <w:tcW w:w="2835" w:type="pct"/>
            <w:vAlign w:val="center"/>
          </w:tcPr>
          <w:p w14:paraId="7B6C0161">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人员要求</w:t>
            </w:r>
          </w:p>
        </w:tc>
      </w:tr>
      <w:tr w14:paraId="6B3F5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7" w:type="pct"/>
            <w:vMerge w:val="restart"/>
            <w:vAlign w:val="center"/>
          </w:tcPr>
          <w:p w14:paraId="3A015470">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w:t>
            </w:r>
          </w:p>
        </w:tc>
        <w:tc>
          <w:tcPr>
            <w:tcW w:w="1667" w:type="pct"/>
            <w:vAlign w:val="center"/>
          </w:tcPr>
          <w:p w14:paraId="6368CC49">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核心技术团队</w:t>
            </w:r>
          </w:p>
        </w:tc>
        <w:tc>
          <w:tcPr>
            <w:tcW w:w="2835" w:type="pct"/>
            <w:vAlign w:val="center"/>
          </w:tcPr>
          <w:p w14:paraId="1F1329DA">
            <w:pPr>
              <w:pageBreakBefore w:val="0"/>
              <w:widowControl/>
              <w:kinsoku/>
              <w:wordWrap/>
              <w:overflowPunct/>
              <w:topLinePunct w:val="0"/>
              <w:autoSpaceDE/>
              <w:autoSpaceDN/>
              <w:bidi w:val="0"/>
              <w:adjustRightInd/>
              <w:snapToGrid/>
              <w:spacing w:beforeAutospacing="0" w:afterAutospacing="0" w:line="360" w:lineRule="auto"/>
              <w:jc w:val="left"/>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名项目负责（经理），具有副高级以上职称，项目负责（经理）应具有省级及以上项目管理经验；承诺核心技术团队成员在项目实施期间到采购方现场进行对接交流汇报至少5次，包括：项目实施方案论证、重大问题研究、项目验收。项目负责人应有课题团队不少于3人。</w:t>
            </w:r>
          </w:p>
        </w:tc>
      </w:tr>
      <w:tr w14:paraId="036BD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trPr>
        <w:tc>
          <w:tcPr>
            <w:tcW w:w="497" w:type="pct"/>
            <w:vMerge w:val="continue"/>
            <w:vAlign w:val="center"/>
          </w:tcPr>
          <w:p w14:paraId="23035BA8">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p>
        </w:tc>
        <w:tc>
          <w:tcPr>
            <w:tcW w:w="1667" w:type="pct"/>
            <w:vAlign w:val="center"/>
          </w:tcPr>
          <w:p w14:paraId="4CDBBDCB">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驻场实施人员</w:t>
            </w:r>
          </w:p>
        </w:tc>
        <w:tc>
          <w:tcPr>
            <w:tcW w:w="2835" w:type="pct"/>
            <w:vAlign w:val="center"/>
          </w:tcPr>
          <w:p w14:paraId="59DE66A1">
            <w:pPr>
              <w:pageBreakBefore w:val="0"/>
              <w:widowControl/>
              <w:kinsoku/>
              <w:wordWrap/>
              <w:overflowPunct/>
              <w:topLinePunct w:val="0"/>
              <w:autoSpaceDE/>
              <w:autoSpaceDN/>
              <w:bidi w:val="0"/>
              <w:adjustRightInd/>
              <w:snapToGrid/>
              <w:spacing w:beforeAutospacing="0" w:afterAutospacing="0" w:line="360" w:lineRule="auto"/>
              <w:jc w:val="both"/>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项目有重要紧急研发需求，根据采购人需求，能够保障研发团队到采购人指定现场开展工作。</w:t>
            </w:r>
          </w:p>
        </w:tc>
      </w:tr>
      <w:tr w14:paraId="28805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7" w:type="pct"/>
            <w:vMerge w:val="continue"/>
            <w:vAlign w:val="center"/>
          </w:tcPr>
          <w:p w14:paraId="7FB35B42">
            <w:pPr>
              <w:pageBreakBefore w:val="0"/>
              <w:widowControl/>
              <w:kinsoku/>
              <w:wordWrap/>
              <w:overflowPunct/>
              <w:topLinePunct w:val="0"/>
              <w:autoSpaceDE/>
              <w:autoSpaceDN/>
              <w:bidi w:val="0"/>
              <w:adjustRightInd/>
              <w:snapToGrid/>
              <w:spacing w:beforeAutospacing="0" w:afterAutospacing="0" w:line="360" w:lineRule="auto"/>
              <w:jc w:val="both"/>
              <w:textAlignment w:val="baseline"/>
              <w:rPr>
                <w:rFonts w:hint="eastAsia" w:ascii="仿宋" w:hAnsi="仿宋" w:eastAsia="仿宋" w:cs="仿宋"/>
                <w:bCs/>
                <w:color w:val="auto"/>
                <w:sz w:val="24"/>
                <w:szCs w:val="24"/>
                <w:highlight w:val="none"/>
              </w:rPr>
            </w:pPr>
          </w:p>
        </w:tc>
        <w:tc>
          <w:tcPr>
            <w:tcW w:w="1667" w:type="pct"/>
            <w:vAlign w:val="center"/>
          </w:tcPr>
          <w:p w14:paraId="381195A4">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实施人员</w:t>
            </w:r>
          </w:p>
        </w:tc>
        <w:tc>
          <w:tcPr>
            <w:tcW w:w="2835" w:type="pct"/>
            <w:vAlign w:val="center"/>
          </w:tcPr>
          <w:p w14:paraId="0D1140A4">
            <w:pPr>
              <w:pageBreakBefore w:val="0"/>
              <w:widowControl/>
              <w:kinsoku/>
              <w:wordWrap/>
              <w:overflowPunct/>
              <w:topLinePunct w:val="0"/>
              <w:autoSpaceDE/>
              <w:autoSpaceDN/>
              <w:bidi w:val="0"/>
              <w:adjustRightInd/>
              <w:snapToGrid/>
              <w:spacing w:beforeAutospacing="0" w:afterAutospacing="0" w:line="360" w:lineRule="auto"/>
              <w:jc w:val="both"/>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不少于</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人（含驻场人员）项目组人员及分工明确至少1人</w:t>
            </w:r>
          </w:p>
        </w:tc>
      </w:tr>
      <w:tr w14:paraId="777EE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7" w:type="pct"/>
            <w:vMerge w:val="continue"/>
            <w:vAlign w:val="center"/>
          </w:tcPr>
          <w:p w14:paraId="12045213">
            <w:pPr>
              <w:pageBreakBefore w:val="0"/>
              <w:widowControl/>
              <w:kinsoku/>
              <w:wordWrap/>
              <w:overflowPunct/>
              <w:topLinePunct w:val="0"/>
              <w:autoSpaceDE/>
              <w:autoSpaceDN/>
              <w:bidi w:val="0"/>
              <w:adjustRightInd/>
              <w:snapToGrid/>
              <w:spacing w:beforeAutospacing="0" w:afterAutospacing="0" w:line="360" w:lineRule="auto"/>
              <w:jc w:val="both"/>
              <w:textAlignment w:val="baseline"/>
              <w:rPr>
                <w:rFonts w:hint="eastAsia" w:ascii="仿宋" w:hAnsi="仿宋" w:eastAsia="仿宋" w:cs="仿宋"/>
                <w:bCs/>
                <w:color w:val="auto"/>
                <w:sz w:val="24"/>
                <w:szCs w:val="24"/>
                <w:highlight w:val="none"/>
              </w:rPr>
            </w:pPr>
          </w:p>
        </w:tc>
        <w:tc>
          <w:tcPr>
            <w:tcW w:w="1667" w:type="pct"/>
            <w:vAlign w:val="center"/>
          </w:tcPr>
          <w:p w14:paraId="5DB6E6C9">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其他要求</w:t>
            </w:r>
          </w:p>
        </w:tc>
        <w:tc>
          <w:tcPr>
            <w:tcW w:w="2835" w:type="pct"/>
            <w:vAlign w:val="center"/>
          </w:tcPr>
          <w:p w14:paraId="6B0D57D9">
            <w:pPr>
              <w:pageBreakBefore w:val="0"/>
              <w:widowControl/>
              <w:kinsoku/>
              <w:wordWrap/>
              <w:overflowPunct/>
              <w:topLinePunct w:val="0"/>
              <w:autoSpaceDE/>
              <w:autoSpaceDN/>
              <w:bidi w:val="0"/>
              <w:adjustRightInd/>
              <w:snapToGrid/>
              <w:spacing w:beforeAutospacing="0" w:afterAutospacing="0" w:line="360" w:lineRule="auto"/>
              <w:jc w:val="left"/>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1、项目组人员及分工明确。</w:t>
            </w:r>
          </w:p>
          <w:p w14:paraId="171F7D5E">
            <w:pPr>
              <w:pageBreakBefore w:val="0"/>
              <w:widowControl/>
              <w:kinsoku/>
              <w:wordWrap/>
              <w:overflowPunct/>
              <w:topLinePunct w:val="0"/>
              <w:autoSpaceDE/>
              <w:autoSpaceDN/>
              <w:bidi w:val="0"/>
              <w:adjustRightInd/>
              <w:snapToGrid/>
              <w:spacing w:beforeAutospacing="0" w:afterAutospacing="0" w:line="360" w:lineRule="auto"/>
              <w:jc w:val="left"/>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2、项目有重要紧急研发需求或者系统出现严重故障影响业务运行时，根据采购人需求，能够保障研发团队到采购人指定现场开展工作。</w:t>
            </w:r>
          </w:p>
          <w:p w14:paraId="2557EA00">
            <w:pPr>
              <w:pageBreakBefore w:val="0"/>
              <w:widowControl/>
              <w:kinsoku/>
              <w:wordWrap/>
              <w:overflowPunct/>
              <w:topLinePunct w:val="0"/>
              <w:autoSpaceDE/>
              <w:autoSpaceDN/>
              <w:bidi w:val="0"/>
              <w:adjustRightInd/>
              <w:snapToGrid/>
              <w:spacing w:beforeAutospacing="0" w:afterAutospacing="0" w:line="360" w:lineRule="auto"/>
              <w:jc w:val="both"/>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kern w:val="0"/>
                <w:sz w:val="24"/>
                <w:szCs w:val="24"/>
                <w:highlight w:val="none"/>
              </w:rPr>
              <w:t>3、核心团队人员不得擅自变更，如若变更必须提前一周告知甲方。</w:t>
            </w:r>
            <w:r>
              <w:rPr>
                <w:rFonts w:hint="eastAsia" w:ascii="仿宋" w:hAnsi="仿宋" w:eastAsia="仿宋" w:cs="仿宋"/>
                <w:bCs/>
                <w:color w:val="auto"/>
                <w:sz w:val="24"/>
                <w:szCs w:val="24"/>
                <w:highlight w:val="none"/>
              </w:rPr>
              <w:t>核心人员如若变更，需要提前1周通知甲方，如发现私自更换人员，甲方有权要求供应商立即整改。</w:t>
            </w:r>
          </w:p>
        </w:tc>
      </w:tr>
    </w:tbl>
    <w:p w14:paraId="63FBBFB9">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baseline"/>
        <w:rPr>
          <w:rFonts w:hint="eastAsia" w:ascii="仿宋" w:hAnsi="仿宋" w:eastAsia="仿宋" w:cs="仿宋"/>
          <w:b/>
          <w:color w:val="auto"/>
          <w:sz w:val="24"/>
          <w:szCs w:val="24"/>
          <w:highlight w:val="none"/>
          <w:lang w:val="en-US" w:eastAsia="en-US" w:bidi="ar-SA"/>
        </w:rPr>
      </w:pPr>
    </w:p>
    <w:p w14:paraId="37AFF15A">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baseline"/>
        <w:rPr>
          <w:rFonts w:hint="eastAsia" w:ascii="仿宋" w:hAnsi="仿宋" w:eastAsia="仿宋" w:cs="仿宋"/>
          <w:b/>
          <w:color w:val="auto"/>
          <w:sz w:val="24"/>
          <w:szCs w:val="24"/>
          <w:highlight w:val="none"/>
          <w:lang w:val="en-US" w:eastAsia="en-US" w:bidi="ar-SA"/>
        </w:rPr>
      </w:pPr>
    </w:p>
    <w:p w14:paraId="225CBDC8">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baseline"/>
        <w:rPr>
          <w:rFonts w:hint="eastAsia" w:ascii="仿宋" w:hAnsi="仿宋" w:eastAsia="仿宋" w:cs="仿宋"/>
          <w:b/>
          <w:color w:val="auto"/>
          <w:sz w:val="24"/>
          <w:szCs w:val="24"/>
          <w:highlight w:val="none"/>
          <w:lang w:val="en-US" w:eastAsia="en-US" w:bidi="ar-SA"/>
        </w:rPr>
      </w:pPr>
    </w:p>
    <w:p w14:paraId="5881B208">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baseline"/>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en-US" w:bidi="ar-SA"/>
        </w:rPr>
        <w:t>（四）</w:t>
      </w:r>
      <w:r>
        <w:rPr>
          <w:rFonts w:hint="eastAsia" w:ascii="仿宋" w:hAnsi="仿宋" w:eastAsia="仿宋" w:cs="仿宋"/>
          <w:color w:val="auto"/>
          <w:sz w:val="24"/>
          <w:szCs w:val="24"/>
          <w:highlight w:val="none"/>
        </w:rPr>
        <w:t>场地要求</w:t>
      </w:r>
    </w:p>
    <w:p w14:paraId="0A673764">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64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中标供应商须在供应商指定的场地开展相关工作，并严格遵守供应商相关制度规定。</w:t>
      </w:r>
    </w:p>
    <w:p w14:paraId="5317FD46">
      <w:pPr>
        <w:pStyle w:val="3"/>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en-US" w:bidi="ar-SA"/>
        </w:rPr>
        <w:t>（五）</w:t>
      </w:r>
      <w:r>
        <w:rPr>
          <w:rFonts w:hint="eastAsia" w:ascii="仿宋" w:hAnsi="仿宋" w:eastAsia="仿宋" w:cs="仿宋"/>
          <w:color w:val="auto"/>
          <w:sz w:val="24"/>
          <w:szCs w:val="24"/>
          <w:highlight w:val="none"/>
        </w:rPr>
        <w:t>保密要求</w:t>
      </w:r>
    </w:p>
    <w:p w14:paraId="196B1C7D">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中标供应商应严格遵守国家关数据安全保密的有关法律法规以及采购人的各项保密要求和数据安全要求。所有人员须签订保密协议，根据项目需要，安排专人负责各类资料保存，确保资料保密工作万无一失。</w:t>
      </w:r>
    </w:p>
    <w:bookmarkEnd w:id="98"/>
    <w:p w14:paraId="4B24BDB2">
      <w:pPr>
        <w:pStyle w:val="3"/>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6、其他要求</w:t>
      </w:r>
    </w:p>
    <w:p w14:paraId="230529A6">
      <w:pPr>
        <w:pStyle w:val="23"/>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（1）售后要求</w:t>
      </w:r>
    </w:p>
    <w:p w14:paraId="730D5075">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系统免费运维期为一年，自项目验收之日起计算。在运维期内，中标单位有责任提供以下形式的技术支持服务：</w:t>
      </w:r>
    </w:p>
    <w:p w14:paraId="1D8584F4">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①支持服务</w:t>
      </w:r>
    </w:p>
    <w:p w14:paraId="5A91FD3D">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承担单位必须为用户提供技术支持，解答软件和数据在使用过程中遇到的问题，及时提出解决问题的正确建议和操作方法。提供应急策略。</w:t>
      </w:r>
    </w:p>
    <w:p w14:paraId="2AD5E0E4">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②现场响应</w:t>
      </w:r>
    </w:p>
    <w:p w14:paraId="50789EA4">
      <w:pPr>
        <w:pageBreakBefore w:val="0"/>
        <w:widowControl/>
        <w:kinsoku/>
        <w:wordWrap/>
        <w:overflowPunct/>
        <w:topLinePunct w:val="0"/>
        <w:autoSpaceDE/>
        <w:autoSpaceDN/>
        <w:bidi w:val="0"/>
        <w:adjustRightInd/>
        <w:snapToGrid/>
        <w:spacing w:beforeAutospacing="0" w:afterAutospacing="0" w:line="360" w:lineRule="auto"/>
        <w:ind w:firstLine="6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收到用户的服务请求起，若上述服务形式不能解决问题，1小时内做出实质性反应，指派技术人员赶赴现场进行问题处理。遇到重大技术问题，承担单位应及时组织有关技术专家进行会诊，并在24小时内采取相应措施以确保平台的正常运行。如果承担单位在接到通知后的两个工作日内未做出响应，承担单位必须对由于故障所造成的损失后果负责。</w:t>
      </w:r>
    </w:p>
    <w:p w14:paraId="5C371010">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641"/>
        <w:textAlignment w:val="baseline"/>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（2）项目成果要求</w:t>
      </w:r>
    </w:p>
    <w:p w14:paraId="0F8011B1">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641"/>
        <w:textAlignment w:val="baseline"/>
        <w:rPr>
          <w:rFonts w:hint="default" w:ascii="仿宋" w:hAnsi="仿宋" w:eastAsia="仿宋" w:cs="仿宋"/>
          <w:color w:val="auto"/>
          <w:kern w:val="2"/>
          <w:sz w:val="24"/>
          <w:szCs w:val="24"/>
          <w:highlight w:val="none"/>
          <w:lang w:val="en-US" w:eastAsia="zh-CN"/>
        </w:rPr>
      </w:pPr>
      <w:r>
        <w:rPr>
          <w:rFonts w:hint="eastAsia" w:ascii="仿宋" w:hAnsi="仿宋" w:eastAsia="仿宋" w:cs="仿宋"/>
          <w:color w:val="auto"/>
          <w:kern w:val="2"/>
          <w:sz w:val="24"/>
          <w:szCs w:val="24"/>
          <w:highlight w:val="none"/>
          <w:lang w:val="en-US" w:eastAsia="zh-CN"/>
        </w:rPr>
        <w:t>包括但不限于以下内容：</w:t>
      </w:r>
    </w:p>
    <w:tbl>
      <w:tblPr>
        <w:tblStyle w:val="28"/>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1660"/>
        <w:gridCol w:w="6650"/>
      </w:tblGrid>
      <w:tr w14:paraId="3F745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412" w:type="pct"/>
            <w:vAlign w:val="center"/>
          </w:tcPr>
          <w:p w14:paraId="387E6C7E">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bookmarkStart w:id="99" w:name="_Toc45495648"/>
            <w:bookmarkStart w:id="100" w:name="_Toc45495649"/>
            <w:r>
              <w:rPr>
                <w:rFonts w:hint="eastAsia" w:ascii="仿宋" w:hAnsi="仿宋" w:eastAsia="仿宋" w:cs="仿宋"/>
                <w:b w:val="0"/>
                <w:color w:val="auto"/>
                <w:sz w:val="24"/>
                <w:szCs w:val="24"/>
                <w:highlight w:val="none"/>
              </w:rPr>
              <w:t>序号</w:t>
            </w:r>
          </w:p>
        </w:tc>
        <w:tc>
          <w:tcPr>
            <w:tcW w:w="916" w:type="pct"/>
            <w:vAlign w:val="center"/>
          </w:tcPr>
          <w:p w14:paraId="3F2CF1FF">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类型</w:t>
            </w:r>
          </w:p>
        </w:tc>
        <w:tc>
          <w:tcPr>
            <w:tcW w:w="3670" w:type="pct"/>
            <w:vAlign w:val="center"/>
          </w:tcPr>
          <w:p w14:paraId="1EC13915">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成果要求</w:t>
            </w:r>
          </w:p>
        </w:tc>
      </w:tr>
      <w:tr w14:paraId="2239E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5" w:hRule="atLeast"/>
        </w:trPr>
        <w:tc>
          <w:tcPr>
            <w:tcW w:w="412" w:type="pct"/>
            <w:vAlign w:val="center"/>
          </w:tcPr>
          <w:p w14:paraId="7BE2DA48">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1</w:t>
            </w:r>
          </w:p>
        </w:tc>
        <w:tc>
          <w:tcPr>
            <w:tcW w:w="916" w:type="pct"/>
            <w:vAlign w:val="center"/>
          </w:tcPr>
          <w:p w14:paraId="3864D3DD">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数据库</w:t>
            </w:r>
          </w:p>
        </w:tc>
        <w:tc>
          <w:tcPr>
            <w:tcW w:w="3670" w:type="pct"/>
            <w:vAlign w:val="center"/>
          </w:tcPr>
          <w:p w14:paraId="560C1838">
            <w:pPr>
              <w:pStyle w:val="11"/>
              <w:pageBreakBefore w:val="0"/>
              <w:widowControl/>
              <w:kinsoku/>
              <w:wordWrap/>
              <w:overflowPunct/>
              <w:topLinePunct w:val="0"/>
              <w:autoSpaceDE/>
              <w:autoSpaceDN/>
              <w:bidi w:val="0"/>
              <w:adjustRightInd/>
              <w:snapToGrid/>
              <w:spacing w:beforeAutospacing="0" w:after="0" w:afterAutospacing="0" w:line="360" w:lineRule="auto"/>
              <w:jc w:val="both"/>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2025年自治区建设用地节约集约利用评价模型</w:t>
            </w:r>
          </w:p>
        </w:tc>
      </w:tr>
      <w:tr w14:paraId="1CE66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12" w:type="pct"/>
            <w:vMerge w:val="restart"/>
            <w:vAlign w:val="center"/>
          </w:tcPr>
          <w:p w14:paraId="734510AE">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2</w:t>
            </w:r>
          </w:p>
        </w:tc>
        <w:tc>
          <w:tcPr>
            <w:tcW w:w="916" w:type="pct"/>
            <w:vMerge w:val="restart"/>
            <w:vAlign w:val="center"/>
          </w:tcPr>
          <w:p w14:paraId="2C811019">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文字报告</w:t>
            </w:r>
          </w:p>
        </w:tc>
        <w:tc>
          <w:tcPr>
            <w:tcW w:w="3670" w:type="pct"/>
            <w:vAlign w:val="center"/>
          </w:tcPr>
          <w:p w14:paraId="61E0710B">
            <w:pPr>
              <w:pStyle w:val="11"/>
              <w:pageBreakBefore w:val="0"/>
              <w:widowControl/>
              <w:kinsoku/>
              <w:wordWrap/>
              <w:overflowPunct/>
              <w:topLinePunct w:val="0"/>
              <w:autoSpaceDE/>
              <w:autoSpaceDN/>
              <w:bidi w:val="0"/>
              <w:adjustRightInd/>
              <w:snapToGrid/>
              <w:spacing w:beforeAutospacing="0" w:after="0" w:afterAutospacing="0" w:line="360" w:lineRule="auto"/>
              <w:jc w:val="both"/>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2025年自治区建设用地节约集约利用评价模型工作报告</w:t>
            </w:r>
          </w:p>
        </w:tc>
      </w:tr>
      <w:tr w14:paraId="25F6D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12" w:type="pct"/>
            <w:vMerge w:val="continue"/>
            <w:vAlign w:val="center"/>
          </w:tcPr>
          <w:p w14:paraId="29FDED28">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p>
        </w:tc>
        <w:tc>
          <w:tcPr>
            <w:tcW w:w="916" w:type="pct"/>
            <w:vMerge w:val="continue"/>
            <w:vAlign w:val="center"/>
          </w:tcPr>
          <w:p w14:paraId="6A3F163F">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p>
        </w:tc>
        <w:tc>
          <w:tcPr>
            <w:tcW w:w="3670" w:type="pct"/>
            <w:vAlign w:val="center"/>
          </w:tcPr>
          <w:p w14:paraId="3C1A5951">
            <w:pPr>
              <w:pStyle w:val="11"/>
              <w:pageBreakBefore w:val="0"/>
              <w:widowControl/>
              <w:kinsoku/>
              <w:wordWrap/>
              <w:overflowPunct/>
              <w:topLinePunct w:val="0"/>
              <w:autoSpaceDE/>
              <w:autoSpaceDN/>
              <w:bidi w:val="0"/>
              <w:adjustRightInd/>
              <w:snapToGrid/>
              <w:spacing w:beforeAutospacing="0" w:after="0" w:afterAutospacing="0" w:line="360" w:lineRule="auto"/>
              <w:jc w:val="both"/>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2025年自治区建设用地节约集约利用评价模型技术报告</w:t>
            </w:r>
          </w:p>
        </w:tc>
      </w:tr>
      <w:tr w14:paraId="55603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12" w:type="pct"/>
            <w:vMerge w:val="continue"/>
            <w:vAlign w:val="center"/>
          </w:tcPr>
          <w:p w14:paraId="1FA68CBE">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p>
        </w:tc>
        <w:tc>
          <w:tcPr>
            <w:tcW w:w="916" w:type="pct"/>
            <w:vMerge w:val="continue"/>
            <w:vAlign w:val="center"/>
          </w:tcPr>
          <w:p w14:paraId="54808E74">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p>
        </w:tc>
        <w:tc>
          <w:tcPr>
            <w:tcW w:w="3670" w:type="pct"/>
            <w:vAlign w:val="center"/>
          </w:tcPr>
          <w:p w14:paraId="54A2D9F7">
            <w:pPr>
              <w:pStyle w:val="11"/>
              <w:pageBreakBefore w:val="0"/>
              <w:widowControl/>
              <w:kinsoku/>
              <w:wordWrap/>
              <w:overflowPunct/>
              <w:topLinePunct w:val="0"/>
              <w:autoSpaceDE/>
              <w:autoSpaceDN/>
              <w:bidi w:val="0"/>
              <w:adjustRightInd/>
              <w:snapToGrid/>
              <w:spacing w:beforeAutospacing="0" w:after="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2025年自治区建设用地节约集约利用评价模型经费决算报告</w:t>
            </w:r>
          </w:p>
        </w:tc>
      </w:tr>
      <w:tr w14:paraId="7E473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12" w:type="pct"/>
            <w:vMerge w:val="continue"/>
            <w:vAlign w:val="center"/>
          </w:tcPr>
          <w:p w14:paraId="154E284D">
            <w:pPr>
              <w:pStyle w:val="4"/>
              <w:pageBreakBefore w:val="0"/>
              <w:widowControl/>
              <w:kinsoku/>
              <w:wordWrap/>
              <w:overflowPunct/>
              <w:topLinePunct w:val="0"/>
              <w:autoSpaceDE/>
              <w:autoSpaceDN/>
              <w:bidi w:val="0"/>
              <w:adjustRightInd/>
              <w:snapToGrid/>
              <w:spacing w:before="0" w:beforeAutospacing="0" w:after="0" w:afterAutospacing="0" w:line="360" w:lineRule="auto"/>
              <w:jc w:val="center"/>
              <w:rPr>
                <w:rFonts w:hint="eastAsia" w:ascii="仿宋" w:hAnsi="仿宋" w:eastAsia="仿宋" w:cs="仿宋"/>
                <w:b w:val="0"/>
                <w:color w:val="auto"/>
                <w:sz w:val="24"/>
                <w:szCs w:val="24"/>
                <w:highlight w:val="none"/>
              </w:rPr>
            </w:pPr>
          </w:p>
        </w:tc>
        <w:tc>
          <w:tcPr>
            <w:tcW w:w="916" w:type="pct"/>
            <w:vMerge w:val="continue"/>
            <w:vAlign w:val="center"/>
          </w:tcPr>
          <w:p w14:paraId="63966926">
            <w:pPr>
              <w:pageBreakBefore w:val="0"/>
              <w:widowControl/>
              <w:kinsoku/>
              <w:wordWrap/>
              <w:overflowPunct/>
              <w:topLinePunct w:val="0"/>
              <w:autoSpaceDE/>
              <w:autoSpaceDN/>
              <w:bidi w:val="0"/>
              <w:adjustRightInd/>
              <w:snapToGrid/>
              <w:spacing w:beforeAutospacing="0" w:afterAutospacing="0" w:line="360" w:lineRule="auto"/>
              <w:jc w:val="center"/>
              <w:textAlignment w:val="baseline"/>
              <w:rPr>
                <w:rFonts w:hint="eastAsia" w:ascii="仿宋" w:hAnsi="仿宋" w:eastAsia="仿宋" w:cs="仿宋"/>
                <w:color w:val="auto"/>
                <w:sz w:val="24"/>
                <w:szCs w:val="24"/>
                <w:highlight w:val="none"/>
              </w:rPr>
            </w:pPr>
          </w:p>
        </w:tc>
        <w:tc>
          <w:tcPr>
            <w:tcW w:w="3670" w:type="pct"/>
            <w:vAlign w:val="center"/>
          </w:tcPr>
          <w:p w14:paraId="25DC42F5">
            <w:pPr>
              <w:pStyle w:val="11"/>
              <w:pageBreakBefore w:val="0"/>
              <w:widowControl/>
              <w:kinsoku/>
              <w:wordWrap/>
              <w:overflowPunct/>
              <w:topLinePunct w:val="0"/>
              <w:autoSpaceDE/>
              <w:autoSpaceDN/>
              <w:bidi w:val="0"/>
              <w:adjustRightInd/>
              <w:snapToGrid/>
              <w:spacing w:beforeAutospacing="0" w:after="0" w:afterAutospacing="0"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质检报告</w:t>
            </w:r>
          </w:p>
        </w:tc>
      </w:tr>
      <w:bookmarkEnd w:id="99"/>
      <w:bookmarkEnd w:id="100"/>
    </w:tbl>
    <w:p w14:paraId="21679759">
      <w:pPr>
        <w:shd w:val="clear"/>
        <w:spacing w:line="480" w:lineRule="exact"/>
        <w:ind w:firstLine="60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30"/>
          <w:szCs w:val="30"/>
          <w:highlight w:val="none"/>
        </w:rPr>
        <w:br w:type="page"/>
      </w:r>
      <w:bookmarkEnd w:id="97"/>
    </w:p>
    <w:p w14:paraId="24FBA8D4">
      <w:pPr>
        <w:shd w:val="clear"/>
        <w:spacing w:line="579" w:lineRule="exact"/>
        <w:ind w:firstLine="643" w:firstLineChars="200"/>
        <w:jc w:val="center"/>
        <w:outlineLvl w:val="0"/>
        <w:rPr>
          <w:rFonts w:ascii="仿宋" w:hAnsi="仿宋" w:eastAsia="仿宋" w:cs="仿宋"/>
          <w:color w:val="auto"/>
          <w:highlight w:val="none"/>
          <w:lang w:eastAsia="zh-CN"/>
        </w:rPr>
      </w:pPr>
      <w:bookmarkStart w:id="101" w:name="_Toc7973"/>
      <w:r>
        <w:rPr>
          <w:rFonts w:hint="eastAsia" w:ascii="仿宋" w:hAnsi="仿宋" w:eastAsia="仿宋" w:cs="仿宋"/>
          <w:b/>
          <w:bCs/>
          <w:color w:val="auto"/>
          <w:sz w:val="32"/>
          <w:szCs w:val="40"/>
          <w:highlight w:val="none"/>
          <w:lang w:eastAsia="zh-CN"/>
        </w:rPr>
        <w:t>第四部分  合同条款</w:t>
      </w:r>
      <w:bookmarkEnd w:id="92"/>
      <w:bookmarkEnd w:id="93"/>
      <w:bookmarkEnd w:id="94"/>
      <w:bookmarkEnd w:id="95"/>
      <w:bookmarkEnd w:id="96"/>
      <w:bookmarkEnd w:id="101"/>
    </w:p>
    <w:p w14:paraId="3010A6EC">
      <w:pPr>
        <w:pStyle w:val="60"/>
        <w:pBdr>
          <w:top w:val="none" w:color="auto" w:sz="0" w:space="0"/>
          <w:left w:val="none" w:color="auto" w:sz="0" w:space="0"/>
          <w:bottom w:val="none" w:color="auto" w:sz="0" w:space="0"/>
          <w:right w:val="none" w:color="auto" w:sz="0" w:space="0"/>
        </w:pBdr>
        <w:shd w:val="clear"/>
        <w:tabs>
          <w:tab w:val="left" w:pos="2625"/>
        </w:tabs>
        <w:spacing w:line="579"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注：</w:t>
      </w:r>
    </w:p>
    <w:p w14:paraId="14B0CF54">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本合同条款仅作为双方签订合同的参考，合同最终内容将根据中标单位的投标响应内容确定合同主要内容，阐明各方的权利和义务，必要时将增加新的条款，但不得与招标文件、磋商响应文件的实质性内容相背离。</w:t>
      </w:r>
    </w:p>
    <w:p w14:paraId="66D3B49A">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p>
    <w:p w14:paraId="255F3D5D">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p>
    <w:p w14:paraId="69788697">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p>
    <w:p w14:paraId="234D8CD4">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p>
    <w:p w14:paraId="27FCA88A">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p>
    <w:p w14:paraId="102F1DD1">
      <w:pPr>
        <w:pStyle w:val="60"/>
        <w:pBdr>
          <w:top w:val="none" w:color="auto" w:sz="0" w:space="0"/>
          <w:left w:val="none" w:color="auto" w:sz="0" w:space="0"/>
          <w:bottom w:val="none" w:color="auto" w:sz="0" w:space="0"/>
          <w:right w:val="none" w:color="auto" w:sz="0" w:space="0"/>
        </w:pBdr>
        <w:shd w:val="clear"/>
        <w:tabs>
          <w:tab w:val="left" w:pos="2625"/>
        </w:tabs>
        <w:spacing w:line="579" w:lineRule="exact"/>
        <w:ind w:firstLine="220" w:firstLineChars="100"/>
        <w:rPr>
          <w:rFonts w:hint="eastAsia" w:ascii="仿宋" w:hAnsi="仿宋" w:eastAsia="仿宋" w:cs="仿宋"/>
          <w:color w:val="auto"/>
          <w:highlight w:val="none"/>
          <w:lang w:eastAsia="zh-CN"/>
        </w:rPr>
      </w:pPr>
    </w:p>
    <w:p w14:paraId="4BF6EB3B">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51BBA531">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1DB371C2">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530D896F">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74AF3430">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67FE29E0">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7A07ACCE">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31A20E2F">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3E04D3BB">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43505079">
      <w:pPr>
        <w:shd w:val="clea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128E630B">
      <w:pPr>
        <w:pStyle w:val="25"/>
        <w:shd w:val="clear"/>
        <w:rPr>
          <w:rFonts w:ascii="仿宋" w:hAnsi="仿宋" w:eastAsia="仿宋" w:cs="仿宋"/>
          <w:b/>
          <w:bCs/>
          <w:color w:val="auto"/>
          <w:sz w:val="48"/>
          <w:szCs w:val="48"/>
          <w:highlight w:val="none"/>
          <w:lang w:val="zh-CN" w:eastAsia="zh-CN"/>
        </w:rPr>
      </w:pPr>
    </w:p>
    <w:p w14:paraId="5091E93B">
      <w:pPr>
        <w:rPr>
          <w:rFonts w:ascii="黑体" w:hAnsi="黑体" w:eastAsia="黑体"/>
          <w:color w:val="auto"/>
          <w:sz w:val="32"/>
          <w:szCs w:val="36"/>
          <w:highlight w:val="none"/>
        </w:rPr>
      </w:pPr>
      <w:bookmarkStart w:id="102" w:name="_Toc17311"/>
      <w:bookmarkStart w:id="103" w:name="_Toc15427"/>
      <w:bookmarkStart w:id="104" w:name="_Toc4727"/>
      <w:bookmarkStart w:id="105" w:name="_Toc3023"/>
      <w:bookmarkStart w:id="106" w:name="_Toc7400"/>
      <w:r>
        <w:rPr>
          <w:rFonts w:hint="eastAsia" w:ascii="仿宋_GB2312" w:hAnsi="仿宋" w:eastAsia="仿宋_GB2312"/>
          <w:color w:val="auto"/>
          <w:sz w:val="30"/>
          <w:szCs w:val="20"/>
          <w:highlight w:val="none"/>
        </w:rPr>
        <w:t>合同编号：</w:t>
      </w:r>
    </w:p>
    <w:p w14:paraId="27512F79">
      <w:pPr>
        <w:spacing w:line="360" w:lineRule="auto"/>
        <w:jc w:val="center"/>
        <w:rPr>
          <w:rFonts w:ascii="仿宋_GB2312" w:eastAsia="仿宋_GB2312"/>
          <w:color w:val="auto"/>
          <w:sz w:val="30"/>
          <w:szCs w:val="20"/>
          <w:highlight w:val="none"/>
        </w:rPr>
      </w:pPr>
    </w:p>
    <w:p w14:paraId="11802F59">
      <w:pPr>
        <w:pStyle w:val="82"/>
        <w:outlineLvl w:val="9"/>
        <w:rPr>
          <w:rFonts w:ascii="黑体" w:hAnsi="黑体" w:eastAsia="黑体"/>
          <w:color w:val="auto"/>
          <w:sz w:val="40"/>
          <w:szCs w:val="40"/>
          <w:highlight w:val="none"/>
        </w:rPr>
      </w:pPr>
      <w:r>
        <w:rPr>
          <w:rFonts w:hint="eastAsia" w:ascii="黑体" w:hAnsi="黑体" w:eastAsia="黑体"/>
          <w:color w:val="auto"/>
          <w:sz w:val="40"/>
          <w:szCs w:val="40"/>
          <w:highlight w:val="none"/>
        </w:rPr>
        <w:t>自治区自然资源规划研究院委托业务项目合同书</w:t>
      </w:r>
    </w:p>
    <w:p w14:paraId="0EE521D1">
      <w:pPr>
        <w:spacing w:line="360" w:lineRule="auto"/>
        <w:ind w:left="360" w:hanging="360"/>
        <w:jc w:val="center"/>
        <w:rPr>
          <w:rFonts w:ascii="仿宋_GB2312" w:eastAsia="仿宋_GB2312"/>
          <w:b/>
          <w:color w:val="auto"/>
          <w:spacing w:val="100"/>
          <w:sz w:val="30"/>
          <w:szCs w:val="20"/>
          <w:highlight w:val="none"/>
        </w:rPr>
      </w:pPr>
    </w:p>
    <w:p w14:paraId="37D73F27">
      <w:pPr>
        <w:spacing w:line="360" w:lineRule="auto"/>
        <w:ind w:left="360" w:hanging="360"/>
        <w:jc w:val="center"/>
        <w:rPr>
          <w:rFonts w:ascii="仿宋_GB2312" w:eastAsia="仿宋_GB2312"/>
          <w:b/>
          <w:color w:val="auto"/>
          <w:spacing w:val="100"/>
          <w:sz w:val="30"/>
          <w:szCs w:val="20"/>
          <w:highlight w:val="none"/>
        </w:rPr>
      </w:pPr>
    </w:p>
    <w:p w14:paraId="472AF1B0">
      <w:pPr>
        <w:spacing w:line="360" w:lineRule="auto"/>
        <w:ind w:left="360" w:hanging="360"/>
        <w:jc w:val="center"/>
        <w:rPr>
          <w:rFonts w:ascii="仿宋_GB2312" w:eastAsia="仿宋_GB2312"/>
          <w:b/>
          <w:color w:val="auto"/>
          <w:spacing w:val="100"/>
          <w:sz w:val="30"/>
          <w:szCs w:val="20"/>
          <w:highlight w:val="none"/>
        </w:rPr>
      </w:pPr>
    </w:p>
    <w:p w14:paraId="32D4C17E">
      <w:pPr>
        <w:spacing w:line="360" w:lineRule="auto"/>
        <w:ind w:left="360" w:hanging="360"/>
        <w:jc w:val="center"/>
        <w:rPr>
          <w:rFonts w:ascii="仿宋_GB2312" w:eastAsia="仿宋_GB2312"/>
          <w:b/>
          <w:color w:val="auto"/>
          <w:spacing w:val="100"/>
          <w:sz w:val="30"/>
          <w:szCs w:val="20"/>
          <w:highlight w:val="none"/>
        </w:rPr>
      </w:pPr>
    </w:p>
    <w:p w14:paraId="28D3CC73">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委托业务项目：</w:t>
      </w:r>
    </w:p>
    <w:p w14:paraId="05AA69C8">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项目承担单位： </w:t>
      </w:r>
    </w:p>
    <w:p w14:paraId="61D925ED">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负 责 人： </w:t>
      </w:r>
    </w:p>
    <w:p w14:paraId="0126CBE7">
      <w:pPr>
        <w:spacing w:before="312" w:beforeLines="100" w:line="360" w:lineRule="auto"/>
        <w:ind w:left="376" w:leftChars="171" w:firstLine="960" w:firstLineChars="300"/>
        <w:rPr>
          <w:rFonts w:ascii="黑体" w:hAnsi="黑体" w:eastAsia="黑体"/>
          <w:bCs/>
          <w:color w:val="auto"/>
          <w:sz w:val="32"/>
          <w:szCs w:val="32"/>
          <w:highlight w:val="none"/>
        </w:rPr>
      </w:pPr>
      <w:r>
        <w:rPr>
          <w:rFonts w:hint="eastAsia" w:ascii="黑体" w:hAnsi="黑体" w:eastAsia="黑体"/>
          <w:bCs/>
          <w:color w:val="auto"/>
          <w:sz w:val="32"/>
          <w:szCs w:val="32"/>
          <w:highlight w:val="none"/>
        </w:rPr>
        <w:t>起止时间：20</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年</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月——20</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年</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月</w:t>
      </w:r>
    </w:p>
    <w:p w14:paraId="12E81D1B">
      <w:pPr>
        <w:spacing w:before="312" w:beforeLines="100" w:line="360" w:lineRule="auto"/>
        <w:ind w:left="376" w:leftChars="171" w:firstLine="960" w:firstLineChars="300"/>
        <w:rPr>
          <w:rFonts w:ascii="仿宋_GB2312" w:eastAsia="仿宋_GB2312"/>
          <w:bCs/>
          <w:color w:val="auto"/>
          <w:sz w:val="32"/>
          <w:szCs w:val="32"/>
          <w:highlight w:val="none"/>
        </w:rPr>
      </w:pPr>
      <w:r>
        <w:rPr>
          <w:rFonts w:hint="eastAsia" w:ascii="黑体" w:hAnsi="黑体" w:eastAsia="黑体"/>
          <w:bCs/>
          <w:color w:val="auto"/>
          <w:sz w:val="32"/>
          <w:szCs w:val="32"/>
          <w:highlight w:val="none"/>
        </w:rPr>
        <w:t xml:space="preserve">签订地点：    </w:t>
      </w:r>
    </w:p>
    <w:p w14:paraId="71C0746E">
      <w:pPr>
        <w:spacing w:line="360" w:lineRule="auto"/>
        <w:rPr>
          <w:rFonts w:ascii="仿宋_GB2312" w:eastAsia="仿宋_GB2312"/>
          <w:b/>
          <w:color w:val="auto"/>
          <w:spacing w:val="100"/>
          <w:sz w:val="30"/>
          <w:szCs w:val="20"/>
          <w:highlight w:val="none"/>
        </w:rPr>
      </w:pPr>
    </w:p>
    <w:p w14:paraId="070AF45B">
      <w:pPr>
        <w:spacing w:line="360" w:lineRule="auto"/>
        <w:jc w:val="both"/>
        <w:rPr>
          <w:rFonts w:ascii="黑体" w:hAnsi="黑体" w:eastAsia="黑体"/>
          <w:bCs/>
          <w:color w:val="auto"/>
          <w:sz w:val="32"/>
          <w:szCs w:val="32"/>
          <w:highlight w:val="none"/>
        </w:rPr>
      </w:pPr>
    </w:p>
    <w:p w14:paraId="175A66D5">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自治区自然资源规划研究院制</w:t>
      </w:r>
    </w:p>
    <w:p w14:paraId="45482E5C">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年 </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 xml:space="preserve"> 月  </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日</w:t>
      </w:r>
    </w:p>
    <w:p w14:paraId="3D6A5327">
      <w:pPr>
        <w:rPr>
          <w:rFonts w:hint="eastAsia" w:ascii="仿宋_GB2312" w:hAnsi="仿宋" w:eastAsia="仿宋_GB2312"/>
          <w:b/>
          <w:color w:val="auto"/>
          <w:sz w:val="30"/>
          <w:szCs w:val="20"/>
          <w:highlight w:val="none"/>
        </w:rPr>
      </w:pPr>
      <w:r>
        <w:rPr>
          <w:rFonts w:hint="eastAsia" w:ascii="仿宋_GB2312" w:hAnsi="仿宋" w:eastAsia="仿宋_GB2312"/>
          <w:b/>
          <w:color w:val="auto"/>
          <w:sz w:val="30"/>
          <w:szCs w:val="20"/>
          <w:highlight w:val="none"/>
        </w:rPr>
        <w:br w:type="page"/>
      </w:r>
    </w:p>
    <w:p w14:paraId="57459E91">
      <w:pPr>
        <w:spacing w:before="156" w:beforeLines="50" w:line="360" w:lineRule="auto"/>
        <w:rPr>
          <w:rFonts w:ascii="仿宋_GB2312" w:hAnsi="仿宋" w:eastAsia="仿宋_GB2312"/>
          <w:b/>
          <w:color w:val="auto"/>
          <w:sz w:val="30"/>
          <w:szCs w:val="20"/>
          <w:highlight w:val="none"/>
        </w:rPr>
      </w:pPr>
      <w:r>
        <w:rPr>
          <w:rFonts w:hint="eastAsia" w:ascii="仿宋_GB2312" w:hAnsi="仿宋" w:eastAsia="仿宋_GB2312"/>
          <w:b/>
          <w:color w:val="auto"/>
          <w:sz w:val="30"/>
          <w:szCs w:val="20"/>
          <w:highlight w:val="none"/>
        </w:rPr>
        <w:t>填写说明：</w:t>
      </w:r>
    </w:p>
    <w:p w14:paraId="5F3A62E4">
      <w:pPr>
        <w:spacing w:before="156" w:beforeLines="50" w:line="360" w:lineRule="auto"/>
        <w:ind w:firstLine="600"/>
        <w:rPr>
          <w:rFonts w:ascii="仿宋_GB2312" w:hAnsi="仿宋" w:eastAsia="仿宋_GB2312"/>
          <w:color w:val="auto"/>
          <w:sz w:val="30"/>
          <w:szCs w:val="20"/>
          <w:highlight w:val="none"/>
        </w:rPr>
      </w:pPr>
      <w:r>
        <w:rPr>
          <w:rFonts w:hint="eastAsia" w:ascii="仿宋_GB2312" w:hAnsi="仿宋" w:eastAsia="仿宋_GB2312"/>
          <w:color w:val="auto"/>
          <w:sz w:val="30"/>
          <w:szCs w:val="20"/>
          <w:highlight w:val="none"/>
        </w:rPr>
        <w:t>1.本委托业务项目合同书文本是院为执行业务计划，与委托业务单位签订的合同书文本。</w:t>
      </w:r>
    </w:p>
    <w:p w14:paraId="1222061D">
      <w:pPr>
        <w:spacing w:before="156" w:beforeLines="50" w:line="360" w:lineRule="auto"/>
        <w:ind w:firstLine="600"/>
        <w:rPr>
          <w:rFonts w:ascii="仿宋_GB2312" w:eastAsia="仿宋_GB2312"/>
          <w:color w:val="auto"/>
          <w:sz w:val="30"/>
          <w:szCs w:val="20"/>
          <w:highlight w:val="none"/>
        </w:rPr>
      </w:pPr>
      <w:r>
        <w:rPr>
          <w:rFonts w:hint="eastAsia" w:ascii="仿宋_GB2312" w:hAnsi="仿宋" w:eastAsia="仿宋_GB2312"/>
          <w:color w:val="auto"/>
          <w:sz w:val="30"/>
          <w:szCs w:val="20"/>
          <w:highlight w:val="none"/>
        </w:rPr>
        <w:t>2.本委托业务项目合同书文本要求用计算机A3纸打印，字迹清晰，要符合规定的字体、排版要求，全文使用小四仿宋，条为小四仿宋加黑，行间距为单倍行间距，段间距为段前0.5行。</w:t>
      </w:r>
    </w:p>
    <w:p w14:paraId="00721F50">
      <w:pPr>
        <w:ind w:firstLine="600"/>
        <w:rPr>
          <w:rFonts w:ascii="仿宋_GB2312" w:eastAsia="仿宋_GB2312"/>
          <w:color w:val="auto"/>
          <w:sz w:val="30"/>
          <w:szCs w:val="20"/>
          <w:highlight w:val="none"/>
        </w:rPr>
      </w:pPr>
    </w:p>
    <w:p w14:paraId="52E51ECF">
      <w:pPr>
        <w:ind w:firstLine="600"/>
        <w:rPr>
          <w:rFonts w:ascii="仿宋_GB2312" w:eastAsia="仿宋_GB2312"/>
          <w:color w:val="auto"/>
          <w:sz w:val="30"/>
          <w:szCs w:val="20"/>
          <w:highlight w:val="none"/>
        </w:rPr>
      </w:pPr>
    </w:p>
    <w:p w14:paraId="14FCDC5B">
      <w:pPr>
        <w:tabs>
          <w:tab w:val="right" w:pos="5670"/>
          <w:tab w:val="right" w:pos="7980"/>
        </w:tabs>
        <w:spacing w:line="360" w:lineRule="auto"/>
        <w:ind w:left="360" w:firstLine="60"/>
        <w:rPr>
          <w:rFonts w:ascii="仿宋_GB2312" w:eastAsia="仿宋_GB2312"/>
          <w:color w:val="auto"/>
          <w:sz w:val="28"/>
          <w:szCs w:val="20"/>
          <w:highlight w:val="none"/>
        </w:rPr>
      </w:pPr>
    </w:p>
    <w:p w14:paraId="1A835D37">
      <w:pPr>
        <w:autoSpaceDE w:val="0"/>
        <w:autoSpaceDN w:val="0"/>
        <w:adjustRightInd w:val="0"/>
        <w:spacing w:after="156" w:afterLines="50" w:line="360" w:lineRule="auto"/>
        <w:ind w:firstLine="420"/>
        <w:jc w:val="center"/>
        <w:rPr>
          <w:rFonts w:ascii="仿宋_GB2312" w:hAnsi="宋体" w:eastAsia="仿宋_GB2312"/>
          <w:color w:val="auto"/>
          <w:sz w:val="44"/>
          <w:szCs w:val="44"/>
          <w:highlight w:val="none"/>
        </w:rPr>
      </w:pPr>
      <w:r>
        <w:rPr>
          <w:rFonts w:hint="eastAsia" w:ascii="仿宋_GB2312" w:eastAsia="仿宋_GB2312"/>
          <w:color w:val="auto"/>
          <w:sz w:val="28"/>
          <w:szCs w:val="20"/>
          <w:highlight w:val="none"/>
        </w:rPr>
        <w:br w:type="page"/>
      </w:r>
    </w:p>
    <w:p w14:paraId="2C8560BD">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委托单位（甲方）： </w:t>
      </w:r>
      <w:r>
        <w:rPr>
          <w:rFonts w:ascii="仿宋_GB2312" w:eastAsia="仿宋_GB2312" w:cs="宋体"/>
          <w:b/>
          <w:color w:val="auto"/>
          <w:kern w:val="0"/>
          <w:sz w:val="24"/>
          <w:highlight w:val="none"/>
          <w:lang w:val="zh-CN"/>
        </w:rPr>
        <w:t xml:space="preserve">                              </w:t>
      </w:r>
    </w:p>
    <w:p w14:paraId="12B51239">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097B26CE">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036C2582">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传真： </w:t>
      </w:r>
      <w:r>
        <w:rPr>
          <w:rFonts w:ascii="仿宋_GB2312" w:hAnsi="宋体" w:eastAsia="仿宋_GB2312"/>
          <w:color w:val="auto"/>
          <w:sz w:val="24"/>
          <w:highlight w:val="none"/>
        </w:rPr>
        <w:t xml:space="preserve">                              </w:t>
      </w:r>
    </w:p>
    <w:p w14:paraId="558FB08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15E69250">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乙方： </w:t>
      </w:r>
      <w:r>
        <w:rPr>
          <w:rFonts w:ascii="仿宋_GB2312" w:eastAsia="仿宋_GB2312" w:cs="宋体"/>
          <w:b/>
          <w:color w:val="auto"/>
          <w:kern w:val="0"/>
          <w:sz w:val="24"/>
          <w:highlight w:val="none"/>
          <w:lang w:val="zh-CN"/>
        </w:rPr>
        <w:t xml:space="preserve">                              </w:t>
      </w:r>
    </w:p>
    <w:p w14:paraId="0CA9AB01">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6CCC0B6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6FAD998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 xml:space="preserve">传真： </w:t>
      </w:r>
      <w:r>
        <w:rPr>
          <w:rFonts w:ascii="仿宋_GB2312" w:hAnsi="宋体" w:eastAsia="仿宋_GB2312"/>
          <w:color w:val="auto"/>
          <w:sz w:val="24"/>
          <w:highlight w:val="none"/>
        </w:rPr>
        <w:t xml:space="preserve">                              </w:t>
      </w:r>
    </w:p>
    <w:p w14:paraId="18219FB0">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7A22D1B4">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通过</w:t>
      </w:r>
      <w:r>
        <w:rPr>
          <w:rFonts w:hint="eastAsia" w:ascii="仿宋_GB2312" w:hAnsi="宋体" w:eastAsia="仿宋_GB2312"/>
          <w:color w:val="auto"/>
          <w:sz w:val="24"/>
          <w:highlight w:val="none"/>
          <w:u w:val="single"/>
        </w:rPr>
        <w:t xml:space="preserve">        （公开招标、邀请招标、竞争性谈判、单一来源采购、询价等）</w:t>
      </w:r>
      <w:r>
        <w:rPr>
          <w:rFonts w:hint="eastAsia" w:ascii="仿宋_GB2312" w:hAnsi="宋体" w:eastAsia="仿宋_GB2312"/>
          <w:color w:val="auto"/>
          <w:sz w:val="24"/>
          <w:highlight w:val="none"/>
        </w:rPr>
        <w:t>方式，确定由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乙方)承担此项目,根据《中华人民共和国民法典》及其他有关法律、法规规定，本着自愿、平等、诚实信用的原则，甲、乙双方就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项目，协商一致，达成如下协议：</w:t>
      </w:r>
    </w:p>
    <w:p w14:paraId="444B2438">
      <w:pPr>
        <w:tabs>
          <w:tab w:val="left" w:pos="1134"/>
          <w:tab w:val="left" w:pos="1418"/>
        </w:tabs>
        <w:spacing w:after="156" w:afterLines="50" w:line="360" w:lineRule="auto"/>
        <w:ind w:firstLine="361" w:firstLineChars="150"/>
        <w:rPr>
          <w:rFonts w:ascii="仿宋_GB2312" w:hAnsi="宋体" w:eastAsia="仿宋_GB2312"/>
          <w:b/>
          <w:color w:val="auto"/>
          <w:sz w:val="24"/>
          <w:highlight w:val="none"/>
        </w:rPr>
      </w:pPr>
      <w:r>
        <w:rPr>
          <w:rFonts w:hint="eastAsia" w:ascii="仿宋_GB2312" w:hAnsi="宋体" w:eastAsia="仿宋_GB2312"/>
          <w:b/>
          <w:color w:val="auto"/>
          <w:sz w:val="24"/>
          <w:highlight w:val="none"/>
        </w:rPr>
        <w:t>第一条 项目内容</w:t>
      </w:r>
    </w:p>
    <w:p w14:paraId="3FB3F6FA">
      <w:pPr>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 项目名称：</w:t>
      </w:r>
    </w:p>
    <w:p w14:paraId="0EC32757">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20FD14A8">
      <w:pPr>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 主要内容</w:t>
      </w:r>
      <w:bookmarkStart w:id="107" w:name="_Toc292698630"/>
      <w:r>
        <w:rPr>
          <w:rFonts w:hint="eastAsia" w:ascii="仿宋_GB2312" w:hAnsi="宋体" w:eastAsia="仿宋_GB2312"/>
          <w:color w:val="auto"/>
          <w:sz w:val="24"/>
          <w:highlight w:val="none"/>
        </w:rPr>
        <w:t>：</w:t>
      </w:r>
      <w:bookmarkEnd w:id="107"/>
    </w:p>
    <w:p w14:paraId="0AA2E4EC">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47A69225">
      <w:pPr>
        <w:spacing w:after="156" w:afterLines="50" w:line="360" w:lineRule="auto"/>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 阶段安排和阶段性成果要求：</w:t>
      </w:r>
    </w:p>
    <w:p w14:paraId="0962A443">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0F0231A6">
      <w:pPr>
        <w:widowControl/>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4. 委托业务项目主要考核指标（主要成果名称及形式）：</w:t>
      </w:r>
    </w:p>
    <w:p w14:paraId="7C17C707">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5209BEE1">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5.成果应符合以下质量要求：</w:t>
      </w:r>
    </w:p>
    <w:p w14:paraId="025CA0C9">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210B8A21">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第二条 经费及支付</w:t>
      </w:r>
    </w:p>
    <w:p w14:paraId="7707F643">
      <w:pPr>
        <w:spacing w:after="156" w:afterLines="50" w:line="360" w:lineRule="auto"/>
        <w:ind w:firstLine="470" w:firstLineChars="196"/>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hint="eastAsia" w:ascii="仿宋_GB2312" w:hAnsi="宋体" w:eastAsia="仿宋_GB2312"/>
          <w:color w:val="auto"/>
          <w:sz w:val="24"/>
          <w:highlight w:val="none"/>
        </w:rPr>
        <w:t xml:space="preserve"> 本项目技术服务费为：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元人民币，大写：</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。上述费用为含税价，并包括乙方在整个服务过程中产生的所有费用。</w:t>
      </w:r>
    </w:p>
    <w:p w14:paraId="691BD498">
      <w:pPr>
        <w:spacing w:after="156" w:afterLines="50" w:line="360" w:lineRule="auto"/>
        <w:ind w:firstLine="465" w:firstLineChars="194"/>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2.服务费采用分期支付的方式，本合同签订后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日内，甲方支付乙方总合同价款</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%的预付款（即</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元）。乙方向甲方交付所有项目成果，并经甲方验收合格后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日内，甲方支付乙方总合同价款</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%（即</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元）。</w:t>
      </w:r>
      <w:r>
        <w:rPr>
          <w:rFonts w:hint="eastAsia" w:ascii="仿宋_GB2312" w:hAnsi="宋体" w:eastAsia="仿宋_GB2312"/>
          <w:color w:val="auto"/>
          <w:sz w:val="24"/>
          <w:highlight w:val="none"/>
        </w:rPr>
        <w:t>即：在满足上述条件的情况下，甲方分别在每个结算周期收到乙方开具增值税发票后，以银行转账方式向乙方分别支付相应的费用。</w:t>
      </w:r>
    </w:p>
    <w:p w14:paraId="463B7771">
      <w:pPr>
        <w:topLinePunct/>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 服务费汇入乙方指定的以下账户：</w:t>
      </w:r>
    </w:p>
    <w:p w14:paraId="26E847B8">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收款单位名称：</w:t>
      </w:r>
      <w:r>
        <w:rPr>
          <w:rFonts w:hint="eastAsia" w:ascii="仿宋_GB2312" w:hAnsi="宋体" w:eastAsia="仿宋_GB2312"/>
          <w:color w:val="auto"/>
          <w:sz w:val="24"/>
          <w:highlight w:val="none"/>
          <w:u w:val="single"/>
        </w:rPr>
        <w:t xml:space="preserve">                     </w:t>
      </w:r>
    </w:p>
    <w:p w14:paraId="29A011E7">
      <w:pPr>
        <w:spacing w:after="156" w:afterLines="50" w:line="360" w:lineRule="auto"/>
        <w:ind w:firstLine="600" w:firstLineChars="250"/>
        <w:rPr>
          <w:rFonts w:ascii="仿宋_GB2312" w:hAnsi="宋体" w:eastAsia="仿宋_GB2312"/>
          <w:color w:val="auto"/>
          <w:sz w:val="24"/>
          <w:highlight w:val="none"/>
        </w:rPr>
      </w:pPr>
      <w:r>
        <w:rPr>
          <w:rFonts w:hint="eastAsia" w:ascii="仿宋_GB2312" w:hAnsi="宋体" w:eastAsia="仿宋_GB2312"/>
          <w:color w:val="auto"/>
          <w:sz w:val="24"/>
          <w:highlight w:val="none"/>
        </w:rPr>
        <w:t>社会统一信用代码：</w:t>
      </w:r>
      <w:r>
        <w:rPr>
          <w:rFonts w:hint="eastAsia" w:ascii="仿宋_GB2312" w:hAnsi="宋体" w:eastAsia="仿宋_GB2312"/>
          <w:color w:val="auto"/>
          <w:sz w:val="24"/>
          <w:highlight w:val="none"/>
          <w:u w:val="single"/>
        </w:rPr>
        <w:t xml:space="preserve">                   </w:t>
      </w:r>
    </w:p>
    <w:p w14:paraId="324EE237">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开户行名称：</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6FD8A176">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开户行地址：</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7D2579C4">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银行账号：</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7599F68B">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联行行号：</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681B0886">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财务联系人：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电话：</w:t>
      </w:r>
      <w:r>
        <w:rPr>
          <w:rFonts w:hint="eastAsia" w:ascii="仿宋_GB2312" w:hAnsi="宋体" w:eastAsia="仿宋_GB2312"/>
          <w:color w:val="auto"/>
          <w:sz w:val="24"/>
          <w:highlight w:val="none"/>
          <w:u w:val="single"/>
        </w:rPr>
        <w:t xml:space="preserve">                 </w:t>
      </w:r>
    </w:p>
    <w:p w14:paraId="799CFC4A">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乙方应对上述账户信息的真实性、安全性、完整性、准确性负责，否则因此给甲方和乙方造成的损失均由乙方负责承担和赔偿。</w:t>
      </w:r>
    </w:p>
    <w:p w14:paraId="3AF1E0EA">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第三条 项目履行期限及地点</w:t>
      </w:r>
    </w:p>
    <w:p w14:paraId="2B4D9B1A">
      <w:pPr>
        <w:spacing w:after="156" w:afterLines="50" w:line="360" w:lineRule="auto"/>
        <w:ind w:firstLine="480" w:firstLineChars="200"/>
        <w:rPr>
          <w:rFonts w:ascii="仿宋_GB2312" w:hAnsi="宋体" w:eastAsia="仿宋_GB2312"/>
          <w:b/>
          <w:color w:val="auto"/>
          <w:sz w:val="24"/>
          <w:highlight w:val="none"/>
        </w:rPr>
      </w:pPr>
      <w:r>
        <w:rPr>
          <w:rFonts w:hint="eastAsia" w:ascii="仿宋_GB2312" w:hAnsi="宋体" w:eastAsia="仿宋_GB2312" w:cs="宋体"/>
          <w:color w:val="auto"/>
          <w:kern w:val="0"/>
          <w:sz w:val="24"/>
          <w:highlight w:val="none"/>
          <w:lang w:val="zh-CN"/>
        </w:rPr>
        <w:t>1.项目履行期限为：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日起，</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日止。（此履行期仅指乙方工作完成并提交验收的期限，</w:t>
      </w:r>
      <w:r>
        <w:rPr>
          <w:rFonts w:ascii="仿宋_GB2312" w:hAnsi="宋体" w:eastAsia="仿宋_GB2312" w:cs="宋体"/>
          <w:color w:val="auto"/>
          <w:kern w:val="0"/>
          <w:sz w:val="24"/>
          <w:highlight w:val="none"/>
          <w:lang w:val="zh-CN"/>
        </w:rPr>
        <w:t>对于</w:t>
      </w:r>
      <w:r>
        <w:rPr>
          <w:rFonts w:hint="eastAsia" w:ascii="仿宋_GB2312" w:hAnsi="宋体" w:eastAsia="仿宋_GB2312" w:cs="宋体"/>
          <w:color w:val="auto"/>
          <w:kern w:val="0"/>
          <w:sz w:val="24"/>
          <w:highlight w:val="none"/>
          <w:lang w:val="zh-CN"/>
        </w:rPr>
        <w:t>验收合格通过后乙方仍有一年期的质保售后义务，</w:t>
      </w:r>
      <w:r>
        <w:rPr>
          <w:rFonts w:ascii="仿宋_GB2312" w:hAnsi="宋体" w:eastAsia="仿宋_GB2312" w:cs="宋体"/>
          <w:color w:val="auto"/>
          <w:kern w:val="0"/>
          <w:sz w:val="24"/>
          <w:highlight w:val="none"/>
          <w:lang w:val="zh-CN"/>
        </w:rPr>
        <w:t>起算</w:t>
      </w:r>
      <w:r>
        <w:rPr>
          <w:rFonts w:hint="eastAsia" w:ascii="仿宋_GB2312" w:hAnsi="宋体" w:eastAsia="仿宋_GB2312" w:cs="宋体"/>
          <w:color w:val="auto"/>
          <w:kern w:val="0"/>
          <w:sz w:val="24"/>
          <w:highlight w:val="none"/>
          <w:lang w:val="zh-CN"/>
        </w:rPr>
        <w:t>时间为验收合格之日起算一年</w:t>
      </w:r>
      <w:r>
        <w:rPr>
          <w:rFonts w:ascii="仿宋_GB2312" w:hAnsi="宋体" w:eastAsia="仿宋_GB2312" w:cs="宋体"/>
          <w:color w:val="auto"/>
          <w:kern w:val="0"/>
          <w:sz w:val="24"/>
          <w:highlight w:val="none"/>
          <w:lang w:val="zh-CN"/>
        </w:rPr>
        <w:t>）</w:t>
      </w:r>
    </w:p>
    <w:p w14:paraId="297DC150">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2．项目履行地点为：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17BC3CC6">
      <w:pPr>
        <w:autoSpaceDE w:val="0"/>
        <w:autoSpaceDN w:val="0"/>
        <w:adjustRightInd w:val="0"/>
        <w:spacing w:after="156" w:afterLines="50" w:line="360" w:lineRule="auto"/>
        <w:ind w:firstLine="482"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第四条 </w:t>
      </w:r>
      <w:r>
        <w:rPr>
          <w:rFonts w:hint="eastAsia" w:ascii="仿宋_GB2312" w:hAnsi="宋体" w:eastAsia="仿宋_GB2312"/>
          <w:b/>
          <w:color w:val="auto"/>
          <w:sz w:val="24"/>
          <w:highlight w:val="none"/>
        </w:rPr>
        <w:t>基本要求</w:t>
      </w:r>
    </w:p>
    <w:p w14:paraId="29998AC2">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自本合同签订之日起，乙方应履行合同所规定的任务，按时完成并交付项目成果。</w:t>
      </w:r>
    </w:p>
    <w:p w14:paraId="2DDFF71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snapToGrid w:val="0"/>
          <w:color w:val="auto"/>
          <w:kern w:val="0"/>
          <w:sz w:val="24"/>
          <w:highlight w:val="none"/>
        </w:rPr>
        <w:t>2.乙方在整个服务过程中应提供和保持一套质量保证体系和严格的质量控制程序，保证使用适当合格的人员为甲方提供服务，保证按本合同规定提供的服务满足合同要求，符合本项目目标。</w:t>
      </w:r>
    </w:p>
    <w:p w14:paraId="799EA7B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3.本合同规定的任务未经甲方书面同意，不得转包和分包。</w:t>
      </w:r>
    </w:p>
    <w:p w14:paraId="786A3C88">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第五条 验收、交付</w:t>
      </w:r>
    </w:p>
    <w:p w14:paraId="3AEA2DF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甲方对乙方提供成果进行验收。</w:t>
      </w:r>
      <w:r>
        <w:rPr>
          <w:rFonts w:hint="eastAsia" w:ascii="仿宋_GB2312" w:hAnsi="宋体" w:eastAsia="仿宋_GB2312"/>
          <w:color w:val="auto"/>
          <w:sz w:val="24"/>
          <w:highlight w:val="none"/>
        </w:rPr>
        <w:t>甲方验收采用</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 方式进行。</w:t>
      </w:r>
      <w:r>
        <w:rPr>
          <w:rFonts w:hint="eastAsia" w:ascii="仿宋_GB2312" w:hAnsi="宋体" w:eastAsia="仿宋_GB2312" w:cs="宋体"/>
          <w:color w:val="auto"/>
          <w:kern w:val="0"/>
          <w:sz w:val="24"/>
          <w:highlight w:val="none"/>
          <w:lang w:val="zh-CN"/>
        </w:rPr>
        <w:t>甲方可委托具有相应监理资质的监理机构对乙方提供成果进行评价。</w:t>
      </w:r>
    </w:p>
    <w:p w14:paraId="7B2D875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olor w:val="auto"/>
          <w:sz w:val="24"/>
          <w:highlight w:val="none"/>
        </w:rPr>
        <w:t>2</w:t>
      </w:r>
      <w:r>
        <w:rPr>
          <w:rFonts w:ascii="仿宋_GB2312" w:hAnsi="宋体" w:eastAsia="仿宋_GB2312"/>
          <w:color w:val="auto"/>
          <w:sz w:val="24"/>
          <w:highlight w:val="none"/>
        </w:rPr>
        <w:t>.</w:t>
      </w:r>
      <w:r>
        <w:rPr>
          <w:rFonts w:hint="eastAsia" w:ascii="仿宋_GB2312" w:hAnsi="宋体" w:eastAsia="仿宋_GB2312"/>
          <w:color w:val="auto"/>
          <w:sz w:val="24"/>
          <w:highlight w:val="none"/>
        </w:rPr>
        <w:t>乙方应于服务期限届满前完成服务内容，乙方完成服务内容后，</w:t>
      </w:r>
      <w:r>
        <w:rPr>
          <w:rFonts w:hint="eastAsia" w:ascii="仿宋_GB2312" w:hAnsi="宋体" w:eastAsia="仿宋_GB2312" w:cs="宋体"/>
          <w:color w:val="auto"/>
          <w:kern w:val="0"/>
          <w:sz w:val="24"/>
          <w:highlight w:val="none"/>
          <w:lang w:val="zh-CN"/>
        </w:rPr>
        <w:t>以书面方式通知甲方。</w:t>
      </w:r>
      <w:r>
        <w:rPr>
          <w:rFonts w:hint="eastAsia" w:ascii="仿宋_GB2312" w:hAnsi="宋体" w:eastAsia="仿宋_GB2312"/>
          <w:color w:val="auto"/>
          <w:sz w:val="24"/>
          <w:highlight w:val="none"/>
        </w:rPr>
        <w:t>甲方在接到通知后</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日内对乙方服务成果组织验收。</w:t>
      </w:r>
    </w:p>
    <w:p w14:paraId="1C00054B">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3</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乙方提交的项目成果经甲方全部验收合格之后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w:t>
      </w:r>
      <w:r>
        <w:rPr>
          <w:rFonts w:hint="eastAsia" w:ascii="仿宋_GB2312" w:hAnsi="宋体" w:eastAsia="仿宋_GB2312"/>
          <w:color w:val="auto"/>
          <w:sz w:val="24"/>
          <w:highlight w:val="none"/>
        </w:rPr>
        <w:t>应向甲方提供技术服务的资料、数据：</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，视为乙方完成服务成果交付。服务成果交付作为甲方向乙方支付服务费用的前提条件。</w:t>
      </w:r>
    </w:p>
    <w:p w14:paraId="41AC299B">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成果质量不符合甲方要求或未通过验收，</w:t>
      </w:r>
      <w:r>
        <w:rPr>
          <w:rFonts w:ascii="仿宋_GB2312" w:hAnsi="宋体" w:eastAsia="仿宋_GB2312"/>
          <w:color w:val="auto"/>
          <w:sz w:val="24"/>
          <w:highlight w:val="none"/>
        </w:rPr>
        <w:t>需</w:t>
      </w:r>
      <w:r>
        <w:rPr>
          <w:rFonts w:hint="eastAsia" w:ascii="仿宋_GB2312" w:hAnsi="宋体" w:eastAsia="仿宋_GB2312"/>
          <w:color w:val="auto"/>
          <w:sz w:val="24"/>
          <w:highlight w:val="none"/>
        </w:rPr>
        <w:t>按照甲方或专家的要求在规定期限内整改完成并通过验收，</w:t>
      </w:r>
      <w:r>
        <w:rPr>
          <w:rFonts w:ascii="仿宋_GB2312" w:hAnsi="宋体" w:eastAsia="仿宋_GB2312"/>
          <w:color w:val="auto"/>
          <w:sz w:val="24"/>
          <w:highlight w:val="none"/>
        </w:rPr>
        <w:t>因</w:t>
      </w:r>
      <w:r>
        <w:rPr>
          <w:rFonts w:hint="eastAsia" w:ascii="仿宋_GB2312" w:hAnsi="宋体" w:eastAsia="仿宋_GB2312"/>
          <w:color w:val="auto"/>
          <w:sz w:val="24"/>
          <w:highlight w:val="none"/>
        </w:rPr>
        <w:t>整改造成委托人的损失予以赔偿，甲方有权在剩余未付未付款中扣除损失，</w:t>
      </w:r>
      <w:r>
        <w:rPr>
          <w:rFonts w:ascii="仿宋_GB2312" w:hAnsi="宋体" w:eastAsia="仿宋_GB2312"/>
          <w:color w:val="auto"/>
          <w:sz w:val="24"/>
          <w:highlight w:val="none"/>
        </w:rPr>
        <w:t>无法</w:t>
      </w:r>
      <w:r>
        <w:rPr>
          <w:rFonts w:hint="eastAsia" w:ascii="仿宋_GB2312" w:hAnsi="宋体" w:eastAsia="仿宋_GB2312"/>
          <w:color w:val="auto"/>
          <w:sz w:val="24"/>
          <w:highlight w:val="none"/>
        </w:rPr>
        <w:t>计算损失时或声誉款项不足以弥补损失的，</w:t>
      </w:r>
      <w:r>
        <w:rPr>
          <w:rFonts w:ascii="仿宋_GB2312" w:hAnsi="宋体" w:eastAsia="仿宋_GB2312"/>
          <w:color w:val="auto"/>
          <w:sz w:val="24"/>
          <w:highlight w:val="none"/>
        </w:rPr>
        <w:t>则</w:t>
      </w:r>
      <w:r>
        <w:rPr>
          <w:rFonts w:hint="eastAsia" w:ascii="仿宋_GB2312" w:hAnsi="宋体" w:eastAsia="仿宋_GB2312"/>
          <w:color w:val="auto"/>
          <w:sz w:val="24"/>
          <w:highlight w:val="none"/>
        </w:rPr>
        <w:t>乙方需按照实际损失赔偿并承担合同总金额10</w:t>
      </w:r>
      <w:r>
        <w:rPr>
          <w:rFonts w:ascii="仿宋_GB2312" w:hAnsi="宋体" w:eastAsia="仿宋_GB2312"/>
          <w:color w:val="auto"/>
          <w:sz w:val="24"/>
          <w:highlight w:val="none"/>
        </w:rPr>
        <w:t>%的</w:t>
      </w:r>
      <w:r>
        <w:rPr>
          <w:rFonts w:hint="eastAsia" w:ascii="仿宋_GB2312" w:hAnsi="宋体" w:eastAsia="仿宋_GB2312"/>
          <w:color w:val="auto"/>
          <w:sz w:val="24"/>
          <w:highlight w:val="none"/>
        </w:rPr>
        <w:t>违约金。</w:t>
      </w:r>
    </w:p>
    <w:p w14:paraId="3F538C06">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第六条 知识产权及保密</w:t>
      </w:r>
    </w:p>
    <w:p w14:paraId="3B39B2A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甲方利用乙方提交的技术服务工作成果所完成的新的技术成果，归甲方所有。</w:t>
      </w:r>
      <w:r>
        <w:rPr>
          <w:rFonts w:hint="eastAsia" w:ascii="仿宋_GB2312" w:hAnsi="宋体" w:eastAsia="仿宋_GB2312" w:cs="宋体"/>
          <w:color w:val="auto"/>
          <w:kern w:val="0"/>
          <w:sz w:val="24"/>
          <w:highlight w:val="none"/>
          <w:lang w:val="zh-CN"/>
        </w:rPr>
        <w:t>乙方应保证为甲方提供服务时不得侵犯第三人的权利。</w:t>
      </w:r>
    </w:p>
    <w:p w14:paraId="2790D66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2.乙方在为甲方提供服务时所获得成果的知识产权归甲方所有，未经甲方许可，乙方不得以任何方式使用，亦不得出于任何目的向第三方披露或许可第三方使用。</w:t>
      </w:r>
    </w:p>
    <w:p w14:paraId="79EA1302">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3.若乙方在为甲方提供服务时侵犯了第三人的权利，致使甲方受到索赔或起诉，由此给甲方造成的一切损失由乙方承担，同时甲方有权解除合同，并有权要求乙方支付合同总额的10%的违约金。</w:t>
      </w:r>
    </w:p>
    <w:p w14:paraId="6D305D48">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4.若未经甲方许可，乙方擅自使用或向第三方披露或许可第三方使用在为甲方提供服务时所获得的成果，甲方有权要求乙方或第三方立即停止使用，同时有权要求乙方支付合同总额20%的违约金。</w:t>
      </w:r>
    </w:p>
    <w:p w14:paraId="1723E54C">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第七条 保密</w:t>
      </w:r>
    </w:p>
    <w:p w14:paraId="20B8B633">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在合同履行期间，乙方所获得的一切原始资料及在服务过程中所取得的与履行合同有关的甲方既有工作成果及相关资料属甲方所有，乙方负有保密义务。未经甲方书面同意，乙方不得在合同期内或合同履行完毕后以任何方式泄露。保密信息包括但不限于图纸、图表、数据等。</w:t>
      </w:r>
    </w:p>
    <w:p w14:paraId="1BB3DEFF">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乙方在项目实施过程中接触或产生涉密数据的，应严格按《中华人民共和国保守国家秘密法》、《自治区自然资源规划研究院涉密数据安全使用管理办法》以及其他相关法律法规和制度执行。如由于乙方的原因而导致泄密的，乙方应承担相应法律责任。</w:t>
      </w:r>
    </w:p>
    <w:p w14:paraId="12683C1D">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在本合同的履行期内，</w:t>
      </w:r>
      <w:r>
        <w:rPr>
          <w:rFonts w:ascii="仿宋_GB2312" w:hAnsi="宋体" w:eastAsia="仿宋_GB2312"/>
          <w:color w:val="auto"/>
          <w:sz w:val="24"/>
          <w:highlight w:val="none"/>
        </w:rPr>
        <w:t>任何</w:t>
      </w:r>
      <w:r>
        <w:rPr>
          <w:rFonts w:hint="eastAsia" w:ascii="仿宋_GB2312" w:hAnsi="宋体" w:eastAsia="仿宋_GB2312"/>
          <w:color w:val="auto"/>
          <w:sz w:val="24"/>
          <w:highlight w:val="none"/>
        </w:rPr>
        <w:t>一方可以获得与本项目相关的对方的商业秘密，</w:t>
      </w:r>
      <w:r>
        <w:rPr>
          <w:rFonts w:ascii="仿宋_GB2312" w:hAnsi="宋体" w:eastAsia="仿宋_GB2312"/>
          <w:color w:val="auto"/>
          <w:sz w:val="24"/>
          <w:highlight w:val="none"/>
        </w:rPr>
        <w:t>对此</w:t>
      </w:r>
      <w:r>
        <w:rPr>
          <w:rFonts w:hint="eastAsia" w:ascii="仿宋_GB2312" w:hAnsi="宋体" w:eastAsia="仿宋_GB2312"/>
          <w:color w:val="auto"/>
          <w:sz w:val="24"/>
          <w:highlight w:val="none"/>
        </w:rPr>
        <w:t>双方皆应谨慎地进行披露和接受。</w:t>
      </w:r>
      <w:r>
        <w:rPr>
          <w:rFonts w:ascii="仿宋_GB2312" w:hAnsi="宋体" w:eastAsia="仿宋_GB2312"/>
          <w:color w:val="auto"/>
          <w:sz w:val="24"/>
          <w:highlight w:val="none"/>
        </w:rPr>
        <w:t>获取</w:t>
      </w:r>
      <w:r>
        <w:rPr>
          <w:rFonts w:hint="eastAsia" w:ascii="仿宋_GB2312" w:hAnsi="宋体" w:eastAsia="仿宋_GB2312"/>
          <w:color w:val="auto"/>
          <w:sz w:val="24"/>
          <w:highlight w:val="none"/>
        </w:rPr>
        <w:t>对方商业秘密的一方仅可将该商业秘密用于履行其在本合同项下的义务，</w:t>
      </w:r>
      <w:r>
        <w:rPr>
          <w:rFonts w:ascii="仿宋_GB2312" w:hAnsi="宋体" w:eastAsia="仿宋_GB2312"/>
          <w:color w:val="auto"/>
          <w:sz w:val="24"/>
          <w:highlight w:val="none"/>
        </w:rPr>
        <w:t>且</w:t>
      </w:r>
      <w:r>
        <w:rPr>
          <w:rFonts w:hint="eastAsia" w:ascii="仿宋_GB2312" w:hAnsi="宋体" w:eastAsia="仿宋_GB2312"/>
          <w:color w:val="auto"/>
          <w:sz w:val="24"/>
          <w:highlight w:val="none"/>
        </w:rPr>
        <w:t>只能由相关的工程技术人员使用。</w:t>
      </w:r>
      <w:r>
        <w:rPr>
          <w:rFonts w:ascii="仿宋_GB2312" w:hAnsi="宋体" w:eastAsia="仿宋_GB2312"/>
          <w:color w:val="auto"/>
          <w:sz w:val="24"/>
          <w:highlight w:val="none"/>
        </w:rPr>
        <w:t>获取</w:t>
      </w:r>
      <w:r>
        <w:rPr>
          <w:rFonts w:hint="eastAsia" w:ascii="仿宋_GB2312" w:hAnsi="宋体" w:eastAsia="仿宋_GB2312"/>
          <w:color w:val="auto"/>
          <w:sz w:val="24"/>
          <w:highlight w:val="none"/>
        </w:rPr>
        <w:t>对方商业秘密的乙方应当采取适当有效的方式保护所获取的商业秘密，</w:t>
      </w:r>
      <w:r>
        <w:rPr>
          <w:rFonts w:ascii="仿宋_GB2312" w:hAnsi="宋体" w:eastAsia="仿宋_GB2312"/>
          <w:color w:val="auto"/>
          <w:sz w:val="24"/>
          <w:highlight w:val="none"/>
        </w:rPr>
        <w:t>未经</w:t>
      </w:r>
      <w:r>
        <w:rPr>
          <w:rFonts w:hint="eastAsia" w:ascii="仿宋_GB2312" w:hAnsi="宋体" w:eastAsia="仿宋_GB2312"/>
          <w:color w:val="auto"/>
          <w:sz w:val="24"/>
          <w:highlight w:val="none"/>
        </w:rPr>
        <w:t>授权不得使用、</w:t>
      </w:r>
      <w:r>
        <w:rPr>
          <w:rFonts w:ascii="仿宋_GB2312" w:hAnsi="宋体" w:eastAsia="仿宋_GB2312"/>
          <w:color w:val="auto"/>
          <w:sz w:val="24"/>
          <w:highlight w:val="none"/>
        </w:rPr>
        <w:t>传播</w:t>
      </w:r>
      <w:r>
        <w:rPr>
          <w:rFonts w:hint="eastAsia" w:ascii="仿宋_GB2312" w:hAnsi="宋体" w:eastAsia="仿宋_GB2312"/>
          <w:color w:val="auto"/>
          <w:sz w:val="24"/>
          <w:highlight w:val="none"/>
        </w:rPr>
        <w:t>或公开商业秘密。</w:t>
      </w:r>
      <w:r>
        <w:rPr>
          <w:rFonts w:ascii="仿宋_GB2312" w:hAnsi="宋体" w:eastAsia="仿宋_GB2312"/>
          <w:color w:val="auto"/>
          <w:sz w:val="24"/>
          <w:highlight w:val="none"/>
        </w:rPr>
        <w:t>除非</w:t>
      </w:r>
      <w:r>
        <w:rPr>
          <w:rFonts w:hint="eastAsia" w:ascii="仿宋_GB2312" w:hAnsi="宋体" w:eastAsia="仿宋_GB2312"/>
          <w:color w:val="auto"/>
          <w:sz w:val="24"/>
          <w:highlight w:val="none"/>
        </w:rPr>
        <w:t>有对方的书面许可，</w:t>
      </w:r>
      <w:r>
        <w:rPr>
          <w:rFonts w:ascii="仿宋_GB2312" w:hAnsi="宋体" w:eastAsia="仿宋_GB2312"/>
          <w:color w:val="auto"/>
          <w:sz w:val="24"/>
          <w:highlight w:val="none"/>
        </w:rPr>
        <w:t>或</w:t>
      </w:r>
      <w:r>
        <w:rPr>
          <w:rFonts w:hint="eastAsia" w:ascii="仿宋_GB2312" w:hAnsi="宋体" w:eastAsia="仿宋_GB2312"/>
          <w:color w:val="auto"/>
          <w:sz w:val="24"/>
          <w:highlight w:val="none"/>
        </w:rPr>
        <w:t>该信息已被拥有方认为不再是商业秘密，</w:t>
      </w:r>
      <w:r>
        <w:rPr>
          <w:rFonts w:ascii="仿宋_GB2312" w:hAnsi="宋体" w:eastAsia="仿宋_GB2312"/>
          <w:color w:val="auto"/>
          <w:sz w:val="24"/>
          <w:highlight w:val="none"/>
        </w:rPr>
        <w:t>或</w:t>
      </w:r>
      <w:r>
        <w:rPr>
          <w:rFonts w:hint="eastAsia" w:ascii="仿宋_GB2312" w:hAnsi="宋体" w:eastAsia="仿宋_GB2312"/>
          <w:color w:val="auto"/>
          <w:sz w:val="24"/>
          <w:highlight w:val="none"/>
        </w:rPr>
        <w:t>已在社会上公开，</w:t>
      </w:r>
      <w:r>
        <w:rPr>
          <w:rFonts w:ascii="仿宋_GB2312" w:hAnsi="宋体" w:eastAsia="仿宋_GB2312"/>
          <w:color w:val="auto"/>
          <w:sz w:val="24"/>
          <w:highlight w:val="none"/>
        </w:rPr>
        <w:t>该</w:t>
      </w:r>
      <w:r>
        <w:rPr>
          <w:rFonts w:hint="eastAsia" w:ascii="仿宋_GB2312" w:hAnsi="宋体" w:eastAsia="仿宋_GB2312"/>
          <w:color w:val="auto"/>
          <w:sz w:val="24"/>
          <w:highlight w:val="none"/>
        </w:rPr>
        <w:t>商业秘密应当在</w:t>
      </w:r>
      <w:r>
        <w:rPr>
          <w:rFonts w:hint="eastAsia" w:ascii="仿宋_GB2312" w:hAnsi="宋体" w:eastAsia="仿宋_GB2312"/>
          <w:b/>
          <w:color w:val="auto"/>
          <w:sz w:val="24"/>
          <w:highlight w:val="none"/>
        </w:rPr>
        <w:t>三年内</w:t>
      </w:r>
      <w:r>
        <w:rPr>
          <w:rFonts w:hint="eastAsia" w:ascii="仿宋_GB2312" w:hAnsi="宋体" w:eastAsia="仿宋_GB2312"/>
          <w:color w:val="auto"/>
          <w:sz w:val="24"/>
          <w:highlight w:val="none"/>
        </w:rPr>
        <w:t>不得对外披露。</w:t>
      </w:r>
    </w:p>
    <w:p w14:paraId="3446A809">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甲方的权利和义务</w:t>
      </w:r>
    </w:p>
    <w:p w14:paraId="5AACB92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甲方应按本合同约定付款，有权要求乙方按照本合同约定交付技术服务成果。</w:t>
      </w:r>
    </w:p>
    <w:p w14:paraId="477D34F8">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rFonts w:hint="eastAsia" w:ascii="仿宋_GB2312" w:hAnsi="宋体" w:eastAsia="仿宋_GB2312"/>
          <w:color w:val="auto"/>
          <w:sz w:val="24"/>
          <w:highlight w:val="none"/>
        </w:rPr>
        <w:t>甲方对乙方提供的工作成果进行验收，如发现与合同约定不符或不满足甲方需求，有权拒绝接受该工作成果。</w:t>
      </w:r>
    </w:p>
    <w:p w14:paraId="59B10A5D">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甲方将向乙方提供为完成服务工作所需要的信息、资料和其他相关协助。</w:t>
      </w:r>
    </w:p>
    <w:p w14:paraId="58AF20A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4.</w:t>
      </w:r>
      <w:r>
        <w:rPr>
          <w:rFonts w:hint="eastAsia" w:ascii="仿宋_GB2312" w:hAnsi="宋体" w:eastAsia="仿宋_GB2312"/>
          <w:color w:val="auto"/>
          <w:sz w:val="24"/>
          <w:highlight w:val="none"/>
        </w:rPr>
        <w:t>甲方有权要求乙方提供相关的技术资料和必要的技术指导及培训。</w:t>
      </w:r>
    </w:p>
    <w:p w14:paraId="2F9DC8F6">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甲方有权随时了解乙方的工作进展情况，并对经费使用进行监督检查，有权要求乙方对其服务过程中存在的问题进行整改。</w:t>
      </w:r>
    </w:p>
    <w:p w14:paraId="32660955">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乙方的权利和义务</w:t>
      </w:r>
    </w:p>
    <w:p w14:paraId="3004C19D">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1.乙方应根据本合同的约定提供服务并提交最终工作成果，交付符合本合同要求的工作成果后获得报酬。</w:t>
      </w:r>
    </w:p>
    <w:p w14:paraId="16DCB13B">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rFonts w:hint="eastAsia" w:ascii="仿宋_GB2312" w:hAnsi="宋体" w:eastAsia="仿宋_GB2312"/>
          <w:color w:val="auto"/>
          <w:sz w:val="24"/>
          <w:highlight w:val="none"/>
        </w:rPr>
        <w:t>乙方应根据本合同的约定提交相关文件、资料，并对所提供的技术材料、数据信息的真实性、合法性和有效性负责。</w:t>
      </w:r>
    </w:p>
    <w:p w14:paraId="7B4D4EBE">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在合同执行过程中，乙方有义务协助甲方对工作成果进行验收；并就甲方需要注意的事项以书面形式提请甲方注意。</w:t>
      </w:r>
    </w:p>
    <w:p w14:paraId="6B6C062E">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4.接受甲方的经费检查，按要求及时提交相关财务资料。</w:t>
      </w:r>
    </w:p>
    <w:p w14:paraId="3941CB7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乙方对于甲方的密级业务需求、技术资料、数据、保密信息等严格保密，并承担泄密造成的后果。</w:t>
      </w:r>
    </w:p>
    <w:p w14:paraId="05822D72">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6.</w:t>
      </w:r>
      <w:r>
        <w:rPr>
          <w:rFonts w:hint="eastAsia" w:ascii="仿宋_GB2312" w:hAnsi="宋体" w:eastAsia="仿宋_GB2312"/>
          <w:color w:val="auto"/>
          <w:sz w:val="24"/>
          <w:highlight w:val="none"/>
        </w:rPr>
        <w:t>在合同履行期间及工作成果提交后，对甲方的任何问题，乙方有义务提供免费咨询。</w:t>
      </w:r>
    </w:p>
    <w:p w14:paraId="30B8A7A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7.</w:t>
      </w:r>
      <w:r>
        <w:rPr>
          <w:rFonts w:hint="eastAsia" w:ascii="仿宋_GB2312" w:hAnsi="宋体" w:eastAsia="仿宋_GB2312"/>
          <w:color w:val="auto"/>
          <w:sz w:val="24"/>
          <w:highlight w:val="none"/>
        </w:rPr>
        <w:t>项目验收后，乙方应在接到甲方通知后，</w:t>
      </w:r>
      <w:r>
        <w:rPr>
          <w:rFonts w:ascii="仿宋_GB2312" w:hAnsi="宋体" w:eastAsia="仿宋_GB2312"/>
          <w:color w:val="auto"/>
          <w:sz w:val="24"/>
          <w:highlight w:val="none"/>
        </w:rPr>
        <w:t>在</w:t>
      </w:r>
      <w:r>
        <w:rPr>
          <w:rFonts w:hint="eastAsia" w:ascii="仿宋_GB2312" w:hAnsi="宋体" w:eastAsia="仿宋_GB2312"/>
          <w:color w:val="auto"/>
          <w:sz w:val="24"/>
          <w:highlight w:val="none"/>
        </w:rPr>
        <w:t>约定时间内向甲方工作人员免费培训、传授与该项目相关的技术知识和操作技能，并提供相关的技术资料和必要的技术指导。</w:t>
      </w:r>
    </w:p>
    <w:p w14:paraId="2E5C7F42">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第十条 违约索赔与赔偿</w:t>
      </w:r>
    </w:p>
    <w:p w14:paraId="36C50C58">
      <w:pPr>
        <w:numPr>
          <w:ilvl w:val="0"/>
          <w:numId w:val="1"/>
        </w:numPr>
        <w:autoSpaceDE w:val="0"/>
        <w:autoSpaceDN w:val="0"/>
        <w:adjustRightInd w:val="0"/>
        <w:spacing w:after="156" w:afterLines="50" w:line="360" w:lineRule="auto"/>
        <w:jc w:val="left"/>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误期索赔</w:t>
      </w:r>
    </w:p>
    <w:p w14:paraId="7BF5581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1）除非双方书面同意延迟，若乙方未能按本合同的约定提供服务、交付服务成果，甲方有权要求乙方支付违约金。每延迟一日</w:t>
      </w:r>
      <w:r>
        <w:rPr>
          <w:rFonts w:hint="eastAsia" w:ascii="仿宋_GB2312" w:hAnsi="宋体" w:eastAsia="仿宋_GB2312" w:cs="宋体"/>
          <w:color w:val="auto"/>
          <w:sz w:val="24"/>
          <w:highlight w:val="none"/>
          <w:lang w:val="zh-CN"/>
        </w:rPr>
        <w:t>违约金的金额为合同总额的</w:t>
      </w:r>
      <w:r>
        <w:rPr>
          <w:rFonts w:hint="eastAsia" w:ascii="仿宋_GB2312" w:hAnsi="宋体" w:eastAsia="仿宋_GB2312"/>
          <w:color w:val="auto"/>
          <w:sz w:val="24"/>
          <w:highlight w:val="none"/>
          <w:lang w:val="en-GB"/>
        </w:rPr>
        <w:t>0.1</w:t>
      </w:r>
      <w:r>
        <w:rPr>
          <w:rFonts w:hint="eastAsia" w:ascii="仿宋_GB2312" w:hAnsi="宋体" w:eastAsia="仿宋_GB2312" w:cs="宋体"/>
          <w:color w:val="auto"/>
          <w:sz w:val="24"/>
          <w:highlight w:val="none"/>
          <w:lang w:val="zh-CN"/>
        </w:rPr>
        <w:t>％</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并</w:t>
      </w:r>
      <w:r>
        <w:rPr>
          <w:rFonts w:hint="eastAsia" w:ascii="仿宋_GB2312" w:hAnsi="宋体" w:eastAsia="仿宋_GB2312" w:cs="宋体"/>
          <w:color w:val="auto"/>
          <w:kern w:val="0"/>
          <w:sz w:val="24"/>
          <w:highlight w:val="none"/>
          <w:lang w:val="zh-CN"/>
        </w:rPr>
        <w:t>有权要求乙方承担甲方维权产生的费用，</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3F1EB5C0">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2）</w:t>
      </w:r>
      <w:r>
        <w:rPr>
          <w:rFonts w:hint="eastAsia" w:ascii="仿宋_GB2312" w:hAnsi="宋体" w:eastAsia="仿宋_GB2312" w:cs="宋体"/>
          <w:color w:val="auto"/>
          <w:sz w:val="24"/>
          <w:highlight w:val="none"/>
          <w:lang w:val="zh-CN"/>
        </w:rPr>
        <w:t>如果乙方</w:t>
      </w:r>
      <w:r>
        <w:rPr>
          <w:rFonts w:hint="eastAsia" w:ascii="仿宋_GB2312" w:hAnsi="宋体" w:eastAsia="仿宋_GB2312" w:cs="宋体"/>
          <w:color w:val="auto"/>
          <w:kern w:val="0"/>
          <w:sz w:val="24"/>
          <w:highlight w:val="none"/>
          <w:lang w:val="zh-CN"/>
        </w:rPr>
        <w:t>未能按本合同的约定提供服务，且延迟期限超过30日，</w:t>
      </w:r>
      <w:r>
        <w:rPr>
          <w:rFonts w:hint="eastAsia" w:ascii="仿宋_GB2312" w:hAnsi="宋体" w:eastAsia="仿宋_GB2312" w:cs="宋体"/>
          <w:color w:val="auto"/>
          <w:sz w:val="24"/>
          <w:highlight w:val="none"/>
          <w:lang w:val="zh-CN"/>
        </w:rPr>
        <w:t>甲方有权单方解除本合同，并有权要求乙方支付本合同总额10%的违约金以及因此产生的其他费用，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432AAB7">
      <w:pPr>
        <w:numPr>
          <w:ilvl w:val="0"/>
          <w:numId w:val="1"/>
        </w:num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质量索赔 </w:t>
      </w:r>
    </w:p>
    <w:p w14:paraId="6493EB5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乙方应提供与合同要求相符的服务，如</w:t>
      </w:r>
      <w:r>
        <w:rPr>
          <w:rFonts w:hint="eastAsia" w:ascii="仿宋_GB2312" w:hAnsi="宋体" w:eastAsia="仿宋_GB2312" w:cs="宋体"/>
          <w:color w:val="auto"/>
          <w:sz w:val="24"/>
          <w:highlight w:val="none"/>
          <w:lang w:val="zh-CN"/>
        </w:rPr>
        <w:t>乙方向甲方提供的服务或交付的服务成果不符合合同约定</w:t>
      </w:r>
      <w:r>
        <w:rPr>
          <w:rFonts w:hint="eastAsia" w:ascii="仿宋_GB2312" w:hAnsi="宋体" w:eastAsia="仿宋_GB2312" w:cs="宋体"/>
          <w:color w:val="auto"/>
          <w:kern w:val="0"/>
          <w:sz w:val="24"/>
          <w:highlight w:val="none"/>
          <w:lang w:val="zh-CN"/>
        </w:rPr>
        <w:t>，甲方有权选择下述一种或多种方法结合的方式解决索赔事宜：</w:t>
      </w:r>
    </w:p>
    <w:p w14:paraId="18E6B9EC">
      <w:pPr>
        <w:autoSpaceDE w:val="0"/>
        <w:autoSpaceDN w:val="0"/>
        <w:adjustRightInd w:val="0"/>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1）责令乙方重新提供服务、交付服务成果，以使服务达到合同要求，同时乙方承担一切费用和风险，负担甲方遭受的一切损失</w:t>
      </w:r>
      <w:r>
        <w:rPr>
          <w:rFonts w:hint="eastAsia" w:ascii="仿宋_GB2312" w:hAnsi="宋体" w:eastAsia="仿宋_GB2312" w:cs="宋体"/>
          <w:color w:val="auto"/>
          <w:sz w:val="24"/>
          <w:highlight w:val="none"/>
          <w:lang w:val="zh-CN"/>
        </w:rPr>
        <w:t>，并承担延迟提供服务、交付服务成果的责任。</w:t>
      </w:r>
    </w:p>
    <w:p w14:paraId="1B03F1D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2</w:t>
      </w:r>
      <w:r>
        <w:rPr>
          <w:rFonts w:hint="eastAsia" w:ascii="仿宋_GB2312" w:hAnsi="宋体" w:eastAsia="仿宋_GB2312" w:cs="宋体"/>
          <w:color w:val="auto"/>
          <w:kern w:val="0"/>
          <w:sz w:val="24"/>
          <w:highlight w:val="none"/>
          <w:lang w:val="zh-CN"/>
        </w:rPr>
        <w:t>）甲方解除合同，</w:t>
      </w:r>
      <w:r>
        <w:rPr>
          <w:rFonts w:hint="eastAsia" w:ascii="仿宋_GB2312" w:hAnsi="宋体" w:eastAsia="仿宋_GB2312" w:cs="宋体"/>
          <w:color w:val="auto"/>
          <w:sz w:val="24"/>
          <w:highlight w:val="none"/>
          <w:lang w:val="zh-CN"/>
        </w:rPr>
        <w:t>乙方将甲方已付的所有款项退还甲方，乙方承担由此发生的一切损失和费用，并向甲方支付本合同总额10%的违约金以及因此产生的其他费用，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1BBA9AB1">
      <w:pPr>
        <w:numPr>
          <w:ilvl w:val="0"/>
          <w:numId w:val="1"/>
        </w:num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不履行合同以及未按合同约定履行的违约索赔：</w:t>
      </w:r>
    </w:p>
    <w:p w14:paraId="05C8D8E4">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未经</w:t>
      </w:r>
      <w:r>
        <w:rPr>
          <w:rFonts w:hint="eastAsia" w:ascii="仿宋_GB2312" w:hAnsi="宋体" w:eastAsia="仿宋_GB2312" w:cs="宋体"/>
          <w:color w:val="auto"/>
          <w:sz w:val="24"/>
          <w:highlight w:val="none"/>
          <w:lang w:val="zh-CN"/>
        </w:rPr>
        <w:t>甲方同意，</w:t>
      </w:r>
      <w:r>
        <w:rPr>
          <w:rFonts w:hint="eastAsia" w:ascii="仿宋_GB2312" w:hAnsi="宋体" w:eastAsia="仿宋_GB2312" w:cs="宋体"/>
          <w:color w:val="auto"/>
          <w:kern w:val="0"/>
          <w:sz w:val="24"/>
          <w:highlight w:val="none"/>
          <w:lang w:val="zh-CN"/>
        </w:rPr>
        <w:t>乙方拒不履行合同或部分不履行合同，导致合同解除或部分解除的，乙方按解除部分合同金额的</w:t>
      </w:r>
      <w:r>
        <w:rPr>
          <w:rFonts w:hint="eastAsia" w:ascii="仿宋_GB2312" w:hAnsi="宋体" w:eastAsia="仿宋_GB2312"/>
          <w:color w:val="auto"/>
          <w:kern w:val="0"/>
          <w:sz w:val="24"/>
          <w:highlight w:val="none"/>
        </w:rPr>
        <w:t>20%</w:t>
      </w:r>
      <w:r>
        <w:rPr>
          <w:rFonts w:hint="eastAsia" w:ascii="仿宋_GB2312" w:hAnsi="宋体" w:eastAsia="仿宋_GB2312" w:cs="宋体"/>
          <w:color w:val="auto"/>
          <w:kern w:val="0"/>
          <w:sz w:val="24"/>
          <w:highlight w:val="none"/>
          <w:lang w:val="zh-CN"/>
        </w:rPr>
        <w:t>向甲方支付违约金</w:t>
      </w:r>
      <w:r>
        <w:rPr>
          <w:rFonts w:hint="eastAsia" w:ascii="仿宋_GB2312" w:hAnsi="宋体" w:eastAsia="仿宋_GB2312" w:cs="宋体"/>
          <w:color w:val="auto"/>
          <w:sz w:val="24"/>
          <w:highlight w:val="none"/>
          <w:lang w:val="zh-CN"/>
        </w:rPr>
        <w:t>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DD87AB1">
      <w:pPr>
        <w:autoSpaceDE w:val="0"/>
        <w:autoSpaceDN w:val="0"/>
        <w:adjustRightInd w:val="0"/>
        <w:spacing w:after="156" w:afterLines="50" w:line="360" w:lineRule="auto"/>
        <w:ind w:firstLine="480" w:firstLineChars="200"/>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乙方存在合同约定的违约行为时，甲方有权书面向乙方发出索赔通知，乙方应当在收到甲方索赔通知之日起10天内书面答复甲方，否则，视为该索赔已被乙方接受。乙方未能在收到索赔通知后10天内，或征得甲方同意的延长期限内，按照甲方从上列方法中选择的方案解决索赔事宜的，甲方将有权从未付合同价款中扣回索赔金额，同时保留进一步要求索赔的权利。所有违约金和赔偿金的支付不减轻乙方合同项下的任何责任和义务。</w:t>
      </w:r>
    </w:p>
    <w:p w14:paraId="60F8F7CA">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第十一条 不可抗力</w:t>
      </w:r>
    </w:p>
    <w:p w14:paraId="652518B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s="宋体"/>
          <w:color w:val="auto"/>
          <w:kern w:val="0"/>
          <w:sz w:val="24"/>
          <w:highlight w:val="none"/>
        </w:rPr>
        <w:t>1.</w:t>
      </w:r>
      <w:r>
        <w:rPr>
          <w:rFonts w:hint="eastAsia" w:ascii="仿宋_GB2312" w:hAnsi="宋体" w:eastAsia="仿宋_GB2312" w:cs="宋体"/>
          <w:color w:val="auto"/>
          <w:kern w:val="0"/>
          <w:sz w:val="24"/>
          <w:highlight w:val="none"/>
          <w:lang w:val="zh-CN"/>
        </w:rPr>
        <w:t>如果本合同任何一方因受不可抗力事件影响而未能履行其在本合同下的全部或部分义务，该义务的履行在不可抗力事件妨碍其履行期间应予中止。</w:t>
      </w:r>
    </w:p>
    <w:p w14:paraId="507538C7">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w:t>
      </w:r>
    </w:p>
    <w:p w14:paraId="53CC87BB">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3.当事人迟延履行后发生不可抗力的，不能免除责任。</w:t>
      </w:r>
    </w:p>
    <w:p w14:paraId="17E8FC57">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第十二条 争议的解决</w:t>
      </w:r>
    </w:p>
    <w:p w14:paraId="78DA4CF5">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本合同在履行中发生争议，由甲、乙双方协商解决。协商不成时，甲、乙双方同意提交乌鲁木齐市新市区人民法院裁决。</w:t>
      </w:r>
    </w:p>
    <w:p w14:paraId="6ED710F5">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第十三条 其它</w:t>
      </w:r>
    </w:p>
    <w:p w14:paraId="5F84C12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1.本合同之附件均为本合同不可分割之部分。</w:t>
      </w:r>
    </w:p>
    <w:p w14:paraId="044179DD">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2.本合同未尽事宜，由甲、乙双方另行议定，并签订补充协议。补充协议与本合同不一致的，以补充协议为准。</w:t>
      </w:r>
    </w:p>
    <w:p w14:paraId="57BC896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3.本合同及其附件和补充协议中未规定的事项，均遵照中华人民共和国有关法律、法规执行。</w:t>
      </w:r>
    </w:p>
    <w:p w14:paraId="56E3A26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4.本合同连同附件一式</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份，甲、乙双方各执 </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份，均具有同等法律效力。合同附件作为本合同的组成部分，</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违反合同附件的相关内容，</w:t>
      </w:r>
      <w:r>
        <w:rPr>
          <w:rFonts w:ascii="仿宋_GB2312" w:hAnsi="宋体" w:eastAsia="仿宋_GB2312"/>
          <w:color w:val="auto"/>
          <w:sz w:val="24"/>
          <w:highlight w:val="none"/>
        </w:rPr>
        <w:t>视为</w:t>
      </w:r>
      <w:r>
        <w:rPr>
          <w:rFonts w:hint="eastAsia" w:ascii="仿宋_GB2312" w:hAnsi="宋体" w:eastAsia="仿宋_GB2312"/>
          <w:color w:val="auto"/>
          <w:sz w:val="24"/>
          <w:highlight w:val="none"/>
        </w:rPr>
        <w:t>违反本合同。</w:t>
      </w:r>
    </w:p>
    <w:p w14:paraId="08DF84D7">
      <w:pPr>
        <w:spacing w:after="156" w:afterLines="50" w:line="360" w:lineRule="auto"/>
        <w:ind w:firstLine="48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 xml:space="preserve"> 合同双方法人或委托代理人盖章或签字，本合同生效。</w:t>
      </w:r>
    </w:p>
    <w:p w14:paraId="3B0522AD">
      <w:pPr>
        <w:spacing w:after="156" w:afterLines="50" w:line="360" w:lineRule="auto"/>
        <w:ind w:firstLine="48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附件：（1）</w:t>
      </w:r>
      <w:r>
        <w:rPr>
          <w:rFonts w:hint="eastAsia" w:ascii="仿宋_GB2312" w:hAnsi="宋体" w:eastAsia="仿宋_GB2312"/>
          <w:color w:val="auto"/>
          <w:sz w:val="24"/>
          <w:highlight w:val="none"/>
          <w:u w:val="single"/>
        </w:rPr>
        <w:t xml:space="preserve"> 项目实施方案 </w:t>
      </w:r>
    </w:p>
    <w:p w14:paraId="1399D3BA">
      <w:pPr>
        <w:spacing w:after="156" w:afterLines="50" w:line="360" w:lineRule="auto"/>
        <w:ind w:firstLine="1080" w:firstLineChars="45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（2）</w:t>
      </w:r>
      <w:r>
        <w:rPr>
          <w:rFonts w:hint="eastAsia" w:ascii="仿宋_GB2312" w:hAnsi="宋体" w:eastAsia="仿宋_GB2312"/>
          <w:color w:val="auto"/>
          <w:sz w:val="24"/>
          <w:highlight w:val="none"/>
          <w:u w:val="single"/>
        </w:rPr>
        <w:t>保密协议及保密责任书</w:t>
      </w:r>
    </w:p>
    <w:p w14:paraId="41B276CD">
      <w:pPr>
        <w:spacing w:after="156" w:afterLines="50" w:line="360" w:lineRule="auto"/>
        <w:ind w:firstLine="1080" w:firstLineChars="45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（3）</w:t>
      </w:r>
      <w:r>
        <w:rPr>
          <w:rFonts w:hint="eastAsia" w:ascii="仿宋_GB2312" w:hAnsi="宋体" w:eastAsia="仿宋_GB2312"/>
          <w:color w:val="auto"/>
          <w:sz w:val="24"/>
          <w:highlight w:val="none"/>
          <w:u w:val="single"/>
        </w:rPr>
        <w:t>廉政承诺书</w:t>
      </w:r>
    </w:p>
    <w:p w14:paraId="15237887">
      <w:pPr>
        <w:spacing w:after="156" w:afterLines="50" w:line="360" w:lineRule="auto"/>
        <w:ind w:firstLine="1080" w:firstLineChars="45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w:t>
      </w:r>
      <w:r>
        <w:rPr>
          <w:rFonts w:hint="eastAsia" w:ascii="仿宋_GB2312" w:hAnsi="宋体" w:eastAsia="仿宋_GB2312"/>
          <w:color w:val="auto"/>
          <w:sz w:val="24"/>
          <w:highlight w:val="none"/>
          <w:u w:val="single"/>
        </w:rPr>
        <w:t>安全生产承诺书</w:t>
      </w:r>
    </w:p>
    <w:p w14:paraId="516B482C">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甲方：自治区自然资源规划研究院（盖章）</w:t>
      </w:r>
    </w:p>
    <w:p w14:paraId="5821F497">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01FCDEDE">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037ED626">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乙方：（盖章）</w:t>
      </w:r>
    </w:p>
    <w:p w14:paraId="186E1DBA">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5E74C016">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7B24C25C">
      <w:pPr>
        <w:rPr>
          <w:rFonts w:ascii="仿宋_GB2312" w:eastAsia="仿宋_GB2312"/>
          <w:color w:val="auto"/>
          <w:highlight w:val="none"/>
        </w:rPr>
      </w:pPr>
    </w:p>
    <w:p w14:paraId="0E65771A">
      <w:pPr>
        <w:outlineLvl w:val="1"/>
        <w:rPr>
          <w:rFonts w:ascii="黑体" w:hAnsi="黑体" w:eastAsia="黑体"/>
          <w:color w:val="auto"/>
          <w:sz w:val="32"/>
          <w:szCs w:val="28"/>
          <w:highlight w:val="none"/>
        </w:rPr>
      </w:pPr>
      <w:r>
        <w:rPr>
          <w:rFonts w:hint="eastAsia" w:ascii="仿宋_GB2312" w:eastAsia="仿宋_GB2312"/>
          <w:color w:val="auto"/>
          <w:sz w:val="28"/>
          <w:szCs w:val="28"/>
          <w:highlight w:val="none"/>
        </w:rPr>
        <w:br w:type="page"/>
      </w:r>
    </w:p>
    <w:p w14:paraId="03E6C5D7">
      <w:pPr>
        <w:spacing w:line="360" w:lineRule="auto"/>
        <w:jc w:val="left"/>
        <w:rPr>
          <w:rFonts w:ascii="仿宋_GB2312" w:hAnsi="仿宋" w:eastAsia="仿宋_GB2312"/>
          <w:color w:val="auto"/>
          <w:sz w:val="30"/>
          <w:szCs w:val="20"/>
          <w:highlight w:val="none"/>
        </w:rPr>
      </w:pPr>
      <w:r>
        <w:rPr>
          <w:rFonts w:hint="eastAsia" w:ascii="仿宋_GB2312" w:hAnsi="仿宋" w:eastAsia="仿宋_GB2312"/>
          <w:color w:val="auto"/>
          <w:sz w:val="30"/>
          <w:szCs w:val="20"/>
          <w:highlight w:val="none"/>
        </w:rPr>
        <w:t>合同编号：</w:t>
      </w:r>
    </w:p>
    <w:p w14:paraId="653F5AC5">
      <w:pPr>
        <w:spacing w:line="360" w:lineRule="auto"/>
        <w:jc w:val="center"/>
        <w:rPr>
          <w:rFonts w:ascii="仿宋_GB2312" w:eastAsia="仿宋_GB2312"/>
          <w:color w:val="auto"/>
          <w:sz w:val="30"/>
          <w:szCs w:val="20"/>
          <w:highlight w:val="none"/>
        </w:rPr>
      </w:pPr>
    </w:p>
    <w:p w14:paraId="7C658B3F">
      <w:pPr>
        <w:pStyle w:val="82"/>
        <w:outlineLvl w:val="9"/>
        <w:rPr>
          <w:rFonts w:ascii="黑体" w:hAnsi="黑体" w:eastAsia="黑体"/>
          <w:color w:val="auto"/>
          <w:sz w:val="40"/>
          <w:szCs w:val="40"/>
          <w:highlight w:val="none"/>
        </w:rPr>
      </w:pPr>
      <w:r>
        <w:rPr>
          <w:rFonts w:hint="eastAsia" w:ascii="黑体" w:hAnsi="黑体" w:eastAsia="黑体"/>
          <w:color w:val="auto"/>
          <w:sz w:val="40"/>
          <w:szCs w:val="40"/>
          <w:highlight w:val="none"/>
        </w:rPr>
        <w:t>自治区自然资源规划研究院委托业务项目合同书</w:t>
      </w:r>
    </w:p>
    <w:p w14:paraId="41451869">
      <w:pPr>
        <w:spacing w:line="360" w:lineRule="auto"/>
        <w:ind w:left="360" w:hanging="360"/>
        <w:jc w:val="center"/>
        <w:rPr>
          <w:rFonts w:ascii="仿宋_GB2312" w:eastAsia="仿宋_GB2312"/>
          <w:b/>
          <w:color w:val="auto"/>
          <w:spacing w:val="100"/>
          <w:sz w:val="30"/>
          <w:szCs w:val="20"/>
          <w:highlight w:val="none"/>
        </w:rPr>
      </w:pPr>
    </w:p>
    <w:p w14:paraId="3D1CBB37">
      <w:pPr>
        <w:spacing w:line="360" w:lineRule="auto"/>
        <w:ind w:left="360" w:hanging="360"/>
        <w:jc w:val="center"/>
        <w:rPr>
          <w:rFonts w:ascii="仿宋_GB2312" w:eastAsia="仿宋_GB2312"/>
          <w:b/>
          <w:color w:val="auto"/>
          <w:spacing w:val="100"/>
          <w:sz w:val="30"/>
          <w:szCs w:val="20"/>
          <w:highlight w:val="none"/>
        </w:rPr>
      </w:pPr>
    </w:p>
    <w:p w14:paraId="01DDF5FE">
      <w:pPr>
        <w:spacing w:line="360" w:lineRule="auto"/>
        <w:ind w:left="360" w:hanging="360"/>
        <w:jc w:val="center"/>
        <w:rPr>
          <w:rFonts w:ascii="仿宋_GB2312" w:eastAsia="仿宋_GB2312"/>
          <w:b/>
          <w:color w:val="auto"/>
          <w:spacing w:val="100"/>
          <w:sz w:val="30"/>
          <w:szCs w:val="20"/>
          <w:highlight w:val="none"/>
        </w:rPr>
      </w:pPr>
    </w:p>
    <w:p w14:paraId="41A0A2CB">
      <w:pPr>
        <w:spacing w:line="360" w:lineRule="auto"/>
        <w:ind w:left="360" w:hanging="360"/>
        <w:jc w:val="center"/>
        <w:rPr>
          <w:rFonts w:ascii="仿宋_GB2312" w:eastAsia="仿宋_GB2312"/>
          <w:b/>
          <w:color w:val="auto"/>
          <w:spacing w:val="100"/>
          <w:sz w:val="30"/>
          <w:szCs w:val="20"/>
          <w:highlight w:val="none"/>
        </w:rPr>
      </w:pPr>
    </w:p>
    <w:p w14:paraId="026050D8">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委托业务项目：</w:t>
      </w:r>
    </w:p>
    <w:p w14:paraId="66822DF7">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项目承担单位：</w:t>
      </w:r>
    </w:p>
    <w:p w14:paraId="3BEC5AEF">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负 责 人： </w:t>
      </w:r>
    </w:p>
    <w:p w14:paraId="0D85863F">
      <w:pPr>
        <w:spacing w:before="312" w:beforeLines="100" w:line="360" w:lineRule="auto"/>
        <w:ind w:left="376" w:leftChars="171" w:firstLine="960" w:firstLineChars="300"/>
        <w:rPr>
          <w:rFonts w:ascii="黑体" w:hAnsi="黑体" w:eastAsia="黑体"/>
          <w:color w:val="auto"/>
          <w:spacing w:val="100"/>
          <w:sz w:val="32"/>
          <w:szCs w:val="32"/>
          <w:highlight w:val="none"/>
        </w:rPr>
      </w:pPr>
      <w:r>
        <w:rPr>
          <w:rFonts w:hint="eastAsia" w:ascii="黑体" w:hAnsi="黑体" w:eastAsia="黑体"/>
          <w:bCs/>
          <w:color w:val="auto"/>
          <w:sz w:val="32"/>
          <w:szCs w:val="32"/>
          <w:highlight w:val="none"/>
        </w:rPr>
        <w:t>起止时间：     年    月—     年   月</w:t>
      </w:r>
    </w:p>
    <w:p w14:paraId="69807741">
      <w:pPr>
        <w:spacing w:before="312" w:beforeLines="100" w:line="360" w:lineRule="auto"/>
        <w:ind w:left="376" w:leftChars="171" w:firstLine="960" w:firstLineChars="3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签订地点：    </w:t>
      </w:r>
    </w:p>
    <w:p w14:paraId="6116E7FE">
      <w:pPr>
        <w:spacing w:line="360" w:lineRule="auto"/>
        <w:rPr>
          <w:rFonts w:ascii="黑体" w:hAnsi="黑体" w:eastAsia="黑体"/>
          <w:color w:val="auto"/>
          <w:spacing w:val="100"/>
          <w:sz w:val="32"/>
          <w:szCs w:val="32"/>
          <w:highlight w:val="none"/>
        </w:rPr>
      </w:pPr>
    </w:p>
    <w:p w14:paraId="0BA5F370">
      <w:pPr>
        <w:spacing w:line="360" w:lineRule="auto"/>
        <w:rPr>
          <w:rFonts w:ascii="黑体" w:hAnsi="黑体" w:eastAsia="黑体"/>
          <w:color w:val="auto"/>
          <w:spacing w:val="100"/>
          <w:sz w:val="32"/>
          <w:szCs w:val="32"/>
          <w:highlight w:val="none"/>
        </w:rPr>
      </w:pPr>
    </w:p>
    <w:p w14:paraId="71FD795C">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自治区自然资源规划研究院制</w:t>
      </w:r>
    </w:p>
    <w:p w14:paraId="27DDBF39">
      <w:pPr>
        <w:spacing w:line="360" w:lineRule="auto"/>
        <w:ind w:left="360" w:hanging="360"/>
        <w:jc w:val="center"/>
        <w:rPr>
          <w:rFonts w:ascii="黑体" w:hAnsi="黑体" w:eastAsia="黑体"/>
          <w:color w:val="auto"/>
          <w:spacing w:val="100"/>
          <w:sz w:val="32"/>
          <w:szCs w:val="32"/>
          <w:highlight w:val="none"/>
        </w:rPr>
      </w:pPr>
      <w:r>
        <w:rPr>
          <w:rFonts w:hint="eastAsia" w:ascii="黑体" w:hAnsi="黑体" w:eastAsia="黑体"/>
          <w:color w:val="auto"/>
          <w:sz w:val="32"/>
          <w:szCs w:val="32"/>
          <w:highlight w:val="none"/>
        </w:rPr>
        <w:t>年  月  日</w:t>
      </w:r>
    </w:p>
    <w:p w14:paraId="08DA0ACD">
      <w:pPr>
        <w:spacing w:before="156" w:beforeLines="50" w:line="360" w:lineRule="auto"/>
        <w:jc w:val="left"/>
        <w:rPr>
          <w:rFonts w:ascii="仿宋_GB2312" w:hAnsi="仿宋" w:eastAsia="仿宋_GB2312"/>
          <w:b/>
          <w:color w:val="auto"/>
          <w:sz w:val="30"/>
          <w:szCs w:val="20"/>
          <w:highlight w:val="none"/>
        </w:rPr>
      </w:pPr>
      <w:r>
        <w:rPr>
          <w:rFonts w:hint="eastAsia" w:ascii="仿宋_GB2312" w:hAnsi="宋体" w:eastAsia="仿宋_GB2312" w:cs="宋体"/>
          <w:b/>
          <w:color w:val="auto"/>
          <w:kern w:val="0"/>
          <w:sz w:val="44"/>
          <w:szCs w:val="44"/>
          <w:highlight w:val="none"/>
          <w:lang w:val="zh-CN"/>
        </w:rPr>
        <w:br w:type="page"/>
      </w:r>
      <w:r>
        <w:rPr>
          <w:rFonts w:hint="eastAsia" w:ascii="仿宋_GB2312" w:hAnsi="仿宋" w:eastAsia="仿宋_GB2312"/>
          <w:b/>
          <w:color w:val="auto"/>
          <w:sz w:val="30"/>
          <w:szCs w:val="20"/>
          <w:highlight w:val="none"/>
        </w:rPr>
        <w:t>填写说明：</w:t>
      </w:r>
    </w:p>
    <w:p w14:paraId="3670D8A5">
      <w:pPr>
        <w:spacing w:before="156" w:beforeLines="50" w:line="360" w:lineRule="auto"/>
        <w:ind w:firstLine="600"/>
        <w:rPr>
          <w:rFonts w:ascii="仿宋_GB2312" w:hAnsi="仿宋" w:eastAsia="仿宋_GB2312"/>
          <w:color w:val="auto"/>
          <w:sz w:val="28"/>
          <w:szCs w:val="28"/>
          <w:highlight w:val="none"/>
        </w:rPr>
      </w:pPr>
      <w:r>
        <w:rPr>
          <w:rFonts w:hint="eastAsia" w:ascii="仿宋_GB2312" w:hAnsi="仿宋" w:eastAsia="仿宋_GB2312"/>
          <w:color w:val="auto"/>
          <w:sz w:val="28"/>
          <w:szCs w:val="28"/>
          <w:highlight w:val="none"/>
        </w:rPr>
        <w:t>1.本委托业务项目合同书文本是院为执行业务计划中软件开发、升级维护以及数据库建库任务，与委托业务单位签订的合同书文本。</w:t>
      </w:r>
    </w:p>
    <w:p w14:paraId="0490EFC8">
      <w:pPr>
        <w:spacing w:before="156" w:beforeLines="50" w:line="360" w:lineRule="auto"/>
        <w:ind w:firstLine="600"/>
        <w:rPr>
          <w:rFonts w:ascii="仿宋_GB2312" w:hAnsi="仿宋" w:eastAsia="仿宋_GB2312"/>
          <w:color w:val="auto"/>
          <w:sz w:val="28"/>
          <w:szCs w:val="28"/>
          <w:highlight w:val="none"/>
        </w:rPr>
      </w:pPr>
      <w:r>
        <w:rPr>
          <w:rFonts w:hint="eastAsia" w:ascii="仿宋_GB2312" w:hAnsi="仿宋" w:eastAsia="仿宋_GB2312"/>
          <w:color w:val="auto"/>
          <w:sz w:val="28"/>
          <w:szCs w:val="28"/>
          <w:highlight w:val="none"/>
        </w:rPr>
        <w:t>2.本委托业务项目合同书文本要求用计算机A3纸打印，字迹清晰，要符合规定的字体、排版要求，全文使用小四仿宋，条为小四仿宋加黑，行间距为单倍行间距，段间距为段前0.5行。</w:t>
      </w:r>
    </w:p>
    <w:p w14:paraId="1897376F">
      <w:pPr>
        <w:autoSpaceDE w:val="0"/>
        <w:autoSpaceDN w:val="0"/>
        <w:adjustRightInd w:val="0"/>
        <w:spacing w:after="156" w:afterLines="50" w:line="360" w:lineRule="auto"/>
        <w:jc w:val="center"/>
        <w:rPr>
          <w:rFonts w:ascii="仿宋_GB2312" w:hAnsi="宋体" w:eastAsia="仿宋_GB2312" w:cs="宋体"/>
          <w:b/>
          <w:color w:val="auto"/>
          <w:kern w:val="0"/>
          <w:sz w:val="44"/>
          <w:szCs w:val="44"/>
          <w:highlight w:val="none"/>
        </w:rPr>
      </w:pPr>
      <w:r>
        <w:rPr>
          <w:rFonts w:hint="eastAsia" w:ascii="仿宋_GB2312" w:hAnsi="宋体" w:eastAsia="仿宋_GB2312" w:cs="宋体"/>
          <w:b/>
          <w:color w:val="auto"/>
          <w:kern w:val="0"/>
          <w:sz w:val="44"/>
          <w:szCs w:val="44"/>
          <w:highlight w:val="none"/>
        </w:rPr>
        <w:br w:type="page"/>
      </w:r>
    </w:p>
    <w:p w14:paraId="44E0F1C8">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甲方： </w:t>
      </w:r>
      <w:r>
        <w:rPr>
          <w:rFonts w:ascii="仿宋_GB2312" w:eastAsia="仿宋_GB2312" w:cs="宋体"/>
          <w:b/>
          <w:color w:val="auto"/>
          <w:kern w:val="0"/>
          <w:sz w:val="24"/>
          <w:highlight w:val="none"/>
          <w:lang w:val="zh-CN"/>
        </w:rPr>
        <w:t xml:space="preserve">                              </w:t>
      </w:r>
    </w:p>
    <w:p w14:paraId="636DC647">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4C054F17">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0F70BF54">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传真： </w:t>
      </w:r>
      <w:r>
        <w:rPr>
          <w:rFonts w:ascii="仿宋_GB2312" w:hAnsi="宋体" w:eastAsia="仿宋_GB2312"/>
          <w:color w:val="auto"/>
          <w:sz w:val="24"/>
          <w:highlight w:val="none"/>
        </w:rPr>
        <w:t xml:space="preserve">                              </w:t>
      </w:r>
    </w:p>
    <w:p w14:paraId="372627D8">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0BDC0D9B">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乙方： </w:t>
      </w:r>
      <w:r>
        <w:rPr>
          <w:rFonts w:ascii="仿宋_GB2312" w:eastAsia="仿宋_GB2312" w:cs="宋体"/>
          <w:b/>
          <w:color w:val="auto"/>
          <w:kern w:val="0"/>
          <w:sz w:val="24"/>
          <w:highlight w:val="none"/>
          <w:lang w:val="zh-CN"/>
        </w:rPr>
        <w:t xml:space="preserve">                              </w:t>
      </w:r>
    </w:p>
    <w:p w14:paraId="0778BABF">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71103DA5">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6A039B9F">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 xml:space="preserve">传真： </w:t>
      </w:r>
      <w:r>
        <w:rPr>
          <w:rFonts w:ascii="仿宋_GB2312" w:hAnsi="宋体" w:eastAsia="仿宋_GB2312"/>
          <w:color w:val="auto"/>
          <w:sz w:val="24"/>
          <w:highlight w:val="none"/>
        </w:rPr>
        <w:t xml:space="preserve">                              </w:t>
      </w:r>
    </w:p>
    <w:p w14:paraId="3B008D0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6901D350">
      <w:pPr>
        <w:spacing w:after="156" w:afterLines="50" w:line="360" w:lineRule="auto"/>
        <w:ind w:firstLine="566" w:firstLineChars="236"/>
        <w:rPr>
          <w:rFonts w:ascii="仿宋_GB2312" w:hAnsi="宋体" w:eastAsia="仿宋_GB2312"/>
          <w:color w:val="auto"/>
          <w:sz w:val="24"/>
          <w:highlight w:val="none"/>
        </w:rPr>
      </w:pPr>
      <w:r>
        <w:rPr>
          <w:rFonts w:hint="eastAsia" w:ascii="仿宋_GB2312" w:hAnsi="宋体" w:eastAsia="仿宋_GB2312"/>
          <w:color w:val="auto"/>
          <w:sz w:val="24"/>
          <w:highlight w:val="none"/>
        </w:rPr>
        <w:t>通过</w:t>
      </w:r>
      <w:r>
        <w:rPr>
          <w:rFonts w:hint="eastAsia" w:ascii="仿宋_GB2312" w:hAnsi="宋体" w:eastAsia="仿宋_GB2312"/>
          <w:color w:val="auto"/>
          <w:sz w:val="24"/>
          <w:highlight w:val="none"/>
          <w:u w:val="single"/>
        </w:rPr>
        <w:t xml:space="preserve">        （公开招标、邀请招标、竞争性谈判、单一来源采购、询价等）</w:t>
      </w:r>
      <w:r>
        <w:rPr>
          <w:rFonts w:hint="eastAsia" w:ascii="仿宋_GB2312" w:hAnsi="宋体" w:eastAsia="仿宋_GB2312"/>
          <w:color w:val="auto"/>
          <w:sz w:val="24"/>
          <w:highlight w:val="none"/>
        </w:rPr>
        <w:t>方式，确定由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乙方)承担此项目,根据《中华人民共和国民法典》及其他有关法律、法规规定，本着自愿、平等、诚实信用的原则，甲、乙双方就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项目，协商一致，达成如下协议： </w:t>
      </w:r>
    </w:p>
    <w:p w14:paraId="565FAFCB">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项目任务</w:t>
      </w:r>
    </w:p>
    <w:p w14:paraId="40288F8E">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本合同应完成的任务包括：</w:t>
      </w:r>
    </w:p>
    <w:p w14:paraId="61E79EEE">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软件开发：本软件是甲方为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而开发的软件；该软件的名称为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，主要功能包括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，交付时间为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 xml:space="preserve">   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日。该软件的主要模块、里程碑、详细功能、性能、规格、版本、测试标准等相关情况见附件     。</w:t>
      </w:r>
    </w:p>
    <w:p w14:paraId="1611F096">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s="宋体"/>
          <w:color w:val="auto"/>
          <w:kern w:val="0"/>
          <w:sz w:val="24"/>
          <w:highlight w:val="none"/>
          <w:lang w:val="zh-CN"/>
        </w:rPr>
        <w:t>2.</w:t>
      </w:r>
      <w:r>
        <w:rPr>
          <w:rFonts w:hint="eastAsia" w:ascii="仿宋_GB2312" w:hAnsi="宋体" w:eastAsia="仿宋_GB2312" w:cs="宋体"/>
          <w:color w:val="auto"/>
          <w:kern w:val="0"/>
          <w:sz w:val="24"/>
          <w:highlight w:val="none"/>
          <w:lang w:val="zh-CN"/>
        </w:rPr>
        <w:t>软件升级：本软件是甲方为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而升级的软件；该升级软件的名称为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，升级的功能主要包括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，交付时间为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 xml:space="preserve">年 </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日。该软件升级的主要功能模块、里程碑、性能、规格、版本、测试标准等相关情况见附件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441F435D">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3.软件维护：维护软件名称为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；该软件维护的主要目的是</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，维护的内容主要包括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。维护期限及要求详见附件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76F751CA">
      <w:pPr>
        <w:autoSpaceDE w:val="0"/>
        <w:autoSpaceDN w:val="0"/>
        <w:adjustRightInd w:val="0"/>
        <w:spacing w:after="156" w:afterLines="50" w:line="360" w:lineRule="auto"/>
        <w:ind w:firstLine="480" w:firstLineChars="200"/>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4.数据整合建库：整合建库的主要目的是</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；整合建库的数据主要包括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；整合建库的主要工作内容包括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。完成期限及工作要求详见附件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404AE3E4">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经费及支付</w:t>
      </w:r>
    </w:p>
    <w:p w14:paraId="6E7ED87E">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 本项目技术服务费为：         元人民币，大写：        。上述费用为含税价，并包括乙方在整个服务过程中产生的所有费用。</w:t>
      </w:r>
    </w:p>
    <w:p w14:paraId="4AF55313">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2.服务费采用分期支付的方式，本合同签订后    日内，甲方支付乙方总合同价款         %的预付款（即      元）。乙方向甲方交付所有项目成果，并经甲方验收合格后    日内，甲方支付乙方总合同价款     %（即      元）。即：在满足上述条件的情况下，甲方分别在每个结算周期收到乙方开具增值税发票后，以银行转账方式向乙方分别支付相应的费用。</w:t>
      </w:r>
    </w:p>
    <w:p w14:paraId="49794C30">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 服务费汇入乙方指定的以下账户：</w:t>
      </w:r>
    </w:p>
    <w:p w14:paraId="5C673FFB">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收款单位名称：                     </w:t>
      </w:r>
    </w:p>
    <w:p w14:paraId="6E2310FB">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社会统一信用代码：                   </w:t>
      </w:r>
    </w:p>
    <w:p w14:paraId="69B46CFD">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开户行名称：                       </w:t>
      </w:r>
    </w:p>
    <w:p w14:paraId="07BB7233">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开户行地址：                       </w:t>
      </w:r>
    </w:p>
    <w:p w14:paraId="54978377">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银行账号：                         </w:t>
      </w:r>
    </w:p>
    <w:p w14:paraId="0A336F50">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联行行号：                         </w:t>
      </w:r>
    </w:p>
    <w:p w14:paraId="329C124B">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财务联系人：            电话：                 </w:t>
      </w:r>
    </w:p>
    <w:p w14:paraId="045F9DB1">
      <w:pPr>
        <w:spacing w:after="156" w:afterLines="50" w:line="360" w:lineRule="auto"/>
        <w:ind w:firstLine="465" w:firstLineChars="194"/>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lang w:val="zh-CN"/>
        </w:rPr>
        <w:t>乙方应对上述账户信息的真实性、安全性、完整性、准确性负责，否则因此给甲方和乙方造成的损失均由乙方负责承担和赔偿。</w:t>
      </w:r>
    </w:p>
    <w:p w14:paraId="1B04C166">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项目履行期限及地点</w:t>
      </w:r>
    </w:p>
    <w:p w14:paraId="6B5404FB">
      <w:pPr>
        <w:spacing w:after="156" w:afterLines="50" w:line="360" w:lineRule="auto"/>
        <w:ind w:firstLine="470" w:firstLineChars="196"/>
        <w:rPr>
          <w:rFonts w:ascii="仿宋_GB2312" w:hAnsi="宋体" w:eastAsia="仿宋_GB2312"/>
          <w:b/>
          <w:color w:val="auto"/>
          <w:sz w:val="24"/>
          <w:highlight w:val="none"/>
        </w:rPr>
      </w:pPr>
      <w:r>
        <w:rPr>
          <w:rFonts w:hint="eastAsia" w:ascii="仿宋_GB2312" w:hAnsi="宋体" w:eastAsia="仿宋_GB2312" w:cs="宋体"/>
          <w:color w:val="auto"/>
          <w:kern w:val="0"/>
          <w:sz w:val="24"/>
          <w:highlight w:val="none"/>
          <w:lang w:val="zh-CN"/>
        </w:rPr>
        <w:t>1．项目履行期限为：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日起，</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日止。</w:t>
      </w:r>
    </w:p>
    <w:p w14:paraId="04F309FF">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2．项目履行地点为：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197AE828">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项目基本要求</w:t>
      </w:r>
    </w:p>
    <w:p w14:paraId="3059E214">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自本合同签订之日起，乙方应履行合同所规定的任务，按时完成并交付项目成果。</w:t>
      </w:r>
    </w:p>
    <w:p w14:paraId="5E5272EB">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软件开发及升级任务的项目成果至少应包括：需求分析报告、系统设计报告、用户测试报告、用户使用手册、源代码、安装盘，具体成果见附件。</w:t>
      </w:r>
    </w:p>
    <w:p w14:paraId="284D4CB2">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软件开发和升级工作必须提交《需求分析报告》。《需求分析报告》经甲方组织专家论证通过后，作为本合同的组成部分，与本合同具有同等法律效力。</w:t>
      </w:r>
    </w:p>
    <w:p w14:paraId="4262E90F">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软件开发、软件升级、数据整合建库工作的实施应遵循相关数据库及信息系统建设规程或标准。</w:t>
      </w:r>
    </w:p>
    <w:p w14:paraId="257F3B9A">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本合同规定的任务未经甲方书面同意，不得转包和分包。</w:t>
      </w:r>
    </w:p>
    <w:p w14:paraId="6E601113">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自本合同签订之日起，乙方应严格按照甲方进度要求开展工作，并向甲方提交具体项目进度安排，内容包括项目进度及里程碑计划情况，具体进度安排见附件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0BA72CC1">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第三方监理：甲方有权聘请第三方作为本项目实施的监理。如甲方指定了第三方作为甲方的监理，依甲方的授权，该监理享有与本合同中所约定的甲方同等的权利，以监理本项目的进行。</w:t>
      </w:r>
    </w:p>
    <w:p w14:paraId="4C0DBEF5">
      <w:pPr>
        <w:numPr>
          <w:ilvl w:val="0"/>
          <w:numId w:val="3"/>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系统上线运行前，</w:t>
      </w:r>
      <w:r>
        <w:rPr>
          <w:rFonts w:ascii="仿宋_GB2312" w:hAnsi="宋体" w:eastAsia="仿宋_GB2312" w:cs="宋体"/>
          <w:color w:val="auto"/>
          <w:kern w:val="0"/>
          <w:sz w:val="24"/>
          <w:highlight w:val="none"/>
          <w:lang w:val="zh-CN"/>
        </w:rPr>
        <w:t>必须</w:t>
      </w:r>
      <w:r>
        <w:rPr>
          <w:rFonts w:hint="eastAsia" w:ascii="仿宋_GB2312" w:hAnsi="宋体" w:eastAsia="仿宋_GB2312" w:cs="宋体"/>
          <w:color w:val="auto"/>
          <w:kern w:val="0"/>
          <w:sz w:val="24"/>
          <w:highlight w:val="none"/>
          <w:lang w:val="zh-CN"/>
        </w:rPr>
        <w:t>提供经过第三方认证的网络安全测评报告。</w:t>
      </w:r>
    </w:p>
    <w:p w14:paraId="0F87A9E4">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验收、交付</w:t>
      </w:r>
    </w:p>
    <w:p w14:paraId="32523A33">
      <w:pPr>
        <w:numPr>
          <w:ilvl w:val="0"/>
          <w:numId w:val="4"/>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乙方应在验收前</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个工作日内，以书面方式通知甲方。甲方应当在接到通知后的</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个工作日内安排验收。软件开发、软件升级工作在项目验收前必须通过甲方组织的用户测试，用户测试具体要求及内容见附件。</w:t>
      </w:r>
    </w:p>
    <w:p w14:paraId="363E576C">
      <w:pPr>
        <w:numPr>
          <w:ilvl w:val="0"/>
          <w:numId w:val="4"/>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如由于甲方的原因而导致验收不能按照规定的时间进行，乙方将按延期时间顺延验收。如由于乙方的原因而导致验收不能按照规定的时间进行，乙方应按照本合同约定承担相应违约责任。</w:t>
      </w:r>
    </w:p>
    <w:p w14:paraId="1F74ED70">
      <w:pPr>
        <w:numPr>
          <w:ilvl w:val="0"/>
          <w:numId w:val="4"/>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乙方提交的项目成果经甲方全部验收合格之后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个工作日内，乙方应按规定交付全部成果资料，详细成果资料清单见附件。</w:t>
      </w:r>
      <w:r>
        <w:rPr>
          <w:rFonts w:hint="eastAsia" w:ascii="仿宋_GB2312" w:hAnsi="宋体" w:eastAsia="仿宋_GB2312"/>
          <w:color w:val="auto"/>
          <w:sz w:val="24"/>
          <w:highlight w:val="none"/>
        </w:rPr>
        <w:t>视为乙方完成服务成果交付，服务成果交付作为甲方向乙方支付服务费用的前提条件。</w:t>
      </w:r>
    </w:p>
    <w:p w14:paraId="76BAE6F8">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知识产权 </w:t>
      </w:r>
    </w:p>
    <w:p w14:paraId="34C3411D">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甲方拥有按照本合同约定所开发及升级软件的知识产权。乙方非经甲方同意，不得以任何方式向第三方披露、转让和许可有关的技术成果、计算机软件、涉密信息、技术资料和文件。未得到甲方的书面许可，乙方不得以任何方式商业性地利用上述资料和技术。如乙方违反本条的规定，除立即停止违约行为外，还应承担违约的相关责任和相应的经济处罚。</w:t>
      </w:r>
    </w:p>
    <w:p w14:paraId="7D47E2DF">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乙方在项目实施过程中所形成的所有原始资料、中间及最终成果归甲方所有。</w:t>
      </w:r>
    </w:p>
    <w:p w14:paraId="59458371">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培训和维护</w:t>
      </w:r>
    </w:p>
    <w:p w14:paraId="21E19B0C">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1．软件的维护和支持</w:t>
      </w:r>
    </w:p>
    <w:p w14:paraId="6492522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乙方同意在本项目验收通过之日起的</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年内向甲方提供免费的软件维护和支持服务，</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在收到甲方要求软件维护和支持服务的通知后，</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需在3日内解决，逾期未解决的，</w:t>
      </w:r>
      <w:r>
        <w:rPr>
          <w:rFonts w:ascii="仿宋_GB2312" w:hAnsi="宋体" w:eastAsia="仿宋_GB2312" w:cs="宋体"/>
          <w:color w:val="auto"/>
          <w:kern w:val="0"/>
          <w:sz w:val="24"/>
          <w:highlight w:val="none"/>
          <w:lang w:val="zh-CN"/>
        </w:rPr>
        <w:t>甲方</w:t>
      </w:r>
      <w:r>
        <w:rPr>
          <w:rFonts w:hint="eastAsia" w:ascii="仿宋_GB2312" w:hAnsi="宋体" w:eastAsia="仿宋_GB2312" w:cs="宋体"/>
          <w:color w:val="auto"/>
          <w:kern w:val="0"/>
          <w:sz w:val="24"/>
          <w:highlight w:val="none"/>
          <w:lang w:val="zh-CN"/>
        </w:rPr>
        <w:t>有权追究乙方的违约责任。维护和支持服务期满后，如甲方继续聘请乙方提供上述服务，甲、乙双方将视情况另行签订维护和支持协议。</w:t>
      </w:r>
    </w:p>
    <w:p w14:paraId="357CC5B8">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2．项目培训</w:t>
      </w:r>
    </w:p>
    <w:p w14:paraId="21DDB194">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乙方应及时对甲方的相关人员进行培训，培训目标为受训者能够独立、熟练地完成操作，实现依据本合同所规定的软件的目标和功能。培训计划详见附件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08F92547">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乙方保证与侵权赔偿</w:t>
      </w:r>
    </w:p>
    <w:p w14:paraId="7FA1D90E">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1、乙方保证：</w:t>
      </w:r>
    </w:p>
    <w:p w14:paraId="6124D078">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1）乙方履行本合同项下的义务。授予甲方的许可权没有受到任何第三方的约束或限制，也没有承担任何约束或限制性义务。</w:t>
      </w:r>
    </w:p>
    <w:p w14:paraId="6F0FD9FB">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2）本软件或其授予的权利不会侵犯任何第三人的知识产权或其他权利，也没有其他针对乙方拥有本软件权利的未决诉讼，或甲方行使乙方所授予的软件权利会侵犯任何第三人的合法权利。</w:t>
      </w:r>
    </w:p>
    <w:p w14:paraId="4F16BB76">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3）所开发的软件必须符合国家有关软件产品方面的规定和软件标准规范。</w:t>
      </w:r>
    </w:p>
    <w:p w14:paraId="2F43C54C">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4）在乙方所交付的软件系统中，不含任何可以自动终止或妨碍系统运作的软件。</w:t>
      </w:r>
    </w:p>
    <w:p w14:paraId="517A5AD6">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5）如乙方所交付和许可甲方使用的软件需经国家有关部门登记、备案、审批或许可的，乙方应保证所提供的软件已完成了上述手续。</w:t>
      </w:r>
    </w:p>
    <w:p w14:paraId="43B1219E">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2、侵权赔偿</w:t>
      </w:r>
    </w:p>
    <w:p w14:paraId="6F14FEBB">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乙方同意，如有第三方声称甲方使用本软件侵犯了第三方的知识产权或其它财产权利，乙方将对由此而引起的任何诉讼或法律请求进行抗辩。乙方同意支付有关判决或和解所确定的赔偿金额以及其他因此产生的费用，</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w:t>
      </w:r>
      <w:r>
        <w:rPr>
          <w:rFonts w:hint="eastAsia" w:ascii="仿宋_GB2312" w:hAnsi="宋体" w:eastAsia="仿宋_GB2312" w:cs="宋体"/>
          <w:color w:val="auto"/>
          <w:kern w:val="0"/>
          <w:sz w:val="24"/>
          <w:highlight w:val="none"/>
          <w:lang w:val="zh-CN"/>
        </w:rPr>
        <w:t>费、</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6D36632">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甲方同意，一旦发生此类诉讼或请求，甲方将及时通知乙方并对乙方处理该诉讼或请求提供合理的帮助，以便乙方获得应有的权利，并在征得乙方书面同意的情况下处理与此相关的应诉、抗辩或进行和解。如乙方由于经济或其他原因不能针对该项诉请进行应诉或和解，甲方有权应诉或进行和解，其发生的费用由乙方承担，</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w:t>
      </w:r>
      <w:r>
        <w:rPr>
          <w:rFonts w:hint="eastAsia" w:ascii="仿宋_GB2312" w:hAnsi="宋体" w:eastAsia="仿宋_GB2312" w:cs="宋体"/>
          <w:color w:val="auto"/>
          <w:kern w:val="0"/>
          <w:sz w:val="24"/>
          <w:highlight w:val="none"/>
          <w:lang w:val="zh-CN"/>
        </w:rPr>
        <w:t>费、</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4B2519B4">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3）如本软件或其任何部分被依法认定为侵犯第三人的合法权利，或任何依约定使用或分销该软件或行使任何由乙方授予的权利被认定为侵权，乙方应尽力用相等功能的且非侵权的软件替换本软件，或取得相关授权，以使甲方能够继续享有本合同所规定的各项权利，否则甲方有权单方面解除合同，</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需退回服务费并赔偿甲方损失。</w:t>
      </w:r>
    </w:p>
    <w:p w14:paraId="2A662E9C">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保密</w:t>
      </w:r>
    </w:p>
    <w:p w14:paraId="2FB7EF97">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在本合同的履行期内，乙方获得与本项目相关的信息（包括获得的资料及成果等），应当采取适当有效的方式保护，不得未经授权使用、传播或公开。</w:t>
      </w:r>
    </w:p>
    <w:p w14:paraId="3D6D147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乙方在项目实施过程中接触或产生涉密数据的，应严格按《中华人民共和国保守国家秘密法》、</w:t>
      </w:r>
      <w:r>
        <w:rPr>
          <w:rFonts w:hint="eastAsia" w:ascii="仿宋_GB2312" w:hAnsi="宋体" w:eastAsia="仿宋_GB2312"/>
          <w:color w:val="auto"/>
          <w:sz w:val="24"/>
          <w:highlight w:val="none"/>
        </w:rPr>
        <w:t>《自治区自然资源规划研究院涉密数据安全使用管理办法》</w:t>
      </w:r>
      <w:r>
        <w:rPr>
          <w:rFonts w:hint="eastAsia" w:ascii="仿宋_GB2312" w:hAnsi="宋体" w:eastAsia="仿宋_GB2312" w:cs="宋体"/>
          <w:color w:val="auto"/>
          <w:kern w:val="0"/>
          <w:sz w:val="24"/>
          <w:highlight w:val="none"/>
          <w:lang w:val="zh-CN"/>
        </w:rPr>
        <w:t>以及其他相关法律法规和制度执行。如由于乙方的原因而导致泄密的，乙方应承担相应法律责任。</w:t>
      </w:r>
    </w:p>
    <w:p w14:paraId="2BE862FB">
      <w:pPr>
        <w:autoSpaceDE w:val="0"/>
        <w:autoSpaceDN w:val="0"/>
        <w:adjustRightInd w:val="0"/>
        <w:spacing w:after="156" w:afterLines="50" w:line="360" w:lineRule="auto"/>
        <w:ind w:firstLine="480" w:firstLineChars="200"/>
        <w:jc w:val="left"/>
        <w:rPr>
          <w:rFonts w:ascii="仿宋_GB2312" w:hAnsi="宋体" w:eastAsia="仿宋_GB2312" w:cs="宋体"/>
          <w:b/>
          <w:color w:val="auto"/>
          <w:kern w:val="0"/>
          <w:sz w:val="24"/>
          <w:highlight w:val="none"/>
          <w:lang w:val="zh-CN"/>
        </w:rPr>
      </w:pPr>
      <w:r>
        <w:rPr>
          <w:rFonts w:hint="eastAsia" w:ascii="仿宋_GB2312" w:hAnsi="宋体" w:eastAsia="仿宋_GB2312" w:cs="宋体"/>
          <w:color w:val="auto"/>
          <w:kern w:val="0"/>
          <w:sz w:val="24"/>
          <w:highlight w:val="none"/>
          <w:lang w:val="zh-CN"/>
        </w:rPr>
        <w:t>3</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在本合同的履行期内，任何一方可以获得与本项目相关的对方的商业秘密，对此双方皆应谨慎地进行披露和接受。获取对方商业秘密的一方仅可将该商业秘密用于履行其在本合同项下的义务，且只能由相关的工程技术人员使用。获取对方商业秘密的一方应当采取适当有效的方式保护所获取的商业秘密，未经授权不得使用、传播或公开商业秘密。除非有对方的书面许可，或该信息已被拥有方认为不再是商业秘密，或已在社会上公开，该商业秘密应当在</w:t>
      </w:r>
      <w:r>
        <w:rPr>
          <w:rFonts w:hint="eastAsia" w:ascii="仿宋_GB2312" w:hAnsi="宋体" w:eastAsia="仿宋_GB2312" w:cs="宋体"/>
          <w:b/>
          <w:color w:val="auto"/>
          <w:kern w:val="0"/>
          <w:sz w:val="24"/>
          <w:highlight w:val="none"/>
          <w:lang w:val="zh-CN"/>
        </w:rPr>
        <w:t>三年内</w:t>
      </w:r>
      <w:r>
        <w:rPr>
          <w:rFonts w:hint="eastAsia" w:ascii="仿宋_GB2312" w:hAnsi="宋体" w:eastAsia="仿宋_GB2312" w:cs="宋体"/>
          <w:color w:val="auto"/>
          <w:kern w:val="0"/>
          <w:sz w:val="24"/>
          <w:highlight w:val="none"/>
          <w:lang w:val="zh-CN"/>
        </w:rPr>
        <w:t>不得对外披露。</w:t>
      </w:r>
    </w:p>
    <w:p w14:paraId="73688D91">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违约与赔偿责任</w:t>
      </w:r>
    </w:p>
    <w:p w14:paraId="26B556CB">
      <w:pPr>
        <w:numPr>
          <w:ilvl w:val="0"/>
          <w:numId w:val="6"/>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应在合同所规定的时间内完成和交付本合同规定的项目。所交付的项目成果经甲方验收不合格的，乙方应在甲方规定的期限内完成返工，由此造成的经济损失由乙方承担。若乙方拒绝返工或者超过甲方规定的期限未返工的或者返工之后未达到甲方要求的，</w:t>
      </w:r>
      <w:r>
        <w:rPr>
          <w:rFonts w:ascii="仿宋_GB2312" w:hAnsi="宋体" w:eastAsia="仿宋_GB2312" w:cs="宋体"/>
          <w:color w:val="auto"/>
          <w:kern w:val="0"/>
          <w:sz w:val="24"/>
          <w:highlight w:val="none"/>
          <w:lang w:val="zh-CN"/>
        </w:rPr>
        <w:t>甲方</w:t>
      </w:r>
      <w:r>
        <w:rPr>
          <w:rFonts w:hint="eastAsia" w:ascii="仿宋_GB2312" w:hAnsi="宋体" w:eastAsia="仿宋_GB2312" w:cs="宋体"/>
          <w:color w:val="auto"/>
          <w:kern w:val="0"/>
          <w:sz w:val="24"/>
          <w:highlight w:val="none"/>
          <w:lang w:val="zh-CN"/>
        </w:rPr>
        <w:t>有权解除本合同，</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需退还甲方服务费并承担总服务费10</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的违约金以及其他由此造成的直接和间接损失，</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、保函费等费用。</w:t>
      </w:r>
    </w:p>
    <w:p w14:paraId="7951FC86">
      <w:pPr>
        <w:numPr>
          <w:ilvl w:val="0"/>
          <w:numId w:val="6"/>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在乙方违约情况下，除依合同支付违约金外，甲方有权要求乙方做出补偿和采取补救措施，并继续履行本合同所规定的义务。违约金的具体确定方式为：</w:t>
      </w:r>
    </w:p>
    <w:p w14:paraId="6A6B01F3">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--每延期一日，乙方应向甲方支付合同总价</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0.1</w:t>
      </w:r>
      <w:r>
        <w:rPr>
          <w:rFonts w:hint="eastAsia" w:ascii="仿宋_GB2312" w:hAnsi="宋体" w:eastAsia="仿宋_GB2312" w:cs="宋体"/>
          <w:color w:val="auto"/>
          <w:kern w:val="0"/>
          <w:sz w:val="24"/>
          <w:highlight w:val="none"/>
          <w:lang w:val="zh-CN"/>
        </w:rPr>
        <w:t xml:space="preserve">％的违约金，但违约金的总数不超过合同总价的 </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20</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3C3C4C3E">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--如延期时间超过</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30</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天，甲方有权终止合同，除前款所约定的违约金外，并要求乙方支付合同总价的</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20</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作为对甲方的赔偿。如甲方由此终止本合同，乙方应在两个星期内返还甲方所支付的费用，并按甲方的要求退还或销毁所有的基础性文件和原始资料，并赔偿甲方由此而引起的直接和间接损失，包括但不限于诉讼费、律师费、差旅费、保全费、保函费等费用。</w:t>
      </w:r>
    </w:p>
    <w:p w14:paraId="5A6B2EED">
      <w:pPr>
        <w:numPr>
          <w:ilvl w:val="0"/>
          <w:numId w:val="6"/>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如发生违约事件，守约方要求违约方支付违约金时，应以书面方式通知违约方，内容包括违约事件、违约金、支付时间和方式等。违约方在收到上述通知后，应于</w:t>
      </w:r>
      <w:r>
        <w:rPr>
          <w:rFonts w:hint="eastAsia" w:ascii="仿宋_GB2312" w:hAnsi="宋体" w:eastAsia="仿宋_GB2312" w:cs="宋体"/>
          <w:color w:val="auto"/>
          <w:kern w:val="0"/>
          <w:sz w:val="24"/>
          <w:highlight w:val="none"/>
          <w:u w:val="single"/>
          <w:lang w:val="zh-CN"/>
        </w:rPr>
        <w:t>_</w:t>
      </w:r>
      <w:r>
        <w:rPr>
          <w:rFonts w:ascii="仿宋_GB2312" w:hAnsi="宋体" w:eastAsia="仿宋_GB2312" w:cs="宋体"/>
          <w:color w:val="auto"/>
          <w:kern w:val="0"/>
          <w:sz w:val="24"/>
          <w:highlight w:val="none"/>
          <w:u w:val="single"/>
          <w:lang w:val="zh-CN"/>
        </w:rPr>
        <w:t>10</w:t>
      </w:r>
      <w:r>
        <w:rPr>
          <w:rFonts w:hint="eastAsia" w:ascii="仿宋_GB2312" w:hAnsi="宋体" w:eastAsia="仿宋_GB2312" w:cs="宋体"/>
          <w:color w:val="auto"/>
          <w:kern w:val="0"/>
          <w:sz w:val="24"/>
          <w:highlight w:val="none"/>
          <w:u w:val="single"/>
          <w:lang w:val="zh-CN"/>
        </w:rPr>
        <w:t>_</w:t>
      </w:r>
      <w:r>
        <w:rPr>
          <w:rFonts w:hint="eastAsia" w:ascii="仿宋_GB2312" w:hAnsi="宋体" w:eastAsia="仿宋_GB2312" w:cs="宋体"/>
          <w:color w:val="auto"/>
          <w:kern w:val="0"/>
          <w:sz w:val="24"/>
          <w:highlight w:val="none"/>
          <w:lang w:val="zh-CN"/>
        </w:rPr>
        <w:t>天内答复对方，并支付违约金。如双方不能就此达成一致意见，将按照本合同所规定的争议解决条款解决双方的纠纷，但任何一方不得采取非法手段或以损害本项目的方式实现违约金。</w:t>
      </w:r>
    </w:p>
    <w:p w14:paraId="2C60542B">
      <w:pPr>
        <w:numPr>
          <w:ilvl w:val="0"/>
          <w:numId w:val="6"/>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在项目实施过程中应保证安全，如造成人员伤亡或财产损失，由乙方自负经济、法律责任。</w:t>
      </w:r>
    </w:p>
    <w:p w14:paraId="3ABE370F">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不可抗力</w:t>
      </w:r>
    </w:p>
    <w:p w14:paraId="628CDF51">
      <w:pPr>
        <w:autoSpaceDE w:val="0"/>
        <w:autoSpaceDN w:val="0"/>
        <w:adjustRightInd w:val="0"/>
        <w:spacing w:after="50" w:line="360" w:lineRule="auto"/>
        <w:ind w:firstLine="480" w:firstLineChars="200"/>
        <w:jc w:val="left"/>
        <w:rPr>
          <w:rFonts w:ascii="仿宋_GB2312" w:eastAsia="仿宋_GB2312" w:cs="宋体"/>
          <w:color w:val="auto"/>
          <w:kern w:val="0"/>
          <w:sz w:val="24"/>
          <w:highlight w:val="none"/>
          <w:lang w:val="zh-CN"/>
        </w:rPr>
      </w:pPr>
      <w:r>
        <w:rPr>
          <w:rFonts w:hint="eastAsia" w:ascii="仿宋_GB2312" w:eastAsia="仿宋_GB2312" w:cs="宋体"/>
          <w:color w:val="auto"/>
          <w:kern w:val="0"/>
          <w:sz w:val="24"/>
          <w:highlight w:val="none"/>
          <w:lang w:val="zh-CN"/>
        </w:rPr>
        <w:t>1、如果本合同任何一方因受不可抗力事件影响而未能履行其在本合同下的全部或部分义务，该义务的履行在不可抗力事件妨碍其履行期间应予中止。</w:t>
      </w:r>
    </w:p>
    <w:p w14:paraId="62A3F908">
      <w:pPr>
        <w:autoSpaceDE w:val="0"/>
        <w:autoSpaceDN w:val="0"/>
        <w:adjustRightInd w:val="0"/>
        <w:spacing w:after="50" w:line="360" w:lineRule="auto"/>
        <w:ind w:firstLine="360" w:firstLineChars="150"/>
        <w:jc w:val="left"/>
        <w:rPr>
          <w:rFonts w:ascii="仿宋_GB2312" w:eastAsia="仿宋_GB2312" w:cs="宋体"/>
          <w:color w:val="auto"/>
          <w:kern w:val="0"/>
          <w:sz w:val="24"/>
          <w:highlight w:val="none"/>
          <w:lang w:val="zh-CN"/>
        </w:rPr>
      </w:pPr>
      <w:r>
        <w:rPr>
          <w:rFonts w:hint="eastAsia" w:ascii="仿宋_GB2312" w:eastAsia="仿宋_GB2312" w:cs="宋体"/>
          <w:color w:val="auto"/>
          <w:kern w:val="0"/>
          <w:sz w:val="24"/>
          <w:highlight w:val="none"/>
          <w:lang w:val="zh-CN"/>
        </w:rPr>
        <w:t>2、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w:t>
      </w:r>
    </w:p>
    <w:p w14:paraId="72F43E03">
      <w:pPr>
        <w:autoSpaceDE w:val="0"/>
        <w:autoSpaceDN w:val="0"/>
        <w:adjustRightInd w:val="0"/>
        <w:spacing w:after="50" w:line="360" w:lineRule="auto"/>
        <w:ind w:firstLine="360" w:firstLineChars="150"/>
        <w:jc w:val="left"/>
        <w:rPr>
          <w:rFonts w:ascii="仿宋_GB2312" w:eastAsia="仿宋_GB2312" w:cs="宋体"/>
          <w:color w:val="auto"/>
          <w:kern w:val="0"/>
          <w:sz w:val="24"/>
          <w:highlight w:val="none"/>
          <w:lang w:val="zh-CN"/>
        </w:rPr>
      </w:pPr>
      <w:r>
        <w:rPr>
          <w:rFonts w:hint="eastAsia" w:ascii="仿宋_GB2312" w:eastAsia="仿宋_GB2312" w:cs="宋体"/>
          <w:color w:val="auto"/>
          <w:kern w:val="0"/>
          <w:sz w:val="24"/>
          <w:highlight w:val="none"/>
          <w:lang w:val="zh-CN"/>
        </w:rPr>
        <w:t>3、当事人迟延履行后发生不可抗力的，不能免除责任。</w:t>
      </w:r>
    </w:p>
    <w:p w14:paraId="09352676">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争议的解决</w:t>
      </w:r>
    </w:p>
    <w:p w14:paraId="59573910">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本合同在履行中发生争议，由甲、乙双方协商解决。协商不成时，甲、乙双方同意提交乌鲁木齐市新市区人民法院裁决。</w:t>
      </w:r>
    </w:p>
    <w:p w14:paraId="67453AA3">
      <w:pPr>
        <w:numPr>
          <w:ilvl w:val="0"/>
          <w:numId w:val="2"/>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 其它</w:t>
      </w:r>
    </w:p>
    <w:p w14:paraId="183D87B5">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1.本合同之附件均为本合同不可分割之部分。</w:t>
      </w:r>
    </w:p>
    <w:p w14:paraId="4924285B">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2.本合同未尽事宜，由甲、乙双方另行议定，并签订补充协议。补充协议与本合同不一致的，以补充协议为准。</w:t>
      </w:r>
    </w:p>
    <w:p w14:paraId="650F45B9">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3.本合同及其附件和补充协议中未规定的事项，均遵照中华人民共和国有关法律、法规执行。</w:t>
      </w:r>
    </w:p>
    <w:p w14:paraId="1862249D">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4.本合同连同附件一式</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份，甲、乙双方各执</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份，均具有同等法律效力。合同附件作为本合同的组成部分，</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违反合同附件的相关内容，</w:t>
      </w:r>
      <w:r>
        <w:rPr>
          <w:rFonts w:ascii="仿宋_GB2312" w:hAnsi="宋体" w:eastAsia="仿宋_GB2312"/>
          <w:color w:val="auto"/>
          <w:sz w:val="24"/>
          <w:highlight w:val="none"/>
        </w:rPr>
        <w:t>视为</w:t>
      </w:r>
      <w:r>
        <w:rPr>
          <w:rFonts w:hint="eastAsia" w:ascii="仿宋_GB2312" w:hAnsi="宋体" w:eastAsia="仿宋_GB2312"/>
          <w:color w:val="auto"/>
          <w:sz w:val="24"/>
          <w:highlight w:val="none"/>
        </w:rPr>
        <w:t>违反本合同。</w:t>
      </w:r>
    </w:p>
    <w:p w14:paraId="27F35775">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5. 合同双方法人或委托代理人盖章或签字，本合同生效。</w:t>
      </w:r>
    </w:p>
    <w:p w14:paraId="53F36E85">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附件：</w:t>
      </w:r>
      <w:r>
        <w:rPr>
          <w:rFonts w:hint="eastAsia" w:ascii="仿宋_GB2312" w:hAnsi="宋体" w:eastAsia="仿宋_GB2312"/>
          <w:color w:val="auto"/>
          <w:sz w:val="24"/>
          <w:highlight w:val="none"/>
          <w:u w:val="single"/>
        </w:rPr>
        <w:t xml:space="preserve">（1） 项目实施方案 </w:t>
      </w:r>
    </w:p>
    <w:p w14:paraId="416B9506">
      <w:pPr>
        <w:tabs>
          <w:tab w:val="right" w:pos="5880"/>
        </w:tabs>
        <w:spacing w:before="312" w:beforeLines="100"/>
        <w:ind w:firstLine="420"/>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（2）保密协议及保密责任书</w:t>
      </w:r>
    </w:p>
    <w:p w14:paraId="199D04FF">
      <w:pPr>
        <w:tabs>
          <w:tab w:val="right" w:pos="5880"/>
        </w:tabs>
        <w:spacing w:before="312" w:beforeLines="100"/>
        <w:ind w:firstLine="420"/>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（3）廉政承诺书</w:t>
      </w:r>
    </w:p>
    <w:p w14:paraId="0D968F8F">
      <w:pPr>
        <w:tabs>
          <w:tab w:val="right" w:pos="5880"/>
        </w:tabs>
        <w:spacing w:before="312" w:beforeLines="100"/>
        <w:ind w:firstLine="420"/>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（4）安全生产承诺书</w:t>
      </w:r>
    </w:p>
    <w:p w14:paraId="53963620">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甲方：自治区自然资源规划研究院（盖章）</w:t>
      </w:r>
    </w:p>
    <w:p w14:paraId="68B795FE">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4FDBDCF2">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40053F2E">
      <w:pPr>
        <w:tabs>
          <w:tab w:val="right" w:pos="5880"/>
        </w:tabs>
        <w:spacing w:before="312" w:beforeLines="100"/>
        <w:ind w:firstLine="420"/>
        <w:rPr>
          <w:rFonts w:ascii="仿宋_GB2312" w:hAnsi="宋体" w:eastAsia="仿宋_GB2312"/>
          <w:color w:val="auto"/>
          <w:sz w:val="24"/>
          <w:highlight w:val="none"/>
        </w:rPr>
      </w:pPr>
    </w:p>
    <w:p w14:paraId="3F9F1D42">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乙方：（盖章）</w:t>
      </w:r>
    </w:p>
    <w:p w14:paraId="412F41C4">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240072B2">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19B58DAA">
      <w:pPr>
        <w:tabs>
          <w:tab w:val="right" w:pos="5880"/>
        </w:tabs>
        <w:spacing w:before="312" w:beforeLines="100"/>
        <w:ind w:firstLine="420"/>
        <w:rPr>
          <w:rFonts w:ascii="仿宋_GB2312" w:hAnsi="宋体" w:eastAsia="仿宋_GB2312"/>
          <w:b/>
          <w:color w:val="auto"/>
          <w:sz w:val="24"/>
          <w:highlight w:val="none"/>
        </w:rPr>
      </w:pPr>
    </w:p>
    <w:p w14:paraId="601AF251">
      <w:pPr>
        <w:rPr>
          <w:color w:val="auto"/>
          <w:highlight w:val="none"/>
        </w:rPr>
      </w:pPr>
    </w:p>
    <w:p w14:paraId="345740A2">
      <w:pPr>
        <w:keepNext w:val="0"/>
        <w:keepLines w:val="0"/>
        <w:pageBreakBefore w:val="0"/>
        <w:widowControl/>
        <w:shd w:val="clear"/>
        <w:kinsoku/>
        <w:wordWrap/>
        <w:overflowPunct/>
        <w:topLinePunct w:val="0"/>
        <w:autoSpaceDE/>
        <w:autoSpaceDN/>
        <w:bidi w:val="0"/>
        <w:adjustRightInd/>
        <w:snapToGrid/>
        <w:spacing w:before="95" w:line="560" w:lineRule="exact"/>
        <w:ind w:right="1814"/>
        <w:jc w:val="both"/>
        <w:textAlignment w:val="baseline"/>
        <w:outlineLvl w:val="9"/>
        <w:rPr>
          <w:rFonts w:hint="eastAsia" w:ascii="仿宋" w:hAnsi="仿宋" w:eastAsia="仿宋" w:cs="仿宋"/>
          <w:b/>
          <w:bCs/>
          <w:color w:val="auto"/>
          <w:sz w:val="24"/>
          <w:szCs w:val="24"/>
          <w:highlight w:val="none"/>
        </w:rPr>
      </w:pPr>
    </w:p>
    <w:p w14:paraId="0C963E53">
      <w:pPr>
        <w:keepNext w:val="0"/>
        <w:keepLines w:val="0"/>
        <w:pageBreakBefore w:val="0"/>
        <w:widowControl/>
        <w:shd w:val="clear"/>
        <w:kinsoku/>
        <w:wordWrap/>
        <w:overflowPunct/>
        <w:topLinePunct w:val="0"/>
        <w:autoSpaceDE/>
        <w:autoSpaceDN/>
        <w:bidi w:val="0"/>
        <w:adjustRightInd/>
        <w:snapToGrid/>
        <w:spacing w:before="95" w:line="560" w:lineRule="exact"/>
        <w:ind w:left="2166" w:right="1814"/>
        <w:jc w:val="center"/>
        <w:textAlignment w:val="baseline"/>
        <w:outlineLvl w:val="9"/>
        <w:rPr>
          <w:rFonts w:hint="eastAsia" w:ascii="仿宋" w:hAnsi="仿宋" w:eastAsia="仿宋" w:cs="仿宋"/>
          <w:b/>
          <w:bCs/>
          <w:color w:val="auto"/>
          <w:sz w:val="24"/>
          <w:szCs w:val="24"/>
          <w:highlight w:val="none"/>
        </w:rPr>
      </w:pPr>
    </w:p>
    <w:p w14:paraId="21CEF5B7">
      <w:pPr>
        <w:keepNext w:val="0"/>
        <w:keepLines w:val="0"/>
        <w:pageBreakBefore w:val="0"/>
        <w:widowControl/>
        <w:shd w:val="clear"/>
        <w:kinsoku/>
        <w:wordWrap/>
        <w:overflowPunct/>
        <w:topLinePunct w:val="0"/>
        <w:autoSpaceDE/>
        <w:autoSpaceDN/>
        <w:bidi w:val="0"/>
        <w:adjustRightInd/>
        <w:snapToGrid/>
        <w:spacing w:before="95" w:line="560" w:lineRule="exact"/>
        <w:ind w:left="2166" w:right="1814"/>
        <w:jc w:val="center"/>
        <w:textAlignment w:val="baseline"/>
        <w:outlineLvl w:val="9"/>
        <w:rPr>
          <w:rFonts w:hint="eastAsia" w:ascii="仿宋" w:hAnsi="仿宋" w:eastAsia="仿宋" w:cs="仿宋"/>
          <w:b/>
          <w:bCs/>
          <w:color w:val="auto"/>
          <w:sz w:val="24"/>
          <w:szCs w:val="24"/>
          <w:highlight w:val="none"/>
        </w:rPr>
      </w:pPr>
    </w:p>
    <w:p w14:paraId="3F49BDCE">
      <w:pPr>
        <w:keepNext/>
        <w:keepLines/>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b/>
          <w:bCs/>
          <w:color w:val="auto"/>
          <w:sz w:val="24"/>
          <w:szCs w:val="24"/>
          <w:highlight w:val="none"/>
        </w:rPr>
      </w:pPr>
    </w:p>
    <w:p w14:paraId="44D3D057">
      <w:pPr>
        <w:shd w:val="clear"/>
        <w:rPr>
          <w:rFonts w:hint="eastAsia"/>
          <w:color w:val="auto"/>
          <w:highlight w:val="none"/>
        </w:rPr>
      </w:pPr>
    </w:p>
    <w:p w14:paraId="7B65CD92">
      <w:pPr>
        <w:keepNext w:val="0"/>
        <w:keepLines w:val="0"/>
        <w:pageBreakBefore w:val="0"/>
        <w:widowControl/>
        <w:shd w:val="clear"/>
        <w:kinsoku/>
        <w:wordWrap/>
        <w:overflowPunct/>
        <w:topLinePunct w:val="0"/>
        <w:autoSpaceDE/>
        <w:autoSpaceDN/>
        <w:bidi w:val="0"/>
        <w:adjustRightInd/>
        <w:snapToGrid/>
        <w:spacing w:before="95" w:line="560" w:lineRule="exact"/>
        <w:ind w:left="2166" w:right="1814"/>
        <w:jc w:val="center"/>
        <w:textAlignment w:val="baseline"/>
        <w:outlineLvl w:val="9"/>
        <w:rPr>
          <w:rFonts w:hint="eastAsia" w:ascii="仿宋" w:hAnsi="仿宋" w:eastAsia="仿宋" w:cs="仿宋"/>
          <w:b/>
          <w:bCs/>
          <w:color w:val="auto"/>
          <w:sz w:val="24"/>
          <w:szCs w:val="24"/>
          <w:highlight w:val="none"/>
        </w:rPr>
      </w:pPr>
    </w:p>
    <w:p w14:paraId="4560CE76">
      <w:pPr>
        <w:pageBreakBefore w:val="0"/>
        <w:widowControl/>
        <w:shd w:val="clear"/>
        <w:kinsoku/>
        <w:wordWrap/>
        <w:overflowPunct/>
        <w:topLinePunct w:val="0"/>
        <w:autoSpaceDE/>
        <w:autoSpaceDN/>
        <w:bidi w:val="0"/>
        <w:adjustRightInd/>
        <w:snapToGrid/>
        <w:textAlignment w:val="baseline"/>
        <w:outlineLvl w:val="9"/>
        <w:rPr>
          <w:rFonts w:hint="eastAsia"/>
          <w:color w:val="auto"/>
          <w:highlight w:val="none"/>
        </w:rPr>
      </w:pPr>
    </w:p>
    <w:p w14:paraId="6123B920">
      <w:pPr>
        <w:keepNext w:val="0"/>
        <w:keepLines w:val="0"/>
        <w:pageBreakBefore w:val="0"/>
        <w:widowControl/>
        <w:shd w:val="clear"/>
        <w:kinsoku/>
        <w:wordWrap/>
        <w:overflowPunct/>
        <w:topLinePunct w:val="0"/>
        <w:autoSpaceDE/>
        <w:autoSpaceDN/>
        <w:bidi w:val="0"/>
        <w:adjustRightInd/>
        <w:snapToGrid/>
        <w:spacing w:before="95" w:line="560" w:lineRule="exact"/>
        <w:ind w:left="2166" w:right="1814"/>
        <w:jc w:val="center"/>
        <w:textAlignment w:val="baseline"/>
        <w:outlineLvl w:val="9"/>
        <w:rPr>
          <w:rFonts w:hint="eastAsia" w:ascii="仿宋" w:hAnsi="仿宋" w:eastAsia="仿宋" w:cs="仿宋"/>
          <w:b/>
          <w:bCs/>
          <w:color w:val="auto"/>
          <w:sz w:val="24"/>
          <w:szCs w:val="24"/>
          <w:highlight w:val="none"/>
        </w:rPr>
      </w:pPr>
    </w:p>
    <w:p w14:paraId="2654AA83">
      <w:pPr>
        <w:rPr>
          <w:rStyle w:val="35"/>
          <w:rFonts w:hint="eastAsia" w:ascii="仿宋" w:hAnsi="仿宋" w:eastAsia="仿宋" w:cs="仿宋"/>
          <w:b/>
          <w:color w:val="auto"/>
          <w:sz w:val="36"/>
          <w:highlight w:val="none"/>
          <w:lang w:eastAsia="zh-CN"/>
        </w:rPr>
      </w:pPr>
      <w:bookmarkStart w:id="108" w:name="_Toc14191"/>
      <w:r>
        <w:rPr>
          <w:rStyle w:val="35"/>
          <w:rFonts w:hint="eastAsia" w:ascii="仿宋" w:hAnsi="仿宋" w:eastAsia="仿宋" w:cs="仿宋"/>
          <w:b/>
          <w:color w:val="auto"/>
          <w:sz w:val="36"/>
          <w:highlight w:val="none"/>
          <w:lang w:eastAsia="zh-CN"/>
        </w:rPr>
        <w:br w:type="page"/>
      </w:r>
    </w:p>
    <w:p w14:paraId="0B70620B">
      <w:pPr>
        <w:keepNext w:val="0"/>
        <w:keepLines w:val="0"/>
        <w:pageBreakBefore w:val="0"/>
        <w:widowControl/>
        <w:shd w:val="clear"/>
        <w:kinsoku/>
        <w:wordWrap/>
        <w:overflowPunct/>
        <w:topLinePunct w:val="0"/>
        <w:autoSpaceDE/>
        <w:autoSpaceDN/>
        <w:bidi w:val="0"/>
        <w:adjustRightInd/>
        <w:spacing w:before="95" w:line="560" w:lineRule="exact"/>
        <w:ind w:left="2166" w:right="1814"/>
        <w:jc w:val="center"/>
        <w:textAlignment w:val="baseline"/>
        <w:outlineLvl w:val="0"/>
        <w:rPr>
          <w:rStyle w:val="35"/>
          <w:rFonts w:ascii="仿宋" w:hAnsi="仿宋" w:eastAsia="仿宋" w:cs="仿宋"/>
          <w:b/>
          <w:color w:val="auto"/>
          <w:sz w:val="36"/>
          <w:highlight w:val="none"/>
          <w:lang w:eastAsia="zh-CN"/>
        </w:rPr>
      </w:pPr>
      <w:r>
        <w:rPr>
          <w:rStyle w:val="35"/>
          <w:rFonts w:hint="eastAsia" w:ascii="仿宋" w:hAnsi="仿宋" w:eastAsia="仿宋" w:cs="仿宋"/>
          <w:b/>
          <w:color w:val="auto"/>
          <w:sz w:val="36"/>
          <w:highlight w:val="none"/>
          <w:lang w:eastAsia="zh-CN"/>
        </w:rPr>
        <w:t>第五部分附件</w:t>
      </w:r>
      <w:bookmarkEnd w:id="102"/>
      <w:bookmarkEnd w:id="103"/>
      <w:bookmarkEnd w:id="104"/>
      <w:bookmarkEnd w:id="105"/>
      <w:bookmarkEnd w:id="106"/>
      <w:bookmarkEnd w:id="108"/>
    </w:p>
    <w:p w14:paraId="59F2FAD9">
      <w:pPr>
        <w:pStyle w:val="61"/>
        <w:shd w:val="clear"/>
        <w:ind w:firstLine="643"/>
        <w:jc w:val="center"/>
        <w:rPr>
          <w:rFonts w:hint="default" w:ascii="仿宋" w:hAnsi="仿宋" w:eastAsia="仿宋" w:cs="仿宋"/>
          <w:b/>
          <w:color w:val="auto"/>
          <w:sz w:val="32"/>
          <w:szCs w:val="32"/>
          <w:highlight w:val="none"/>
          <w:lang w:eastAsia="zh-CN"/>
        </w:rPr>
      </w:pPr>
      <w:r>
        <w:rPr>
          <w:rFonts w:ascii="仿宋" w:hAnsi="仿宋" w:eastAsia="仿宋" w:cs="仿宋"/>
          <w:b/>
          <w:color w:val="auto"/>
          <w:sz w:val="32"/>
          <w:szCs w:val="32"/>
          <w:highlight w:val="none"/>
          <w:lang w:eastAsia="zh-CN"/>
        </w:rPr>
        <w:t>封面格式</w:t>
      </w:r>
    </w:p>
    <w:p w14:paraId="70DA0203">
      <w:pPr>
        <w:shd w:val="clear"/>
        <w:spacing w:line="579" w:lineRule="exact"/>
        <w:rPr>
          <w:rFonts w:ascii="仿宋" w:hAnsi="仿宋" w:eastAsia="仿宋" w:cs="仿宋"/>
          <w:b/>
          <w:color w:val="auto"/>
          <w:highlight w:val="none"/>
          <w:lang w:eastAsia="zh-CN"/>
        </w:rPr>
      </w:pPr>
    </w:p>
    <w:p w14:paraId="5C270FCD">
      <w:pPr>
        <w:shd w:val="clear"/>
        <w:spacing w:line="579" w:lineRule="exact"/>
        <w:jc w:val="center"/>
        <w:rPr>
          <w:rFonts w:ascii="仿宋" w:hAnsi="仿宋" w:eastAsia="仿宋" w:cs="仿宋"/>
          <w:b/>
          <w:color w:val="auto"/>
          <w:sz w:val="48"/>
          <w:szCs w:val="36"/>
          <w:highlight w:val="none"/>
          <w:lang w:eastAsia="zh-CN" w:bidi="ar"/>
        </w:rPr>
      </w:pPr>
    </w:p>
    <w:p w14:paraId="14CDADF5">
      <w:pPr>
        <w:shd w:val="clear"/>
        <w:spacing w:line="579" w:lineRule="exact"/>
        <w:jc w:val="center"/>
        <w:rPr>
          <w:rFonts w:ascii="仿宋" w:hAnsi="仿宋" w:eastAsia="仿宋" w:cs="仿宋"/>
          <w:b/>
          <w:color w:val="auto"/>
          <w:sz w:val="52"/>
          <w:szCs w:val="40"/>
          <w:highlight w:val="none"/>
          <w:lang w:eastAsia="zh-CN" w:bidi="ar"/>
        </w:rPr>
      </w:pPr>
      <w:r>
        <w:rPr>
          <w:rFonts w:hint="eastAsia" w:ascii="仿宋" w:hAnsi="仿宋" w:eastAsia="仿宋" w:cs="仿宋"/>
          <w:b/>
          <w:color w:val="auto"/>
          <w:sz w:val="52"/>
          <w:szCs w:val="52"/>
          <w:highlight w:val="none"/>
          <w:lang w:eastAsia="zh-CN"/>
        </w:rPr>
        <w:t>2025年自治区建设用地节约集约利用评价模型功能完善</w:t>
      </w:r>
    </w:p>
    <w:p w14:paraId="3D72213D">
      <w:pPr>
        <w:shd w:val="clear"/>
        <w:spacing w:line="579" w:lineRule="exact"/>
        <w:jc w:val="center"/>
        <w:rPr>
          <w:rFonts w:ascii="仿宋" w:hAnsi="仿宋" w:eastAsia="仿宋" w:cs="仿宋"/>
          <w:b/>
          <w:color w:val="auto"/>
          <w:sz w:val="52"/>
          <w:szCs w:val="40"/>
          <w:highlight w:val="none"/>
          <w:lang w:eastAsia="zh-CN" w:bidi="ar"/>
        </w:rPr>
      </w:pPr>
    </w:p>
    <w:p w14:paraId="6EAF740E">
      <w:pPr>
        <w:shd w:val="clear"/>
        <w:spacing w:line="579" w:lineRule="exact"/>
        <w:jc w:val="center"/>
        <w:rPr>
          <w:rFonts w:ascii="仿宋" w:hAnsi="仿宋" w:eastAsia="仿宋" w:cs="仿宋"/>
          <w:b/>
          <w:color w:val="auto"/>
          <w:sz w:val="52"/>
          <w:szCs w:val="52"/>
          <w:highlight w:val="none"/>
          <w:lang w:eastAsia="zh-CN"/>
        </w:rPr>
      </w:pPr>
      <w:r>
        <w:rPr>
          <w:rFonts w:hint="eastAsia" w:ascii="仿宋" w:hAnsi="仿宋" w:eastAsia="仿宋" w:cs="仿宋"/>
          <w:b/>
          <w:color w:val="auto"/>
          <w:sz w:val="52"/>
          <w:szCs w:val="40"/>
          <w:highlight w:val="none"/>
          <w:lang w:eastAsia="zh-CN" w:bidi="ar"/>
        </w:rPr>
        <w:t>磋 商 响 应 文 件</w:t>
      </w:r>
    </w:p>
    <w:p w14:paraId="31387D70">
      <w:pPr>
        <w:shd w:val="clear"/>
        <w:spacing w:line="579" w:lineRule="exact"/>
        <w:rPr>
          <w:rFonts w:ascii="仿宋" w:hAnsi="仿宋" w:eastAsia="仿宋" w:cs="仿宋"/>
          <w:color w:val="auto"/>
          <w:highlight w:val="none"/>
          <w:lang w:eastAsia="zh-CN"/>
        </w:rPr>
      </w:pPr>
    </w:p>
    <w:p w14:paraId="1C43B5B9">
      <w:pPr>
        <w:shd w:val="clear"/>
        <w:spacing w:line="579" w:lineRule="exact"/>
        <w:rPr>
          <w:rFonts w:ascii="仿宋" w:hAnsi="仿宋" w:eastAsia="仿宋" w:cs="仿宋"/>
          <w:color w:val="auto"/>
          <w:highlight w:val="none"/>
          <w:lang w:eastAsia="zh-CN"/>
        </w:rPr>
      </w:pPr>
    </w:p>
    <w:p w14:paraId="0432666D">
      <w:pPr>
        <w:shd w:val="clear"/>
        <w:spacing w:line="579" w:lineRule="exact"/>
        <w:rPr>
          <w:rFonts w:ascii="仿宋" w:hAnsi="仿宋" w:eastAsia="仿宋" w:cs="仿宋"/>
          <w:color w:val="auto"/>
          <w:highlight w:val="none"/>
          <w:lang w:eastAsia="zh-CN"/>
        </w:rPr>
      </w:pPr>
    </w:p>
    <w:p w14:paraId="7EAC5C04">
      <w:pPr>
        <w:shd w:val="clear"/>
        <w:spacing w:line="579" w:lineRule="exact"/>
        <w:rPr>
          <w:rFonts w:ascii="仿宋" w:hAnsi="仿宋" w:eastAsia="仿宋" w:cs="仿宋"/>
          <w:color w:val="auto"/>
          <w:highlight w:val="none"/>
          <w:lang w:eastAsia="zh-CN"/>
        </w:rPr>
      </w:pPr>
    </w:p>
    <w:p w14:paraId="54E07C54">
      <w:pPr>
        <w:shd w:val="clear"/>
        <w:spacing w:line="579" w:lineRule="exact"/>
        <w:rPr>
          <w:rFonts w:ascii="仿宋" w:hAnsi="仿宋" w:eastAsia="仿宋" w:cs="仿宋"/>
          <w:color w:val="auto"/>
          <w:highlight w:val="none"/>
          <w:lang w:eastAsia="zh-CN"/>
        </w:rPr>
      </w:pPr>
    </w:p>
    <w:p w14:paraId="2DF9045F">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项目名称：</w:t>
      </w:r>
    </w:p>
    <w:p w14:paraId="2A507FC7">
      <w:pPr>
        <w:shd w:val="clear"/>
        <w:spacing w:line="579" w:lineRule="exact"/>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项目编号:</w:t>
      </w:r>
    </w:p>
    <w:p w14:paraId="0A5EF728">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供应商名称：（盖章）</w:t>
      </w:r>
    </w:p>
    <w:p w14:paraId="7918D000">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法定代表人或授权代理人：（签字或盖章）</w:t>
      </w:r>
    </w:p>
    <w:p w14:paraId="137663C8">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供应商地址：</w:t>
      </w:r>
    </w:p>
    <w:p w14:paraId="29417BEB">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联系人姓名：</w:t>
      </w:r>
    </w:p>
    <w:p w14:paraId="34F163C1">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联系方式:</w:t>
      </w:r>
    </w:p>
    <w:p w14:paraId="7ED683EC">
      <w:pPr>
        <w:pStyle w:val="61"/>
        <w:shd w:val="clear"/>
        <w:ind w:firstLine="643"/>
        <w:jc w:val="center"/>
        <w:rPr>
          <w:rFonts w:ascii="仿宋" w:hAnsi="仿宋" w:eastAsia="仿宋" w:cs="仿宋"/>
          <w:b/>
          <w:color w:val="auto"/>
          <w:sz w:val="32"/>
          <w:szCs w:val="32"/>
          <w:highlight w:val="none"/>
          <w:lang w:eastAsia="zh-CN"/>
        </w:rPr>
      </w:pPr>
    </w:p>
    <w:p w14:paraId="1AADD9F0">
      <w:pPr>
        <w:pStyle w:val="61"/>
        <w:shd w:val="clear"/>
        <w:ind w:firstLine="643"/>
        <w:jc w:val="center"/>
        <w:rPr>
          <w:rFonts w:ascii="仿宋" w:hAnsi="仿宋" w:eastAsia="仿宋" w:cs="仿宋"/>
          <w:b/>
          <w:color w:val="auto"/>
          <w:sz w:val="32"/>
          <w:szCs w:val="32"/>
          <w:highlight w:val="none"/>
          <w:lang w:eastAsia="zh-CN"/>
        </w:rPr>
      </w:pPr>
    </w:p>
    <w:p w14:paraId="655E2AA5">
      <w:pPr>
        <w:rPr>
          <w:rFonts w:ascii="仿宋" w:hAnsi="仿宋" w:eastAsia="仿宋" w:cs="仿宋"/>
          <w:b/>
          <w:color w:val="auto"/>
          <w:sz w:val="32"/>
          <w:szCs w:val="32"/>
          <w:highlight w:val="none"/>
          <w:lang w:eastAsia="zh-CN"/>
        </w:rPr>
      </w:pPr>
      <w:r>
        <w:rPr>
          <w:rFonts w:ascii="仿宋" w:hAnsi="仿宋" w:eastAsia="仿宋" w:cs="仿宋"/>
          <w:b/>
          <w:color w:val="auto"/>
          <w:sz w:val="32"/>
          <w:szCs w:val="32"/>
          <w:highlight w:val="none"/>
          <w:lang w:eastAsia="zh-CN"/>
        </w:rPr>
        <w:br w:type="page"/>
      </w:r>
    </w:p>
    <w:p w14:paraId="5151BA1F">
      <w:pPr>
        <w:pStyle w:val="61"/>
        <w:shd w:val="clear"/>
        <w:ind w:firstLine="643"/>
        <w:jc w:val="center"/>
        <w:rPr>
          <w:rFonts w:ascii="仿宋" w:hAnsi="仿宋" w:eastAsia="仿宋" w:cs="仿宋"/>
          <w:b/>
          <w:color w:val="auto"/>
          <w:sz w:val="32"/>
          <w:szCs w:val="32"/>
          <w:highlight w:val="none"/>
          <w:lang w:eastAsia="zh-CN"/>
        </w:rPr>
      </w:pPr>
    </w:p>
    <w:p w14:paraId="70D7B868">
      <w:pPr>
        <w:shd w:val="clear"/>
        <w:spacing w:before="120" w:after="120" w:line="500" w:lineRule="exact"/>
        <w:ind w:firstLine="643"/>
        <w:jc w:val="center"/>
        <w:outlineLvl w:val="1"/>
        <w:rPr>
          <w:rFonts w:ascii="仿宋" w:hAnsi="仿宋" w:eastAsia="仿宋" w:cs="仿宋"/>
          <w:color w:val="auto"/>
          <w:highlight w:val="none"/>
        </w:rPr>
      </w:pPr>
      <w:bookmarkStart w:id="109" w:name="_Toc4704"/>
      <w:bookmarkStart w:id="110" w:name="_Toc21563"/>
      <w:bookmarkStart w:id="111" w:name="_Toc83546621"/>
      <w:bookmarkStart w:id="112" w:name="_Toc22554395"/>
      <w:r>
        <w:rPr>
          <w:rFonts w:hint="eastAsia" w:ascii="仿宋" w:hAnsi="仿宋" w:eastAsia="仿宋" w:cs="仿宋"/>
          <w:b/>
          <w:color w:val="auto"/>
          <w:sz w:val="32"/>
          <w:highlight w:val="none"/>
          <w:lang w:eastAsia="zh-CN"/>
        </w:rPr>
        <w:t>（</w:t>
      </w:r>
      <w:r>
        <w:rPr>
          <w:rFonts w:hint="eastAsia" w:ascii="仿宋" w:hAnsi="仿宋" w:eastAsia="仿宋" w:cs="仿宋"/>
          <w:b/>
          <w:color w:val="auto"/>
          <w:sz w:val="32"/>
          <w:highlight w:val="none"/>
          <w:lang w:val="en-US" w:eastAsia="zh-CN"/>
        </w:rPr>
        <w:t>第一部分</w:t>
      </w:r>
      <w:r>
        <w:rPr>
          <w:rFonts w:hint="eastAsia" w:ascii="仿宋" w:hAnsi="仿宋" w:eastAsia="仿宋" w:cs="仿宋"/>
          <w:b/>
          <w:color w:val="auto"/>
          <w:sz w:val="32"/>
          <w:highlight w:val="none"/>
          <w:lang w:eastAsia="zh-CN"/>
        </w:rPr>
        <w:t>）</w:t>
      </w:r>
      <w:r>
        <w:rPr>
          <w:rFonts w:hint="eastAsia" w:ascii="仿宋" w:hAnsi="仿宋" w:eastAsia="仿宋" w:cs="仿宋"/>
          <w:b/>
          <w:color w:val="auto"/>
          <w:sz w:val="32"/>
          <w:highlight w:val="none"/>
        </w:rPr>
        <w:t>资格证明文件</w:t>
      </w:r>
      <w:bookmarkEnd w:id="109"/>
      <w:bookmarkEnd w:id="110"/>
      <w:bookmarkEnd w:id="111"/>
    </w:p>
    <w:p w14:paraId="16226D18">
      <w:pPr>
        <w:shd w:val="clear"/>
        <w:spacing w:line="440" w:lineRule="exact"/>
        <w:ind w:firstLine="480"/>
        <w:rPr>
          <w:rFonts w:ascii="仿宋" w:hAnsi="仿宋" w:eastAsia="仿宋" w:cs="仿宋"/>
          <w:color w:val="auto"/>
          <w:highlight w:val="none"/>
        </w:rPr>
      </w:pPr>
      <w:r>
        <w:rPr>
          <w:rFonts w:hint="eastAsia" w:ascii="仿宋" w:hAnsi="仿宋" w:eastAsia="仿宋" w:cs="仿宋"/>
          <w:color w:val="auto"/>
          <w:highlight w:val="none"/>
        </w:rPr>
        <w:t>投标人应按下列顺序排序资格审查文件：</w:t>
      </w:r>
    </w:p>
    <w:p w14:paraId="40CEDF3C">
      <w:pPr>
        <w:keepNext w:val="0"/>
        <w:keepLines w:val="0"/>
        <w:pageBreakBefore w:val="0"/>
        <w:widowControl/>
        <w:shd w:val="clear"/>
        <w:kinsoku/>
        <w:wordWrap/>
        <w:overflowPunct/>
        <w:topLinePunct w:val="0"/>
        <w:autoSpaceDE/>
        <w:autoSpaceDN/>
        <w:bidi w:val="0"/>
        <w:adjustRightInd/>
        <w:spacing w:line="440" w:lineRule="exact"/>
        <w:ind w:left="0" w:leftChars="0" w:firstLine="44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一</w:t>
      </w:r>
      <w:r>
        <w:rPr>
          <w:rFonts w:hint="eastAsia" w:ascii="仿宋" w:hAnsi="仿宋" w:eastAsia="仿宋" w:cs="仿宋"/>
          <w:color w:val="auto"/>
          <w:highlight w:val="none"/>
          <w:lang w:eastAsia="zh-CN"/>
        </w:rPr>
        <w:t>）法人或者非法人组织的营业执照等证明文件</w:t>
      </w:r>
      <w:bookmarkStart w:id="113" w:name="_Toc515647806"/>
      <w:r>
        <w:rPr>
          <w:rFonts w:hint="eastAsia" w:ascii="仿宋" w:hAnsi="仿宋" w:eastAsia="仿宋" w:cs="仿宋"/>
          <w:color w:val="auto"/>
          <w:highlight w:val="none"/>
          <w:lang w:eastAsia="zh-CN"/>
        </w:rPr>
        <w:t>或自然人的身份证明</w:t>
      </w:r>
      <w:bookmarkEnd w:id="113"/>
      <w:r>
        <w:rPr>
          <w:rFonts w:hint="eastAsia" w:ascii="仿宋" w:hAnsi="仿宋" w:eastAsia="仿宋" w:cs="仿宋"/>
          <w:color w:val="auto"/>
          <w:highlight w:val="none"/>
        </w:rPr>
        <w:t>（复印件）；</w:t>
      </w:r>
    </w:p>
    <w:p w14:paraId="56FE0865">
      <w:pPr>
        <w:keepNext w:val="0"/>
        <w:keepLines w:val="0"/>
        <w:pageBreakBefore w:val="0"/>
        <w:widowControl/>
        <w:shd w:val="clear"/>
        <w:kinsoku/>
        <w:wordWrap/>
        <w:overflowPunct/>
        <w:topLinePunct w:val="0"/>
        <w:autoSpaceDE/>
        <w:autoSpaceDN/>
        <w:bidi w:val="0"/>
        <w:adjustRightInd/>
        <w:spacing w:line="440" w:lineRule="exact"/>
        <w:ind w:left="0" w:leftChars="0" w:firstLine="440" w:firstLineChars="200"/>
        <w:textAlignment w:val="baseline"/>
        <w:rPr>
          <w:rFonts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二</w:t>
      </w:r>
      <w:r>
        <w:rPr>
          <w:rFonts w:hint="eastAsia" w:ascii="仿宋" w:hAnsi="仿宋" w:eastAsia="仿宋" w:cs="仿宋"/>
          <w:color w:val="auto"/>
          <w:highlight w:val="none"/>
        </w:rPr>
        <w:t>）提供法定代表人身份证明或法定代表人授权委托书；（原件）</w:t>
      </w:r>
    </w:p>
    <w:p w14:paraId="79684E6F">
      <w:pPr>
        <w:keepNext w:val="0"/>
        <w:keepLines w:val="0"/>
        <w:pageBreakBefore w:val="0"/>
        <w:widowControl/>
        <w:shd w:val="clear"/>
        <w:kinsoku/>
        <w:wordWrap/>
        <w:overflowPunct/>
        <w:topLinePunct w:val="0"/>
        <w:autoSpaceDE/>
        <w:autoSpaceDN/>
        <w:bidi w:val="0"/>
        <w:adjustRightInd/>
        <w:spacing w:line="440" w:lineRule="exact"/>
        <w:ind w:left="0" w:leftChars="0" w:firstLine="440" w:firstLineChars="200"/>
        <w:textAlignment w:val="baseline"/>
        <w:rPr>
          <w:rFonts w:hint="eastAsia" w:ascii="仿宋" w:hAnsi="仿宋" w:eastAsia="仿宋" w:cs="仿宋"/>
          <w:color w:val="auto"/>
          <w:highlight w:val="none"/>
          <w:lang w:eastAsia="zh-CN"/>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三</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政府采购供应商信用承诺函</w:t>
      </w:r>
    </w:p>
    <w:p w14:paraId="6C890E2D">
      <w:pPr>
        <w:keepNext w:val="0"/>
        <w:keepLines w:val="0"/>
        <w:pageBreakBefore w:val="0"/>
        <w:widowControl/>
        <w:shd w:val="clear"/>
        <w:kinsoku/>
        <w:wordWrap/>
        <w:overflowPunct/>
        <w:topLinePunct w:val="0"/>
        <w:autoSpaceDE/>
        <w:autoSpaceDN/>
        <w:bidi w:val="0"/>
        <w:adjustRightInd/>
        <w:spacing w:line="440" w:lineRule="exact"/>
        <w:ind w:left="0" w:leftChars="0" w:firstLine="440" w:firstLineChars="200"/>
        <w:textAlignment w:val="baseline"/>
        <w:rPr>
          <w:rFonts w:hint="eastAsia" w:ascii="仿宋" w:hAnsi="仿宋" w:eastAsia="仿宋" w:cs="仿宋"/>
          <w:color w:val="auto"/>
          <w:highlight w:val="none"/>
          <w:lang w:eastAsia="zh-CN"/>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四</w:t>
      </w:r>
      <w:r>
        <w:rPr>
          <w:rFonts w:hint="eastAsia" w:ascii="仿宋" w:hAnsi="仿宋" w:eastAsia="仿宋" w:cs="仿宋"/>
          <w:color w:val="auto"/>
          <w:highlight w:val="none"/>
        </w:rPr>
        <w:t>）</w:t>
      </w:r>
      <w:r>
        <w:rPr>
          <w:rFonts w:hint="eastAsia" w:ascii="仿宋" w:hAnsi="仿宋" w:eastAsia="仿宋" w:cs="仿宋"/>
          <w:color w:val="auto"/>
          <w:highlight w:val="none"/>
          <w:lang w:val="en-US" w:eastAsia="en-US"/>
        </w:rPr>
        <w:t>投标人具有行政主管部门颁发的乙级及以上测绘资质</w:t>
      </w:r>
    </w:p>
    <w:p w14:paraId="3011255D">
      <w:pPr>
        <w:keepNext w:val="0"/>
        <w:keepLines w:val="0"/>
        <w:pageBreakBefore w:val="0"/>
        <w:widowControl/>
        <w:shd w:val="clear"/>
        <w:kinsoku/>
        <w:wordWrap/>
        <w:overflowPunct/>
        <w:topLinePunct w:val="0"/>
        <w:autoSpaceDE/>
        <w:autoSpaceDN/>
        <w:bidi w:val="0"/>
        <w:adjustRightInd/>
        <w:spacing w:line="440" w:lineRule="exact"/>
        <w:ind w:left="0" w:leftChars="0" w:firstLine="440" w:firstLineChars="200"/>
        <w:textAlignment w:val="baseline"/>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（五）供应商无关联关系书面声明函</w:t>
      </w:r>
    </w:p>
    <w:p w14:paraId="002AA820">
      <w:pPr>
        <w:keepNext w:val="0"/>
        <w:keepLines w:val="0"/>
        <w:pageBreakBefore w:val="0"/>
        <w:widowControl/>
        <w:kinsoku/>
        <w:wordWrap/>
        <w:overflowPunct/>
        <w:topLinePunct w:val="0"/>
        <w:autoSpaceDE/>
        <w:autoSpaceDN/>
        <w:bidi w:val="0"/>
        <w:adjustRightInd/>
        <w:spacing w:line="440" w:lineRule="exact"/>
        <w:ind w:left="0" w:leftChars="0" w:firstLine="440" w:firstLineChars="200"/>
        <w:textAlignment w:val="baseline"/>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（六）</w:t>
      </w:r>
      <w:r>
        <w:rPr>
          <w:rFonts w:hint="eastAsia" w:ascii="仿宋" w:hAnsi="仿宋" w:eastAsia="仿宋" w:cs="仿宋"/>
          <w:color w:val="auto"/>
          <w:highlight w:val="none"/>
          <w:lang w:val="en-US" w:eastAsia="zh-CN"/>
        </w:rPr>
        <w:t>提供《中小企业声明函》</w:t>
      </w:r>
    </w:p>
    <w:p w14:paraId="53ADFE4B">
      <w:pPr>
        <w:keepNext w:val="0"/>
        <w:keepLines w:val="0"/>
        <w:pageBreakBefore w:val="0"/>
        <w:widowControl/>
        <w:shd w:val="clear"/>
        <w:tabs>
          <w:tab w:val="center" w:pos="4153"/>
          <w:tab w:val="right" w:pos="8306"/>
        </w:tabs>
        <w:kinsoku/>
        <w:wordWrap/>
        <w:overflowPunct/>
        <w:topLinePunct w:val="0"/>
        <w:autoSpaceDE/>
        <w:autoSpaceDN/>
        <w:bidi w:val="0"/>
        <w:adjustRightInd/>
        <w:snapToGrid w:val="0"/>
        <w:spacing w:line="440" w:lineRule="exact"/>
        <w:ind w:left="0" w:leftChars="0" w:firstLine="480" w:firstLineChars="200"/>
        <w:textAlignment w:val="baseline"/>
        <w:rPr>
          <w:rFonts w:ascii="仿宋" w:hAnsi="仿宋" w:eastAsia="仿宋" w:cs="仿宋"/>
          <w:color w:val="auto"/>
          <w:sz w:val="24"/>
          <w:highlight w:val="none"/>
          <w:lang w:eastAsia="zh-CN"/>
        </w:rPr>
      </w:pPr>
    </w:p>
    <w:p w14:paraId="73C5CDB6">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p>
    <w:p w14:paraId="488417A4">
      <w:pPr>
        <w:shd w:val="clear"/>
        <w:spacing w:line="440" w:lineRule="exact"/>
        <w:ind w:firstLine="480"/>
        <w:rPr>
          <w:rFonts w:ascii="仿宋" w:hAnsi="仿宋" w:eastAsia="仿宋" w:cs="仿宋"/>
          <w:color w:val="auto"/>
          <w:highlight w:val="none"/>
        </w:rPr>
      </w:pPr>
    </w:p>
    <w:p w14:paraId="18DDA9F2">
      <w:pPr>
        <w:keepNext w:val="0"/>
        <w:keepLines w:val="0"/>
        <w:pageBreakBefore w:val="0"/>
        <w:widowControl/>
        <w:shd w:val="clear"/>
        <w:kinsoku/>
        <w:wordWrap/>
        <w:overflowPunct/>
        <w:topLinePunct w:val="0"/>
        <w:autoSpaceDE/>
        <w:autoSpaceDN/>
        <w:bidi w:val="0"/>
        <w:adjustRightInd/>
        <w:snapToGrid/>
        <w:spacing w:line="500" w:lineRule="exact"/>
        <w:jc w:val="center"/>
        <w:textAlignment w:val="baseline"/>
        <w:outlineLvl w:val="9"/>
        <w:rPr>
          <w:rFonts w:ascii="仿宋" w:hAnsi="仿宋" w:eastAsia="仿宋" w:cs="仿宋"/>
          <w:b/>
          <w:color w:val="auto"/>
          <w:sz w:val="24"/>
          <w:highlight w:val="none"/>
        </w:rPr>
      </w:pPr>
    </w:p>
    <w:p w14:paraId="3E5155D7">
      <w:pPr>
        <w:pStyle w:val="7"/>
        <w:shd w:val="clear"/>
        <w:ind w:firstLine="482"/>
        <w:rPr>
          <w:rFonts w:ascii="仿宋" w:hAnsi="仿宋" w:eastAsia="仿宋" w:cs="仿宋"/>
          <w:b/>
          <w:color w:val="auto"/>
          <w:sz w:val="24"/>
          <w:szCs w:val="24"/>
          <w:highlight w:val="none"/>
        </w:rPr>
      </w:pPr>
    </w:p>
    <w:p w14:paraId="1E030716">
      <w:pPr>
        <w:pStyle w:val="7"/>
        <w:shd w:val="clear"/>
        <w:ind w:firstLine="482"/>
        <w:rPr>
          <w:rFonts w:ascii="仿宋" w:hAnsi="仿宋" w:eastAsia="仿宋" w:cs="仿宋"/>
          <w:b/>
          <w:color w:val="auto"/>
          <w:sz w:val="24"/>
          <w:szCs w:val="24"/>
          <w:highlight w:val="none"/>
        </w:rPr>
      </w:pPr>
    </w:p>
    <w:p w14:paraId="56680F1F">
      <w:pPr>
        <w:pStyle w:val="7"/>
        <w:shd w:val="clear"/>
        <w:ind w:firstLine="482"/>
        <w:rPr>
          <w:rFonts w:ascii="仿宋" w:hAnsi="仿宋" w:eastAsia="仿宋" w:cs="仿宋"/>
          <w:b/>
          <w:color w:val="auto"/>
          <w:sz w:val="24"/>
          <w:szCs w:val="24"/>
          <w:highlight w:val="none"/>
        </w:rPr>
      </w:pPr>
    </w:p>
    <w:p w14:paraId="6179829A">
      <w:pPr>
        <w:pStyle w:val="7"/>
        <w:shd w:val="clear"/>
        <w:ind w:firstLine="482"/>
        <w:rPr>
          <w:rFonts w:ascii="仿宋" w:hAnsi="仿宋" w:eastAsia="仿宋" w:cs="仿宋"/>
          <w:b/>
          <w:color w:val="auto"/>
          <w:sz w:val="24"/>
          <w:szCs w:val="24"/>
          <w:highlight w:val="none"/>
        </w:rPr>
      </w:pPr>
    </w:p>
    <w:p w14:paraId="61FB8432">
      <w:pPr>
        <w:pStyle w:val="7"/>
        <w:shd w:val="clear"/>
        <w:ind w:firstLine="482"/>
        <w:rPr>
          <w:rFonts w:ascii="仿宋" w:hAnsi="仿宋" w:eastAsia="仿宋" w:cs="仿宋"/>
          <w:b/>
          <w:color w:val="auto"/>
          <w:sz w:val="24"/>
          <w:szCs w:val="24"/>
          <w:highlight w:val="none"/>
        </w:rPr>
      </w:pPr>
    </w:p>
    <w:p w14:paraId="5190A93B">
      <w:pPr>
        <w:pStyle w:val="7"/>
        <w:shd w:val="clear"/>
        <w:ind w:firstLine="482"/>
        <w:rPr>
          <w:rFonts w:ascii="仿宋" w:hAnsi="仿宋" w:eastAsia="仿宋" w:cs="仿宋"/>
          <w:b/>
          <w:color w:val="auto"/>
          <w:sz w:val="24"/>
          <w:szCs w:val="24"/>
          <w:highlight w:val="none"/>
        </w:rPr>
      </w:pPr>
    </w:p>
    <w:p w14:paraId="74C7AA5C">
      <w:pPr>
        <w:shd w:val="clear"/>
        <w:rPr>
          <w:rFonts w:ascii="仿宋" w:hAnsi="仿宋" w:eastAsia="仿宋" w:cs="仿宋"/>
          <w:b/>
          <w:color w:val="auto"/>
          <w:sz w:val="24"/>
          <w:szCs w:val="24"/>
          <w:highlight w:val="none"/>
        </w:rPr>
      </w:pPr>
    </w:p>
    <w:p w14:paraId="793599F5">
      <w:pPr>
        <w:keepNext/>
        <w:keepLines/>
        <w:pageBreakBefore w:val="0"/>
        <w:widowControl/>
        <w:shd w:val="clear"/>
        <w:kinsoku/>
        <w:wordWrap/>
        <w:overflowPunct/>
        <w:topLinePunct w:val="0"/>
        <w:autoSpaceDE/>
        <w:autoSpaceDN/>
        <w:bidi w:val="0"/>
        <w:adjustRightInd/>
        <w:snapToGrid/>
        <w:textAlignment w:val="baseline"/>
        <w:outlineLvl w:val="9"/>
        <w:rPr>
          <w:rFonts w:ascii="仿宋" w:hAnsi="仿宋" w:eastAsia="仿宋" w:cs="仿宋"/>
          <w:b/>
          <w:color w:val="auto"/>
          <w:sz w:val="24"/>
          <w:szCs w:val="24"/>
          <w:highlight w:val="none"/>
        </w:rPr>
      </w:pPr>
    </w:p>
    <w:p w14:paraId="2B4B131A">
      <w:pPr>
        <w:keepNext/>
        <w:keepLines/>
        <w:pageBreakBefore w:val="0"/>
        <w:widowControl/>
        <w:shd w:val="clear"/>
        <w:kinsoku/>
        <w:wordWrap/>
        <w:overflowPunct/>
        <w:topLinePunct w:val="0"/>
        <w:autoSpaceDE/>
        <w:autoSpaceDN/>
        <w:bidi w:val="0"/>
        <w:adjustRightInd/>
        <w:snapToGrid/>
        <w:textAlignment w:val="baseline"/>
        <w:outlineLvl w:val="9"/>
        <w:rPr>
          <w:color w:val="auto"/>
          <w:highlight w:val="none"/>
        </w:rPr>
      </w:pPr>
    </w:p>
    <w:p w14:paraId="4FB72C26">
      <w:pPr>
        <w:shd w:val="clear"/>
        <w:rPr>
          <w:color w:val="auto"/>
          <w:highlight w:val="none"/>
        </w:rPr>
      </w:pPr>
    </w:p>
    <w:p w14:paraId="6FC86E2F">
      <w:pPr>
        <w:keepNext/>
        <w:keepLines/>
        <w:pageBreakBefore w:val="0"/>
        <w:widowControl/>
        <w:shd w:val="clear"/>
        <w:kinsoku/>
        <w:wordWrap/>
        <w:overflowPunct/>
        <w:topLinePunct w:val="0"/>
        <w:autoSpaceDE/>
        <w:autoSpaceDN/>
        <w:bidi w:val="0"/>
        <w:adjustRightInd/>
        <w:snapToGrid/>
        <w:textAlignment w:val="baseline"/>
        <w:outlineLvl w:val="9"/>
        <w:rPr>
          <w:color w:val="auto"/>
          <w:highlight w:val="none"/>
        </w:rPr>
      </w:pPr>
    </w:p>
    <w:p w14:paraId="57908109">
      <w:pPr>
        <w:pStyle w:val="7"/>
        <w:shd w:val="clear"/>
        <w:ind w:firstLine="482"/>
        <w:rPr>
          <w:rFonts w:ascii="仿宋" w:hAnsi="仿宋" w:eastAsia="仿宋" w:cs="仿宋"/>
          <w:b/>
          <w:color w:val="auto"/>
          <w:sz w:val="24"/>
          <w:szCs w:val="24"/>
          <w:highlight w:val="none"/>
        </w:rPr>
      </w:pPr>
    </w:p>
    <w:p w14:paraId="37B8F9FF">
      <w:pPr>
        <w:pStyle w:val="7"/>
        <w:shd w:val="clear"/>
        <w:ind w:firstLine="482"/>
        <w:rPr>
          <w:rFonts w:ascii="仿宋" w:hAnsi="仿宋" w:eastAsia="仿宋" w:cs="仿宋"/>
          <w:b/>
          <w:color w:val="auto"/>
          <w:sz w:val="24"/>
          <w:szCs w:val="24"/>
          <w:highlight w:val="none"/>
        </w:rPr>
      </w:pPr>
    </w:p>
    <w:p w14:paraId="435D3E99">
      <w:pPr>
        <w:pStyle w:val="7"/>
        <w:shd w:val="clear"/>
        <w:ind w:firstLine="482"/>
        <w:rPr>
          <w:rFonts w:ascii="仿宋" w:hAnsi="仿宋" w:eastAsia="仿宋" w:cs="仿宋"/>
          <w:b/>
          <w:color w:val="auto"/>
          <w:sz w:val="24"/>
          <w:szCs w:val="24"/>
          <w:highlight w:val="none"/>
        </w:rPr>
      </w:pPr>
    </w:p>
    <w:p w14:paraId="1460C07C">
      <w:pPr>
        <w:shd w:val="clear"/>
        <w:rPr>
          <w:rFonts w:ascii="仿宋" w:hAnsi="仿宋" w:eastAsia="仿宋" w:cs="仿宋"/>
          <w:b/>
          <w:color w:val="auto"/>
          <w:sz w:val="24"/>
          <w:szCs w:val="24"/>
          <w:highlight w:val="none"/>
        </w:rPr>
      </w:pPr>
    </w:p>
    <w:p w14:paraId="45E6829C">
      <w:pPr>
        <w:keepNext/>
        <w:keepLines/>
        <w:pageBreakBefore w:val="0"/>
        <w:widowControl/>
        <w:shd w:val="clear"/>
        <w:kinsoku/>
        <w:wordWrap/>
        <w:overflowPunct/>
        <w:topLinePunct w:val="0"/>
        <w:autoSpaceDE/>
        <w:autoSpaceDN/>
        <w:bidi w:val="0"/>
        <w:adjustRightInd/>
        <w:snapToGrid/>
        <w:textAlignment w:val="baseline"/>
        <w:outlineLvl w:val="9"/>
        <w:rPr>
          <w:color w:val="auto"/>
          <w:highlight w:val="none"/>
        </w:rPr>
      </w:pPr>
    </w:p>
    <w:p w14:paraId="16CADA57">
      <w:pPr>
        <w:pStyle w:val="7"/>
        <w:shd w:val="clear"/>
        <w:ind w:firstLine="482"/>
        <w:rPr>
          <w:rFonts w:ascii="仿宋" w:hAnsi="仿宋" w:eastAsia="仿宋" w:cs="仿宋"/>
          <w:b/>
          <w:color w:val="auto"/>
          <w:sz w:val="24"/>
          <w:szCs w:val="24"/>
          <w:highlight w:val="none"/>
        </w:rPr>
      </w:pPr>
    </w:p>
    <w:p w14:paraId="6B5EB4F6">
      <w:pPr>
        <w:shd w:val="clear"/>
        <w:rPr>
          <w:color w:val="auto"/>
          <w:highlight w:val="none"/>
        </w:rPr>
      </w:pPr>
    </w:p>
    <w:p w14:paraId="7BB8E3AD">
      <w:pPr>
        <w:shd w:val="clear"/>
        <w:rPr>
          <w:color w:val="auto"/>
          <w:highlight w:val="none"/>
        </w:rPr>
      </w:pPr>
    </w:p>
    <w:p w14:paraId="5921ACD1">
      <w:pPr>
        <w:keepNext w:val="0"/>
        <w:keepLines w:val="0"/>
        <w:pageBreakBefore w:val="0"/>
        <w:widowControl/>
        <w:shd w:val="clear"/>
        <w:kinsoku/>
        <w:wordWrap/>
        <w:overflowPunct/>
        <w:topLinePunct w:val="0"/>
        <w:autoSpaceDE/>
        <w:autoSpaceDN/>
        <w:bidi w:val="0"/>
        <w:adjustRightInd/>
        <w:snapToGrid/>
        <w:spacing w:line="500" w:lineRule="exact"/>
        <w:jc w:val="center"/>
        <w:textAlignment w:val="baseline"/>
        <w:outlineLvl w:val="9"/>
        <w:rPr>
          <w:rFonts w:ascii="仿宋" w:hAnsi="仿宋" w:eastAsia="仿宋" w:cs="仿宋"/>
          <w:color w:val="auto"/>
          <w:sz w:val="24"/>
          <w:highlight w:val="none"/>
        </w:rPr>
      </w:pP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提供合法有效的营业执照</w:t>
      </w:r>
      <w:bookmarkEnd w:id="112"/>
    </w:p>
    <w:p w14:paraId="70657F21">
      <w:pPr>
        <w:keepNext/>
        <w:keepLines/>
        <w:pageBreakBefore w:val="0"/>
        <w:widowControl/>
        <w:shd w:val="clear"/>
        <w:kinsoku/>
        <w:wordWrap/>
        <w:overflowPunct/>
        <w:topLinePunct w:val="0"/>
        <w:autoSpaceDE/>
        <w:autoSpaceDN/>
        <w:bidi w:val="0"/>
        <w:adjustRightInd/>
        <w:snapToGrid/>
        <w:spacing w:line="500" w:lineRule="exact"/>
        <w:ind w:firstLine="440" w:firstLineChars="200"/>
        <w:jc w:val="left"/>
        <w:textAlignment w:val="baseline"/>
        <w:outlineLvl w:val="9"/>
        <w:rPr>
          <w:rFonts w:hint="eastAsia" w:ascii="仿宋" w:hAnsi="仿宋" w:eastAsia="仿宋" w:cs="仿宋"/>
          <w:b w:val="0"/>
          <w:bCs w:val="0"/>
          <w:color w:val="auto"/>
          <w:szCs w:val="24"/>
          <w:highlight w:val="none"/>
          <w:lang w:val="en-US" w:eastAsia="zh-CN"/>
        </w:rPr>
      </w:pPr>
      <w:r>
        <w:rPr>
          <w:rFonts w:hint="eastAsia" w:ascii="仿宋" w:hAnsi="仿宋" w:eastAsia="仿宋" w:cs="仿宋"/>
          <w:b w:val="0"/>
          <w:bCs w:val="0"/>
          <w:color w:val="auto"/>
          <w:szCs w:val="24"/>
          <w:highlight w:val="none"/>
          <w:lang w:val="en-US" w:eastAsia="zh-CN"/>
        </w:rPr>
        <w:t>说明：1.提供有效的营业执照等证明文件复印件，复印件上应加盖章。</w:t>
      </w:r>
    </w:p>
    <w:p w14:paraId="692C28FF">
      <w:pPr>
        <w:keepNext/>
        <w:keepLines/>
        <w:pageBreakBefore w:val="0"/>
        <w:widowControl/>
        <w:shd w:val="clear"/>
        <w:kinsoku/>
        <w:wordWrap/>
        <w:overflowPunct/>
        <w:topLinePunct w:val="0"/>
        <w:autoSpaceDE/>
        <w:autoSpaceDN/>
        <w:bidi w:val="0"/>
        <w:adjustRightInd/>
        <w:snapToGrid/>
        <w:spacing w:line="500" w:lineRule="exact"/>
        <w:jc w:val="left"/>
        <w:textAlignment w:val="baseline"/>
        <w:outlineLvl w:val="9"/>
        <w:rPr>
          <w:rFonts w:hint="eastAsia" w:ascii="仿宋" w:hAnsi="仿宋" w:eastAsia="仿宋" w:cs="仿宋"/>
          <w:b w:val="0"/>
          <w:bCs w:val="0"/>
          <w:color w:val="auto"/>
          <w:szCs w:val="24"/>
          <w:highlight w:val="none"/>
          <w:lang w:val="en-US" w:eastAsia="zh-CN"/>
        </w:rPr>
      </w:pPr>
      <w:r>
        <w:rPr>
          <w:rFonts w:hint="eastAsia" w:ascii="仿宋" w:hAnsi="仿宋" w:eastAsia="仿宋" w:cs="仿宋"/>
          <w:b w:val="0"/>
          <w:bCs w:val="0"/>
          <w:color w:val="auto"/>
          <w:szCs w:val="24"/>
          <w:highlight w:val="none"/>
          <w:lang w:val="en-US" w:eastAsia="zh-CN"/>
        </w:rPr>
        <w:t xml:space="preserve">          2.供应商为自然人的，应提供身份证明的复印件。</w:t>
      </w:r>
    </w:p>
    <w:p w14:paraId="3C21D9C6">
      <w:pPr>
        <w:keepNext/>
        <w:keepLines/>
        <w:pageBreakBefore w:val="0"/>
        <w:widowControl/>
        <w:shd w:val="clear"/>
        <w:kinsoku/>
        <w:wordWrap/>
        <w:overflowPunct/>
        <w:topLinePunct w:val="0"/>
        <w:autoSpaceDE/>
        <w:autoSpaceDN/>
        <w:bidi w:val="0"/>
        <w:adjustRightInd/>
        <w:snapToGrid/>
        <w:spacing w:line="500" w:lineRule="exact"/>
        <w:jc w:val="left"/>
        <w:textAlignment w:val="baseline"/>
        <w:outlineLvl w:val="9"/>
        <w:rPr>
          <w:rFonts w:hint="eastAsia" w:ascii="仿宋" w:hAnsi="仿宋" w:eastAsia="仿宋" w:cs="仿宋"/>
          <w:b w:val="0"/>
          <w:bCs w:val="0"/>
          <w:color w:val="auto"/>
          <w:szCs w:val="24"/>
          <w:highlight w:val="none"/>
          <w:lang w:val="en-US" w:eastAsia="zh-CN"/>
        </w:rPr>
      </w:pPr>
      <w:r>
        <w:rPr>
          <w:rFonts w:hint="eastAsia" w:ascii="仿宋" w:hAnsi="仿宋" w:eastAsia="仿宋" w:cs="仿宋"/>
          <w:b w:val="0"/>
          <w:bCs w:val="0"/>
          <w:color w:val="auto"/>
          <w:szCs w:val="24"/>
          <w:highlight w:val="none"/>
          <w:lang w:val="en-US" w:eastAsia="zh-CN"/>
        </w:rPr>
        <w:t xml:space="preserve">          3.联合体应提供联合体各方满足以上要求的证明文件。</w:t>
      </w:r>
    </w:p>
    <w:p w14:paraId="26D95947">
      <w:pPr>
        <w:keepNext/>
        <w:keepLines/>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highlight w:val="none"/>
        </w:rPr>
      </w:pPr>
    </w:p>
    <w:p w14:paraId="45CD827D">
      <w:pPr>
        <w:keepNext/>
        <w:keepLines/>
        <w:pageBreakBefore w:val="0"/>
        <w:widowControl/>
        <w:shd w:val="clear"/>
        <w:kinsoku/>
        <w:wordWrap/>
        <w:overflowPunct/>
        <w:topLinePunct w:val="0"/>
        <w:autoSpaceDE/>
        <w:autoSpaceDN/>
        <w:bidi w:val="0"/>
        <w:adjustRightInd/>
        <w:snapToGrid/>
        <w:spacing w:line="500" w:lineRule="exact"/>
        <w:jc w:val="center"/>
        <w:textAlignment w:val="baseline"/>
        <w:outlineLvl w:val="9"/>
        <w:rPr>
          <w:rFonts w:hint="eastAsia" w:ascii="仿宋" w:hAnsi="仿宋" w:eastAsia="仿宋" w:cs="仿宋"/>
          <w:b/>
          <w:bCs/>
          <w:color w:val="auto"/>
          <w:szCs w:val="24"/>
          <w:highlight w:val="none"/>
          <w:lang w:val="en-US" w:eastAsia="zh-CN"/>
        </w:rPr>
      </w:pPr>
    </w:p>
    <w:p w14:paraId="243DDD4F">
      <w:pPr>
        <w:keepNext/>
        <w:keepLines/>
        <w:pageBreakBefore w:val="0"/>
        <w:widowControl/>
        <w:shd w:val="clear"/>
        <w:kinsoku/>
        <w:wordWrap/>
        <w:overflowPunct/>
        <w:topLinePunct w:val="0"/>
        <w:autoSpaceDE/>
        <w:autoSpaceDN/>
        <w:bidi w:val="0"/>
        <w:adjustRightInd/>
        <w:snapToGrid/>
        <w:spacing w:line="500" w:lineRule="exact"/>
        <w:jc w:val="center"/>
        <w:textAlignment w:val="baseline"/>
        <w:outlineLvl w:val="9"/>
        <w:rPr>
          <w:rFonts w:hint="default" w:ascii="仿宋" w:hAnsi="仿宋" w:eastAsia="仿宋" w:cs="仿宋"/>
          <w:b/>
          <w:bCs/>
          <w:color w:val="auto"/>
          <w:szCs w:val="24"/>
          <w:highlight w:val="none"/>
        </w:rPr>
      </w:pPr>
      <w:r>
        <w:rPr>
          <w:rFonts w:hint="eastAsia" w:ascii="仿宋" w:hAnsi="仿宋" w:eastAsia="仿宋" w:cs="仿宋"/>
          <w:b/>
          <w:bCs/>
          <w:color w:val="auto"/>
          <w:szCs w:val="24"/>
          <w:highlight w:val="none"/>
          <w:lang w:val="en-US" w:eastAsia="zh-CN"/>
        </w:rPr>
        <w:t>2、</w:t>
      </w:r>
      <w:r>
        <w:rPr>
          <w:rFonts w:ascii="仿宋" w:hAnsi="仿宋" w:eastAsia="仿宋" w:cs="仿宋"/>
          <w:b/>
          <w:bCs/>
          <w:color w:val="auto"/>
          <w:szCs w:val="24"/>
          <w:highlight w:val="none"/>
        </w:rPr>
        <w:t>法定代表人授权委托书</w:t>
      </w:r>
    </w:p>
    <w:p w14:paraId="39D5BB18">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（投标人名称）</w:t>
      </w:r>
      <w:r>
        <w:rPr>
          <w:rFonts w:hint="eastAsia" w:ascii="仿宋" w:hAnsi="仿宋" w:eastAsia="仿宋" w:cs="仿宋"/>
          <w:color w:val="auto"/>
          <w:sz w:val="24"/>
          <w:highlight w:val="none"/>
        </w:rPr>
        <w:t>的法人代表人，现授权委托</w:t>
      </w:r>
      <w:r>
        <w:rPr>
          <w:rFonts w:hint="eastAsia" w:ascii="仿宋" w:hAnsi="仿宋" w:eastAsia="仿宋" w:cs="仿宋"/>
          <w:color w:val="auto"/>
          <w:sz w:val="24"/>
          <w:highlight w:val="none"/>
          <w:u w:val="single"/>
        </w:rPr>
        <w:t xml:space="preserve">   （投标人名称）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为我公司代理人，以本公司的名义参加</w:t>
      </w:r>
      <w:r>
        <w:rPr>
          <w:rFonts w:hint="eastAsia" w:ascii="仿宋" w:hAnsi="仿宋" w:eastAsia="仿宋" w:cs="仿宋"/>
          <w:color w:val="auto"/>
          <w:sz w:val="24"/>
          <w:highlight w:val="none"/>
          <w:u w:val="single"/>
        </w:rPr>
        <w:t>（招标人）</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u w:val="single"/>
          <w:lang w:eastAsia="zh-CN"/>
        </w:rPr>
        <w:t>项目编号: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的投标活动。代理人在参加整个项目招标活动、合同签署过程中所签署的一切文件和处理与之有关的一切事物，我单位均予以承认。</w:t>
      </w:r>
    </w:p>
    <w:p w14:paraId="781FC7DE">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代理人：              性别：         年龄：       </w:t>
      </w:r>
    </w:p>
    <w:p w14:paraId="5E8AB2D9">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单  位：              部门：         职务：       </w:t>
      </w:r>
    </w:p>
    <w:p w14:paraId="2BC964EF">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联系电话：            邮箱：                   </w:t>
      </w:r>
    </w:p>
    <w:p w14:paraId="591EA593">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代理人无转委权。特此委托。</w:t>
      </w:r>
    </w:p>
    <w:p w14:paraId="2C0FDC2D">
      <w:pPr>
        <w:shd w:val="clear"/>
        <w:spacing w:line="500" w:lineRule="exact"/>
        <w:ind w:firstLine="482"/>
        <w:rPr>
          <w:rFonts w:ascii="仿宋" w:hAnsi="仿宋" w:eastAsia="仿宋" w:cs="仿宋"/>
          <w:b/>
          <w:bCs/>
          <w:color w:val="auto"/>
          <w:sz w:val="24"/>
          <w:highlight w:val="none"/>
        </w:rPr>
      </w:pPr>
      <w:r>
        <w:rPr>
          <w:rFonts w:hint="eastAsia" w:ascii="仿宋" w:hAnsi="仿宋" w:eastAsia="仿宋" w:cs="仿宋"/>
          <w:b/>
          <w:bCs/>
          <w:color w:val="auto"/>
          <w:sz w:val="24"/>
          <w:highlight w:val="none"/>
        </w:rPr>
        <w:t>授权人身份证复印件（正反面）：</w:t>
      </w:r>
    </w:p>
    <w:p w14:paraId="7BD0372D">
      <w:pPr>
        <w:shd w:val="clear"/>
        <w:spacing w:line="500" w:lineRule="exact"/>
        <w:ind w:firstLine="480"/>
        <w:rPr>
          <w:rFonts w:ascii="仿宋" w:hAnsi="仿宋" w:eastAsia="仿宋" w:cs="仿宋"/>
          <w:color w:val="auto"/>
          <w:sz w:val="24"/>
          <w:highlight w:val="none"/>
        </w:rPr>
      </w:pPr>
    </w:p>
    <w:p w14:paraId="389E153A">
      <w:pPr>
        <w:shd w:val="clear"/>
        <w:spacing w:line="500" w:lineRule="exact"/>
        <w:ind w:firstLine="482"/>
        <w:rPr>
          <w:rFonts w:ascii="仿宋" w:hAnsi="仿宋" w:eastAsia="仿宋" w:cs="仿宋"/>
          <w:b/>
          <w:bCs/>
          <w:color w:val="auto"/>
          <w:sz w:val="24"/>
          <w:highlight w:val="none"/>
        </w:rPr>
      </w:pPr>
      <w:r>
        <w:rPr>
          <w:rFonts w:hint="eastAsia" w:ascii="仿宋" w:hAnsi="仿宋" w:eastAsia="仿宋" w:cs="仿宋"/>
          <w:b/>
          <w:bCs/>
          <w:color w:val="auto"/>
          <w:sz w:val="24"/>
          <w:highlight w:val="none"/>
        </w:rPr>
        <w:t>被授权人身份证复印件（正反面）：</w:t>
      </w:r>
    </w:p>
    <w:p w14:paraId="312940E3">
      <w:pPr>
        <w:shd w:val="clear"/>
        <w:spacing w:line="500" w:lineRule="exact"/>
        <w:ind w:firstLine="480"/>
        <w:rPr>
          <w:rFonts w:ascii="仿宋" w:hAnsi="仿宋" w:eastAsia="仿宋" w:cs="仿宋"/>
          <w:color w:val="auto"/>
          <w:sz w:val="24"/>
          <w:highlight w:val="none"/>
        </w:rPr>
      </w:pPr>
    </w:p>
    <w:p w14:paraId="62D74D44">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投标人名称（盖章）：</w:t>
      </w:r>
    </w:p>
    <w:p w14:paraId="06AD6B48">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3626D6B2">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40F51A35">
      <w:pPr>
        <w:shd w:val="clear"/>
        <w:spacing w:line="500" w:lineRule="exact"/>
        <w:ind w:firstLine="480"/>
        <w:rPr>
          <w:rFonts w:ascii="仿宋" w:hAnsi="仿宋" w:eastAsia="仿宋" w:cs="仿宋"/>
          <w:color w:val="auto"/>
          <w:sz w:val="24"/>
          <w:highlight w:val="none"/>
        </w:rPr>
      </w:pPr>
    </w:p>
    <w:p w14:paraId="3B1FB61C">
      <w:pPr>
        <w:shd w:val="clear"/>
        <w:spacing w:line="500" w:lineRule="exact"/>
        <w:ind w:firstLine="482"/>
        <w:rPr>
          <w:rFonts w:ascii="仿宋" w:hAnsi="仿宋" w:eastAsia="仿宋" w:cs="仿宋"/>
          <w:b/>
          <w:color w:val="auto"/>
          <w:sz w:val="24"/>
          <w:highlight w:val="none"/>
        </w:rPr>
      </w:pPr>
    </w:p>
    <w:p w14:paraId="3DA11C66">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注：1、法定代表人本人作为公司代理人前来参与投标的，不提供此项证明文件。</w:t>
      </w:r>
    </w:p>
    <w:p w14:paraId="453DFB45">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    2、授权书上应当附有授权人和被授权人的居民身份证复印件（正反面）。</w:t>
      </w:r>
    </w:p>
    <w:p w14:paraId="25534754">
      <w:pPr>
        <w:keepNext/>
        <w:keepLines/>
        <w:pageBreakBefore w:val="0"/>
        <w:widowControl/>
        <w:shd w:val="clear"/>
        <w:kinsoku/>
        <w:wordWrap/>
        <w:overflowPunct/>
        <w:topLinePunct w:val="0"/>
        <w:autoSpaceDE/>
        <w:autoSpaceDN/>
        <w:bidi w:val="0"/>
        <w:adjustRightInd/>
        <w:snapToGrid/>
        <w:spacing w:line="500" w:lineRule="exact"/>
        <w:jc w:val="center"/>
        <w:textAlignment w:val="baseline"/>
        <w:outlineLvl w:val="9"/>
        <w:rPr>
          <w:rFonts w:hint="default" w:ascii="仿宋" w:hAnsi="仿宋" w:eastAsia="仿宋" w:cs="仿宋"/>
          <w:color w:val="auto"/>
          <w:szCs w:val="24"/>
          <w:highlight w:val="none"/>
        </w:rPr>
      </w:pPr>
      <w:r>
        <w:rPr>
          <w:rFonts w:ascii="仿宋" w:hAnsi="仿宋" w:eastAsia="仿宋" w:cs="仿宋"/>
          <w:color w:val="auto"/>
          <w:szCs w:val="24"/>
          <w:highlight w:val="none"/>
        </w:rPr>
        <w:br w:type="page"/>
      </w:r>
      <w:r>
        <w:rPr>
          <w:rFonts w:hint="eastAsia" w:ascii="仿宋" w:hAnsi="仿宋" w:eastAsia="仿宋" w:cs="仿宋"/>
          <w:b/>
          <w:bCs/>
          <w:color w:val="auto"/>
          <w:szCs w:val="24"/>
          <w:highlight w:val="none"/>
          <w:lang w:val="en-US" w:eastAsia="zh-CN"/>
        </w:rPr>
        <w:t>3、</w:t>
      </w:r>
      <w:r>
        <w:rPr>
          <w:rFonts w:ascii="仿宋" w:hAnsi="仿宋" w:eastAsia="仿宋" w:cs="仿宋"/>
          <w:b/>
          <w:bCs/>
          <w:color w:val="auto"/>
          <w:szCs w:val="24"/>
          <w:highlight w:val="none"/>
        </w:rPr>
        <w:t>法定代表人身份证明书</w:t>
      </w:r>
    </w:p>
    <w:p w14:paraId="69429C0E">
      <w:pPr>
        <w:shd w:val="clear"/>
        <w:spacing w:line="500" w:lineRule="exact"/>
        <w:ind w:firstLine="480"/>
        <w:rPr>
          <w:rFonts w:ascii="仿宋" w:hAnsi="仿宋" w:eastAsia="仿宋" w:cs="仿宋"/>
          <w:color w:val="auto"/>
          <w:sz w:val="24"/>
          <w:highlight w:val="none"/>
        </w:rPr>
      </w:pPr>
    </w:p>
    <w:p w14:paraId="13B0A57A">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企业名称：                                                   </w:t>
      </w:r>
    </w:p>
    <w:p w14:paraId="244A6128">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企业类型：                                                   </w:t>
      </w:r>
    </w:p>
    <w:p w14:paraId="2A1CF990">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    址：                                                   </w:t>
      </w:r>
    </w:p>
    <w:p w14:paraId="752BD83A">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营业期限：                                                   </w:t>
      </w:r>
    </w:p>
    <w:p w14:paraId="686371B9">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成立时间：                                                   </w:t>
      </w:r>
    </w:p>
    <w:p w14:paraId="205E66E7">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姓名：                  性别：            年龄：             </w:t>
      </w:r>
    </w:p>
    <w:p w14:paraId="55868631">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职务：                </w:t>
      </w:r>
    </w:p>
    <w:p w14:paraId="303B93F5">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（投标单位名称）          </w:t>
      </w:r>
      <w:r>
        <w:rPr>
          <w:rFonts w:hint="eastAsia" w:ascii="仿宋" w:hAnsi="仿宋" w:eastAsia="仿宋" w:cs="仿宋"/>
          <w:color w:val="auto"/>
          <w:sz w:val="24"/>
          <w:highlight w:val="none"/>
        </w:rPr>
        <w:t>的法定代表人。</w:t>
      </w:r>
    </w:p>
    <w:p w14:paraId="6A890101">
      <w:pPr>
        <w:shd w:val="clear"/>
        <w:spacing w:line="500" w:lineRule="exact"/>
        <w:ind w:firstLine="480"/>
        <w:rPr>
          <w:rFonts w:ascii="仿宋" w:hAnsi="仿宋" w:eastAsia="仿宋" w:cs="仿宋"/>
          <w:color w:val="auto"/>
          <w:sz w:val="24"/>
          <w:highlight w:val="none"/>
        </w:rPr>
      </w:pPr>
    </w:p>
    <w:p w14:paraId="4B4D8629">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75629AF6">
      <w:pPr>
        <w:shd w:val="clear"/>
        <w:spacing w:line="500" w:lineRule="exact"/>
        <w:ind w:firstLine="480"/>
        <w:rPr>
          <w:rFonts w:ascii="仿宋" w:hAnsi="仿宋" w:eastAsia="仿宋" w:cs="仿宋"/>
          <w:color w:val="auto"/>
          <w:sz w:val="24"/>
          <w:highlight w:val="none"/>
        </w:rPr>
      </w:pPr>
    </w:p>
    <w:p w14:paraId="5F614ECD">
      <w:pPr>
        <w:shd w:val="clear"/>
        <w:spacing w:line="500" w:lineRule="exact"/>
        <w:ind w:firstLine="482"/>
        <w:rPr>
          <w:rFonts w:ascii="仿宋" w:hAnsi="仿宋" w:eastAsia="仿宋" w:cs="仿宋"/>
          <w:b/>
          <w:bCs/>
          <w:color w:val="auto"/>
          <w:sz w:val="24"/>
          <w:highlight w:val="none"/>
        </w:rPr>
      </w:pPr>
      <w:r>
        <w:rPr>
          <w:rFonts w:hint="eastAsia" w:ascii="仿宋" w:hAnsi="仿宋" w:eastAsia="仿宋" w:cs="仿宋"/>
          <w:b/>
          <w:bCs/>
          <w:color w:val="auto"/>
          <w:sz w:val="24"/>
          <w:highlight w:val="none"/>
        </w:rPr>
        <w:t>法定代表人身份证复印件（正反面）：</w:t>
      </w:r>
    </w:p>
    <w:p w14:paraId="353CF7D6">
      <w:pPr>
        <w:shd w:val="clear"/>
        <w:spacing w:line="500" w:lineRule="exact"/>
        <w:ind w:firstLine="480"/>
        <w:rPr>
          <w:rFonts w:ascii="仿宋" w:hAnsi="仿宋" w:eastAsia="仿宋" w:cs="仿宋"/>
          <w:color w:val="auto"/>
          <w:sz w:val="24"/>
          <w:highlight w:val="none"/>
        </w:rPr>
      </w:pPr>
    </w:p>
    <w:p w14:paraId="14A17EE1">
      <w:pPr>
        <w:shd w:val="clear"/>
        <w:spacing w:line="500" w:lineRule="exact"/>
        <w:ind w:firstLine="480"/>
        <w:rPr>
          <w:rFonts w:ascii="仿宋" w:hAnsi="仿宋" w:eastAsia="仿宋" w:cs="仿宋"/>
          <w:color w:val="auto"/>
          <w:sz w:val="24"/>
          <w:highlight w:val="none"/>
        </w:rPr>
      </w:pPr>
    </w:p>
    <w:p w14:paraId="7CAB2E4B">
      <w:pPr>
        <w:shd w:val="clear"/>
        <w:spacing w:line="500" w:lineRule="exact"/>
        <w:ind w:firstLine="480"/>
        <w:rPr>
          <w:rFonts w:ascii="仿宋" w:hAnsi="仿宋" w:eastAsia="仿宋" w:cs="仿宋"/>
          <w:color w:val="auto"/>
          <w:sz w:val="24"/>
          <w:highlight w:val="none"/>
        </w:rPr>
      </w:pPr>
    </w:p>
    <w:p w14:paraId="22E9C265">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投标人名称（盖章）：</w:t>
      </w:r>
    </w:p>
    <w:p w14:paraId="68DF76B9">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法定代表人 (签字或盖章)：</w:t>
      </w:r>
    </w:p>
    <w:p w14:paraId="1C32AE85">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日  期：        年        月        日</w:t>
      </w:r>
    </w:p>
    <w:p w14:paraId="7F6B4D4F">
      <w:pPr>
        <w:shd w:val="clear"/>
        <w:spacing w:line="500" w:lineRule="exact"/>
        <w:ind w:firstLine="480"/>
        <w:rPr>
          <w:rFonts w:ascii="仿宋" w:hAnsi="仿宋" w:eastAsia="仿宋" w:cs="仿宋"/>
          <w:color w:val="auto"/>
          <w:sz w:val="24"/>
          <w:highlight w:val="none"/>
        </w:rPr>
      </w:pPr>
    </w:p>
    <w:p w14:paraId="1F12EB6A">
      <w:pPr>
        <w:shd w:val="clea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注：本证明书为法定代表人本人作为公司代理人参与投标的，提供此项证明书。</w:t>
      </w:r>
    </w:p>
    <w:p w14:paraId="767D676F">
      <w:pPr>
        <w:shd w:val="clear"/>
        <w:ind w:firstLine="480"/>
        <w:rPr>
          <w:rFonts w:ascii="仿宋" w:hAnsi="仿宋" w:eastAsia="仿宋" w:cs="仿宋"/>
          <w:color w:val="auto"/>
          <w:sz w:val="24"/>
          <w:highlight w:val="none"/>
        </w:rPr>
      </w:pPr>
    </w:p>
    <w:p w14:paraId="2E500DB6">
      <w:pPr>
        <w:pStyle w:val="7"/>
        <w:shd w:val="clear"/>
        <w:ind w:firstLine="480"/>
        <w:rPr>
          <w:rFonts w:ascii="仿宋" w:hAnsi="仿宋" w:eastAsia="仿宋" w:cs="仿宋"/>
          <w:color w:val="auto"/>
          <w:sz w:val="24"/>
          <w:szCs w:val="24"/>
          <w:highlight w:val="none"/>
        </w:rPr>
      </w:pPr>
    </w:p>
    <w:p w14:paraId="57F18072">
      <w:pPr>
        <w:keepNext/>
        <w:keepLines/>
        <w:pageBreakBefore w:val="0"/>
        <w:widowControl/>
        <w:shd w:val="clear"/>
        <w:kinsoku/>
        <w:wordWrap/>
        <w:overflowPunct/>
        <w:topLinePunct w:val="0"/>
        <w:autoSpaceDE/>
        <w:autoSpaceDN/>
        <w:bidi w:val="0"/>
        <w:adjustRightInd/>
        <w:snapToGrid/>
        <w:spacing w:line="500" w:lineRule="exact"/>
        <w:ind w:left="629"/>
        <w:jc w:val="center"/>
        <w:textAlignment w:val="baseline"/>
        <w:outlineLvl w:val="9"/>
        <w:rPr>
          <w:rFonts w:hint="default" w:ascii="仿宋" w:hAnsi="仿宋" w:eastAsia="仿宋" w:cs="仿宋"/>
          <w:color w:val="auto"/>
          <w:szCs w:val="24"/>
          <w:highlight w:val="none"/>
        </w:rPr>
      </w:pPr>
      <w:r>
        <w:rPr>
          <w:rFonts w:ascii="仿宋" w:hAnsi="仿宋" w:eastAsia="仿宋" w:cs="仿宋"/>
          <w:color w:val="auto"/>
          <w:szCs w:val="24"/>
          <w:highlight w:val="none"/>
        </w:rPr>
        <w:br w:type="page"/>
      </w:r>
      <w:bookmarkStart w:id="114" w:name="_Toc22554399"/>
      <w:bookmarkStart w:id="115" w:name="_Toc3891646"/>
    </w:p>
    <w:p w14:paraId="53BB749F">
      <w:pPr>
        <w:shd w:val="clear"/>
        <w:tabs>
          <w:tab w:val="center" w:pos="4153"/>
          <w:tab w:val="right" w:pos="8306"/>
        </w:tabs>
        <w:snapToGrid w:val="0"/>
        <w:spacing w:line="440" w:lineRule="exact"/>
        <w:ind w:firstLine="482" w:firstLineChars="200"/>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lang w:eastAsia="zh-CN"/>
        </w:rPr>
        <w:t>政府采购供应商信用承诺函</w:t>
      </w:r>
    </w:p>
    <w:p w14:paraId="6F7E1854">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单位名称(自然人姓名)：</w:t>
      </w:r>
    </w:p>
    <w:p w14:paraId="2E7CCD78">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统一社会信用代码(身份证号码)：</w:t>
      </w:r>
    </w:p>
    <w:p w14:paraId="1A7C8D40">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法定代表人(负责人)：</w:t>
      </w:r>
    </w:p>
    <w:p w14:paraId="2F804F67">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为维护公平、公正、公开的政府采购市场秩序，树立诚实守信的政府采购供应商形象，我单位(本人)自愿作出以下承诺：</w:t>
      </w:r>
    </w:p>
    <w:p w14:paraId="3EEB129B">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我单位(本人)自愿参加本次政府采购活动，严格遵守《中华人民共和国政府采购法》及相关法律法规，依法诚信经营，无条件遵守本次政府采购活动的各项规定。我单位(本人)郑重承诺，我单位(本人)符合《中华人民共和国政府采购法》第二十二条规定和采购文件、本承诺书的条件：</w:t>
      </w:r>
    </w:p>
    <w:p w14:paraId="455A3747">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(一)具有独立承担民事责任的能力;</w:t>
      </w:r>
    </w:p>
    <w:p w14:paraId="442C20C6">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(二)具有良好的商业信誉和健全的财务会计制度;</w:t>
      </w:r>
    </w:p>
    <w:p w14:paraId="03A34DDF">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(三)具有履行合同所必需的设备和专业技术能力;</w:t>
      </w:r>
    </w:p>
    <w:p w14:paraId="1BF542F0">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(四)有依法缴纳税收和社会保障资金的良好记录;</w:t>
      </w:r>
    </w:p>
    <w:p w14:paraId="367C6D6D">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(五)参加政府采购活动前三年内，在经营活动中没有重大违法记录;</w:t>
      </w:r>
    </w:p>
    <w:p w14:paraId="724C59ED">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(六)未被列入经营异常名录或者严重违法失信名单、失信被执行人、重大税收违法案件当事人名单、政府采购严重违法失信行为记录名单;</w:t>
      </w:r>
    </w:p>
    <w:p w14:paraId="4A39BA5F">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(七)未被相关监管部门作出行政处罚且尚在处罚有效期内;</w:t>
      </w:r>
    </w:p>
    <w:p w14:paraId="724BBBB8">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(八)未曾作出虚假采购承诺;</w:t>
      </w:r>
    </w:p>
    <w:p w14:paraId="7B6D1BEB">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(九)符合法律、行政法规规定的其他条件。</w:t>
      </w:r>
    </w:p>
    <w:p w14:paraId="460B0646">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1C51541D">
      <w:pPr>
        <w:shd w:val="clear"/>
        <w:tabs>
          <w:tab w:val="center" w:pos="4153"/>
          <w:tab w:val="right" w:pos="8306"/>
        </w:tabs>
        <w:snapToGrid w:val="0"/>
        <w:spacing w:line="440" w:lineRule="exact"/>
        <w:ind w:firstLine="480" w:firstLineChars="200"/>
        <w:rPr>
          <w:rFonts w:hint="eastAsia" w:ascii="仿宋" w:hAnsi="仿宋" w:eastAsia="仿宋" w:cs="仿宋"/>
          <w:color w:val="auto"/>
          <w:sz w:val="24"/>
          <w:highlight w:val="none"/>
          <w:lang w:eastAsia="zh-CN"/>
        </w:rPr>
      </w:pPr>
    </w:p>
    <w:p w14:paraId="5632D470">
      <w:pPr>
        <w:shd w:val="clea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5228BAF5">
      <w:pPr>
        <w:shd w:val="clea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供应商名称（加盖公章）：</w:t>
      </w:r>
    </w:p>
    <w:p w14:paraId="2D1C5C82">
      <w:pPr>
        <w:shd w:val="clear"/>
        <w:tabs>
          <w:tab w:val="center" w:pos="4153"/>
          <w:tab w:val="right" w:pos="8306"/>
        </w:tabs>
        <w:snapToGrid w:val="0"/>
        <w:spacing w:line="44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   年   月   日</w:t>
      </w:r>
    </w:p>
    <w:p w14:paraId="45E9158C">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br w:type="page"/>
      </w:r>
    </w:p>
    <w:p w14:paraId="634AFAF2">
      <w:pPr>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en-US"/>
        </w:rPr>
        <w:t>投标人具有行政主管部门颁发的乙级及以上测绘资质</w:t>
      </w:r>
    </w:p>
    <w:p w14:paraId="6A76A230">
      <w:pPr>
        <w:rPr>
          <w:rFonts w:hint="eastAsia" w:ascii="仿宋" w:hAnsi="仿宋" w:eastAsia="仿宋" w:cs="仿宋"/>
          <w:color w:val="auto"/>
          <w:sz w:val="24"/>
          <w:highlight w:val="none"/>
          <w:lang w:eastAsia="zh-CN"/>
        </w:rPr>
      </w:pPr>
    </w:p>
    <w:p w14:paraId="2E317D29">
      <w:pPr>
        <w:shd w:val="clear"/>
        <w:tabs>
          <w:tab w:val="center" w:pos="4153"/>
          <w:tab w:val="right" w:pos="8306"/>
        </w:tabs>
        <w:snapToGrid w:val="0"/>
        <w:spacing w:line="440" w:lineRule="exact"/>
        <w:rPr>
          <w:rFonts w:hint="eastAsia" w:ascii="仿宋" w:hAnsi="仿宋" w:eastAsia="仿宋" w:cs="仿宋"/>
          <w:color w:val="auto"/>
          <w:sz w:val="24"/>
          <w:highlight w:val="none"/>
          <w:lang w:eastAsia="zh-CN"/>
        </w:rPr>
      </w:pPr>
    </w:p>
    <w:p w14:paraId="778002A2">
      <w:pPr>
        <w:shd w:val="clear"/>
        <w:rPr>
          <w:color w:val="auto"/>
          <w:highlight w:val="none"/>
        </w:rPr>
      </w:pPr>
    </w:p>
    <w:p w14:paraId="78F180EC">
      <w:pP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br w:type="page"/>
      </w:r>
    </w:p>
    <w:p w14:paraId="6CCC2B0D">
      <w:pPr>
        <w:shd w:val="clear"/>
        <w:tabs>
          <w:tab w:val="center" w:pos="4153"/>
          <w:tab w:val="right" w:pos="8306"/>
        </w:tabs>
        <w:snapToGrid w:val="0"/>
        <w:spacing w:line="440" w:lineRule="exact"/>
        <w:ind w:firstLine="482" w:firstLineChars="200"/>
        <w:jc w:val="center"/>
        <w:rPr>
          <w:rFonts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lang w:eastAsia="zh-CN"/>
        </w:rPr>
        <w:t>供应商无关联关系书面声明函（格式）</w:t>
      </w:r>
    </w:p>
    <w:p w14:paraId="07969F06">
      <w:pPr>
        <w:shd w:val="clear"/>
        <w:tabs>
          <w:tab w:val="center" w:pos="4153"/>
          <w:tab w:val="right" w:pos="8306"/>
        </w:tabs>
        <w:snapToGrid w:val="0"/>
        <w:spacing w:line="440" w:lineRule="exact"/>
        <w:ind w:firstLine="643" w:firstLineChars="200"/>
        <w:jc w:val="center"/>
        <w:rPr>
          <w:rFonts w:ascii="仿宋" w:hAnsi="仿宋" w:eastAsia="仿宋" w:cs="仿宋"/>
          <w:b/>
          <w:bCs/>
          <w:color w:val="auto"/>
          <w:sz w:val="32"/>
          <w:szCs w:val="32"/>
          <w:highlight w:val="none"/>
          <w:lang w:eastAsia="zh-CN"/>
        </w:rPr>
      </w:pPr>
    </w:p>
    <w:p w14:paraId="4C1462F1">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新疆君凯杰工程项目管理有限公司：</w:t>
      </w:r>
    </w:p>
    <w:p w14:paraId="1082D009">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我单位郑重声明：与</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lang w:eastAsia="zh-CN"/>
        </w:rPr>
        <w:t>人</w:t>
      </w:r>
      <w:r>
        <w:rPr>
          <w:rFonts w:hint="eastAsia" w:ascii="仿宋" w:hAnsi="仿宋" w:eastAsia="仿宋" w:cs="仿宋"/>
          <w:color w:val="auto"/>
          <w:sz w:val="24"/>
          <w:highlight w:val="none"/>
          <w:lang w:val="en-US" w:eastAsia="zh-CN"/>
        </w:rPr>
        <w:t>不</w:t>
      </w:r>
      <w:r>
        <w:rPr>
          <w:rFonts w:hint="eastAsia" w:ascii="仿宋" w:hAnsi="仿宋" w:eastAsia="仿宋" w:cs="仿宋"/>
          <w:color w:val="auto"/>
          <w:sz w:val="24"/>
          <w:highlight w:val="none"/>
          <w:lang w:eastAsia="zh-CN"/>
        </w:rPr>
        <w:t>存在利害关系，与本单位负责人为同一人或者与本单位存在控股关系、管理关系的其他关联供应商未参与</w:t>
      </w:r>
      <w:r>
        <w:rPr>
          <w:rFonts w:hint="eastAsia" w:ascii="仿宋" w:hAnsi="仿宋" w:eastAsia="仿宋" w:cs="仿宋"/>
          <w:b/>
          <w:bCs/>
          <w:color w:val="auto"/>
          <w:sz w:val="24"/>
          <w:highlight w:val="none"/>
          <w:u w:val="single"/>
          <w:lang w:eastAsia="zh-CN"/>
        </w:rPr>
        <w:t xml:space="preserve">_(项目名称) </w:t>
      </w:r>
      <w:r>
        <w:rPr>
          <w:rFonts w:hint="eastAsia" w:ascii="仿宋" w:hAnsi="仿宋" w:eastAsia="仿宋" w:cs="仿宋"/>
          <w:color w:val="auto"/>
          <w:sz w:val="24"/>
          <w:highlight w:val="none"/>
          <w:lang w:eastAsia="zh-CN"/>
        </w:rPr>
        <w:t>同一合同项下的谈判。</w:t>
      </w:r>
      <w:r>
        <w:rPr>
          <w:rFonts w:hint="eastAsia" w:ascii="仿宋" w:hAnsi="仿宋" w:eastAsia="仿宋" w:cs="仿宋"/>
          <w:i w:val="0"/>
          <w:iCs w:val="0"/>
          <w:caps w:val="0"/>
          <w:color w:val="auto"/>
          <w:spacing w:val="0"/>
          <w:sz w:val="24"/>
          <w:szCs w:val="24"/>
          <w:highlight w:val="none"/>
          <w:lang w:val="en-US" w:eastAsia="zh-CN"/>
        </w:rPr>
        <w:t>我单位不是</w:t>
      </w:r>
      <w:r>
        <w:rPr>
          <w:rFonts w:hint="eastAsia" w:ascii="仿宋" w:hAnsi="仿宋" w:eastAsia="仿宋" w:cs="仿宋"/>
          <w:i w:val="0"/>
          <w:iCs w:val="0"/>
          <w:caps w:val="0"/>
          <w:color w:val="auto"/>
          <w:spacing w:val="0"/>
          <w:sz w:val="24"/>
          <w:szCs w:val="24"/>
          <w:highlight w:val="none"/>
        </w:rPr>
        <w:t>为该整体项目或其中分项目前期工作提供过设计、编制、监理、检测、管理等服务的法人及附属单位；</w:t>
      </w:r>
    </w:p>
    <w:p w14:paraId="7E4511AA">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我单位保证上述声明真实、有效、可查。</w:t>
      </w:r>
    </w:p>
    <w:p w14:paraId="7F7A90B1">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特此声明。</w:t>
      </w:r>
    </w:p>
    <w:p w14:paraId="004C15C1">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p>
    <w:p w14:paraId="483E9212">
      <w:pPr>
        <w:shd w:val="clea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p>
    <w:p w14:paraId="787DE349">
      <w:pPr>
        <w:shd w:val="clea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07E07583">
      <w:pPr>
        <w:shd w:val="clea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供应商名称（加盖公章）：</w:t>
      </w:r>
    </w:p>
    <w:p w14:paraId="54D39332">
      <w:pPr>
        <w:shd w:val="clear"/>
        <w:tabs>
          <w:tab w:val="center" w:pos="4153"/>
          <w:tab w:val="right" w:pos="8306"/>
        </w:tabs>
        <w:snapToGrid w:val="0"/>
        <w:spacing w:line="440"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   年   月   日</w:t>
      </w:r>
    </w:p>
    <w:p w14:paraId="0474234C">
      <w:pPr>
        <w:shd w:val="clear"/>
        <w:tabs>
          <w:tab w:val="center" w:pos="4153"/>
          <w:tab w:val="right" w:pos="8306"/>
        </w:tabs>
        <w:snapToGrid w:val="0"/>
        <w:spacing w:line="440" w:lineRule="exact"/>
        <w:rPr>
          <w:rFonts w:ascii="仿宋" w:hAnsi="仿宋" w:eastAsia="仿宋" w:cs="仿宋"/>
          <w:color w:val="auto"/>
          <w:sz w:val="24"/>
          <w:highlight w:val="none"/>
          <w:lang w:eastAsia="zh-CN"/>
        </w:rPr>
      </w:pPr>
    </w:p>
    <w:p w14:paraId="1223451F">
      <w:pPr>
        <w:shd w:val="clear"/>
        <w:tabs>
          <w:tab w:val="center" w:pos="4153"/>
          <w:tab w:val="right" w:pos="8306"/>
        </w:tabs>
        <w:snapToGrid w:val="0"/>
        <w:spacing w:line="440" w:lineRule="exact"/>
        <w:rPr>
          <w:rFonts w:ascii="仿宋" w:hAnsi="仿宋" w:eastAsia="仿宋" w:cs="仿宋"/>
          <w:color w:val="auto"/>
          <w:sz w:val="24"/>
          <w:highlight w:val="none"/>
          <w:lang w:eastAsia="zh-CN"/>
        </w:rPr>
      </w:pPr>
    </w:p>
    <w:p w14:paraId="06238D11">
      <w:pPr>
        <w:pageBreakBefore w:val="0"/>
        <w:widowControl/>
        <w:shd w:val="clear"/>
        <w:kinsoku/>
        <w:wordWrap/>
        <w:overflowPunct/>
        <w:topLinePunct w:val="0"/>
        <w:autoSpaceDE/>
        <w:autoSpaceDN/>
        <w:bidi w:val="0"/>
        <w:adjustRightInd/>
        <w:spacing w:line="500" w:lineRule="exact"/>
        <w:ind w:left="630"/>
        <w:jc w:val="center"/>
        <w:textAlignment w:val="baseline"/>
        <w:outlineLvl w:val="9"/>
        <w:rPr>
          <w:rFonts w:hint="eastAsia" w:ascii="仿宋" w:hAnsi="仿宋" w:eastAsia="仿宋" w:cs="仿宋"/>
          <w:color w:val="auto"/>
          <w:szCs w:val="24"/>
          <w:highlight w:val="none"/>
          <w:lang w:val="en-US" w:eastAsia="zh-CN"/>
        </w:rPr>
      </w:pPr>
      <w:bookmarkStart w:id="116" w:name="_Toc21814_WPSOffice_Level1"/>
      <w:bookmarkStart w:id="117" w:name="_Toc8420_WPSOffice_Level1"/>
      <w:bookmarkStart w:id="118" w:name="_Toc7781_WPSOffice_Level1"/>
    </w:p>
    <w:p w14:paraId="5D607D28">
      <w:pPr>
        <w:pageBreakBefore w:val="0"/>
        <w:widowControl/>
        <w:shd w:val="clear"/>
        <w:kinsoku/>
        <w:wordWrap/>
        <w:overflowPunct/>
        <w:topLinePunct w:val="0"/>
        <w:autoSpaceDE/>
        <w:autoSpaceDN/>
        <w:bidi w:val="0"/>
        <w:adjustRightInd/>
        <w:spacing w:line="500" w:lineRule="exact"/>
        <w:ind w:left="630"/>
        <w:jc w:val="center"/>
        <w:textAlignment w:val="baseline"/>
        <w:outlineLvl w:val="9"/>
        <w:rPr>
          <w:rFonts w:hint="eastAsia" w:ascii="仿宋" w:hAnsi="仿宋" w:eastAsia="仿宋" w:cs="仿宋"/>
          <w:color w:val="auto"/>
          <w:szCs w:val="24"/>
          <w:highlight w:val="none"/>
          <w:lang w:val="en-US" w:eastAsia="zh-CN"/>
        </w:rPr>
      </w:pPr>
    </w:p>
    <w:p w14:paraId="4212409E">
      <w:pPr>
        <w:pageBreakBefore w:val="0"/>
        <w:widowControl/>
        <w:shd w:val="clear"/>
        <w:kinsoku/>
        <w:wordWrap/>
        <w:overflowPunct/>
        <w:topLinePunct w:val="0"/>
        <w:autoSpaceDE/>
        <w:autoSpaceDN/>
        <w:bidi w:val="0"/>
        <w:adjustRightInd/>
        <w:spacing w:line="500" w:lineRule="exact"/>
        <w:ind w:left="630"/>
        <w:jc w:val="center"/>
        <w:textAlignment w:val="baseline"/>
        <w:outlineLvl w:val="9"/>
        <w:rPr>
          <w:rFonts w:hint="eastAsia" w:ascii="仿宋" w:hAnsi="仿宋" w:eastAsia="仿宋" w:cs="仿宋"/>
          <w:color w:val="auto"/>
          <w:szCs w:val="24"/>
          <w:highlight w:val="none"/>
          <w:lang w:val="en-US" w:eastAsia="zh-CN"/>
        </w:rPr>
      </w:pPr>
    </w:p>
    <w:p w14:paraId="3AF45294">
      <w:pPr>
        <w:pageBreakBefore w:val="0"/>
        <w:widowControl/>
        <w:shd w:val="clear"/>
        <w:kinsoku/>
        <w:wordWrap/>
        <w:overflowPunct/>
        <w:topLinePunct w:val="0"/>
        <w:autoSpaceDE/>
        <w:autoSpaceDN/>
        <w:bidi w:val="0"/>
        <w:adjustRightInd/>
        <w:spacing w:line="500" w:lineRule="exact"/>
        <w:ind w:left="630"/>
        <w:jc w:val="center"/>
        <w:textAlignment w:val="baseline"/>
        <w:outlineLvl w:val="9"/>
        <w:rPr>
          <w:rFonts w:hint="eastAsia" w:ascii="仿宋" w:hAnsi="仿宋" w:eastAsia="仿宋" w:cs="仿宋"/>
          <w:color w:val="auto"/>
          <w:szCs w:val="24"/>
          <w:highlight w:val="none"/>
          <w:lang w:val="en-US" w:eastAsia="zh-CN"/>
        </w:rPr>
      </w:pPr>
    </w:p>
    <w:p w14:paraId="4268E416">
      <w:pPr>
        <w:pStyle w:val="11"/>
        <w:shd w:val="clear"/>
        <w:rPr>
          <w:rFonts w:hint="eastAsia" w:ascii="仿宋" w:hAnsi="仿宋" w:eastAsia="仿宋" w:cs="仿宋"/>
          <w:color w:val="auto"/>
          <w:szCs w:val="24"/>
          <w:highlight w:val="none"/>
          <w:lang w:val="en-US" w:eastAsia="zh-CN"/>
        </w:rPr>
      </w:pPr>
    </w:p>
    <w:p w14:paraId="0C41D60D">
      <w:pPr>
        <w:shd w:val="clear"/>
        <w:rPr>
          <w:rFonts w:hint="eastAsia" w:ascii="仿宋" w:hAnsi="仿宋" w:eastAsia="仿宋" w:cs="仿宋"/>
          <w:color w:val="auto"/>
          <w:szCs w:val="24"/>
          <w:highlight w:val="none"/>
          <w:lang w:val="en-US" w:eastAsia="zh-CN"/>
        </w:rPr>
      </w:pPr>
    </w:p>
    <w:p w14:paraId="59EF6A9C">
      <w:pPr>
        <w:pStyle w:val="11"/>
        <w:shd w:val="clear"/>
        <w:rPr>
          <w:rFonts w:hint="eastAsia" w:ascii="仿宋" w:hAnsi="仿宋" w:eastAsia="仿宋" w:cs="仿宋"/>
          <w:color w:val="auto"/>
          <w:szCs w:val="24"/>
          <w:highlight w:val="none"/>
          <w:lang w:val="en-US" w:eastAsia="zh-CN"/>
        </w:rPr>
      </w:pPr>
    </w:p>
    <w:p w14:paraId="003B8E06">
      <w:pPr>
        <w:shd w:val="clear"/>
        <w:rPr>
          <w:rFonts w:hint="eastAsia" w:ascii="仿宋" w:hAnsi="仿宋" w:eastAsia="仿宋" w:cs="仿宋"/>
          <w:color w:val="auto"/>
          <w:szCs w:val="24"/>
          <w:highlight w:val="none"/>
          <w:lang w:val="en-US" w:eastAsia="zh-CN"/>
        </w:rPr>
      </w:pPr>
    </w:p>
    <w:p w14:paraId="040646D9">
      <w:pPr>
        <w:pStyle w:val="11"/>
        <w:shd w:val="clear"/>
        <w:rPr>
          <w:rFonts w:hint="eastAsia" w:ascii="仿宋" w:hAnsi="仿宋" w:eastAsia="仿宋" w:cs="仿宋"/>
          <w:color w:val="auto"/>
          <w:szCs w:val="24"/>
          <w:highlight w:val="none"/>
          <w:lang w:val="en-US" w:eastAsia="zh-CN"/>
        </w:rPr>
      </w:pPr>
    </w:p>
    <w:p w14:paraId="6EEFF65E">
      <w:pPr>
        <w:shd w:val="clear"/>
        <w:rPr>
          <w:rFonts w:hint="eastAsia" w:ascii="仿宋" w:hAnsi="仿宋" w:eastAsia="仿宋" w:cs="仿宋"/>
          <w:color w:val="auto"/>
          <w:szCs w:val="24"/>
          <w:highlight w:val="none"/>
          <w:lang w:val="en-US" w:eastAsia="zh-CN"/>
        </w:rPr>
      </w:pPr>
    </w:p>
    <w:p w14:paraId="0084DAF9">
      <w:pPr>
        <w:pStyle w:val="11"/>
        <w:shd w:val="clear"/>
        <w:rPr>
          <w:rFonts w:hint="eastAsia" w:ascii="仿宋" w:hAnsi="仿宋" w:eastAsia="仿宋" w:cs="仿宋"/>
          <w:color w:val="auto"/>
          <w:szCs w:val="24"/>
          <w:highlight w:val="none"/>
          <w:lang w:val="en-US" w:eastAsia="zh-CN"/>
        </w:rPr>
      </w:pPr>
    </w:p>
    <w:p w14:paraId="7570F586">
      <w:pPr>
        <w:shd w:val="clear"/>
        <w:rPr>
          <w:rFonts w:hint="eastAsia" w:ascii="仿宋" w:hAnsi="仿宋" w:eastAsia="仿宋" w:cs="仿宋"/>
          <w:color w:val="auto"/>
          <w:szCs w:val="24"/>
          <w:highlight w:val="none"/>
          <w:lang w:val="en-US" w:eastAsia="zh-CN"/>
        </w:rPr>
      </w:pPr>
    </w:p>
    <w:p w14:paraId="4922685F">
      <w:pPr>
        <w:pStyle w:val="11"/>
        <w:shd w:val="clear"/>
        <w:rPr>
          <w:rFonts w:hint="eastAsia" w:ascii="仿宋" w:hAnsi="仿宋" w:eastAsia="仿宋" w:cs="仿宋"/>
          <w:color w:val="auto"/>
          <w:szCs w:val="24"/>
          <w:highlight w:val="none"/>
          <w:lang w:val="en-US" w:eastAsia="zh-CN"/>
        </w:rPr>
      </w:pPr>
    </w:p>
    <w:p w14:paraId="12CC6081">
      <w:pPr>
        <w:rPr>
          <w:rFonts w:hint="eastAsia" w:ascii="仿宋" w:hAnsi="仿宋" w:eastAsia="仿宋" w:cs="仿宋"/>
          <w:color w:val="auto"/>
          <w:szCs w:val="24"/>
          <w:highlight w:val="none"/>
          <w:lang w:val="en-US" w:eastAsia="zh-CN"/>
        </w:rPr>
      </w:pPr>
    </w:p>
    <w:p w14:paraId="060A4E76">
      <w:pPr>
        <w:rPr>
          <w:rFonts w:hint="eastAsia" w:ascii="仿宋" w:hAnsi="仿宋" w:eastAsia="仿宋" w:cs="仿宋"/>
          <w:color w:val="auto"/>
          <w:szCs w:val="24"/>
          <w:highlight w:val="none"/>
          <w:lang w:val="en-US" w:eastAsia="zh-CN"/>
        </w:rPr>
      </w:pPr>
    </w:p>
    <w:p w14:paraId="173CDED1">
      <w:pPr>
        <w:rPr>
          <w:rFonts w:hint="eastAsia" w:ascii="仿宋" w:hAnsi="仿宋" w:eastAsia="仿宋" w:cs="仿宋"/>
          <w:color w:val="auto"/>
          <w:szCs w:val="24"/>
          <w:highlight w:val="none"/>
          <w:lang w:val="en-US" w:eastAsia="zh-CN"/>
        </w:rPr>
      </w:pPr>
    </w:p>
    <w:p w14:paraId="69F0B004">
      <w:pPr>
        <w:rPr>
          <w:rFonts w:hint="eastAsia" w:ascii="仿宋" w:hAnsi="仿宋" w:eastAsia="仿宋" w:cs="仿宋"/>
          <w:color w:val="auto"/>
          <w:szCs w:val="24"/>
          <w:highlight w:val="none"/>
          <w:lang w:val="en-US" w:eastAsia="zh-CN"/>
        </w:rPr>
      </w:pPr>
    </w:p>
    <w:p w14:paraId="2E463715">
      <w:pPr>
        <w:shd w:val="clea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szCs w:val="24"/>
          <w:highlight w:val="none"/>
          <w:lang w:eastAsia="zh-CN" w:bidi="ar"/>
        </w:rPr>
        <w:t>《中小企业声明函》（服务）</w:t>
      </w:r>
    </w:p>
    <w:p w14:paraId="7E4ACA90">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本公司（联合体）郑重声明，根据《政府采购促进中小企业发展管理办法》（财库﹝2020﹞46 号）的规定，本公司参加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（单位名称）</w:t>
      </w:r>
      <w:r>
        <w:rPr>
          <w:rFonts w:hint="eastAsia" w:ascii="仿宋" w:hAnsi="仿宋" w:eastAsia="仿宋" w:cs="仿宋"/>
          <w:color w:val="auto"/>
          <w:sz w:val="24"/>
          <w:szCs w:val="24"/>
          <w:highlight w:val="none"/>
          <w:lang w:eastAsia="zh-CN" w:bidi="ar"/>
        </w:rPr>
        <w:t xml:space="preserve">的                     </w:t>
      </w:r>
      <w:r>
        <w:rPr>
          <w:rFonts w:hint="eastAsia" w:ascii="仿宋" w:hAnsi="仿宋" w:eastAsia="仿宋" w:cs="仿宋"/>
          <w:i/>
          <w:iCs/>
          <w:color w:val="auto"/>
          <w:sz w:val="24"/>
          <w:szCs w:val="24"/>
          <w:highlight w:val="none"/>
          <w:u w:val="single"/>
          <w:lang w:eastAsia="zh-CN" w:bidi="ar"/>
        </w:rPr>
        <w:t xml:space="preserve">               （项目名称）</w:t>
      </w:r>
      <w:r>
        <w:rPr>
          <w:rFonts w:hint="eastAsia" w:ascii="仿宋" w:hAnsi="仿宋" w:eastAsia="仿宋" w:cs="仿宋"/>
          <w:color w:val="auto"/>
          <w:sz w:val="24"/>
          <w:szCs w:val="24"/>
          <w:highlight w:val="none"/>
          <w:lang w:eastAsia="zh-CN" w:bidi="ar"/>
        </w:rPr>
        <w:t>采购活动，服务全部由符合政策要求的中小企业承接。相关企业的具体情况如下：</w:t>
      </w:r>
    </w:p>
    <w:p w14:paraId="08697202">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1.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u w:val="single"/>
          <w:lang w:val="en-US" w:eastAsia="zh-CN" w:bidi="ar"/>
        </w:rPr>
        <w:t>其他未列明行业</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0BA4B473">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2.</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41620659">
      <w:pPr>
        <w:shd w:val="clear"/>
        <w:spacing w:line="579" w:lineRule="exact"/>
        <w:ind w:firstLine="720" w:firstLineChars="3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w:t>
      </w:r>
    </w:p>
    <w:p w14:paraId="72221ED1">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以上企业，不属于大企业的分支机构，不存在控股股东为大企业的情形，也不存在与大企业的负责人为同一人的情形。</w:t>
      </w:r>
    </w:p>
    <w:p w14:paraId="34C97D8A">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本企业对上述声明内容的真实性负责。如有虚假，将依法承担相应责任。 </w:t>
      </w:r>
    </w:p>
    <w:p w14:paraId="723273BF">
      <w:pPr>
        <w:shd w:val="clea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企业名称（盖章）： </w:t>
      </w:r>
    </w:p>
    <w:p w14:paraId="239558FB">
      <w:pPr>
        <w:shd w:val="clea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日 期： </w:t>
      </w:r>
    </w:p>
    <w:p w14:paraId="45DE6540">
      <w:pPr>
        <w:spacing w:line="579" w:lineRule="exact"/>
        <w:rPr>
          <w:rStyle w:val="35"/>
          <w:rFonts w:hint="eastAsia" w:ascii="仿宋" w:hAnsi="仿宋" w:eastAsia="仿宋" w:cs="仿宋"/>
          <w:b/>
          <w:bCs/>
          <w:color w:val="auto"/>
          <w:sz w:val="21"/>
          <w:szCs w:val="21"/>
          <w:highlight w:val="none"/>
          <w:lang w:val="en-US" w:eastAsia="zh-CN"/>
        </w:rPr>
      </w:pPr>
      <w:r>
        <w:rPr>
          <w:rFonts w:hint="eastAsia" w:ascii="仿宋" w:hAnsi="仿宋" w:eastAsia="仿宋" w:cs="仿宋"/>
          <w:color w:val="auto"/>
          <w:sz w:val="24"/>
          <w:szCs w:val="24"/>
          <w:highlight w:val="none"/>
          <w:lang w:eastAsia="zh-CN" w:bidi="ar"/>
        </w:rPr>
        <w:t>1 从业人员、营业收入、资产总额填报上一年度数据，无上一年度数据的新成立企业可不填报。</w:t>
      </w:r>
      <w:r>
        <w:rPr>
          <w:rStyle w:val="35"/>
          <w:rFonts w:hint="eastAsia" w:ascii="仿宋" w:hAnsi="仿宋" w:eastAsia="仿宋" w:cs="仿宋"/>
          <w:b/>
          <w:bCs/>
          <w:color w:val="auto"/>
          <w:sz w:val="24"/>
          <w:szCs w:val="24"/>
          <w:highlight w:val="none"/>
          <w:lang w:val="en-US" w:eastAsia="zh-CN"/>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bookmarkEnd w:id="114"/>
    <w:bookmarkEnd w:id="115"/>
    <w:bookmarkEnd w:id="116"/>
    <w:bookmarkEnd w:id="117"/>
    <w:bookmarkEnd w:id="118"/>
    <w:p w14:paraId="4D9A14F3">
      <w:pPr>
        <w:pStyle w:val="3"/>
        <w:shd w:val="clear"/>
        <w:spacing w:before="0" w:after="0" w:line="579" w:lineRule="exact"/>
        <w:ind w:firstLine="0" w:firstLineChars="0"/>
        <w:rPr>
          <w:rFonts w:hint="default" w:ascii="仿宋" w:hAnsi="仿宋" w:eastAsia="仿宋" w:cs="仿宋"/>
          <w:color w:val="auto"/>
          <w:highlight w:val="none"/>
          <w:lang w:eastAsia="zh-CN"/>
        </w:rPr>
      </w:pPr>
      <w:bookmarkStart w:id="119" w:name="_Toc8013"/>
      <w:bookmarkStart w:id="120" w:name="_Toc24536"/>
      <w:bookmarkStart w:id="121" w:name="_Toc25663"/>
      <w:bookmarkStart w:id="122" w:name="_Toc3554"/>
      <w:bookmarkStart w:id="123" w:name="_Toc24213"/>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第二部分</w:t>
      </w:r>
      <w:r>
        <w:rPr>
          <w:rFonts w:hint="eastAsia" w:ascii="仿宋" w:hAnsi="仿宋" w:eastAsia="仿宋" w:cs="仿宋"/>
          <w:color w:val="auto"/>
          <w:highlight w:val="none"/>
          <w:lang w:eastAsia="zh-CN"/>
        </w:rPr>
        <w:t>）</w:t>
      </w:r>
      <w:r>
        <w:rPr>
          <w:rFonts w:ascii="仿宋" w:hAnsi="仿宋" w:eastAsia="仿宋" w:cs="仿宋"/>
          <w:color w:val="auto"/>
          <w:highlight w:val="none"/>
          <w:lang w:eastAsia="zh-CN"/>
        </w:rPr>
        <w:t>报价文件</w:t>
      </w:r>
      <w:bookmarkEnd w:id="119"/>
      <w:bookmarkEnd w:id="120"/>
      <w:bookmarkEnd w:id="121"/>
      <w:bookmarkEnd w:id="122"/>
      <w:bookmarkEnd w:id="123"/>
    </w:p>
    <w:p w14:paraId="09A70A7D">
      <w:pPr>
        <w:shd w:val="clear"/>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一、报价一览表</w:t>
      </w:r>
    </w:p>
    <w:tbl>
      <w:tblPr>
        <w:tblStyle w:val="27"/>
        <w:tblpPr w:leftFromText="180" w:rightFromText="180" w:vertAnchor="text" w:horzAnchor="margin" w:tblpXSpec="center" w:tblpY="2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2475"/>
        <w:gridCol w:w="1365"/>
        <w:gridCol w:w="3458"/>
      </w:tblGrid>
      <w:tr w14:paraId="5889C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6855EC1B">
            <w:pPr>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p>
        </w:tc>
        <w:tc>
          <w:tcPr>
            <w:tcW w:w="7298" w:type="dxa"/>
            <w:gridSpan w:val="3"/>
            <w:vAlign w:val="center"/>
          </w:tcPr>
          <w:p w14:paraId="7D9B9A58">
            <w:pPr>
              <w:shd w:val="clear"/>
              <w:snapToGrid w:val="0"/>
              <w:spacing w:line="360" w:lineRule="auto"/>
              <w:rPr>
                <w:rFonts w:ascii="仿宋" w:hAnsi="仿宋" w:eastAsia="仿宋" w:cs="仿宋"/>
                <w:color w:val="auto"/>
                <w:sz w:val="24"/>
                <w:highlight w:val="none"/>
              </w:rPr>
            </w:pPr>
          </w:p>
        </w:tc>
      </w:tr>
      <w:tr w14:paraId="7BC99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3B4F1512">
            <w:pPr>
              <w:shd w:val="clea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项目编号:</w:t>
            </w:r>
            <w:r>
              <w:rPr>
                <w:rFonts w:hint="eastAsia" w:ascii="仿宋" w:hAnsi="仿宋" w:eastAsia="仿宋" w:cs="仿宋"/>
                <w:color w:val="auto"/>
                <w:sz w:val="24"/>
                <w:highlight w:val="none"/>
                <w:lang w:val="en-US" w:eastAsia="zh-CN"/>
              </w:rPr>
              <w:t xml:space="preserve"> </w:t>
            </w:r>
          </w:p>
        </w:tc>
        <w:tc>
          <w:tcPr>
            <w:tcW w:w="7298" w:type="dxa"/>
            <w:gridSpan w:val="3"/>
            <w:vAlign w:val="center"/>
          </w:tcPr>
          <w:p w14:paraId="75A8C5A2">
            <w:pPr>
              <w:shd w:val="clear"/>
              <w:snapToGrid w:val="0"/>
              <w:spacing w:line="360" w:lineRule="auto"/>
              <w:rPr>
                <w:rFonts w:ascii="仿宋" w:hAnsi="仿宋" w:eastAsia="仿宋" w:cs="仿宋"/>
                <w:color w:val="auto"/>
                <w:sz w:val="24"/>
                <w:highlight w:val="none"/>
              </w:rPr>
            </w:pPr>
          </w:p>
        </w:tc>
      </w:tr>
      <w:tr w14:paraId="29CD6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2AE5C78E">
            <w:pPr>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7298" w:type="dxa"/>
            <w:gridSpan w:val="3"/>
            <w:vAlign w:val="center"/>
          </w:tcPr>
          <w:p w14:paraId="08358755">
            <w:pPr>
              <w:shd w:val="clear"/>
              <w:snapToGrid w:val="0"/>
              <w:spacing w:line="360" w:lineRule="auto"/>
              <w:rPr>
                <w:rFonts w:ascii="仿宋" w:hAnsi="仿宋" w:eastAsia="仿宋" w:cs="仿宋"/>
                <w:color w:val="auto"/>
                <w:sz w:val="24"/>
                <w:highlight w:val="none"/>
              </w:rPr>
            </w:pPr>
          </w:p>
        </w:tc>
      </w:tr>
      <w:tr w14:paraId="33621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7A786809">
            <w:pPr>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法定代表人</w:t>
            </w:r>
          </w:p>
        </w:tc>
        <w:tc>
          <w:tcPr>
            <w:tcW w:w="2475" w:type="dxa"/>
            <w:vAlign w:val="center"/>
          </w:tcPr>
          <w:p w14:paraId="52235169">
            <w:pPr>
              <w:shd w:val="clear"/>
              <w:snapToGrid w:val="0"/>
              <w:spacing w:line="360" w:lineRule="auto"/>
              <w:rPr>
                <w:rFonts w:ascii="仿宋" w:hAnsi="仿宋" w:eastAsia="仿宋" w:cs="仿宋"/>
                <w:color w:val="auto"/>
                <w:sz w:val="24"/>
                <w:highlight w:val="none"/>
              </w:rPr>
            </w:pPr>
          </w:p>
        </w:tc>
        <w:tc>
          <w:tcPr>
            <w:tcW w:w="1365" w:type="dxa"/>
            <w:vAlign w:val="center"/>
          </w:tcPr>
          <w:p w14:paraId="48E203FF">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3458" w:type="dxa"/>
            <w:vAlign w:val="center"/>
          </w:tcPr>
          <w:p w14:paraId="2F28DF83">
            <w:pPr>
              <w:shd w:val="clear"/>
              <w:snapToGrid w:val="0"/>
              <w:spacing w:line="360" w:lineRule="auto"/>
              <w:rPr>
                <w:rFonts w:ascii="仿宋" w:hAnsi="仿宋" w:eastAsia="仿宋" w:cs="仿宋"/>
                <w:color w:val="auto"/>
                <w:sz w:val="24"/>
                <w:highlight w:val="none"/>
              </w:rPr>
            </w:pPr>
          </w:p>
        </w:tc>
      </w:tr>
      <w:tr w14:paraId="1AF9E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tcBorders>
              <w:bottom w:val="single" w:color="auto" w:sz="4" w:space="0"/>
            </w:tcBorders>
            <w:vAlign w:val="center"/>
          </w:tcPr>
          <w:p w14:paraId="5B360DBF">
            <w:pPr>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法人授权代表</w:t>
            </w:r>
          </w:p>
        </w:tc>
        <w:tc>
          <w:tcPr>
            <w:tcW w:w="2475" w:type="dxa"/>
            <w:tcBorders>
              <w:bottom w:val="single" w:color="auto" w:sz="4" w:space="0"/>
            </w:tcBorders>
            <w:vAlign w:val="center"/>
          </w:tcPr>
          <w:p w14:paraId="395F734A">
            <w:pPr>
              <w:shd w:val="clear"/>
              <w:snapToGrid w:val="0"/>
              <w:spacing w:line="360" w:lineRule="auto"/>
              <w:rPr>
                <w:rFonts w:ascii="仿宋" w:hAnsi="仿宋" w:eastAsia="仿宋" w:cs="仿宋"/>
                <w:color w:val="auto"/>
                <w:sz w:val="24"/>
                <w:highlight w:val="none"/>
              </w:rPr>
            </w:pPr>
          </w:p>
        </w:tc>
        <w:tc>
          <w:tcPr>
            <w:tcW w:w="1365" w:type="dxa"/>
            <w:tcBorders>
              <w:bottom w:val="single" w:color="auto" w:sz="4" w:space="0"/>
            </w:tcBorders>
            <w:vAlign w:val="center"/>
          </w:tcPr>
          <w:p w14:paraId="35722F95">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3458" w:type="dxa"/>
            <w:tcBorders>
              <w:bottom w:val="single" w:color="auto" w:sz="4" w:space="0"/>
            </w:tcBorders>
            <w:vAlign w:val="center"/>
          </w:tcPr>
          <w:p w14:paraId="58F23547">
            <w:pPr>
              <w:shd w:val="clear"/>
              <w:snapToGrid w:val="0"/>
              <w:spacing w:line="360" w:lineRule="auto"/>
              <w:rPr>
                <w:rFonts w:ascii="仿宋" w:hAnsi="仿宋" w:eastAsia="仿宋" w:cs="仿宋"/>
                <w:color w:val="auto"/>
                <w:sz w:val="24"/>
                <w:highlight w:val="none"/>
              </w:rPr>
            </w:pPr>
          </w:p>
        </w:tc>
      </w:tr>
      <w:tr w14:paraId="0B7B9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7" w:hRule="atLeast"/>
        </w:trPr>
        <w:tc>
          <w:tcPr>
            <w:tcW w:w="1988" w:type="dxa"/>
            <w:tcBorders>
              <w:top w:val="single" w:color="auto" w:sz="4" w:space="0"/>
              <w:left w:val="single" w:color="auto" w:sz="4" w:space="0"/>
              <w:bottom w:val="single" w:color="auto" w:sz="4" w:space="0"/>
              <w:right w:val="single" w:color="auto" w:sz="4" w:space="0"/>
            </w:tcBorders>
            <w:vAlign w:val="center"/>
          </w:tcPr>
          <w:p w14:paraId="4F51F84A">
            <w:pPr>
              <w:shd w:val="clea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w:t>
            </w:r>
            <w:r>
              <w:rPr>
                <w:rFonts w:hint="eastAsia" w:ascii="仿宋" w:hAnsi="仿宋" w:eastAsia="仿宋" w:cs="仿宋"/>
                <w:color w:val="auto"/>
                <w:sz w:val="24"/>
                <w:highlight w:val="none"/>
                <w:lang w:val="en-US" w:eastAsia="zh-CN"/>
              </w:rPr>
              <w:t>报价（含税）</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2CDD0BA6">
            <w:pPr>
              <w:shd w:val="clear"/>
              <w:snapToGrid w:val="0"/>
              <w:spacing w:line="360" w:lineRule="auto"/>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￥：（元）</w:t>
            </w:r>
          </w:p>
          <w:p w14:paraId="2F3DD0D8">
            <w:pPr>
              <w:shd w:val="clear"/>
              <w:snapToGrid w:val="0"/>
              <w:spacing w:line="360" w:lineRule="auto"/>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人民币（大写）：</w:t>
            </w:r>
          </w:p>
        </w:tc>
      </w:tr>
      <w:tr w14:paraId="0B016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trPr>
        <w:tc>
          <w:tcPr>
            <w:tcW w:w="1988" w:type="dxa"/>
            <w:tcBorders>
              <w:top w:val="single" w:color="auto" w:sz="4" w:space="0"/>
              <w:left w:val="single" w:color="auto" w:sz="4" w:space="0"/>
              <w:bottom w:val="single" w:color="auto" w:sz="4" w:space="0"/>
              <w:right w:val="single" w:color="auto" w:sz="4" w:space="0"/>
            </w:tcBorders>
            <w:vAlign w:val="center"/>
          </w:tcPr>
          <w:p w14:paraId="48C1608E">
            <w:pPr>
              <w:shd w:val="clear"/>
              <w:snapToGrid w:val="0"/>
              <w:spacing w:line="360" w:lineRule="auto"/>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合同履行期限</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75879900">
            <w:pPr>
              <w:shd w:val="clear"/>
              <w:snapToGrid w:val="0"/>
              <w:spacing w:line="360" w:lineRule="auto"/>
              <w:ind w:right="110" w:rightChars="50"/>
              <w:rPr>
                <w:rFonts w:ascii="仿宋" w:hAnsi="仿宋" w:eastAsia="仿宋" w:cs="仿宋"/>
                <w:color w:val="auto"/>
                <w:sz w:val="24"/>
                <w:highlight w:val="none"/>
              </w:rPr>
            </w:pPr>
          </w:p>
        </w:tc>
      </w:tr>
    </w:tbl>
    <w:p w14:paraId="46D5C49F">
      <w:pPr>
        <w:shd w:val="clear"/>
        <w:snapToGrid w:val="0"/>
        <w:spacing w:line="480" w:lineRule="auto"/>
        <w:ind w:right="110" w:rightChars="50"/>
        <w:rPr>
          <w:rFonts w:hint="eastAsia" w:ascii="仿宋" w:hAnsi="仿宋" w:eastAsia="仿宋" w:cs="仿宋"/>
          <w:color w:val="auto"/>
          <w:sz w:val="24"/>
          <w:szCs w:val="24"/>
          <w:highlight w:val="none"/>
          <w:lang w:eastAsia="zh-CN"/>
        </w:rPr>
      </w:pPr>
    </w:p>
    <w:p w14:paraId="724464D2">
      <w:pPr>
        <w:shd w:val="clear"/>
        <w:snapToGrid w:val="0"/>
        <w:spacing w:line="480" w:lineRule="auto"/>
        <w:ind w:right="110" w:right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（盖章）：</w:t>
      </w:r>
    </w:p>
    <w:p w14:paraId="59FFA78E">
      <w:pPr>
        <w:shd w:val="clea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767C89D2">
      <w:pPr>
        <w:shd w:val="clear"/>
        <w:snapToGrid w:val="0"/>
        <w:spacing w:line="360" w:lineRule="auto"/>
        <w:rPr>
          <w:rFonts w:ascii="仿宋" w:hAnsi="仿宋" w:eastAsia="仿宋" w:cs="仿宋"/>
          <w:b/>
          <w:color w:val="auto"/>
          <w:sz w:val="28"/>
          <w:szCs w:val="28"/>
          <w:highlight w:val="none"/>
          <w:lang w:eastAsia="zh-CN"/>
        </w:rPr>
      </w:pPr>
    </w:p>
    <w:p w14:paraId="290306E2">
      <w:pPr>
        <w:pStyle w:val="11"/>
        <w:shd w:val="clear"/>
        <w:rPr>
          <w:rFonts w:ascii="仿宋" w:hAnsi="仿宋" w:eastAsia="仿宋" w:cs="仿宋"/>
          <w:b/>
          <w:color w:val="auto"/>
          <w:sz w:val="28"/>
          <w:szCs w:val="28"/>
          <w:highlight w:val="none"/>
          <w:lang w:eastAsia="zh-CN"/>
        </w:rPr>
      </w:pPr>
    </w:p>
    <w:p w14:paraId="6E5899DC">
      <w:pPr>
        <w:shd w:val="clear"/>
        <w:rPr>
          <w:rFonts w:ascii="仿宋" w:hAnsi="仿宋" w:eastAsia="仿宋" w:cs="仿宋"/>
          <w:b/>
          <w:color w:val="auto"/>
          <w:sz w:val="28"/>
          <w:szCs w:val="28"/>
          <w:highlight w:val="none"/>
          <w:lang w:eastAsia="zh-CN"/>
        </w:rPr>
      </w:pPr>
    </w:p>
    <w:p w14:paraId="441FDC80">
      <w:pPr>
        <w:pStyle w:val="11"/>
        <w:shd w:val="clear"/>
        <w:rPr>
          <w:color w:val="auto"/>
          <w:highlight w:val="none"/>
          <w:lang w:eastAsia="zh-CN"/>
        </w:rPr>
      </w:pPr>
    </w:p>
    <w:p w14:paraId="02189B69">
      <w:pPr>
        <w:pageBreakBefore w:val="0"/>
        <w:widowControl/>
        <w:shd w:val="clear"/>
        <w:kinsoku/>
        <w:wordWrap/>
        <w:overflowPunct/>
        <w:topLinePunct w:val="0"/>
        <w:autoSpaceDE/>
        <w:autoSpaceDN/>
        <w:bidi w:val="0"/>
        <w:adjustRightInd/>
        <w:snapToGrid/>
        <w:textAlignment w:val="baseline"/>
        <w:outlineLvl w:val="9"/>
        <w:rPr>
          <w:rFonts w:ascii="仿宋" w:hAnsi="仿宋" w:eastAsia="仿宋" w:cs="仿宋"/>
          <w:b/>
          <w:color w:val="auto"/>
          <w:sz w:val="28"/>
          <w:szCs w:val="28"/>
          <w:highlight w:val="none"/>
          <w:lang w:eastAsia="zh-CN"/>
        </w:rPr>
      </w:pPr>
    </w:p>
    <w:p w14:paraId="1CEF0A7B">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384AE640">
      <w:pPr>
        <w:keepNext/>
        <w:keepLines/>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4E7A9E0B">
      <w:pPr>
        <w:pageBreakBefore w:val="0"/>
        <w:widowControl/>
        <w:shd w:val="clear"/>
        <w:kinsoku/>
        <w:wordWrap/>
        <w:overflowPunct/>
        <w:topLinePunct w:val="0"/>
        <w:autoSpaceDE/>
        <w:autoSpaceDN/>
        <w:bidi w:val="0"/>
        <w:adjustRightInd/>
        <w:snapToGrid/>
        <w:textAlignment w:val="baseline"/>
        <w:outlineLvl w:val="9"/>
        <w:rPr>
          <w:rFonts w:ascii="仿宋" w:hAnsi="仿宋" w:eastAsia="仿宋" w:cs="仿宋"/>
          <w:b/>
          <w:color w:val="auto"/>
          <w:sz w:val="28"/>
          <w:szCs w:val="28"/>
          <w:highlight w:val="none"/>
          <w:lang w:eastAsia="zh-CN"/>
        </w:rPr>
      </w:pPr>
    </w:p>
    <w:p w14:paraId="657E4ECF">
      <w:pPr>
        <w:shd w:val="clear"/>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二、报价明细表</w:t>
      </w:r>
    </w:p>
    <w:p w14:paraId="243488B7">
      <w:pPr>
        <w:shd w:val="clear"/>
        <w:snapToGrid w:val="0"/>
        <w:spacing w:line="360" w:lineRule="auto"/>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供应商名称：</w:t>
      </w:r>
    </w:p>
    <w:p w14:paraId="242D1B92">
      <w:pPr>
        <w:shd w:val="clear"/>
        <w:snapToGrid w:val="0"/>
        <w:spacing w:line="360" w:lineRule="auto"/>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单位：元</w:t>
      </w:r>
    </w:p>
    <w:tbl>
      <w:tblPr>
        <w:tblStyle w:val="28"/>
        <w:tblW w:w="9265"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471"/>
        <w:gridCol w:w="1513"/>
        <w:gridCol w:w="1513"/>
        <w:gridCol w:w="1514"/>
        <w:gridCol w:w="1514"/>
      </w:tblGrid>
      <w:tr w14:paraId="51092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40" w:type="dxa"/>
            <w:vAlign w:val="bottom"/>
          </w:tcPr>
          <w:p w14:paraId="10630C52">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471" w:type="dxa"/>
            <w:vAlign w:val="bottom"/>
          </w:tcPr>
          <w:p w14:paraId="01C418D0">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1513" w:type="dxa"/>
            <w:vAlign w:val="bottom"/>
          </w:tcPr>
          <w:p w14:paraId="0FA32874">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1513" w:type="dxa"/>
            <w:vAlign w:val="bottom"/>
          </w:tcPr>
          <w:p w14:paraId="67A99668">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综合单价</w:t>
            </w:r>
          </w:p>
        </w:tc>
        <w:tc>
          <w:tcPr>
            <w:tcW w:w="1514" w:type="dxa"/>
            <w:vAlign w:val="bottom"/>
          </w:tcPr>
          <w:p w14:paraId="7EB2594A">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总价</w:t>
            </w:r>
          </w:p>
        </w:tc>
        <w:tc>
          <w:tcPr>
            <w:tcW w:w="1514" w:type="dxa"/>
            <w:vAlign w:val="bottom"/>
          </w:tcPr>
          <w:p w14:paraId="177E920F">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378B4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40" w:type="dxa"/>
            <w:vAlign w:val="bottom"/>
          </w:tcPr>
          <w:p w14:paraId="47F89FB3">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471" w:type="dxa"/>
            <w:vAlign w:val="bottom"/>
          </w:tcPr>
          <w:p w14:paraId="1B8BDE5B">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2C75927C">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33F3F2F4">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72DFD358">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0D18A0C0">
            <w:pPr>
              <w:widowControl w:val="0"/>
              <w:shd w:val="clear"/>
              <w:snapToGrid w:val="0"/>
              <w:spacing w:line="360" w:lineRule="auto"/>
              <w:jc w:val="center"/>
              <w:rPr>
                <w:rFonts w:ascii="仿宋" w:hAnsi="仿宋" w:eastAsia="仿宋" w:cs="仿宋"/>
                <w:color w:val="auto"/>
                <w:sz w:val="24"/>
                <w:highlight w:val="none"/>
              </w:rPr>
            </w:pPr>
          </w:p>
        </w:tc>
      </w:tr>
      <w:tr w14:paraId="00C55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40" w:type="dxa"/>
            <w:vAlign w:val="bottom"/>
          </w:tcPr>
          <w:p w14:paraId="14A8515C">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471" w:type="dxa"/>
            <w:vAlign w:val="bottom"/>
          </w:tcPr>
          <w:p w14:paraId="14AA9A28">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6C84F64F">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143A1EE9">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153DAD1D">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5D447E4F">
            <w:pPr>
              <w:widowControl w:val="0"/>
              <w:shd w:val="clear"/>
              <w:snapToGrid w:val="0"/>
              <w:spacing w:line="360" w:lineRule="auto"/>
              <w:jc w:val="center"/>
              <w:rPr>
                <w:rFonts w:ascii="仿宋" w:hAnsi="仿宋" w:eastAsia="仿宋" w:cs="仿宋"/>
                <w:color w:val="auto"/>
                <w:sz w:val="24"/>
                <w:highlight w:val="none"/>
              </w:rPr>
            </w:pPr>
          </w:p>
        </w:tc>
      </w:tr>
      <w:tr w14:paraId="220C1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40" w:type="dxa"/>
            <w:vAlign w:val="bottom"/>
          </w:tcPr>
          <w:p w14:paraId="7FD23596">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2471" w:type="dxa"/>
            <w:vAlign w:val="bottom"/>
          </w:tcPr>
          <w:p w14:paraId="2DF2F068">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1F86CD5E">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23072390">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07535C2C">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1C2FE1D7">
            <w:pPr>
              <w:widowControl w:val="0"/>
              <w:shd w:val="clear"/>
              <w:snapToGrid w:val="0"/>
              <w:spacing w:line="360" w:lineRule="auto"/>
              <w:jc w:val="center"/>
              <w:rPr>
                <w:rFonts w:ascii="仿宋" w:hAnsi="仿宋" w:eastAsia="仿宋" w:cs="仿宋"/>
                <w:color w:val="auto"/>
                <w:sz w:val="24"/>
                <w:highlight w:val="none"/>
              </w:rPr>
            </w:pPr>
          </w:p>
        </w:tc>
      </w:tr>
      <w:tr w14:paraId="030B9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40" w:type="dxa"/>
            <w:vAlign w:val="bottom"/>
          </w:tcPr>
          <w:p w14:paraId="049FC030">
            <w:pPr>
              <w:widowControl w:val="0"/>
              <w:shd w:val="clea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2471" w:type="dxa"/>
            <w:vAlign w:val="bottom"/>
          </w:tcPr>
          <w:p w14:paraId="1C321BB2">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692D5EFD">
            <w:pPr>
              <w:widowControl w:val="0"/>
              <w:shd w:val="clear"/>
              <w:snapToGrid w:val="0"/>
              <w:spacing w:line="360" w:lineRule="auto"/>
              <w:jc w:val="center"/>
              <w:rPr>
                <w:rFonts w:ascii="仿宋" w:hAnsi="仿宋" w:eastAsia="仿宋" w:cs="仿宋"/>
                <w:color w:val="auto"/>
                <w:sz w:val="24"/>
                <w:highlight w:val="none"/>
              </w:rPr>
            </w:pPr>
          </w:p>
        </w:tc>
        <w:tc>
          <w:tcPr>
            <w:tcW w:w="1513" w:type="dxa"/>
            <w:vAlign w:val="bottom"/>
          </w:tcPr>
          <w:p w14:paraId="3B8606ED">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14CEDFDA">
            <w:pPr>
              <w:widowControl w:val="0"/>
              <w:shd w:val="clear"/>
              <w:snapToGrid w:val="0"/>
              <w:spacing w:line="360" w:lineRule="auto"/>
              <w:jc w:val="center"/>
              <w:rPr>
                <w:rFonts w:ascii="仿宋" w:hAnsi="仿宋" w:eastAsia="仿宋" w:cs="仿宋"/>
                <w:color w:val="auto"/>
                <w:sz w:val="24"/>
                <w:highlight w:val="none"/>
              </w:rPr>
            </w:pPr>
          </w:p>
        </w:tc>
        <w:tc>
          <w:tcPr>
            <w:tcW w:w="1514" w:type="dxa"/>
            <w:vAlign w:val="bottom"/>
          </w:tcPr>
          <w:p w14:paraId="6B3C7F9A">
            <w:pPr>
              <w:widowControl w:val="0"/>
              <w:shd w:val="clear"/>
              <w:snapToGrid w:val="0"/>
              <w:spacing w:line="360" w:lineRule="auto"/>
              <w:jc w:val="center"/>
              <w:rPr>
                <w:rFonts w:ascii="仿宋" w:hAnsi="仿宋" w:eastAsia="仿宋" w:cs="仿宋"/>
                <w:color w:val="auto"/>
                <w:sz w:val="24"/>
                <w:highlight w:val="none"/>
              </w:rPr>
            </w:pPr>
          </w:p>
        </w:tc>
      </w:tr>
      <w:tr w14:paraId="454EA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3211" w:type="dxa"/>
            <w:gridSpan w:val="2"/>
            <w:vAlign w:val="center"/>
          </w:tcPr>
          <w:p w14:paraId="5CF3421D">
            <w:pPr>
              <w:widowControl w:val="0"/>
              <w:shd w:val="clea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投标总报价</w:t>
            </w:r>
            <w:r>
              <w:rPr>
                <w:rFonts w:hint="eastAsia" w:ascii="仿宋" w:hAnsi="仿宋" w:eastAsia="仿宋" w:cs="仿宋"/>
                <w:color w:val="auto"/>
                <w:sz w:val="24"/>
                <w:highlight w:val="none"/>
                <w:lang w:eastAsia="zh-CN"/>
              </w:rPr>
              <w:t>（含税）</w:t>
            </w:r>
          </w:p>
        </w:tc>
        <w:tc>
          <w:tcPr>
            <w:tcW w:w="6054" w:type="dxa"/>
            <w:gridSpan w:val="4"/>
            <w:vAlign w:val="center"/>
          </w:tcPr>
          <w:p w14:paraId="5D4B87CC">
            <w:pPr>
              <w:widowControl w:val="0"/>
              <w:snapToGrid w:val="0"/>
              <w:spacing w:line="360" w:lineRule="auto"/>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小写：</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元</w:t>
            </w:r>
          </w:p>
          <w:p w14:paraId="1D1C711A">
            <w:pPr>
              <w:widowControl w:val="0"/>
              <w:shd w:val="clear"/>
              <w:snapToGrid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lang w:eastAsia="zh-CN"/>
              </w:rPr>
              <w:t>大写：</w:t>
            </w:r>
          </w:p>
        </w:tc>
      </w:tr>
    </w:tbl>
    <w:p w14:paraId="16266E51">
      <w:pPr>
        <w:keepNext w:val="0"/>
        <w:keepLines w:val="0"/>
        <w:pageBreakBefore w:val="0"/>
        <w:widowControl/>
        <w:shd w:val="clear"/>
        <w:kinsoku/>
        <w:wordWrap/>
        <w:overflowPunct/>
        <w:topLinePunct w:val="0"/>
        <w:autoSpaceDE/>
        <w:autoSpaceDN/>
        <w:bidi w:val="0"/>
        <w:adjustRightInd/>
        <w:snapToGrid w:val="0"/>
        <w:spacing w:line="24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注：此表中的投标总报价必须与“报价一览表”中的“投标总报价”一致。</w:t>
      </w:r>
    </w:p>
    <w:p w14:paraId="7516C57F">
      <w:pPr>
        <w:keepNext/>
        <w:keepLines/>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381FAE61">
      <w:pPr>
        <w:shd w:val="clear"/>
        <w:snapToGrid w:val="0"/>
        <w:spacing w:line="720" w:lineRule="auto"/>
        <w:ind w:right="110" w:rightChars="5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供应商（盖章）：</w:t>
      </w:r>
    </w:p>
    <w:p w14:paraId="1DCF3953">
      <w:pPr>
        <w:shd w:val="clea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3C794CA3">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02793C20">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6CADFF2B">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34B558DF">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733D7ADD">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300BA9AC">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5D5E7592">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55D9A78A">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4FE4846E">
      <w:pPr>
        <w:pStyle w:val="11"/>
        <w:shd w:val="clear"/>
        <w:rPr>
          <w:rFonts w:hint="eastAsia" w:ascii="仿宋" w:hAnsi="仿宋" w:eastAsia="仿宋" w:cs="仿宋"/>
          <w:color w:val="auto"/>
          <w:sz w:val="24"/>
          <w:szCs w:val="24"/>
          <w:highlight w:val="none"/>
          <w:lang w:eastAsia="zh-CN"/>
        </w:rPr>
      </w:pPr>
    </w:p>
    <w:p w14:paraId="3633608E">
      <w:pPr>
        <w:shd w:val="clear"/>
        <w:rPr>
          <w:rFonts w:hint="eastAsia"/>
          <w:color w:val="auto"/>
          <w:highlight w:val="none"/>
          <w:lang w:eastAsia="zh-CN"/>
        </w:rPr>
      </w:pPr>
    </w:p>
    <w:p w14:paraId="2E3384A9">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7C32BBC3">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24"/>
          <w:highlight w:val="none"/>
          <w:lang w:eastAsia="zh-CN"/>
        </w:rPr>
      </w:pPr>
    </w:p>
    <w:p w14:paraId="2749735F">
      <w:pPr>
        <w:rPr>
          <w:rFonts w:hint="eastAsia" w:ascii="仿宋" w:hAnsi="仿宋" w:eastAsia="仿宋" w:cs="仿宋"/>
          <w:color w:val="auto"/>
          <w:highlight w:val="none"/>
          <w:lang w:eastAsia="zh-CN"/>
        </w:rPr>
      </w:pPr>
      <w:bookmarkStart w:id="124" w:name="_Toc27460"/>
      <w:bookmarkStart w:id="125" w:name="_Toc7203"/>
      <w:bookmarkStart w:id="126" w:name="_Toc15438"/>
      <w:bookmarkStart w:id="127" w:name="_Toc8252"/>
      <w:bookmarkStart w:id="128" w:name="_Toc17338"/>
      <w:r>
        <w:rPr>
          <w:rFonts w:hint="eastAsia" w:ascii="仿宋" w:hAnsi="仿宋" w:eastAsia="仿宋" w:cs="仿宋"/>
          <w:color w:val="auto"/>
          <w:highlight w:val="none"/>
          <w:lang w:eastAsia="zh-CN"/>
        </w:rPr>
        <w:br w:type="page"/>
      </w:r>
    </w:p>
    <w:p w14:paraId="7B40C058">
      <w:pPr>
        <w:pStyle w:val="3"/>
        <w:shd w:val="clear"/>
        <w:spacing w:before="0" w:after="0" w:line="579" w:lineRule="exact"/>
        <w:ind w:firstLine="0" w:firstLineChars="0"/>
        <w:rPr>
          <w:rFonts w:hint="default"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第三部分</w:t>
      </w:r>
      <w:r>
        <w:rPr>
          <w:rFonts w:hint="eastAsia" w:ascii="仿宋" w:hAnsi="仿宋" w:eastAsia="仿宋" w:cs="仿宋"/>
          <w:color w:val="auto"/>
          <w:highlight w:val="none"/>
          <w:lang w:eastAsia="zh-CN"/>
        </w:rPr>
        <w:t>）</w:t>
      </w:r>
      <w:r>
        <w:rPr>
          <w:rFonts w:ascii="仿宋" w:hAnsi="仿宋" w:eastAsia="仿宋" w:cs="仿宋"/>
          <w:color w:val="auto"/>
          <w:highlight w:val="none"/>
          <w:lang w:eastAsia="zh-CN"/>
        </w:rPr>
        <w:t>商务及技术部分</w:t>
      </w:r>
      <w:bookmarkEnd w:id="124"/>
      <w:bookmarkEnd w:id="125"/>
      <w:bookmarkEnd w:id="126"/>
      <w:bookmarkEnd w:id="127"/>
      <w:bookmarkEnd w:id="128"/>
    </w:p>
    <w:p w14:paraId="4E81FF6B">
      <w:pPr>
        <w:shd w:val="clea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磋商响应文件按下列顺序排列和装订磋商响应文件：（未提供格式的内容自拟）</w:t>
      </w:r>
    </w:p>
    <w:p w14:paraId="74FC2D54">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b w:val="0"/>
          <w:bCs/>
          <w:color w:val="auto"/>
          <w:sz w:val="24"/>
          <w:szCs w:val="20"/>
          <w:highlight w:val="none"/>
          <w:lang w:eastAsia="zh-CN" w:bidi="ar"/>
        </w:rPr>
      </w:pPr>
      <w:r>
        <w:rPr>
          <w:rFonts w:hint="eastAsia" w:ascii="仿宋" w:hAnsi="仿宋" w:eastAsia="仿宋" w:cs="仿宋"/>
          <w:b w:val="0"/>
          <w:bCs/>
          <w:color w:val="auto"/>
          <w:sz w:val="24"/>
          <w:szCs w:val="20"/>
          <w:highlight w:val="none"/>
          <w:lang w:eastAsia="zh-CN" w:bidi="ar"/>
        </w:rPr>
        <w:t>（一）投标函</w:t>
      </w:r>
    </w:p>
    <w:p w14:paraId="1D931AC9">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b w:val="0"/>
          <w:bCs/>
          <w:color w:val="auto"/>
          <w:sz w:val="24"/>
          <w:szCs w:val="20"/>
          <w:highlight w:val="none"/>
          <w:lang w:eastAsia="zh-CN" w:bidi="ar"/>
        </w:rPr>
      </w:pPr>
      <w:r>
        <w:rPr>
          <w:rFonts w:hint="eastAsia" w:ascii="仿宋" w:hAnsi="仿宋" w:eastAsia="仿宋" w:cs="仿宋"/>
          <w:b w:val="0"/>
          <w:bCs/>
          <w:color w:val="auto"/>
          <w:sz w:val="24"/>
          <w:szCs w:val="20"/>
          <w:highlight w:val="none"/>
          <w:lang w:eastAsia="zh-CN" w:bidi="ar"/>
        </w:rPr>
        <w:t>（二）法定代表人诚信投标承诺书</w:t>
      </w:r>
    </w:p>
    <w:p w14:paraId="3DA95BB9">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b w:val="0"/>
          <w:bCs/>
          <w:color w:val="auto"/>
          <w:sz w:val="24"/>
          <w:szCs w:val="20"/>
          <w:highlight w:val="none"/>
          <w:lang w:eastAsia="zh-CN" w:bidi="ar"/>
        </w:rPr>
      </w:pP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三</w:t>
      </w:r>
      <w:r>
        <w:rPr>
          <w:rFonts w:hint="eastAsia" w:ascii="仿宋" w:hAnsi="仿宋" w:eastAsia="仿宋" w:cs="仿宋"/>
          <w:b w:val="0"/>
          <w:bCs/>
          <w:color w:val="auto"/>
          <w:sz w:val="24"/>
          <w:szCs w:val="20"/>
          <w:highlight w:val="none"/>
          <w:lang w:eastAsia="zh-CN" w:bidi="ar"/>
        </w:rPr>
        <w:t>）磋商保证金</w:t>
      </w:r>
    </w:p>
    <w:p w14:paraId="73DDFCE6">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b w:val="0"/>
          <w:bCs/>
          <w:color w:val="auto"/>
          <w:sz w:val="24"/>
          <w:szCs w:val="20"/>
          <w:highlight w:val="none"/>
          <w:lang w:eastAsia="zh-CN" w:bidi="ar"/>
        </w:rPr>
      </w:pP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四</w:t>
      </w: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企业</w:t>
      </w:r>
      <w:r>
        <w:rPr>
          <w:rFonts w:hint="eastAsia" w:ascii="仿宋" w:hAnsi="仿宋" w:eastAsia="仿宋" w:cs="仿宋"/>
          <w:b w:val="0"/>
          <w:bCs/>
          <w:color w:val="auto"/>
          <w:sz w:val="24"/>
          <w:szCs w:val="20"/>
          <w:highlight w:val="none"/>
          <w:lang w:eastAsia="zh-CN" w:bidi="ar"/>
        </w:rPr>
        <w:t>业绩一览表</w:t>
      </w:r>
    </w:p>
    <w:p w14:paraId="0AC64381">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default" w:ascii="仿宋" w:hAnsi="仿宋" w:eastAsia="仿宋" w:cs="仿宋"/>
          <w:b w:val="0"/>
          <w:bCs/>
          <w:color w:val="auto"/>
          <w:sz w:val="24"/>
          <w:szCs w:val="20"/>
          <w:highlight w:val="none"/>
          <w:lang w:val="en-US" w:eastAsia="zh-CN" w:bidi="ar"/>
        </w:rPr>
      </w:pPr>
      <w:r>
        <w:rPr>
          <w:rFonts w:hint="eastAsia" w:ascii="仿宋" w:hAnsi="仿宋" w:eastAsia="仿宋" w:cs="仿宋"/>
          <w:b w:val="0"/>
          <w:bCs/>
          <w:color w:val="auto"/>
          <w:sz w:val="24"/>
          <w:szCs w:val="20"/>
          <w:highlight w:val="none"/>
          <w:lang w:val="en-US" w:eastAsia="zh-CN" w:bidi="ar"/>
        </w:rPr>
        <w:t>（五）项目团队成员一览表</w:t>
      </w:r>
    </w:p>
    <w:p w14:paraId="6C89F163">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b w:val="0"/>
          <w:bCs/>
          <w:color w:val="auto"/>
          <w:sz w:val="24"/>
          <w:szCs w:val="20"/>
          <w:highlight w:val="none"/>
          <w:lang w:val="en-US" w:eastAsia="zh-CN" w:bidi="ar"/>
        </w:rPr>
      </w:pP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六</w:t>
      </w: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技术部分</w:t>
      </w:r>
    </w:p>
    <w:p w14:paraId="795FB991">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default" w:ascii="仿宋" w:hAnsi="仿宋" w:eastAsia="仿宋" w:cs="仿宋"/>
          <w:b w:val="0"/>
          <w:bCs/>
          <w:color w:val="auto"/>
          <w:sz w:val="24"/>
          <w:szCs w:val="20"/>
          <w:highlight w:val="none"/>
          <w:lang w:val="en-US" w:eastAsia="zh-CN" w:bidi="ar"/>
        </w:rPr>
      </w:pPr>
      <w:r>
        <w:rPr>
          <w:rFonts w:hint="eastAsia" w:ascii="仿宋" w:hAnsi="仿宋" w:eastAsia="仿宋" w:cs="仿宋"/>
          <w:b w:val="0"/>
          <w:bCs/>
          <w:color w:val="auto"/>
          <w:sz w:val="24"/>
          <w:szCs w:val="20"/>
          <w:highlight w:val="none"/>
          <w:lang w:val="en-US" w:eastAsia="zh-CN" w:bidi="ar"/>
        </w:rPr>
        <w:t>（七）商务条款偏离表</w:t>
      </w:r>
    </w:p>
    <w:p w14:paraId="08313FC4">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b w:val="0"/>
          <w:bCs/>
          <w:color w:val="auto"/>
          <w:sz w:val="24"/>
          <w:szCs w:val="20"/>
          <w:highlight w:val="none"/>
          <w:lang w:eastAsia="zh-CN" w:bidi="ar"/>
        </w:rPr>
      </w:pP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八</w:t>
      </w: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技术（服务）</w:t>
      </w:r>
      <w:r>
        <w:rPr>
          <w:rFonts w:hint="eastAsia" w:ascii="仿宋" w:hAnsi="仿宋" w:eastAsia="仿宋" w:cs="仿宋"/>
          <w:b w:val="0"/>
          <w:bCs/>
          <w:color w:val="auto"/>
          <w:sz w:val="24"/>
          <w:szCs w:val="20"/>
          <w:highlight w:val="none"/>
          <w:lang w:eastAsia="zh-CN" w:bidi="ar"/>
        </w:rPr>
        <w:t>条款偏离表</w:t>
      </w:r>
    </w:p>
    <w:p w14:paraId="2624AC94">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default" w:ascii="仿宋" w:hAnsi="仿宋" w:eastAsia="仿宋" w:cs="仿宋"/>
          <w:b w:val="0"/>
          <w:bCs/>
          <w:color w:val="auto"/>
          <w:sz w:val="24"/>
          <w:szCs w:val="20"/>
          <w:highlight w:val="none"/>
          <w:lang w:val="en-US" w:eastAsia="zh-CN" w:bidi="ar"/>
        </w:rPr>
      </w:pP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九</w:t>
      </w:r>
      <w:r>
        <w:rPr>
          <w:rFonts w:hint="eastAsia" w:ascii="仿宋" w:hAnsi="仿宋" w:eastAsia="仿宋" w:cs="仿宋"/>
          <w:b w:val="0"/>
          <w:bCs/>
          <w:color w:val="auto"/>
          <w:sz w:val="24"/>
          <w:szCs w:val="20"/>
          <w:highlight w:val="none"/>
          <w:lang w:eastAsia="zh-CN" w:bidi="ar"/>
        </w:rPr>
        <w:t>）</w:t>
      </w:r>
      <w:r>
        <w:rPr>
          <w:rFonts w:hint="eastAsia" w:ascii="仿宋" w:hAnsi="仿宋" w:eastAsia="仿宋" w:cs="仿宋"/>
          <w:b w:val="0"/>
          <w:bCs/>
          <w:color w:val="auto"/>
          <w:sz w:val="24"/>
          <w:szCs w:val="20"/>
          <w:highlight w:val="none"/>
          <w:lang w:val="en-US" w:eastAsia="zh-CN" w:bidi="ar"/>
        </w:rPr>
        <w:t>供应商企业类型声明函</w:t>
      </w:r>
    </w:p>
    <w:p w14:paraId="1DEAB508">
      <w:pPr>
        <w:keepNext w:val="0"/>
        <w:keepLines w:val="0"/>
        <w:pageBreakBefore w:val="0"/>
        <w:widowControl/>
        <w:shd w:val="clear"/>
        <w:kinsoku/>
        <w:wordWrap/>
        <w:overflowPunct/>
        <w:topLinePunct w:val="0"/>
        <w:autoSpaceDE/>
        <w:autoSpaceDN/>
        <w:bidi w:val="0"/>
        <w:adjustRightInd/>
        <w:snapToGrid/>
        <w:spacing w:line="579" w:lineRule="exact"/>
        <w:jc w:val="left"/>
        <w:textAlignment w:val="baseline"/>
        <w:outlineLvl w:val="9"/>
        <w:rPr>
          <w:rFonts w:hint="default" w:ascii="仿宋" w:hAnsi="仿宋" w:eastAsia="仿宋" w:cs="仿宋"/>
          <w:b w:val="0"/>
          <w:bCs/>
          <w:color w:val="auto"/>
          <w:sz w:val="24"/>
          <w:szCs w:val="20"/>
          <w:highlight w:val="none"/>
          <w:lang w:val="en-US" w:eastAsia="zh-CN" w:bidi="ar"/>
        </w:rPr>
      </w:pPr>
      <w:r>
        <w:rPr>
          <w:rFonts w:hint="eastAsia" w:ascii="仿宋" w:hAnsi="仿宋" w:eastAsia="仿宋" w:cs="仿宋"/>
          <w:b w:val="0"/>
          <w:bCs/>
          <w:color w:val="auto"/>
          <w:sz w:val="24"/>
          <w:szCs w:val="20"/>
          <w:highlight w:val="none"/>
          <w:lang w:eastAsia="zh-CN" w:bidi="ar"/>
        </w:rPr>
        <w:t>（十）</w:t>
      </w:r>
      <w:r>
        <w:rPr>
          <w:rFonts w:hint="eastAsia" w:ascii="仿宋" w:hAnsi="仿宋" w:eastAsia="仿宋" w:cs="仿宋"/>
          <w:b w:val="0"/>
          <w:bCs/>
          <w:color w:val="auto"/>
          <w:sz w:val="24"/>
          <w:szCs w:val="20"/>
          <w:highlight w:val="none"/>
          <w:lang w:val="en-US" w:eastAsia="zh-CN" w:bidi="ar"/>
        </w:rPr>
        <w:t>供应商认为有必要提交的其他材料</w:t>
      </w:r>
    </w:p>
    <w:p w14:paraId="44768F5F">
      <w:pPr>
        <w:shd w:val="clear"/>
        <w:spacing w:line="500" w:lineRule="exact"/>
        <w:ind w:firstLine="480"/>
        <w:rPr>
          <w:rFonts w:ascii="仿宋" w:hAnsi="仿宋" w:eastAsia="仿宋" w:cs="仿宋"/>
          <w:color w:val="auto"/>
          <w:sz w:val="24"/>
          <w:highlight w:val="none"/>
          <w:lang w:eastAsia="zh-CN"/>
        </w:rPr>
      </w:pPr>
    </w:p>
    <w:p w14:paraId="76119851">
      <w:pPr>
        <w:pStyle w:val="13"/>
        <w:shd w:val="clear"/>
        <w:spacing w:line="579" w:lineRule="exact"/>
        <w:ind w:left="0" w:leftChars="0" w:firstLine="552" w:firstLineChars="250"/>
        <w:rPr>
          <w:rFonts w:ascii="仿宋" w:hAnsi="仿宋" w:eastAsia="仿宋" w:cs="仿宋"/>
          <w:b/>
          <w:bCs/>
          <w:color w:val="auto"/>
          <w:highlight w:val="none"/>
          <w:lang w:eastAsia="zh-CN"/>
        </w:rPr>
        <w:sectPr>
          <w:footerReference r:id="rId5" w:type="default"/>
          <w:pgSz w:w="11906" w:h="16838"/>
          <w:pgMar w:top="1418" w:right="1700" w:bottom="1418" w:left="1361" w:header="851" w:footer="992" w:gutter="0"/>
          <w:pgBorders>
            <w:top w:val="none" w:sz="0" w:space="0"/>
            <w:left w:val="none" w:sz="0" w:space="0"/>
            <w:bottom w:val="none" w:sz="0" w:space="0"/>
            <w:right w:val="none" w:sz="0" w:space="0"/>
          </w:pgBorders>
          <w:pgNumType w:fmt="decimal"/>
          <w:cols w:space="425" w:num="1"/>
          <w:docGrid w:type="lines" w:linePitch="332" w:charSpace="0"/>
        </w:sectPr>
      </w:pPr>
      <w:r>
        <w:rPr>
          <w:rFonts w:hint="eastAsia" w:ascii="仿宋" w:hAnsi="仿宋" w:eastAsia="仿宋" w:cs="仿宋"/>
          <w:b/>
          <w:bCs/>
          <w:color w:val="auto"/>
          <w:highlight w:val="none"/>
          <w:lang w:eastAsia="zh-CN"/>
        </w:rPr>
        <w:t>供应商提供的以上材料必须真实有效，需要年检的证书必须有年检记录，所有文件均须加盖单位公章，任何一项的虚假或提交的磋商响应文件资料不全，或未对磋商文件做出实质性响应，将可能导致磋商响应文件被拒绝接受。</w:t>
      </w:r>
    </w:p>
    <w:p w14:paraId="08A07844">
      <w:pPr>
        <w:shd w:val="clear"/>
        <w:spacing w:line="579" w:lineRule="exact"/>
        <w:jc w:val="center"/>
        <w:outlineLvl w:val="2"/>
        <w:rPr>
          <w:rFonts w:ascii="仿宋" w:hAnsi="仿宋" w:eastAsia="仿宋" w:cs="仿宋"/>
          <w:b/>
          <w:color w:val="auto"/>
          <w:sz w:val="24"/>
          <w:szCs w:val="20"/>
          <w:highlight w:val="none"/>
          <w:lang w:eastAsia="zh-CN" w:bidi="ar"/>
        </w:rPr>
      </w:pPr>
      <w:bookmarkStart w:id="129" w:name="_Toc3891649"/>
      <w:bookmarkStart w:id="130" w:name="_Toc22554402"/>
      <w:bookmarkStart w:id="131" w:name="_Toc1719149"/>
      <w:bookmarkStart w:id="132" w:name="_Toc4882"/>
      <w:bookmarkStart w:id="133" w:name="_Toc21594"/>
      <w:bookmarkStart w:id="134" w:name="_Toc30846"/>
      <w:bookmarkStart w:id="135" w:name="_Toc18310"/>
      <w:bookmarkStart w:id="136" w:name="_Toc27883"/>
      <w:r>
        <w:rPr>
          <w:rFonts w:hint="eastAsia" w:ascii="仿宋" w:hAnsi="仿宋" w:eastAsia="仿宋" w:cs="仿宋"/>
          <w:b/>
          <w:color w:val="auto"/>
          <w:sz w:val="24"/>
          <w:szCs w:val="20"/>
          <w:highlight w:val="none"/>
          <w:lang w:eastAsia="zh-CN" w:bidi="ar"/>
        </w:rPr>
        <w:t>（一）</w:t>
      </w:r>
      <w:bookmarkEnd w:id="129"/>
      <w:bookmarkEnd w:id="130"/>
      <w:bookmarkEnd w:id="131"/>
      <w:r>
        <w:rPr>
          <w:rFonts w:hint="eastAsia" w:ascii="仿宋" w:hAnsi="仿宋" w:eastAsia="仿宋" w:cs="仿宋"/>
          <w:b/>
          <w:color w:val="auto"/>
          <w:sz w:val="24"/>
          <w:szCs w:val="20"/>
          <w:highlight w:val="none"/>
          <w:lang w:eastAsia="zh-CN" w:bidi="ar"/>
        </w:rPr>
        <w:t>投标函</w:t>
      </w:r>
      <w:bookmarkEnd w:id="132"/>
      <w:bookmarkEnd w:id="133"/>
      <w:bookmarkEnd w:id="134"/>
      <w:bookmarkEnd w:id="135"/>
      <w:bookmarkEnd w:id="136"/>
    </w:p>
    <w:p w14:paraId="6A661A53">
      <w:pPr>
        <w:shd w:val="clear"/>
        <w:spacing w:line="400" w:lineRule="exact"/>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新疆君凯杰工程项目管理有限公司：</w:t>
      </w:r>
    </w:p>
    <w:p w14:paraId="6398E186">
      <w:pPr>
        <w:shd w:val="clear"/>
        <w:spacing w:line="400" w:lineRule="exact"/>
        <w:ind w:firstLine="496" w:firstLineChars="200"/>
        <w:rPr>
          <w:rFonts w:ascii="仿宋" w:hAnsi="仿宋" w:eastAsia="仿宋" w:cs="仿宋"/>
          <w:bCs/>
          <w:color w:val="auto"/>
          <w:spacing w:val="4"/>
          <w:sz w:val="24"/>
          <w:highlight w:val="none"/>
          <w:u w:val="single"/>
          <w:lang w:eastAsia="zh-CN"/>
        </w:rPr>
      </w:pPr>
      <w:r>
        <w:rPr>
          <w:rFonts w:hint="eastAsia" w:ascii="仿宋" w:hAnsi="仿宋" w:eastAsia="仿宋" w:cs="仿宋"/>
          <w:color w:val="auto"/>
          <w:spacing w:val="4"/>
          <w:sz w:val="24"/>
          <w:highlight w:val="none"/>
          <w:lang w:eastAsia="zh-CN"/>
        </w:rPr>
        <w:t>我们收到你们</w:t>
      </w:r>
      <w:r>
        <w:rPr>
          <w:rFonts w:hint="eastAsia" w:ascii="仿宋" w:hAnsi="仿宋" w:eastAsia="仿宋" w:cs="仿宋"/>
          <w:color w:val="auto"/>
          <w:spacing w:val="4"/>
          <w:sz w:val="24"/>
          <w:highlight w:val="none"/>
          <w:u w:val="single"/>
          <w:lang w:eastAsia="zh-CN"/>
        </w:rPr>
        <w:t xml:space="preserve">  </w:t>
      </w:r>
      <w:r>
        <w:rPr>
          <w:rFonts w:hint="eastAsia" w:ascii="仿宋" w:hAnsi="仿宋" w:eastAsia="仿宋" w:cs="仿宋"/>
          <w:color w:val="auto"/>
          <w:spacing w:val="4"/>
          <w:sz w:val="24"/>
          <w:highlight w:val="none"/>
          <w:u w:val="single"/>
          <w:lang w:val="en-US" w:eastAsia="zh-CN"/>
        </w:rPr>
        <w:t xml:space="preserve">      </w:t>
      </w:r>
      <w:r>
        <w:rPr>
          <w:rFonts w:hint="eastAsia" w:ascii="仿宋" w:hAnsi="仿宋" w:eastAsia="仿宋" w:cs="仿宋"/>
          <w:color w:val="auto"/>
          <w:spacing w:val="4"/>
          <w:sz w:val="24"/>
          <w:highlight w:val="none"/>
          <w:u w:val="single"/>
          <w:lang w:eastAsia="zh-CN"/>
        </w:rPr>
        <w:t xml:space="preserve"> </w:t>
      </w:r>
      <w:r>
        <w:rPr>
          <w:rFonts w:hint="eastAsia" w:ascii="仿宋" w:hAnsi="仿宋" w:eastAsia="仿宋" w:cs="仿宋"/>
          <w:color w:val="auto"/>
          <w:spacing w:val="4"/>
          <w:sz w:val="24"/>
          <w:highlight w:val="none"/>
          <w:lang w:eastAsia="zh-CN"/>
        </w:rPr>
        <w:t>号</w:t>
      </w:r>
      <w:r>
        <w:rPr>
          <w:rFonts w:hint="eastAsia" w:ascii="仿宋" w:hAnsi="仿宋" w:eastAsia="仿宋" w:cs="仿宋"/>
          <w:bCs/>
          <w:color w:val="auto"/>
          <w:spacing w:val="4"/>
          <w:sz w:val="24"/>
          <w:highlight w:val="none"/>
          <w:u w:val="single"/>
          <w:lang w:eastAsia="zh-CN"/>
        </w:rPr>
        <w:t>2025年自治区建设用地节约集约利用评价模型功能完善</w:t>
      </w:r>
    </w:p>
    <w:p w14:paraId="140BA13A">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第</w:t>
      </w:r>
      <w:r>
        <w:rPr>
          <w:rFonts w:hint="eastAsia" w:ascii="仿宋" w:hAnsi="仿宋" w:eastAsia="仿宋" w:cs="仿宋"/>
          <w:color w:val="auto"/>
          <w:spacing w:val="4"/>
          <w:sz w:val="24"/>
          <w:highlight w:val="none"/>
          <w:u w:val="single"/>
          <w:lang w:eastAsia="zh-CN"/>
        </w:rPr>
        <w:t>/</w:t>
      </w:r>
      <w:r>
        <w:rPr>
          <w:rFonts w:hint="eastAsia" w:ascii="仿宋" w:hAnsi="仿宋" w:eastAsia="仿宋" w:cs="仿宋"/>
          <w:color w:val="auto"/>
          <w:spacing w:val="4"/>
          <w:sz w:val="24"/>
          <w:highlight w:val="none"/>
          <w:lang w:eastAsia="zh-CN"/>
        </w:rPr>
        <w:t>包磋商文件，经仔细阅读和研究，我们决定参加投标。</w:t>
      </w:r>
    </w:p>
    <w:p w14:paraId="12B02D17">
      <w:pPr>
        <w:shd w:val="clear"/>
        <w:spacing w:line="400" w:lineRule="exact"/>
        <w:ind w:firstLine="496" w:firstLineChars="200"/>
        <w:rPr>
          <w:rFonts w:ascii="仿宋" w:hAnsi="仿宋" w:eastAsia="仿宋" w:cs="仿宋"/>
          <w:color w:val="auto"/>
          <w:spacing w:val="4"/>
          <w:sz w:val="24"/>
          <w:highlight w:val="none"/>
          <w:lang w:eastAsia="zh-CN"/>
        </w:rPr>
      </w:pPr>
      <w:bookmarkStart w:id="137" w:name="_Toc15871_WPSOffice_Level1"/>
      <w:r>
        <w:rPr>
          <w:rFonts w:hint="eastAsia" w:ascii="仿宋" w:hAnsi="仿宋" w:eastAsia="仿宋" w:cs="仿宋"/>
          <w:color w:val="auto"/>
          <w:spacing w:val="4"/>
          <w:sz w:val="24"/>
          <w:highlight w:val="none"/>
          <w:lang w:eastAsia="zh-CN"/>
        </w:rPr>
        <w:t>l、愿意按照磋商文件的一切要求，提供以上服务。</w:t>
      </w:r>
      <w:bookmarkEnd w:id="137"/>
    </w:p>
    <w:p w14:paraId="4D010386">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2、如果我们的响应文件被接受，我们将严格履行磋商文件中规定的每一项要求，按期、按质、按量履行服务义务。</w:t>
      </w:r>
    </w:p>
    <w:p w14:paraId="02A01A03">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3、供应商已详细阅读并理解了磋商文件的全部，包括修改文件(如有的话)。我们完全理解并同意放弃对这方面有不明及误解的权利。</w:t>
      </w:r>
    </w:p>
    <w:p w14:paraId="778252A2">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4、我们同意按磋商文件中的规定，本响应文件的有效期限为开标后</w:t>
      </w:r>
      <w:r>
        <w:rPr>
          <w:rFonts w:hint="eastAsia" w:ascii="仿宋" w:hAnsi="仿宋" w:eastAsia="仿宋" w:cs="仿宋"/>
          <w:color w:val="auto"/>
          <w:spacing w:val="4"/>
          <w:sz w:val="24"/>
          <w:highlight w:val="none"/>
          <w:u w:val="single"/>
          <w:lang w:eastAsia="zh-CN"/>
        </w:rPr>
        <w:t xml:space="preserve">  90  </w:t>
      </w:r>
      <w:r>
        <w:rPr>
          <w:rFonts w:hint="eastAsia" w:ascii="仿宋" w:hAnsi="仿宋" w:eastAsia="仿宋" w:cs="仿宋"/>
          <w:color w:val="auto"/>
          <w:spacing w:val="4"/>
          <w:sz w:val="24"/>
          <w:highlight w:val="none"/>
          <w:lang w:eastAsia="zh-CN"/>
        </w:rPr>
        <w:t>天。</w:t>
      </w:r>
    </w:p>
    <w:p w14:paraId="0085B09E">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5、我们愿意提供采购人在磋商文件中要求的所有资料。</w:t>
      </w:r>
    </w:p>
    <w:p w14:paraId="3D25A9A3">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6、我们认为你们有权决定成交供应商，还认为你们有权接受或拒绝所有的供应商成交。</w:t>
      </w:r>
    </w:p>
    <w:p w14:paraId="39E5D6D9">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7、我方愿意遵守磋商文件中所列的收费标准。</w:t>
      </w:r>
    </w:p>
    <w:p w14:paraId="6712CDE5">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8、在规定的磋商时间后，如果在磋商有效期内撤回投标，同意磋商保证金将被贵方没收。</w:t>
      </w:r>
    </w:p>
    <w:p w14:paraId="3891A5CF">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9、供应商同意提供按照贵方可能要求的与其投标有关的一切数据或资料，完全理解贵方不一定接受最低价的投标或收到的任何投标的约定。</w:t>
      </w:r>
    </w:p>
    <w:p w14:paraId="2779564C">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10、我方在响应文件中所作的承诺在开标后保持有效，不作任何更改和变动。</w:t>
      </w:r>
    </w:p>
    <w:p w14:paraId="51056254">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11、我们愿意按磋商文件的规定交纳</w:t>
      </w:r>
      <w:r>
        <w:rPr>
          <w:rFonts w:hint="eastAsia" w:ascii="仿宋" w:hAnsi="仿宋" w:eastAsia="仿宋" w:cs="仿宋"/>
          <w:color w:val="auto"/>
          <w:spacing w:val="4"/>
          <w:sz w:val="24"/>
          <w:highlight w:val="none"/>
          <w:u w:val="single"/>
          <w:lang w:val="en-US" w:eastAsia="zh-CN"/>
        </w:rPr>
        <w:t xml:space="preserve">      </w:t>
      </w:r>
      <w:r>
        <w:rPr>
          <w:rFonts w:hint="eastAsia" w:ascii="仿宋" w:hAnsi="仿宋" w:eastAsia="仿宋" w:cs="仿宋"/>
          <w:color w:val="auto"/>
          <w:spacing w:val="4"/>
          <w:sz w:val="24"/>
          <w:highlight w:val="none"/>
          <w:u w:val="single"/>
          <w:lang w:eastAsia="zh-CN"/>
        </w:rPr>
        <w:t>元</w:t>
      </w:r>
      <w:r>
        <w:rPr>
          <w:rFonts w:hint="eastAsia" w:ascii="仿宋" w:hAnsi="仿宋" w:eastAsia="仿宋" w:cs="仿宋"/>
          <w:color w:val="auto"/>
          <w:spacing w:val="4"/>
          <w:sz w:val="24"/>
          <w:highlight w:val="none"/>
          <w:lang w:eastAsia="zh-CN"/>
        </w:rPr>
        <w:t>的磋商保证金。</w:t>
      </w:r>
    </w:p>
    <w:p w14:paraId="0F1D2D09">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12、若我方获得成交，我方保证按有关规定向贵方支付招标服务费。我方承诺接受磋商文件及澄清修改部分（如有）的全部条款（包括响应文件递交截止时间、保证金、资格评审条件、成交标准以及采购需求等其他所有条款）且无任何异议，现向贵公司提出承诺报价。</w:t>
      </w:r>
    </w:p>
    <w:p w14:paraId="3331C807">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所有有关标书的函电，请按下列地址联系：</w:t>
      </w:r>
    </w:p>
    <w:p w14:paraId="05DA6015">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 xml:space="preserve">    单  位：                 邮编：             传真：</w:t>
      </w:r>
    </w:p>
    <w:p w14:paraId="7EEB3DDA">
      <w:pPr>
        <w:shd w:val="clea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 xml:space="preserve">    联系人：                 地址：             电话：</w:t>
      </w:r>
    </w:p>
    <w:p w14:paraId="57302FD3">
      <w:pPr>
        <w:shd w:val="clear"/>
        <w:spacing w:line="400" w:lineRule="exact"/>
        <w:ind w:firstLine="440" w:firstLineChars="200"/>
        <w:rPr>
          <w:rFonts w:ascii="仿宋" w:hAnsi="仿宋" w:eastAsia="仿宋" w:cs="仿宋"/>
          <w:color w:val="auto"/>
          <w:highlight w:val="none"/>
          <w:lang w:eastAsia="zh-CN"/>
        </w:rPr>
      </w:pPr>
    </w:p>
    <w:p w14:paraId="4174174F">
      <w:pPr>
        <w:shd w:val="clear"/>
        <w:spacing w:line="400"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44375288">
      <w:pPr>
        <w:shd w:val="clear"/>
        <w:spacing w:line="400"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0EFD8A18">
      <w:pPr>
        <w:shd w:val="clear"/>
        <w:spacing w:line="400"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28FE294A">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Fonts w:hint="eastAsia" w:ascii="仿宋" w:hAnsi="仿宋" w:eastAsia="仿宋" w:cs="仿宋"/>
          <w:b/>
          <w:color w:val="auto"/>
          <w:sz w:val="24"/>
          <w:szCs w:val="20"/>
          <w:highlight w:val="none"/>
          <w:lang w:eastAsia="zh-CN" w:bidi="ar"/>
        </w:rPr>
      </w:pPr>
      <w:bookmarkStart w:id="138" w:name="_Toc3891652"/>
      <w:bookmarkStart w:id="139" w:name="_Toc1719152"/>
      <w:bookmarkStart w:id="140" w:name="_Toc22554406"/>
    </w:p>
    <w:p w14:paraId="232D11B2">
      <w:pPr>
        <w:pStyle w:val="11"/>
        <w:shd w:val="clear"/>
        <w:rPr>
          <w:rFonts w:hint="eastAsia"/>
          <w:color w:val="auto"/>
          <w:highlight w:val="none"/>
          <w:lang w:eastAsia="zh-CN"/>
        </w:rPr>
      </w:pPr>
    </w:p>
    <w:p w14:paraId="23380A77">
      <w:pPr>
        <w:shd w:val="clear"/>
        <w:spacing w:line="579" w:lineRule="exact"/>
        <w:jc w:val="center"/>
        <w:outlineLvl w:val="2"/>
        <w:rPr>
          <w:rFonts w:ascii="仿宋" w:hAnsi="仿宋" w:eastAsia="仿宋" w:cs="仿宋"/>
          <w:b/>
          <w:color w:val="auto"/>
          <w:sz w:val="24"/>
          <w:szCs w:val="20"/>
          <w:highlight w:val="none"/>
          <w:lang w:eastAsia="zh-CN" w:bidi="ar"/>
        </w:rPr>
      </w:pPr>
      <w:bookmarkStart w:id="141" w:name="_Toc32192"/>
      <w:bookmarkStart w:id="142" w:name="_Toc22987"/>
      <w:bookmarkStart w:id="143" w:name="_Toc27095"/>
      <w:bookmarkStart w:id="144" w:name="_Toc23045"/>
      <w:bookmarkStart w:id="145" w:name="_Toc12509"/>
      <w:r>
        <w:rPr>
          <w:rFonts w:hint="eastAsia" w:ascii="仿宋" w:hAnsi="仿宋" w:eastAsia="仿宋" w:cs="仿宋"/>
          <w:b/>
          <w:color w:val="auto"/>
          <w:sz w:val="24"/>
          <w:szCs w:val="20"/>
          <w:highlight w:val="none"/>
          <w:lang w:eastAsia="zh-CN" w:bidi="ar"/>
        </w:rPr>
        <w:t>（二）法定代表人诚信投标承诺书</w:t>
      </w:r>
      <w:bookmarkEnd w:id="141"/>
      <w:bookmarkEnd w:id="142"/>
      <w:bookmarkEnd w:id="143"/>
      <w:bookmarkEnd w:id="144"/>
      <w:bookmarkEnd w:id="145"/>
    </w:p>
    <w:p w14:paraId="263C6576">
      <w:pPr>
        <w:pStyle w:val="61"/>
        <w:shd w:val="clear"/>
        <w:ind w:firstLine="0" w:firstLineChars="0"/>
        <w:rPr>
          <w:rFonts w:hint="default" w:ascii="仿宋" w:hAnsi="仿宋" w:eastAsia="仿宋" w:cs="仿宋"/>
          <w:b/>
          <w:color w:val="auto"/>
          <w:szCs w:val="24"/>
          <w:highlight w:val="none"/>
          <w:lang w:eastAsia="zh-CN"/>
        </w:rPr>
      </w:pPr>
      <w:r>
        <w:rPr>
          <w:rFonts w:ascii="仿宋" w:hAnsi="仿宋" w:eastAsia="仿宋" w:cs="仿宋"/>
          <w:b/>
          <w:color w:val="auto"/>
          <w:szCs w:val="24"/>
          <w:highlight w:val="none"/>
          <w:lang w:eastAsia="zh-CN"/>
        </w:rPr>
        <w:t>本人以企业法定代表人的身份郑重承诺：</w:t>
      </w:r>
    </w:p>
    <w:p w14:paraId="4075E59C">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将遵循公开、公平、公正和诚信信用的原则参加（</w:t>
      </w:r>
      <w:r>
        <w:rPr>
          <w:rFonts w:hint="eastAsia" w:ascii="仿宋" w:hAnsi="仿宋" w:eastAsia="仿宋" w:cs="仿宋"/>
          <w:color w:val="auto"/>
          <w:spacing w:val="4"/>
          <w:sz w:val="24"/>
          <w:highlight w:val="none"/>
          <w:u w:val="single"/>
          <w:lang w:eastAsia="zh-CN"/>
        </w:rPr>
        <w:t xml:space="preserve">  项目、招标编号  </w:t>
      </w:r>
      <w:r>
        <w:rPr>
          <w:rFonts w:hint="eastAsia" w:ascii="仿宋" w:hAnsi="仿宋" w:eastAsia="仿宋" w:cs="仿宋"/>
          <w:color w:val="auto"/>
          <w:spacing w:val="4"/>
          <w:sz w:val="24"/>
          <w:highlight w:val="none"/>
          <w:lang w:eastAsia="zh-CN"/>
        </w:rPr>
        <w:t>）的投标；</w:t>
      </w:r>
    </w:p>
    <w:p w14:paraId="411B28CB">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一、杜绝以收取管理费等形式的一切挂靠、违法转包、分包行为；并选派有丰富经验、无不良行为记录的在项目管理人员、技术人员，严格按磋商文件及合同等要求保证拟派人员的到岗率。</w:t>
      </w:r>
    </w:p>
    <w:p w14:paraId="22879DF2">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二、磋商文件所提供的一切材料都是真实、有效、合法的。</w:t>
      </w:r>
    </w:p>
    <w:p w14:paraId="39AFF37D">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三、不与其他供应商相互串通磋商响应报价，不排挤其他供应商的公平竞争，不损害采购人或其他供应商的合法权益。</w:t>
      </w:r>
    </w:p>
    <w:p w14:paraId="028BFFD5">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四、不与采购人或采购机构串通投标，不损害国家利益，社会公共利益或其他人的合法权益。</w:t>
      </w:r>
    </w:p>
    <w:p w14:paraId="3343BDA3">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五、不向采购人或者评标委员会成员行贿以牟取中标。</w:t>
      </w:r>
    </w:p>
    <w:p w14:paraId="523E2934">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六、不以其他人名义投标或者以其他方式弄虚作假，骗取中标。</w:t>
      </w:r>
    </w:p>
    <w:p w14:paraId="549D1C41">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七、不在开标后进行虚假恶意投诉。</w:t>
      </w:r>
    </w:p>
    <w:p w14:paraId="1D70204C">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八、我单位没有被政府机关列入失信被执行人名单、重大税收违法案件当事人名单、政府采购严重违法失信行为记录名单及其他不符合《中华人民共和国政府采购法》第二十二条规定条件的情形。</w:t>
      </w:r>
    </w:p>
    <w:p w14:paraId="28925C48">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 xml:space="preserve">九、没有被财政部门限制参加政府采购活动或曾被财政部门限制参加政府采购活动但已不在限制期内。    </w:t>
      </w:r>
    </w:p>
    <w:p w14:paraId="222581F2">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十、参与本项目政府采购活动3年内没有重大违法记录情况。</w:t>
      </w:r>
    </w:p>
    <w:p w14:paraId="6B200C03">
      <w:pPr>
        <w:shd w:val="clea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本公司若有违反本承诺内容的行为，愿意承担法律责任，包括不限于：愿意接受相关行政主管部门作出的处罚；给采购人造成损失的，依法承担相应的赔偿责任。</w:t>
      </w:r>
    </w:p>
    <w:p w14:paraId="33731682">
      <w:pPr>
        <w:shd w:val="clear"/>
        <w:snapToGrid w:val="0"/>
        <w:spacing w:line="470" w:lineRule="exact"/>
        <w:rPr>
          <w:rFonts w:ascii="仿宋" w:hAnsi="仿宋" w:eastAsia="仿宋" w:cs="仿宋"/>
          <w:b/>
          <w:color w:val="auto"/>
          <w:sz w:val="24"/>
          <w:highlight w:val="none"/>
          <w:lang w:eastAsia="zh-CN"/>
        </w:rPr>
      </w:pPr>
    </w:p>
    <w:p w14:paraId="21089ECF">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005599FC">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77513ECE">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05FF1A58">
      <w:pPr>
        <w:shd w:val="clear"/>
        <w:spacing w:line="579" w:lineRule="exact"/>
        <w:outlineLvl w:val="2"/>
        <w:rPr>
          <w:rFonts w:ascii="仿宋" w:hAnsi="仿宋" w:eastAsia="仿宋" w:cs="仿宋"/>
          <w:b/>
          <w:color w:val="auto"/>
          <w:sz w:val="24"/>
          <w:szCs w:val="20"/>
          <w:highlight w:val="none"/>
          <w:lang w:eastAsia="zh-CN" w:bidi="ar"/>
        </w:rPr>
        <w:sectPr>
          <w:pgSz w:w="11906" w:h="16838"/>
          <w:pgMar w:top="1418" w:right="1700" w:bottom="1418" w:left="1361" w:header="851" w:footer="992" w:gutter="0"/>
          <w:pgBorders>
            <w:top w:val="none" w:sz="0" w:space="0"/>
            <w:left w:val="none" w:sz="0" w:space="0"/>
            <w:bottom w:val="none" w:sz="0" w:space="0"/>
            <w:right w:val="none" w:sz="0" w:space="0"/>
          </w:pgBorders>
          <w:pgNumType w:fmt="decimal"/>
          <w:cols w:space="425" w:num="1"/>
          <w:docGrid w:type="lines" w:linePitch="332" w:charSpace="0"/>
        </w:sectPr>
      </w:pPr>
    </w:p>
    <w:bookmarkEnd w:id="138"/>
    <w:bookmarkEnd w:id="139"/>
    <w:bookmarkEnd w:id="140"/>
    <w:p w14:paraId="34BD897C">
      <w:pPr>
        <w:shd w:val="clear"/>
        <w:spacing w:line="579" w:lineRule="exact"/>
        <w:jc w:val="center"/>
        <w:outlineLvl w:val="2"/>
        <w:rPr>
          <w:rFonts w:ascii="仿宋" w:hAnsi="仿宋" w:eastAsia="仿宋" w:cs="仿宋"/>
          <w:b/>
          <w:color w:val="auto"/>
          <w:sz w:val="24"/>
          <w:szCs w:val="20"/>
          <w:highlight w:val="none"/>
          <w:lang w:eastAsia="zh-CN" w:bidi="ar"/>
        </w:rPr>
      </w:pPr>
      <w:bookmarkStart w:id="146" w:name="_Toc27258"/>
      <w:bookmarkStart w:id="147" w:name="_Toc24967"/>
      <w:bookmarkStart w:id="148" w:name="_Toc3891645"/>
      <w:bookmarkStart w:id="149" w:name="_Toc19256"/>
      <w:bookmarkStart w:id="150" w:name="_Toc10927"/>
      <w:bookmarkStart w:id="151" w:name="_Toc32468"/>
      <w:bookmarkStart w:id="152" w:name="_Toc22554398"/>
      <w:bookmarkStart w:id="153" w:name="_Toc266870446"/>
      <w:bookmarkStart w:id="154" w:name="_Toc259692661"/>
      <w:bookmarkStart w:id="155" w:name="_Toc255975021"/>
      <w:bookmarkStart w:id="156" w:name="_Toc254790914"/>
      <w:bookmarkStart w:id="157" w:name="_Toc258401270"/>
      <w:bookmarkStart w:id="158" w:name="_Toc259520879"/>
      <w:bookmarkStart w:id="159" w:name="_Toc22554425"/>
      <w:bookmarkStart w:id="160" w:name="_Toc267060465"/>
      <w:bookmarkStart w:id="161" w:name="_Toc267060220"/>
      <w:bookmarkStart w:id="162" w:name="_Toc1719163"/>
      <w:bookmarkStart w:id="163" w:name="_Toc259692754"/>
      <w:bookmarkStart w:id="164" w:name="_Toc266870921"/>
      <w:bookmarkStart w:id="165" w:name="_Toc266868684"/>
      <w:bookmarkStart w:id="166" w:name="_Toc267060080"/>
      <w:bookmarkStart w:id="167" w:name="_Toc3891662"/>
      <w:bookmarkStart w:id="168" w:name="_Toc192664161"/>
      <w:bookmarkStart w:id="169" w:name="_Toc181436573"/>
      <w:bookmarkStart w:id="170" w:name="_Toc232302127"/>
      <w:bookmarkStart w:id="171" w:name="_Toc169332846"/>
      <w:bookmarkStart w:id="172" w:name="_Toc193160456"/>
      <w:bookmarkStart w:id="173" w:name="_Toc251613844"/>
      <w:bookmarkStart w:id="174" w:name="_Toc235438286"/>
      <w:bookmarkStart w:id="175" w:name="_Toc253066629"/>
      <w:bookmarkStart w:id="176" w:name="_Toc182805225"/>
      <w:bookmarkStart w:id="177" w:name="_Toc235438003"/>
      <w:bookmarkStart w:id="178" w:name="_Toc211917124"/>
      <w:bookmarkStart w:id="179" w:name="_Toc203355741"/>
      <w:bookmarkStart w:id="180" w:name="_Toc192996454"/>
      <w:bookmarkStart w:id="181" w:name="_Toc193165742"/>
      <w:bookmarkStart w:id="182" w:name="_Toc191783230"/>
      <w:bookmarkStart w:id="183" w:name="_Toc170798801"/>
      <w:bookmarkStart w:id="184" w:name="_Toc182372790"/>
      <w:bookmarkStart w:id="185" w:name="_Toc236021462"/>
      <w:bookmarkStart w:id="186" w:name="_Toc192663843"/>
      <w:bookmarkStart w:id="187" w:name="_Toc191802698"/>
      <w:bookmarkStart w:id="188" w:name="_Toc192663694"/>
      <w:bookmarkStart w:id="189" w:name="_Toc181436469"/>
      <w:bookmarkStart w:id="190" w:name="_Toc169332957"/>
      <w:bookmarkStart w:id="191" w:name="_Toc249325725"/>
      <w:bookmarkStart w:id="192" w:name="_Toc191803634"/>
      <w:bookmarkStart w:id="193" w:name="_Toc235438357"/>
      <w:bookmarkStart w:id="194" w:name="_Toc251586246"/>
      <w:bookmarkStart w:id="195" w:name="_Toc177985477"/>
      <w:bookmarkStart w:id="196" w:name="_Toc192996346"/>
      <w:bookmarkStart w:id="197" w:name="_Toc180302921"/>
      <w:bookmarkStart w:id="198" w:name="_Toc160880537"/>
      <w:bookmarkStart w:id="199" w:name="_Toc191789337"/>
      <w:bookmarkStart w:id="200" w:name="_Toc160880168"/>
      <w:r>
        <w:rPr>
          <w:rFonts w:hint="eastAsia" w:ascii="仿宋" w:hAnsi="仿宋" w:eastAsia="仿宋" w:cs="仿宋"/>
          <w:b/>
          <w:color w:val="auto"/>
          <w:sz w:val="24"/>
          <w:szCs w:val="20"/>
          <w:highlight w:val="none"/>
          <w:lang w:eastAsia="zh-CN" w:bidi="ar"/>
        </w:rPr>
        <w:t>（</w:t>
      </w:r>
      <w:r>
        <w:rPr>
          <w:rFonts w:hint="eastAsia" w:ascii="仿宋" w:hAnsi="仿宋" w:eastAsia="仿宋" w:cs="仿宋"/>
          <w:b/>
          <w:color w:val="auto"/>
          <w:sz w:val="24"/>
          <w:szCs w:val="20"/>
          <w:highlight w:val="none"/>
          <w:lang w:val="en-US" w:eastAsia="zh-CN" w:bidi="ar"/>
        </w:rPr>
        <w:t>三</w:t>
      </w:r>
      <w:r>
        <w:rPr>
          <w:rFonts w:hint="eastAsia" w:ascii="仿宋" w:hAnsi="仿宋" w:eastAsia="仿宋" w:cs="仿宋"/>
          <w:b/>
          <w:color w:val="auto"/>
          <w:sz w:val="24"/>
          <w:szCs w:val="20"/>
          <w:highlight w:val="none"/>
          <w:lang w:eastAsia="zh-CN" w:bidi="ar"/>
        </w:rPr>
        <w:t>）磋商保证金</w:t>
      </w:r>
      <w:bookmarkEnd w:id="146"/>
      <w:bookmarkEnd w:id="147"/>
      <w:bookmarkEnd w:id="148"/>
      <w:bookmarkEnd w:id="149"/>
      <w:bookmarkEnd w:id="150"/>
      <w:bookmarkEnd w:id="151"/>
      <w:bookmarkEnd w:id="152"/>
    </w:p>
    <w:p w14:paraId="4AABB41B">
      <w:pPr>
        <w:pStyle w:val="7"/>
        <w:shd w:val="clear"/>
        <w:spacing w:line="579" w:lineRule="exact"/>
        <w:ind w:firstLine="480"/>
        <w:rPr>
          <w:rFonts w:ascii="仿宋" w:hAnsi="仿宋" w:eastAsia="仿宋" w:cs="仿宋"/>
          <w:color w:val="auto"/>
          <w:sz w:val="24"/>
          <w:szCs w:val="18"/>
          <w:highlight w:val="none"/>
          <w:lang w:eastAsia="zh-CN"/>
        </w:rPr>
        <w:sectPr>
          <w:pgSz w:w="11906" w:h="16838"/>
          <w:pgMar w:top="1418" w:right="1826" w:bottom="1418" w:left="1361" w:header="851" w:footer="992" w:gutter="0"/>
          <w:pgBorders>
            <w:top w:val="none" w:sz="0" w:space="0"/>
            <w:left w:val="none" w:sz="0" w:space="0"/>
            <w:bottom w:val="none" w:sz="0" w:space="0"/>
            <w:right w:val="none" w:sz="0" w:space="0"/>
          </w:pgBorders>
          <w:pgNumType w:fmt="decimal"/>
          <w:cols w:space="425" w:num="1"/>
          <w:docGrid w:type="linesAndChars" w:linePitch="332" w:charSpace="0"/>
        </w:sectPr>
      </w:pPr>
      <w:r>
        <w:rPr>
          <w:rFonts w:hint="eastAsia" w:ascii="仿宋" w:hAnsi="仿宋" w:eastAsia="仿宋" w:cs="仿宋"/>
          <w:color w:val="auto"/>
          <w:sz w:val="24"/>
          <w:szCs w:val="18"/>
          <w:highlight w:val="none"/>
          <w:lang w:eastAsia="zh-CN"/>
        </w:rPr>
        <w:t>附：磋商保证金缴纳凭证或收据</w:t>
      </w:r>
      <w:r>
        <w:rPr>
          <w:rFonts w:hint="eastAsia" w:ascii="仿宋" w:hAnsi="仿宋" w:eastAsia="仿宋" w:cs="仿宋"/>
          <w:color w:val="auto"/>
          <w:sz w:val="24"/>
          <w:szCs w:val="18"/>
          <w:highlight w:val="none"/>
          <w:lang w:val="en-US" w:eastAsia="zh-CN"/>
        </w:rPr>
        <w:t>或保函</w:t>
      </w:r>
      <w:r>
        <w:rPr>
          <w:rFonts w:hint="eastAsia" w:ascii="仿宋" w:hAnsi="仿宋" w:eastAsia="仿宋" w:cs="仿宋"/>
          <w:color w:val="auto"/>
          <w:sz w:val="24"/>
          <w:szCs w:val="18"/>
          <w:highlight w:val="none"/>
          <w:lang w:eastAsia="zh-CN"/>
        </w:rPr>
        <w:t>复印件加盖投标单位公章</w:t>
      </w:r>
    </w:p>
    <w:p w14:paraId="435FC492">
      <w:pPr>
        <w:shd w:val="clear"/>
        <w:spacing w:line="579" w:lineRule="exact"/>
        <w:jc w:val="center"/>
        <w:outlineLvl w:val="2"/>
        <w:rPr>
          <w:rFonts w:ascii="仿宋" w:hAnsi="仿宋" w:eastAsia="仿宋" w:cs="仿宋"/>
          <w:b/>
          <w:color w:val="auto"/>
          <w:sz w:val="24"/>
          <w:szCs w:val="20"/>
          <w:highlight w:val="none"/>
          <w:lang w:eastAsia="zh-CN" w:bidi="ar"/>
        </w:rPr>
      </w:pPr>
      <w:bookmarkStart w:id="201" w:name="_Toc18115"/>
      <w:bookmarkStart w:id="202" w:name="_Toc8186"/>
      <w:bookmarkStart w:id="203" w:name="_Toc23572"/>
      <w:bookmarkStart w:id="204" w:name="_Toc32384"/>
      <w:bookmarkStart w:id="205" w:name="_Toc32365"/>
      <w:r>
        <w:rPr>
          <w:rFonts w:hint="eastAsia" w:ascii="仿宋" w:hAnsi="仿宋" w:eastAsia="仿宋" w:cs="仿宋"/>
          <w:b/>
          <w:color w:val="auto"/>
          <w:sz w:val="24"/>
          <w:szCs w:val="20"/>
          <w:highlight w:val="none"/>
          <w:lang w:eastAsia="zh-CN" w:bidi="ar"/>
        </w:rPr>
        <w:t>（</w:t>
      </w:r>
      <w:r>
        <w:rPr>
          <w:rFonts w:hint="eastAsia" w:ascii="仿宋" w:hAnsi="仿宋" w:eastAsia="仿宋" w:cs="仿宋"/>
          <w:b/>
          <w:color w:val="auto"/>
          <w:sz w:val="24"/>
          <w:szCs w:val="20"/>
          <w:highlight w:val="none"/>
          <w:lang w:val="en-US" w:eastAsia="zh-CN" w:bidi="ar"/>
        </w:rPr>
        <w:t>四</w:t>
      </w:r>
      <w:r>
        <w:rPr>
          <w:rFonts w:hint="eastAsia" w:ascii="仿宋" w:hAnsi="仿宋" w:eastAsia="仿宋" w:cs="仿宋"/>
          <w:b/>
          <w:color w:val="auto"/>
          <w:sz w:val="24"/>
          <w:szCs w:val="20"/>
          <w:highlight w:val="none"/>
          <w:lang w:eastAsia="zh-CN" w:bidi="ar"/>
        </w:rPr>
        <w:t>）</w:t>
      </w:r>
      <w:r>
        <w:rPr>
          <w:rFonts w:hint="eastAsia" w:ascii="仿宋" w:hAnsi="仿宋" w:eastAsia="仿宋" w:cs="仿宋"/>
          <w:b/>
          <w:color w:val="auto"/>
          <w:sz w:val="24"/>
          <w:szCs w:val="20"/>
          <w:highlight w:val="none"/>
          <w:lang w:val="en-US" w:eastAsia="zh-CN" w:bidi="ar"/>
        </w:rPr>
        <w:t>企业</w:t>
      </w:r>
      <w:r>
        <w:rPr>
          <w:rFonts w:hint="eastAsia" w:ascii="仿宋" w:hAnsi="仿宋" w:eastAsia="仿宋" w:cs="仿宋"/>
          <w:b/>
          <w:color w:val="auto"/>
          <w:sz w:val="24"/>
          <w:szCs w:val="20"/>
          <w:highlight w:val="none"/>
          <w:lang w:eastAsia="zh-CN" w:bidi="ar"/>
        </w:rPr>
        <w:t>业绩一览表</w:t>
      </w:r>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201"/>
      <w:bookmarkEnd w:id="202"/>
      <w:bookmarkEnd w:id="203"/>
      <w:bookmarkEnd w:id="204"/>
      <w:bookmarkEnd w:id="205"/>
    </w:p>
    <w:p w14:paraId="25655DAF">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项目名称： </w:t>
      </w:r>
    </w:p>
    <w:p w14:paraId="1F5BD7B0">
      <w:pPr>
        <w:shd w:val="clear"/>
        <w:spacing w:line="579" w:lineRule="exact"/>
        <w:ind w:firstLine="480" w:firstLineChars="200"/>
        <w:rPr>
          <w:rFonts w:hint="default" w:ascii="仿宋" w:hAnsi="仿宋" w:eastAsia="仿宋" w:cs="仿宋"/>
          <w:color w:val="auto"/>
          <w:highlight w:val="none"/>
          <w:lang w:val="en-US"/>
        </w:rPr>
      </w:pPr>
      <w:r>
        <w:rPr>
          <w:rFonts w:hint="eastAsia" w:ascii="仿宋" w:hAnsi="仿宋" w:eastAsia="仿宋" w:cs="仿宋"/>
          <w:color w:val="auto"/>
          <w:sz w:val="24"/>
          <w:szCs w:val="20"/>
          <w:highlight w:val="none"/>
          <w:lang w:eastAsia="zh-CN" w:bidi="ar"/>
        </w:rPr>
        <w:t>项目编号:</w:t>
      </w:r>
      <w:r>
        <w:rPr>
          <w:rFonts w:hint="eastAsia" w:ascii="仿宋" w:hAnsi="仿宋" w:eastAsia="仿宋" w:cs="仿宋"/>
          <w:color w:val="auto"/>
          <w:sz w:val="24"/>
          <w:szCs w:val="20"/>
          <w:highlight w:val="none"/>
          <w:lang w:val="en-US" w:eastAsia="zh-CN" w:bidi="ar"/>
        </w:rPr>
        <w:t xml:space="preserve"> </w:t>
      </w:r>
    </w:p>
    <w:tbl>
      <w:tblPr>
        <w:tblStyle w:val="27"/>
        <w:tblW w:w="88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018"/>
        <w:gridCol w:w="1401"/>
        <w:gridCol w:w="1303"/>
        <w:gridCol w:w="1374"/>
        <w:gridCol w:w="1054"/>
        <w:gridCol w:w="1054"/>
      </w:tblGrid>
      <w:tr w14:paraId="44ED6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673" w:type="dxa"/>
            <w:vAlign w:val="center"/>
          </w:tcPr>
          <w:p w14:paraId="32CB5CCE">
            <w:pPr>
              <w:shd w:val="clear"/>
              <w:jc w:val="center"/>
              <w:rPr>
                <w:rFonts w:ascii="仿宋" w:hAnsi="仿宋" w:eastAsia="仿宋" w:cs="仿宋"/>
                <w:b/>
                <w:bCs/>
                <w:color w:val="auto"/>
                <w:highlight w:val="none"/>
              </w:rPr>
            </w:pPr>
            <w:r>
              <w:rPr>
                <w:rFonts w:hint="eastAsia" w:ascii="仿宋" w:hAnsi="仿宋" w:eastAsia="仿宋" w:cs="仿宋"/>
                <w:b/>
                <w:bCs/>
                <w:color w:val="auto"/>
                <w:highlight w:val="none"/>
              </w:rPr>
              <w:t>序号</w:t>
            </w:r>
          </w:p>
        </w:tc>
        <w:tc>
          <w:tcPr>
            <w:tcW w:w="2018" w:type="dxa"/>
            <w:vAlign w:val="center"/>
          </w:tcPr>
          <w:p w14:paraId="644A222F">
            <w:pPr>
              <w:shd w:val="clear"/>
              <w:jc w:val="center"/>
              <w:rPr>
                <w:rFonts w:ascii="仿宋" w:hAnsi="仿宋" w:eastAsia="仿宋" w:cs="仿宋"/>
                <w:b/>
                <w:bCs/>
                <w:color w:val="auto"/>
                <w:highlight w:val="none"/>
              </w:rPr>
            </w:pPr>
            <w:r>
              <w:rPr>
                <w:rFonts w:hint="eastAsia" w:ascii="仿宋" w:hAnsi="仿宋" w:eastAsia="仿宋" w:cs="仿宋"/>
                <w:b/>
                <w:bCs/>
                <w:color w:val="auto"/>
                <w:highlight w:val="none"/>
              </w:rPr>
              <w:t>项目名称</w:t>
            </w:r>
          </w:p>
        </w:tc>
        <w:tc>
          <w:tcPr>
            <w:tcW w:w="1401" w:type="dxa"/>
            <w:vAlign w:val="center"/>
          </w:tcPr>
          <w:p w14:paraId="6B8B9893">
            <w:pPr>
              <w:shd w:val="clear"/>
              <w:jc w:val="cente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主要内容</w:t>
            </w:r>
          </w:p>
        </w:tc>
        <w:tc>
          <w:tcPr>
            <w:tcW w:w="1303" w:type="dxa"/>
            <w:vAlign w:val="center"/>
          </w:tcPr>
          <w:p w14:paraId="1B5F3589">
            <w:pPr>
              <w:shd w:val="clear"/>
              <w:jc w:val="center"/>
              <w:rPr>
                <w:rFonts w:ascii="仿宋" w:hAnsi="仿宋" w:eastAsia="仿宋" w:cs="仿宋"/>
                <w:b/>
                <w:bCs/>
                <w:color w:val="auto"/>
                <w:highlight w:val="none"/>
              </w:rPr>
            </w:pPr>
            <w:r>
              <w:rPr>
                <w:rFonts w:hint="eastAsia" w:ascii="仿宋" w:hAnsi="仿宋" w:eastAsia="仿宋" w:cs="仿宋"/>
                <w:b/>
                <w:bCs/>
                <w:color w:val="auto"/>
                <w:highlight w:val="none"/>
              </w:rPr>
              <w:t>签订时间</w:t>
            </w:r>
          </w:p>
        </w:tc>
        <w:tc>
          <w:tcPr>
            <w:tcW w:w="1374" w:type="dxa"/>
            <w:vAlign w:val="center"/>
          </w:tcPr>
          <w:p w14:paraId="23490BBF">
            <w:pPr>
              <w:shd w:val="clear"/>
              <w:jc w:val="center"/>
              <w:rPr>
                <w:rFonts w:ascii="仿宋" w:hAnsi="仿宋" w:eastAsia="仿宋" w:cs="仿宋"/>
                <w:b/>
                <w:bCs/>
                <w:color w:val="auto"/>
                <w:highlight w:val="none"/>
              </w:rPr>
            </w:pPr>
            <w:r>
              <w:rPr>
                <w:rFonts w:hint="eastAsia" w:ascii="仿宋" w:hAnsi="仿宋" w:eastAsia="仿宋" w:cs="仿宋"/>
                <w:b/>
                <w:bCs/>
                <w:color w:val="auto"/>
                <w:highlight w:val="none"/>
              </w:rPr>
              <w:t>联系人及联系电话</w:t>
            </w:r>
          </w:p>
        </w:tc>
        <w:tc>
          <w:tcPr>
            <w:tcW w:w="1054" w:type="dxa"/>
            <w:vAlign w:val="center"/>
          </w:tcPr>
          <w:p w14:paraId="7DA926A5">
            <w:pPr>
              <w:shd w:val="clear"/>
              <w:jc w:val="center"/>
              <w:rPr>
                <w:rFonts w:ascii="仿宋" w:hAnsi="仿宋" w:eastAsia="仿宋" w:cs="仿宋"/>
                <w:b/>
                <w:bCs/>
                <w:color w:val="auto"/>
                <w:highlight w:val="none"/>
              </w:rPr>
            </w:pPr>
            <w:r>
              <w:rPr>
                <w:rFonts w:hint="eastAsia" w:ascii="仿宋" w:hAnsi="仿宋" w:eastAsia="仿宋" w:cs="仿宋"/>
                <w:b/>
                <w:bCs/>
                <w:color w:val="auto"/>
                <w:highlight w:val="none"/>
              </w:rPr>
              <w:t>完成</w:t>
            </w:r>
          </w:p>
          <w:p w14:paraId="17703488">
            <w:pPr>
              <w:shd w:val="clear"/>
              <w:jc w:val="center"/>
              <w:rPr>
                <w:rFonts w:ascii="仿宋" w:hAnsi="仿宋" w:eastAsia="仿宋" w:cs="仿宋"/>
                <w:b/>
                <w:bCs/>
                <w:color w:val="auto"/>
                <w:highlight w:val="none"/>
              </w:rPr>
            </w:pPr>
            <w:r>
              <w:rPr>
                <w:rFonts w:hint="eastAsia" w:ascii="仿宋" w:hAnsi="仿宋" w:eastAsia="仿宋" w:cs="仿宋"/>
                <w:b/>
                <w:bCs/>
                <w:color w:val="auto"/>
                <w:highlight w:val="none"/>
              </w:rPr>
              <w:t>情况</w:t>
            </w:r>
          </w:p>
        </w:tc>
        <w:tc>
          <w:tcPr>
            <w:tcW w:w="1054" w:type="dxa"/>
            <w:vAlign w:val="center"/>
          </w:tcPr>
          <w:p w14:paraId="6FDD22D6">
            <w:pPr>
              <w:shd w:val="clear"/>
              <w:jc w:val="center"/>
              <w:rPr>
                <w:rFonts w:hint="default"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投标文件对应页码</w:t>
            </w:r>
          </w:p>
        </w:tc>
      </w:tr>
      <w:tr w14:paraId="787AF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76A94022">
            <w:pPr>
              <w:shd w:val="clear"/>
              <w:snapToGrid w:val="0"/>
              <w:spacing w:line="480" w:lineRule="auto"/>
              <w:rPr>
                <w:rFonts w:ascii="仿宋" w:hAnsi="仿宋" w:eastAsia="仿宋" w:cs="仿宋"/>
                <w:color w:val="auto"/>
                <w:highlight w:val="none"/>
              </w:rPr>
            </w:pPr>
          </w:p>
        </w:tc>
        <w:tc>
          <w:tcPr>
            <w:tcW w:w="2018" w:type="dxa"/>
          </w:tcPr>
          <w:p w14:paraId="13C8A9D5">
            <w:pPr>
              <w:shd w:val="clear"/>
              <w:snapToGrid w:val="0"/>
              <w:spacing w:line="480" w:lineRule="auto"/>
              <w:rPr>
                <w:rFonts w:ascii="仿宋" w:hAnsi="仿宋" w:eastAsia="仿宋" w:cs="仿宋"/>
                <w:color w:val="auto"/>
                <w:highlight w:val="none"/>
              </w:rPr>
            </w:pPr>
          </w:p>
        </w:tc>
        <w:tc>
          <w:tcPr>
            <w:tcW w:w="1401" w:type="dxa"/>
          </w:tcPr>
          <w:p w14:paraId="6C2A5385">
            <w:pPr>
              <w:shd w:val="clear"/>
              <w:snapToGrid w:val="0"/>
              <w:spacing w:line="480" w:lineRule="auto"/>
              <w:rPr>
                <w:rFonts w:ascii="仿宋" w:hAnsi="仿宋" w:eastAsia="仿宋" w:cs="仿宋"/>
                <w:color w:val="auto"/>
                <w:highlight w:val="none"/>
              </w:rPr>
            </w:pPr>
          </w:p>
        </w:tc>
        <w:tc>
          <w:tcPr>
            <w:tcW w:w="1303" w:type="dxa"/>
          </w:tcPr>
          <w:p w14:paraId="462EF138">
            <w:pPr>
              <w:shd w:val="clear"/>
              <w:snapToGrid w:val="0"/>
              <w:spacing w:line="480" w:lineRule="auto"/>
              <w:rPr>
                <w:rFonts w:ascii="仿宋" w:hAnsi="仿宋" w:eastAsia="仿宋" w:cs="仿宋"/>
                <w:color w:val="auto"/>
                <w:highlight w:val="none"/>
              </w:rPr>
            </w:pPr>
          </w:p>
        </w:tc>
        <w:tc>
          <w:tcPr>
            <w:tcW w:w="1374" w:type="dxa"/>
          </w:tcPr>
          <w:p w14:paraId="469175B7">
            <w:pPr>
              <w:shd w:val="clear"/>
              <w:snapToGrid w:val="0"/>
              <w:spacing w:line="480" w:lineRule="auto"/>
              <w:rPr>
                <w:rFonts w:ascii="仿宋" w:hAnsi="仿宋" w:eastAsia="仿宋" w:cs="仿宋"/>
                <w:color w:val="auto"/>
                <w:highlight w:val="none"/>
              </w:rPr>
            </w:pPr>
          </w:p>
        </w:tc>
        <w:tc>
          <w:tcPr>
            <w:tcW w:w="1054" w:type="dxa"/>
          </w:tcPr>
          <w:p w14:paraId="5F37AA91">
            <w:pPr>
              <w:shd w:val="clear"/>
              <w:snapToGrid w:val="0"/>
              <w:spacing w:line="480" w:lineRule="auto"/>
              <w:rPr>
                <w:rFonts w:ascii="仿宋" w:hAnsi="仿宋" w:eastAsia="仿宋" w:cs="仿宋"/>
                <w:color w:val="auto"/>
                <w:highlight w:val="none"/>
              </w:rPr>
            </w:pPr>
          </w:p>
        </w:tc>
        <w:tc>
          <w:tcPr>
            <w:tcW w:w="1054" w:type="dxa"/>
          </w:tcPr>
          <w:p w14:paraId="1C27D5B3">
            <w:pPr>
              <w:shd w:val="clear"/>
              <w:snapToGrid w:val="0"/>
              <w:spacing w:line="480" w:lineRule="auto"/>
              <w:rPr>
                <w:rFonts w:ascii="仿宋" w:hAnsi="仿宋" w:eastAsia="仿宋" w:cs="仿宋"/>
                <w:color w:val="auto"/>
                <w:highlight w:val="none"/>
              </w:rPr>
            </w:pPr>
          </w:p>
        </w:tc>
      </w:tr>
      <w:tr w14:paraId="13483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64FCCF3D">
            <w:pPr>
              <w:shd w:val="clear"/>
              <w:snapToGrid w:val="0"/>
              <w:spacing w:line="480" w:lineRule="auto"/>
              <w:rPr>
                <w:rFonts w:ascii="仿宋" w:hAnsi="仿宋" w:eastAsia="仿宋" w:cs="仿宋"/>
                <w:color w:val="auto"/>
                <w:highlight w:val="none"/>
              </w:rPr>
            </w:pPr>
          </w:p>
        </w:tc>
        <w:tc>
          <w:tcPr>
            <w:tcW w:w="2018" w:type="dxa"/>
          </w:tcPr>
          <w:p w14:paraId="54F93EC7">
            <w:pPr>
              <w:shd w:val="clear"/>
              <w:snapToGrid w:val="0"/>
              <w:spacing w:line="480" w:lineRule="auto"/>
              <w:rPr>
                <w:rFonts w:ascii="仿宋" w:hAnsi="仿宋" w:eastAsia="仿宋" w:cs="仿宋"/>
                <w:color w:val="auto"/>
                <w:highlight w:val="none"/>
              </w:rPr>
            </w:pPr>
          </w:p>
        </w:tc>
        <w:tc>
          <w:tcPr>
            <w:tcW w:w="1401" w:type="dxa"/>
          </w:tcPr>
          <w:p w14:paraId="707E39FF">
            <w:pPr>
              <w:shd w:val="clear"/>
              <w:snapToGrid w:val="0"/>
              <w:spacing w:line="480" w:lineRule="auto"/>
              <w:rPr>
                <w:rFonts w:ascii="仿宋" w:hAnsi="仿宋" w:eastAsia="仿宋" w:cs="仿宋"/>
                <w:color w:val="auto"/>
                <w:highlight w:val="none"/>
              </w:rPr>
            </w:pPr>
          </w:p>
        </w:tc>
        <w:tc>
          <w:tcPr>
            <w:tcW w:w="1303" w:type="dxa"/>
          </w:tcPr>
          <w:p w14:paraId="6F062BC0">
            <w:pPr>
              <w:shd w:val="clear"/>
              <w:snapToGrid w:val="0"/>
              <w:spacing w:line="480" w:lineRule="auto"/>
              <w:rPr>
                <w:rFonts w:ascii="仿宋" w:hAnsi="仿宋" w:eastAsia="仿宋" w:cs="仿宋"/>
                <w:color w:val="auto"/>
                <w:highlight w:val="none"/>
              </w:rPr>
            </w:pPr>
          </w:p>
        </w:tc>
        <w:tc>
          <w:tcPr>
            <w:tcW w:w="1374" w:type="dxa"/>
          </w:tcPr>
          <w:p w14:paraId="7274B5B3">
            <w:pPr>
              <w:shd w:val="clear"/>
              <w:snapToGrid w:val="0"/>
              <w:spacing w:line="480" w:lineRule="auto"/>
              <w:rPr>
                <w:rFonts w:ascii="仿宋" w:hAnsi="仿宋" w:eastAsia="仿宋" w:cs="仿宋"/>
                <w:color w:val="auto"/>
                <w:highlight w:val="none"/>
              </w:rPr>
            </w:pPr>
          </w:p>
        </w:tc>
        <w:tc>
          <w:tcPr>
            <w:tcW w:w="1054" w:type="dxa"/>
          </w:tcPr>
          <w:p w14:paraId="00E03446">
            <w:pPr>
              <w:shd w:val="clear"/>
              <w:snapToGrid w:val="0"/>
              <w:spacing w:line="480" w:lineRule="auto"/>
              <w:rPr>
                <w:rFonts w:ascii="仿宋" w:hAnsi="仿宋" w:eastAsia="仿宋" w:cs="仿宋"/>
                <w:color w:val="auto"/>
                <w:highlight w:val="none"/>
              </w:rPr>
            </w:pPr>
          </w:p>
        </w:tc>
        <w:tc>
          <w:tcPr>
            <w:tcW w:w="1054" w:type="dxa"/>
          </w:tcPr>
          <w:p w14:paraId="75A4730F">
            <w:pPr>
              <w:shd w:val="clear"/>
              <w:snapToGrid w:val="0"/>
              <w:spacing w:line="480" w:lineRule="auto"/>
              <w:rPr>
                <w:rFonts w:ascii="仿宋" w:hAnsi="仿宋" w:eastAsia="仿宋" w:cs="仿宋"/>
                <w:color w:val="auto"/>
                <w:highlight w:val="none"/>
              </w:rPr>
            </w:pPr>
          </w:p>
        </w:tc>
      </w:tr>
      <w:tr w14:paraId="41EBA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2A325AA7">
            <w:pPr>
              <w:shd w:val="clear"/>
              <w:snapToGrid w:val="0"/>
              <w:spacing w:line="480" w:lineRule="auto"/>
              <w:rPr>
                <w:rFonts w:ascii="仿宋" w:hAnsi="仿宋" w:eastAsia="仿宋" w:cs="仿宋"/>
                <w:color w:val="auto"/>
                <w:highlight w:val="none"/>
              </w:rPr>
            </w:pPr>
          </w:p>
        </w:tc>
        <w:tc>
          <w:tcPr>
            <w:tcW w:w="2018" w:type="dxa"/>
          </w:tcPr>
          <w:p w14:paraId="07423E08">
            <w:pPr>
              <w:shd w:val="clear"/>
              <w:snapToGrid w:val="0"/>
              <w:spacing w:line="480" w:lineRule="auto"/>
              <w:rPr>
                <w:rFonts w:ascii="仿宋" w:hAnsi="仿宋" w:eastAsia="仿宋" w:cs="仿宋"/>
                <w:color w:val="auto"/>
                <w:highlight w:val="none"/>
              </w:rPr>
            </w:pPr>
          </w:p>
        </w:tc>
        <w:tc>
          <w:tcPr>
            <w:tcW w:w="1401" w:type="dxa"/>
          </w:tcPr>
          <w:p w14:paraId="589AA95D">
            <w:pPr>
              <w:shd w:val="clear"/>
              <w:snapToGrid w:val="0"/>
              <w:spacing w:line="480" w:lineRule="auto"/>
              <w:rPr>
                <w:rFonts w:ascii="仿宋" w:hAnsi="仿宋" w:eastAsia="仿宋" w:cs="仿宋"/>
                <w:color w:val="auto"/>
                <w:highlight w:val="none"/>
              </w:rPr>
            </w:pPr>
          </w:p>
        </w:tc>
        <w:tc>
          <w:tcPr>
            <w:tcW w:w="1303" w:type="dxa"/>
          </w:tcPr>
          <w:p w14:paraId="70E3FCE4">
            <w:pPr>
              <w:shd w:val="clear"/>
              <w:snapToGrid w:val="0"/>
              <w:spacing w:line="480" w:lineRule="auto"/>
              <w:rPr>
                <w:rFonts w:ascii="仿宋" w:hAnsi="仿宋" w:eastAsia="仿宋" w:cs="仿宋"/>
                <w:color w:val="auto"/>
                <w:highlight w:val="none"/>
              </w:rPr>
            </w:pPr>
          </w:p>
        </w:tc>
        <w:tc>
          <w:tcPr>
            <w:tcW w:w="1374" w:type="dxa"/>
          </w:tcPr>
          <w:p w14:paraId="378032C4">
            <w:pPr>
              <w:shd w:val="clear"/>
              <w:snapToGrid w:val="0"/>
              <w:spacing w:line="480" w:lineRule="auto"/>
              <w:rPr>
                <w:rFonts w:ascii="仿宋" w:hAnsi="仿宋" w:eastAsia="仿宋" w:cs="仿宋"/>
                <w:color w:val="auto"/>
                <w:highlight w:val="none"/>
              </w:rPr>
            </w:pPr>
          </w:p>
        </w:tc>
        <w:tc>
          <w:tcPr>
            <w:tcW w:w="1054" w:type="dxa"/>
          </w:tcPr>
          <w:p w14:paraId="4984ACD0">
            <w:pPr>
              <w:shd w:val="clear"/>
              <w:snapToGrid w:val="0"/>
              <w:spacing w:line="480" w:lineRule="auto"/>
              <w:rPr>
                <w:rFonts w:ascii="仿宋" w:hAnsi="仿宋" w:eastAsia="仿宋" w:cs="仿宋"/>
                <w:color w:val="auto"/>
                <w:highlight w:val="none"/>
              </w:rPr>
            </w:pPr>
          </w:p>
        </w:tc>
        <w:tc>
          <w:tcPr>
            <w:tcW w:w="1054" w:type="dxa"/>
          </w:tcPr>
          <w:p w14:paraId="6AA2E5A8">
            <w:pPr>
              <w:shd w:val="clear"/>
              <w:snapToGrid w:val="0"/>
              <w:spacing w:line="480" w:lineRule="auto"/>
              <w:rPr>
                <w:rFonts w:ascii="仿宋" w:hAnsi="仿宋" w:eastAsia="仿宋" w:cs="仿宋"/>
                <w:color w:val="auto"/>
                <w:highlight w:val="none"/>
              </w:rPr>
            </w:pPr>
          </w:p>
        </w:tc>
      </w:tr>
      <w:tr w14:paraId="264FC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059B0776">
            <w:pPr>
              <w:shd w:val="clear"/>
              <w:snapToGrid w:val="0"/>
              <w:spacing w:line="480" w:lineRule="auto"/>
              <w:rPr>
                <w:rFonts w:ascii="仿宋" w:hAnsi="仿宋" w:eastAsia="仿宋" w:cs="仿宋"/>
                <w:color w:val="auto"/>
                <w:highlight w:val="none"/>
              </w:rPr>
            </w:pPr>
          </w:p>
        </w:tc>
        <w:tc>
          <w:tcPr>
            <w:tcW w:w="2018" w:type="dxa"/>
          </w:tcPr>
          <w:p w14:paraId="767A5B30">
            <w:pPr>
              <w:shd w:val="clear"/>
              <w:snapToGrid w:val="0"/>
              <w:spacing w:line="480" w:lineRule="auto"/>
              <w:rPr>
                <w:rFonts w:ascii="仿宋" w:hAnsi="仿宋" w:eastAsia="仿宋" w:cs="仿宋"/>
                <w:color w:val="auto"/>
                <w:highlight w:val="none"/>
              </w:rPr>
            </w:pPr>
          </w:p>
        </w:tc>
        <w:tc>
          <w:tcPr>
            <w:tcW w:w="1401" w:type="dxa"/>
          </w:tcPr>
          <w:p w14:paraId="0BDD1EB3">
            <w:pPr>
              <w:shd w:val="clear"/>
              <w:snapToGrid w:val="0"/>
              <w:spacing w:line="480" w:lineRule="auto"/>
              <w:rPr>
                <w:rFonts w:ascii="仿宋" w:hAnsi="仿宋" w:eastAsia="仿宋" w:cs="仿宋"/>
                <w:color w:val="auto"/>
                <w:highlight w:val="none"/>
              </w:rPr>
            </w:pPr>
          </w:p>
        </w:tc>
        <w:tc>
          <w:tcPr>
            <w:tcW w:w="1303" w:type="dxa"/>
          </w:tcPr>
          <w:p w14:paraId="08FD80A5">
            <w:pPr>
              <w:shd w:val="clear"/>
              <w:snapToGrid w:val="0"/>
              <w:spacing w:line="480" w:lineRule="auto"/>
              <w:rPr>
                <w:rFonts w:ascii="仿宋" w:hAnsi="仿宋" w:eastAsia="仿宋" w:cs="仿宋"/>
                <w:color w:val="auto"/>
                <w:highlight w:val="none"/>
              </w:rPr>
            </w:pPr>
          </w:p>
        </w:tc>
        <w:tc>
          <w:tcPr>
            <w:tcW w:w="1374" w:type="dxa"/>
          </w:tcPr>
          <w:p w14:paraId="001C8DDC">
            <w:pPr>
              <w:shd w:val="clear"/>
              <w:snapToGrid w:val="0"/>
              <w:spacing w:line="480" w:lineRule="auto"/>
              <w:rPr>
                <w:rFonts w:ascii="仿宋" w:hAnsi="仿宋" w:eastAsia="仿宋" w:cs="仿宋"/>
                <w:color w:val="auto"/>
                <w:highlight w:val="none"/>
              </w:rPr>
            </w:pPr>
          </w:p>
        </w:tc>
        <w:tc>
          <w:tcPr>
            <w:tcW w:w="1054" w:type="dxa"/>
          </w:tcPr>
          <w:p w14:paraId="0FA4B6C4">
            <w:pPr>
              <w:shd w:val="clear"/>
              <w:snapToGrid w:val="0"/>
              <w:spacing w:line="480" w:lineRule="auto"/>
              <w:rPr>
                <w:rFonts w:ascii="仿宋" w:hAnsi="仿宋" w:eastAsia="仿宋" w:cs="仿宋"/>
                <w:color w:val="auto"/>
                <w:highlight w:val="none"/>
              </w:rPr>
            </w:pPr>
          </w:p>
        </w:tc>
        <w:tc>
          <w:tcPr>
            <w:tcW w:w="1054" w:type="dxa"/>
          </w:tcPr>
          <w:p w14:paraId="056742AF">
            <w:pPr>
              <w:shd w:val="clear"/>
              <w:snapToGrid w:val="0"/>
              <w:spacing w:line="480" w:lineRule="auto"/>
              <w:rPr>
                <w:rFonts w:ascii="仿宋" w:hAnsi="仿宋" w:eastAsia="仿宋" w:cs="仿宋"/>
                <w:color w:val="auto"/>
                <w:highlight w:val="none"/>
              </w:rPr>
            </w:pPr>
          </w:p>
        </w:tc>
      </w:tr>
      <w:tr w14:paraId="10F68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7E106AFA">
            <w:pPr>
              <w:shd w:val="clear"/>
              <w:snapToGrid w:val="0"/>
              <w:spacing w:line="480" w:lineRule="auto"/>
              <w:rPr>
                <w:rFonts w:ascii="仿宋" w:hAnsi="仿宋" w:eastAsia="仿宋" w:cs="仿宋"/>
                <w:color w:val="auto"/>
                <w:highlight w:val="none"/>
              </w:rPr>
            </w:pPr>
          </w:p>
        </w:tc>
        <w:tc>
          <w:tcPr>
            <w:tcW w:w="2018" w:type="dxa"/>
          </w:tcPr>
          <w:p w14:paraId="5A0D4A27">
            <w:pPr>
              <w:shd w:val="clear"/>
              <w:snapToGrid w:val="0"/>
              <w:spacing w:line="480" w:lineRule="auto"/>
              <w:rPr>
                <w:rFonts w:ascii="仿宋" w:hAnsi="仿宋" w:eastAsia="仿宋" w:cs="仿宋"/>
                <w:color w:val="auto"/>
                <w:highlight w:val="none"/>
              </w:rPr>
            </w:pPr>
          </w:p>
        </w:tc>
        <w:tc>
          <w:tcPr>
            <w:tcW w:w="1401" w:type="dxa"/>
          </w:tcPr>
          <w:p w14:paraId="62255236">
            <w:pPr>
              <w:shd w:val="clear"/>
              <w:snapToGrid w:val="0"/>
              <w:spacing w:line="480" w:lineRule="auto"/>
              <w:rPr>
                <w:rFonts w:ascii="仿宋" w:hAnsi="仿宋" w:eastAsia="仿宋" w:cs="仿宋"/>
                <w:color w:val="auto"/>
                <w:highlight w:val="none"/>
              </w:rPr>
            </w:pPr>
          </w:p>
        </w:tc>
        <w:tc>
          <w:tcPr>
            <w:tcW w:w="1303" w:type="dxa"/>
          </w:tcPr>
          <w:p w14:paraId="5EC73F6E">
            <w:pPr>
              <w:shd w:val="clear"/>
              <w:snapToGrid w:val="0"/>
              <w:spacing w:line="480" w:lineRule="auto"/>
              <w:rPr>
                <w:rFonts w:ascii="仿宋" w:hAnsi="仿宋" w:eastAsia="仿宋" w:cs="仿宋"/>
                <w:color w:val="auto"/>
                <w:highlight w:val="none"/>
              </w:rPr>
            </w:pPr>
          </w:p>
        </w:tc>
        <w:tc>
          <w:tcPr>
            <w:tcW w:w="1374" w:type="dxa"/>
          </w:tcPr>
          <w:p w14:paraId="743609D6">
            <w:pPr>
              <w:shd w:val="clear"/>
              <w:snapToGrid w:val="0"/>
              <w:spacing w:line="480" w:lineRule="auto"/>
              <w:rPr>
                <w:rFonts w:ascii="仿宋" w:hAnsi="仿宋" w:eastAsia="仿宋" w:cs="仿宋"/>
                <w:color w:val="auto"/>
                <w:highlight w:val="none"/>
              </w:rPr>
            </w:pPr>
          </w:p>
        </w:tc>
        <w:tc>
          <w:tcPr>
            <w:tcW w:w="1054" w:type="dxa"/>
          </w:tcPr>
          <w:p w14:paraId="5F79E38F">
            <w:pPr>
              <w:shd w:val="clear"/>
              <w:snapToGrid w:val="0"/>
              <w:spacing w:line="480" w:lineRule="auto"/>
              <w:rPr>
                <w:rFonts w:ascii="仿宋" w:hAnsi="仿宋" w:eastAsia="仿宋" w:cs="仿宋"/>
                <w:color w:val="auto"/>
                <w:highlight w:val="none"/>
              </w:rPr>
            </w:pPr>
          </w:p>
        </w:tc>
        <w:tc>
          <w:tcPr>
            <w:tcW w:w="1054" w:type="dxa"/>
          </w:tcPr>
          <w:p w14:paraId="6B74DD02">
            <w:pPr>
              <w:shd w:val="clear"/>
              <w:snapToGrid w:val="0"/>
              <w:spacing w:line="480" w:lineRule="auto"/>
              <w:rPr>
                <w:rFonts w:ascii="仿宋" w:hAnsi="仿宋" w:eastAsia="仿宋" w:cs="仿宋"/>
                <w:color w:val="auto"/>
                <w:highlight w:val="none"/>
              </w:rPr>
            </w:pPr>
          </w:p>
        </w:tc>
      </w:tr>
      <w:tr w14:paraId="502D8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5D371E75">
            <w:pPr>
              <w:shd w:val="clear"/>
              <w:snapToGrid w:val="0"/>
              <w:spacing w:line="480" w:lineRule="auto"/>
              <w:rPr>
                <w:rFonts w:ascii="仿宋" w:hAnsi="仿宋" w:eastAsia="仿宋" w:cs="仿宋"/>
                <w:color w:val="auto"/>
                <w:highlight w:val="none"/>
              </w:rPr>
            </w:pPr>
          </w:p>
        </w:tc>
        <w:tc>
          <w:tcPr>
            <w:tcW w:w="2018" w:type="dxa"/>
          </w:tcPr>
          <w:p w14:paraId="1AC7CAE5">
            <w:pPr>
              <w:shd w:val="clear"/>
              <w:snapToGrid w:val="0"/>
              <w:spacing w:line="480" w:lineRule="auto"/>
              <w:rPr>
                <w:rFonts w:ascii="仿宋" w:hAnsi="仿宋" w:eastAsia="仿宋" w:cs="仿宋"/>
                <w:color w:val="auto"/>
                <w:highlight w:val="none"/>
              </w:rPr>
            </w:pPr>
          </w:p>
        </w:tc>
        <w:tc>
          <w:tcPr>
            <w:tcW w:w="1401" w:type="dxa"/>
          </w:tcPr>
          <w:p w14:paraId="4BDEDB96">
            <w:pPr>
              <w:shd w:val="clear"/>
              <w:snapToGrid w:val="0"/>
              <w:spacing w:line="480" w:lineRule="auto"/>
              <w:rPr>
                <w:rFonts w:ascii="仿宋" w:hAnsi="仿宋" w:eastAsia="仿宋" w:cs="仿宋"/>
                <w:color w:val="auto"/>
                <w:highlight w:val="none"/>
              </w:rPr>
            </w:pPr>
          </w:p>
        </w:tc>
        <w:tc>
          <w:tcPr>
            <w:tcW w:w="1303" w:type="dxa"/>
          </w:tcPr>
          <w:p w14:paraId="0396CB12">
            <w:pPr>
              <w:shd w:val="clear"/>
              <w:snapToGrid w:val="0"/>
              <w:spacing w:line="480" w:lineRule="auto"/>
              <w:rPr>
                <w:rFonts w:ascii="仿宋" w:hAnsi="仿宋" w:eastAsia="仿宋" w:cs="仿宋"/>
                <w:color w:val="auto"/>
                <w:highlight w:val="none"/>
              </w:rPr>
            </w:pPr>
          </w:p>
        </w:tc>
        <w:tc>
          <w:tcPr>
            <w:tcW w:w="1374" w:type="dxa"/>
          </w:tcPr>
          <w:p w14:paraId="4495544B">
            <w:pPr>
              <w:shd w:val="clear"/>
              <w:snapToGrid w:val="0"/>
              <w:spacing w:line="480" w:lineRule="auto"/>
              <w:rPr>
                <w:rFonts w:ascii="仿宋" w:hAnsi="仿宋" w:eastAsia="仿宋" w:cs="仿宋"/>
                <w:color w:val="auto"/>
                <w:highlight w:val="none"/>
              </w:rPr>
            </w:pPr>
          </w:p>
        </w:tc>
        <w:tc>
          <w:tcPr>
            <w:tcW w:w="1054" w:type="dxa"/>
          </w:tcPr>
          <w:p w14:paraId="0552BE19">
            <w:pPr>
              <w:shd w:val="clear"/>
              <w:snapToGrid w:val="0"/>
              <w:spacing w:line="480" w:lineRule="auto"/>
              <w:rPr>
                <w:rFonts w:ascii="仿宋" w:hAnsi="仿宋" w:eastAsia="仿宋" w:cs="仿宋"/>
                <w:color w:val="auto"/>
                <w:highlight w:val="none"/>
              </w:rPr>
            </w:pPr>
          </w:p>
        </w:tc>
        <w:tc>
          <w:tcPr>
            <w:tcW w:w="1054" w:type="dxa"/>
          </w:tcPr>
          <w:p w14:paraId="3F4B7318">
            <w:pPr>
              <w:shd w:val="clear"/>
              <w:snapToGrid w:val="0"/>
              <w:spacing w:line="480" w:lineRule="auto"/>
              <w:rPr>
                <w:rFonts w:ascii="仿宋" w:hAnsi="仿宋" w:eastAsia="仿宋" w:cs="仿宋"/>
                <w:color w:val="auto"/>
                <w:highlight w:val="none"/>
              </w:rPr>
            </w:pPr>
          </w:p>
        </w:tc>
      </w:tr>
      <w:tr w14:paraId="48EE8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60FF078A">
            <w:pPr>
              <w:shd w:val="clear"/>
              <w:snapToGrid w:val="0"/>
              <w:spacing w:line="480" w:lineRule="auto"/>
              <w:rPr>
                <w:rFonts w:ascii="仿宋" w:hAnsi="仿宋" w:eastAsia="仿宋" w:cs="仿宋"/>
                <w:color w:val="auto"/>
                <w:highlight w:val="none"/>
              </w:rPr>
            </w:pPr>
          </w:p>
        </w:tc>
        <w:tc>
          <w:tcPr>
            <w:tcW w:w="2018" w:type="dxa"/>
          </w:tcPr>
          <w:p w14:paraId="173CA65F">
            <w:pPr>
              <w:shd w:val="clear"/>
              <w:snapToGrid w:val="0"/>
              <w:spacing w:line="480" w:lineRule="auto"/>
              <w:rPr>
                <w:rFonts w:ascii="仿宋" w:hAnsi="仿宋" w:eastAsia="仿宋" w:cs="仿宋"/>
                <w:color w:val="auto"/>
                <w:highlight w:val="none"/>
              </w:rPr>
            </w:pPr>
          </w:p>
        </w:tc>
        <w:tc>
          <w:tcPr>
            <w:tcW w:w="1401" w:type="dxa"/>
          </w:tcPr>
          <w:p w14:paraId="2F07D968">
            <w:pPr>
              <w:shd w:val="clear"/>
              <w:snapToGrid w:val="0"/>
              <w:spacing w:line="480" w:lineRule="auto"/>
              <w:rPr>
                <w:rFonts w:ascii="仿宋" w:hAnsi="仿宋" w:eastAsia="仿宋" w:cs="仿宋"/>
                <w:color w:val="auto"/>
                <w:highlight w:val="none"/>
              </w:rPr>
            </w:pPr>
          </w:p>
        </w:tc>
        <w:tc>
          <w:tcPr>
            <w:tcW w:w="1303" w:type="dxa"/>
          </w:tcPr>
          <w:p w14:paraId="44A87C63">
            <w:pPr>
              <w:shd w:val="clear"/>
              <w:snapToGrid w:val="0"/>
              <w:spacing w:line="480" w:lineRule="auto"/>
              <w:rPr>
                <w:rFonts w:ascii="仿宋" w:hAnsi="仿宋" w:eastAsia="仿宋" w:cs="仿宋"/>
                <w:color w:val="auto"/>
                <w:highlight w:val="none"/>
              </w:rPr>
            </w:pPr>
          </w:p>
        </w:tc>
        <w:tc>
          <w:tcPr>
            <w:tcW w:w="1374" w:type="dxa"/>
          </w:tcPr>
          <w:p w14:paraId="3B936348">
            <w:pPr>
              <w:shd w:val="clear"/>
              <w:snapToGrid w:val="0"/>
              <w:spacing w:line="480" w:lineRule="auto"/>
              <w:rPr>
                <w:rFonts w:ascii="仿宋" w:hAnsi="仿宋" w:eastAsia="仿宋" w:cs="仿宋"/>
                <w:color w:val="auto"/>
                <w:highlight w:val="none"/>
              </w:rPr>
            </w:pPr>
          </w:p>
        </w:tc>
        <w:tc>
          <w:tcPr>
            <w:tcW w:w="1054" w:type="dxa"/>
          </w:tcPr>
          <w:p w14:paraId="5744E31C">
            <w:pPr>
              <w:shd w:val="clear"/>
              <w:snapToGrid w:val="0"/>
              <w:spacing w:line="480" w:lineRule="auto"/>
              <w:rPr>
                <w:rFonts w:ascii="仿宋" w:hAnsi="仿宋" w:eastAsia="仿宋" w:cs="仿宋"/>
                <w:color w:val="auto"/>
                <w:highlight w:val="none"/>
              </w:rPr>
            </w:pPr>
          </w:p>
        </w:tc>
        <w:tc>
          <w:tcPr>
            <w:tcW w:w="1054" w:type="dxa"/>
          </w:tcPr>
          <w:p w14:paraId="269DA97D">
            <w:pPr>
              <w:shd w:val="clear"/>
              <w:snapToGrid w:val="0"/>
              <w:spacing w:line="480" w:lineRule="auto"/>
              <w:rPr>
                <w:rFonts w:ascii="仿宋" w:hAnsi="仿宋" w:eastAsia="仿宋" w:cs="仿宋"/>
                <w:color w:val="auto"/>
                <w:highlight w:val="none"/>
              </w:rPr>
            </w:pPr>
          </w:p>
        </w:tc>
      </w:tr>
    </w:tbl>
    <w:p w14:paraId="25231820">
      <w:pPr>
        <w:shd w:val="clear"/>
        <w:spacing w:before="120" w:line="360" w:lineRule="exact"/>
        <w:rPr>
          <w:rFonts w:ascii="仿宋" w:hAnsi="仿宋" w:eastAsia="仿宋" w:cs="仿宋"/>
          <w:color w:val="auto"/>
          <w:szCs w:val="21"/>
          <w:highlight w:val="none"/>
          <w:lang w:val="zh-CN" w:eastAsia="zh-CN" w:bidi="ar"/>
        </w:rPr>
      </w:pPr>
      <w:r>
        <w:rPr>
          <w:rFonts w:hint="eastAsia" w:ascii="仿宋" w:hAnsi="仿宋" w:eastAsia="仿宋" w:cs="仿宋"/>
          <w:color w:val="auto"/>
          <w:szCs w:val="21"/>
          <w:highlight w:val="none"/>
          <w:lang w:val="zh-CN" w:eastAsia="zh-CN" w:bidi="ar"/>
        </w:rPr>
        <w:t>注：</w:t>
      </w:r>
      <w:r>
        <w:rPr>
          <w:rFonts w:hint="eastAsia" w:ascii="仿宋" w:hAnsi="仿宋" w:eastAsia="仿宋" w:cs="仿宋"/>
          <w:color w:val="auto"/>
          <w:szCs w:val="21"/>
          <w:highlight w:val="none"/>
          <w:lang w:eastAsia="zh-CN" w:bidi="ar"/>
        </w:rPr>
        <w:t>1.</w:t>
      </w:r>
      <w:r>
        <w:rPr>
          <w:rFonts w:hint="eastAsia" w:ascii="仿宋" w:hAnsi="仿宋" w:eastAsia="仿宋" w:cs="仿宋"/>
          <w:color w:val="auto"/>
          <w:szCs w:val="21"/>
          <w:highlight w:val="none"/>
          <w:lang w:val="zh-CN" w:eastAsia="zh-CN" w:bidi="ar"/>
        </w:rPr>
        <w:t>请按照上述表格</w:t>
      </w:r>
      <w:r>
        <w:rPr>
          <w:rFonts w:hint="eastAsia" w:ascii="仿宋" w:hAnsi="仿宋" w:eastAsia="仿宋" w:cs="仿宋"/>
          <w:color w:val="auto"/>
          <w:szCs w:val="21"/>
          <w:highlight w:val="none"/>
          <w:lang w:eastAsia="zh-CN" w:bidi="ar"/>
        </w:rPr>
        <w:t>顺</w:t>
      </w:r>
      <w:r>
        <w:rPr>
          <w:rFonts w:hint="eastAsia" w:ascii="仿宋" w:hAnsi="仿宋" w:eastAsia="仿宋" w:cs="仿宋"/>
          <w:color w:val="auto"/>
          <w:szCs w:val="21"/>
          <w:highlight w:val="none"/>
          <w:lang w:val="zh-CN" w:eastAsia="zh-CN" w:bidi="ar"/>
        </w:rPr>
        <w:t>序提供相关证明材料，提供</w:t>
      </w:r>
      <w:r>
        <w:rPr>
          <w:rFonts w:hint="eastAsia" w:ascii="仿宋" w:hAnsi="仿宋" w:eastAsia="仿宋" w:cs="仿宋"/>
          <w:color w:val="auto"/>
          <w:szCs w:val="21"/>
          <w:highlight w:val="none"/>
          <w:lang w:val="en-US" w:eastAsia="zh-CN" w:bidi="ar"/>
        </w:rPr>
        <w:t>中标通知书或</w:t>
      </w:r>
      <w:r>
        <w:rPr>
          <w:rFonts w:hint="eastAsia" w:ascii="仿宋" w:hAnsi="仿宋" w:eastAsia="仿宋" w:cs="仿宋"/>
          <w:color w:val="auto"/>
          <w:szCs w:val="21"/>
          <w:highlight w:val="none"/>
          <w:lang w:eastAsia="zh-CN" w:bidi="ar"/>
        </w:rPr>
        <w:t>合同复印件（须能够体现服务内容：提供合同首页、服务内容页、双方签字盖章页、日期页等）并加盖投标单位公章</w:t>
      </w:r>
      <w:r>
        <w:rPr>
          <w:rFonts w:hint="eastAsia" w:ascii="仿宋" w:hAnsi="仿宋" w:eastAsia="仿宋" w:cs="仿宋"/>
          <w:color w:val="auto"/>
          <w:szCs w:val="21"/>
          <w:highlight w:val="none"/>
          <w:lang w:val="zh-CN" w:eastAsia="zh-CN" w:bidi="ar"/>
        </w:rPr>
        <w:t>）。案例具体要求详见评分表要求。按照上述表格序号按序提供相关材料。</w:t>
      </w:r>
    </w:p>
    <w:p w14:paraId="6FC1380A">
      <w:pPr>
        <w:shd w:val="clear"/>
        <w:spacing w:before="120" w:line="360" w:lineRule="exact"/>
        <w:rPr>
          <w:rFonts w:ascii="仿宋" w:hAnsi="仿宋" w:eastAsia="仿宋" w:cs="仿宋"/>
          <w:color w:val="auto"/>
          <w:szCs w:val="21"/>
          <w:highlight w:val="none"/>
          <w:lang w:val="zh-CN" w:eastAsia="zh-CN" w:bidi="ar"/>
        </w:rPr>
      </w:pPr>
      <w:r>
        <w:rPr>
          <w:rFonts w:hint="eastAsia" w:ascii="仿宋" w:hAnsi="仿宋" w:eastAsia="仿宋" w:cs="仿宋"/>
          <w:b/>
          <w:bCs/>
          <w:color w:val="auto"/>
          <w:sz w:val="18"/>
          <w:szCs w:val="18"/>
          <w:highlight w:val="none"/>
          <w:lang w:eastAsia="zh-CN"/>
        </w:rPr>
        <w:t>合同复印件要求清晰可见，能够体现上述内容，不满足要求的视同为无效业绩。</w:t>
      </w:r>
    </w:p>
    <w:p w14:paraId="21C75A02">
      <w:pPr>
        <w:shd w:val="clear"/>
        <w:spacing w:before="120" w:line="360" w:lineRule="exact"/>
        <w:ind w:firstLine="440" w:firstLineChars="200"/>
        <w:rPr>
          <w:rFonts w:ascii="仿宋" w:hAnsi="仿宋" w:eastAsia="仿宋" w:cs="仿宋"/>
          <w:color w:val="auto"/>
          <w:szCs w:val="21"/>
          <w:highlight w:val="none"/>
          <w:lang w:val="zh-CN" w:eastAsia="zh-CN" w:bidi="ar"/>
        </w:rPr>
      </w:pPr>
      <w:r>
        <w:rPr>
          <w:rFonts w:hint="eastAsia" w:ascii="仿宋" w:hAnsi="仿宋" w:eastAsia="仿宋" w:cs="仿宋"/>
          <w:color w:val="auto"/>
          <w:szCs w:val="21"/>
          <w:highlight w:val="none"/>
          <w:lang w:eastAsia="zh-CN" w:bidi="ar"/>
        </w:rPr>
        <w:t>2.</w:t>
      </w:r>
      <w:r>
        <w:rPr>
          <w:rFonts w:hint="eastAsia" w:ascii="仿宋" w:hAnsi="仿宋" w:eastAsia="仿宋" w:cs="仿宋"/>
          <w:color w:val="auto"/>
          <w:szCs w:val="21"/>
          <w:highlight w:val="none"/>
          <w:lang w:val="zh-CN" w:eastAsia="zh-CN" w:bidi="ar"/>
        </w:rPr>
        <w:t>中标后，</w:t>
      </w:r>
      <w:r>
        <w:rPr>
          <w:rFonts w:hint="eastAsia" w:ascii="仿宋" w:hAnsi="仿宋" w:eastAsia="仿宋" w:cs="仿宋"/>
          <w:color w:val="auto"/>
          <w:szCs w:val="21"/>
          <w:highlight w:val="none"/>
          <w:lang w:eastAsia="zh-CN" w:bidi="ar"/>
        </w:rPr>
        <w:t>采购人</w:t>
      </w:r>
      <w:r>
        <w:rPr>
          <w:rFonts w:hint="eastAsia" w:ascii="仿宋" w:hAnsi="仿宋" w:eastAsia="仿宋" w:cs="仿宋"/>
          <w:color w:val="auto"/>
          <w:szCs w:val="21"/>
          <w:highlight w:val="none"/>
          <w:lang w:val="zh-CN" w:eastAsia="zh-CN" w:bidi="ar"/>
        </w:rPr>
        <w:t>将根据提供的联系人及联系方式进行尽职调查，如有需要投标单位需提供原件备查。</w:t>
      </w:r>
    </w:p>
    <w:p w14:paraId="161320B2">
      <w:pPr>
        <w:shd w:val="clear"/>
        <w:spacing w:line="579" w:lineRule="exact"/>
        <w:ind w:firstLine="482" w:firstLineChars="200"/>
        <w:rPr>
          <w:rFonts w:ascii="仿宋" w:hAnsi="仿宋" w:eastAsia="仿宋" w:cs="仿宋"/>
          <w:b/>
          <w:color w:val="auto"/>
          <w:highlight w:val="none"/>
          <w:lang w:val="zh-CN" w:eastAsia="zh-CN"/>
        </w:rPr>
      </w:pPr>
      <w:r>
        <w:rPr>
          <w:rFonts w:hint="eastAsia" w:ascii="仿宋" w:hAnsi="仿宋" w:eastAsia="仿宋" w:cs="仿宋"/>
          <w:b/>
          <w:color w:val="auto"/>
          <w:sz w:val="24"/>
          <w:szCs w:val="20"/>
          <w:highlight w:val="none"/>
          <w:lang w:val="zh-CN" w:eastAsia="zh-CN" w:bidi="ar"/>
        </w:rPr>
        <w:t>我公司承诺：以上业绩均真实有效。若有虚假，同意按无效标处理。</w:t>
      </w:r>
    </w:p>
    <w:p w14:paraId="41E0DE06">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10E428DD">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3B6B285C">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6C597314">
      <w:pPr>
        <w:shd w:val="clear"/>
        <w:spacing w:line="579" w:lineRule="exact"/>
        <w:ind w:firstLine="560"/>
        <w:rPr>
          <w:rFonts w:hint="eastAsia" w:ascii="仿宋" w:hAnsi="仿宋" w:eastAsia="仿宋" w:cs="仿宋"/>
          <w:b/>
          <w:color w:val="auto"/>
          <w:sz w:val="24"/>
          <w:szCs w:val="20"/>
          <w:highlight w:val="none"/>
          <w:lang w:eastAsia="zh-CN" w:bidi="ar"/>
        </w:rPr>
      </w:pPr>
    </w:p>
    <w:p w14:paraId="419D5D84">
      <w:pPr>
        <w:shd w:val="clear"/>
        <w:spacing w:line="579" w:lineRule="exact"/>
        <w:ind w:firstLine="560"/>
        <w:rPr>
          <w:rFonts w:hint="eastAsia" w:ascii="仿宋" w:hAnsi="仿宋" w:eastAsia="仿宋" w:cs="仿宋"/>
          <w:b/>
          <w:color w:val="auto"/>
          <w:sz w:val="24"/>
          <w:szCs w:val="20"/>
          <w:highlight w:val="none"/>
          <w:lang w:eastAsia="zh-CN" w:bidi="ar"/>
        </w:rPr>
      </w:pPr>
    </w:p>
    <w:p w14:paraId="4C6107CF">
      <w:pPr>
        <w:shd w:val="clear"/>
        <w:spacing w:line="579" w:lineRule="exact"/>
        <w:ind w:firstLine="560"/>
        <w:rPr>
          <w:rFonts w:ascii="仿宋" w:hAnsi="仿宋" w:eastAsia="仿宋" w:cs="仿宋"/>
          <w:b/>
          <w:color w:val="auto"/>
          <w:highlight w:val="none"/>
          <w:lang w:eastAsia="zh-CN"/>
        </w:rPr>
      </w:pPr>
      <w:r>
        <w:rPr>
          <w:rFonts w:hint="eastAsia" w:ascii="仿宋" w:hAnsi="仿宋" w:eastAsia="仿宋" w:cs="仿宋"/>
          <w:b/>
          <w:color w:val="auto"/>
          <w:sz w:val="24"/>
          <w:szCs w:val="20"/>
          <w:highlight w:val="none"/>
          <w:lang w:eastAsia="zh-CN" w:bidi="ar"/>
        </w:rPr>
        <w:t>合同提供内容示例（所有合同复印件须清晰、否则按无效资料处理，其风险及结果由供应商自行承担）：</w:t>
      </w:r>
    </w:p>
    <w:p w14:paraId="745B80DE">
      <w:pPr>
        <w:pStyle w:val="25"/>
        <w:shd w:val="clear"/>
        <w:spacing w:after="0" w:line="579" w:lineRule="exact"/>
        <w:ind w:firstLine="240"/>
        <w:rPr>
          <w:rFonts w:hint="default" w:ascii="仿宋" w:hAnsi="仿宋" w:eastAsia="仿宋" w:cs="仿宋"/>
          <w:color w:val="auto"/>
          <w:highlight w:val="none"/>
          <w:lang w:eastAsia="zh-CN"/>
        </w:rPr>
      </w:pPr>
    </w:p>
    <w:p w14:paraId="3E74A21D">
      <w:pPr>
        <w:numPr>
          <w:ilvl w:val="0"/>
          <w:numId w:val="7"/>
        </w:numPr>
        <w:shd w:val="clear"/>
        <w:spacing w:line="579" w:lineRule="exact"/>
        <w:rPr>
          <w:rFonts w:ascii="仿宋" w:hAnsi="仿宋" w:eastAsia="仿宋" w:cs="仿宋"/>
          <w:color w:val="auto"/>
          <w:highlight w:val="none"/>
        </w:rPr>
      </w:pPr>
      <w:r>
        <w:rPr>
          <w:rFonts w:hint="eastAsia" w:ascii="仿宋" w:hAnsi="仿宋" w:eastAsia="仿宋" w:cs="仿宋"/>
          <w:color w:val="auto"/>
          <w:sz w:val="24"/>
          <w:szCs w:val="20"/>
          <w:highlight w:val="none"/>
          <w:lang w:bidi="ar"/>
        </w:rPr>
        <w:t>1.XXXXXXX合同</w:t>
      </w:r>
    </w:p>
    <w:p w14:paraId="320DE84B">
      <w:pPr>
        <w:pStyle w:val="25"/>
        <w:shd w:val="clear"/>
        <w:spacing w:after="0" w:line="579" w:lineRule="exact"/>
        <w:ind w:firstLine="240"/>
        <w:rPr>
          <w:rFonts w:hint="default" w:ascii="仿宋" w:hAnsi="仿宋" w:eastAsia="仿宋" w:cs="仿宋"/>
          <w:color w:val="auto"/>
          <w:highlight w:val="none"/>
        </w:rPr>
      </w:pPr>
    </w:p>
    <w:p w14:paraId="53E6C413">
      <w:pPr>
        <w:shd w:val="clear"/>
        <w:spacing w:line="579" w:lineRule="exact"/>
        <w:ind w:left="720"/>
        <w:rPr>
          <w:rFonts w:ascii="仿宋" w:hAnsi="仿宋" w:eastAsia="仿宋" w:cs="仿宋"/>
          <w:color w:val="auto"/>
          <w:highlight w:val="none"/>
        </w:rPr>
      </w:pPr>
      <w:r>
        <w:rPr>
          <w:rFonts w:hint="eastAsia" w:ascii="仿宋" w:hAnsi="仿宋" w:eastAsia="仿宋" w:cs="仿宋"/>
          <w:color w:val="auto"/>
          <w:sz w:val="24"/>
          <w:szCs w:val="20"/>
          <w:highlight w:val="none"/>
          <w:lang w:bidi="ar"/>
        </w:rPr>
        <w:t>2.合同首页</w:t>
      </w:r>
    </w:p>
    <w:p w14:paraId="5122FA95">
      <w:pPr>
        <w:shd w:val="clear"/>
        <w:spacing w:line="579" w:lineRule="exact"/>
        <w:rPr>
          <w:rFonts w:ascii="仿宋" w:hAnsi="仿宋" w:eastAsia="仿宋" w:cs="仿宋"/>
          <w:i/>
          <w:color w:val="auto"/>
          <w:highlight w:val="none"/>
        </w:rPr>
      </w:pPr>
    </w:p>
    <w:p w14:paraId="35A01C3D">
      <w:pPr>
        <w:shd w:val="clear"/>
        <w:spacing w:line="579" w:lineRule="exact"/>
        <w:ind w:left="720"/>
        <w:rPr>
          <w:rFonts w:ascii="仿宋" w:hAnsi="仿宋" w:eastAsia="仿宋" w:cs="仿宋"/>
          <w:color w:val="auto"/>
          <w:highlight w:val="none"/>
        </w:rPr>
      </w:pPr>
      <w:r>
        <w:rPr>
          <w:rFonts w:hint="eastAsia" w:ascii="仿宋" w:hAnsi="仿宋" w:eastAsia="仿宋" w:cs="仿宋"/>
          <w:color w:val="auto"/>
          <w:sz w:val="24"/>
          <w:szCs w:val="20"/>
          <w:highlight w:val="none"/>
          <w:lang w:bidi="ar"/>
        </w:rPr>
        <w:t>3.内容页</w:t>
      </w:r>
    </w:p>
    <w:p w14:paraId="6144EE5C">
      <w:pPr>
        <w:shd w:val="clear"/>
        <w:spacing w:line="579" w:lineRule="exact"/>
        <w:ind w:left="1415"/>
        <w:rPr>
          <w:rFonts w:ascii="仿宋" w:hAnsi="仿宋" w:eastAsia="仿宋" w:cs="仿宋"/>
          <w:i/>
          <w:color w:val="auto"/>
          <w:highlight w:val="none"/>
          <w:lang w:eastAsia="zh-CN"/>
        </w:rPr>
      </w:pPr>
      <w:r>
        <w:rPr>
          <w:rFonts w:hint="eastAsia" w:ascii="仿宋" w:hAnsi="仿宋" w:eastAsia="仿宋" w:cs="仿宋"/>
          <w:i/>
          <w:color w:val="auto"/>
          <w:highlight w:val="none"/>
          <w:lang w:eastAsia="zh-CN"/>
        </w:rPr>
        <w:t>建议将合同主要内容进行标记，方便专家评审。</w:t>
      </w:r>
    </w:p>
    <w:p w14:paraId="1A46ED5A">
      <w:pPr>
        <w:shd w:val="clear"/>
        <w:spacing w:line="579" w:lineRule="exact"/>
        <w:ind w:left="72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4.双方签字盖章页</w:t>
      </w:r>
    </w:p>
    <w:p w14:paraId="72BDFFC1">
      <w:pPr>
        <w:pStyle w:val="25"/>
        <w:shd w:val="clear"/>
        <w:spacing w:after="0" w:line="579" w:lineRule="exact"/>
        <w:ind w:firstLine="240"/>
        <w:rPr>
          <w:rFonts w:hint="default" w:ascii="仿宋" w:hAnsi="仿宋" w:eastAsia="仿宋" w:cs="仿宋"/>
          <w:color w:val="auto"/>
          <w:highlight w:val="none"/>
          <w:lang w:eastAsia="zh-CN"/>
        </w:rPr>
      </w:pPr>
    </w:p>
    <w:p w14:paraId="65A9C928">
      <w:pPr>
        <w:shd w:val="clear"/>
        <w:spacing w:line="579" w:lineRule="exact"/>
        <w:ind w:left="72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 xml:space="preserve">5.日期页等  </w:t>
      </w:r>
    </w:p>
    <w:p w14:paraId="7CF1F0F7">
      <w:pPr>
        <w:shd w:val="clear"/>
        <w:spacing w:line="579" w:lineRule="exact"/>
        <w:ind w:left="1415"/>
        <w:rPr>
          <w:rFonts w:ascii="仿宋" w:hAnsi="仿宋" w:eastAsia="仿宋" w:cs="仿宋"/>
          <w:color w:val="auto"/>
          <w:highlight w:val="none"/>
          <w:lang w:eastAsia="zh-CN"/>
        </w:rPr>
      </w:pPr>
    </w:p>
    <w:p w14:paraId="7A3E2483">
      <w:pPr>
        <w:shd w:val="clear"/>
        <w:spacing w:line="579" w:lineRule="exact"/>
        <w:ind w:left="1415"/>
        <w:rPr>
          <w:rFonts w:ascii="仿宋" w:hAnsi="仿宋" w:eastAsia="仿宋" w:cs="仿宋"/>
          <w:color w:val="auto"/>
          <w:highlight w:val="none"/>
          <w:lang w:eastAsia="zh-CN"/>
        </w:rPr>
      </w:pPr>
    </w:p>
    <w:p w14:paraId="4A413B6D">
      <w:pPr>
        <w:shd w:val="clear"/>
        <w:spacing w:line="579" w:lineRule="exact"/>
        <w:ind w:left="1415"/>
        <w:rPr>
          <w:rFonts w:ascii="仿宋" w:hAnsi="仿宋" w:eastAsia="仿宋" w:cs="仿宋"/>
          <w:color w:val="auto"/>
          <w:highlight w:val="none"/>
          <w:lang w:eastAsia="zh-CN"/>
        </w:rPr>
      </w:pPr>
    </w:p>
    <w:p w14:paraId="719D8690">
      <w:pPr>
        <w:shd w:val="clear"/>
        <w:spacing w:line="579" w:lineRule="exact"/>
        <w:ind w:left="1415"/>
        <w:rPr>
          <w:rFonts w:ascii="仿宋" w:hAnsi="仿宋" w:eastAsia="仿宋" w:cs="仿宋"/>
          <w:color w:val="auto"/>
          <w:highlight w:val="none"/>
          <w:lang w:eastAsia="zh-CN"/>
        </w:rPr>
      </w:pPr>
    </w:p>
    <w:p w14:paraId="55D8570A">
      <w:pPr>
        <w:shd w:val="clear"/>
        <w:spacing w:line="579" w:lineRule="exact"/>
        <w:ind w:left="1415"/>
        <w:rPr>
          <w:rFonts w:ascii="仿宋" w:hAnsi="仿宋" w:eastAsia="仿宋" w:cs="仿宋"/>
          <w:color w:val="auto"/>
          <w:highlight w:val="none"/>
          <w:lang w:eastAsia="zh-CN"/>
        </w:rPr>
      </w:pPr>
    </w:p>
    <w:p w14:paraId="2E1D3FA6">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br w:type="page"/>
      </w:r>
      <w:bookmarkStart w:id="206" w:name="_Toc3891663"/>
      <w:bookmarkStart w:id="207" w:name="_Toc22554427"/>
    </w:p>
    <w:bookmarkEnd w:id="206"/>
    <w:bookmarkEnd w:id="207"/>
    <w:p w14:paraId="16C9C3EC">
      <w:pPr>
        <w:shd w:val="clear"/>
        <w:spacing w:line="579" w:lineRule="exact"/>
        <w:jc w:val="center"/>
        <w:outlineLvl w:val="2"/>
        <w:rPr>
          <w:rFonts w:ascii="仿宋" w:hAnsi="仿宋" w:eastAsia="仿宋" w:cs="仿宋"/>
          <w:b/>
          <w:bCs/>
          <w:color w:val="auto"/>
          <w:szCs w:val="21"/>
          <w:highlight w:val="none"/>
          <w:lang w:eastAsia="zh-CN"/>
        </w:rPr>
      </w:pPr>
      <w:bookmarkStart w:id="208" w:name="_Toc9850"/>
      <w:bookmarkStart w:id="209" w:name="_Toc3992"/>
      <w:bookmarkStart w:id="210" w:name="_Toc27861"/>
      <w:bookmarkStart w:id="211" w:name="_Toc19056"/>
      <w:bookmarkStart w:id="212" w:name="_Toc15416"/>
      <w:bookmarkStart w:id="213" w:name="_Toc11993"/>
      <w:bookmarkStart w:id="214" w:name="_Toc266870447"/>
      <w:bookmarkStart w:id="215" w:name="_Toc3891664"/>
      <w:bookmarkStart w:id="216" w:name="_Toc258401272"/>
      <w:bookmarkStart w:id="217" w:name="_Toc266870922"/>
      <w:bookmarkStart w:id="218" w:name="_Toc259692756"/>
      <w:bookmarkStart w:id="219" w:name="_Toc259692663"/>
      <w:bookmarkStart w:id="220" w:name="_Toc259520881"/>
      <w:bookmarkStart w:id="221" w:name="_Toc1719164"/>
      <w:bookmarkStart w:id="222" w:name="_Toc255975023"/>
      <w:bookmarkStart w:id="223" w:name="_Toc267060221"/>
      <w:bookmarkStart w:id="224" w:name="_Toc254790916"/>
      <w:bookmarkStart w:id="225" w:name="_Toc267060466"/>
      <w:bookmarkStart w:id="226" w:name="_Toc266868686"/>
      <w:bookmarkStart w:id="227" w:name="_Toc267060081"/>
      <w:bookmarkStart w:id="228" w:name="_Toc22554428"/>
      <w:r>
        <w:rPr>
          <w:rFonts w:hint="eastAsia" w:ascii="仿宋" w:hAnsi="仿宋" w:eastAsia="仿宋" w:cs="仿宋"/>
          <w:b/>
          <w:color w:val="auto"/>
          <w:sz w:val="24"/>
          <w:szCs w:val="20"/>
          <w:highlight w:val="none"/>
          <w:lang w:eastAsia="zh-CN" w:bidi="ar"/>
        </w:rPr>
        <w:t>（</w:t>
      </w:r>
      <w:r>
        <w:rPr>
          <w:rFonts w:hint="eastAsia" w:ascii="仿宋" w:hAnsi="仿宋" w:eastAsia="仿宋" w:cs="仿宋"/>
          <w:b/>
          <w:color w:val="auto"/>
          <w:sz w:val="24"/>
          <w:szCs w:val="20"/>
          <w:highlight w:val="none"/>
          <w:lang w:val="en-US" w:eastAsia="zh-CN" w:bidi="ar"/>
        </w:rPr>
        <w:t>五</w:t>
      </w:r>
      <w:r>
        <w:rPr>
          <w:rFonts w:hint="eastAsia" w:ascii="仿宋" w:hAnsi="仿宋" w:eastAsia="仿宋" w:cs="仿宋"/>
          <w:b/>
          <w:color w:val="auto"/>
          <w:sz w:val="24"/>
          <w:szCs w:val="20"/>
          <w:highlight w:val="none"/>
          <w:lang w:eastAsia="zh-CN" w:bidi="ar"/>
        </w:rPr>
        <w:t>）项目团队成员一览表</w:t>
      </w:r>
      <w:bookmarkEnd w:id="208"/>
      <w:bookmarkEnd w:id="209"/>
      <w:bookmarkEnd w:id="210"/>
      <w:bookmarkEnd w:id="211"/>
      <w:bookmarkEnd w:id="212"/>
      <w:bookmarkEnd w:id="213"/>
    </w:p>
    <w:p w14:paraId="1CC98F2A">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项目名称： </w:t>
      </w:r>
    </w:p>
    <w:p w14:paraId="36DFDEB4">
      <w:pPr>
        <w:shd w:val="clear"/>
        <w:spacing w:line="579" w:lineRule="exact"/>
        <w:ind w:firstLine="480" w:firstLineChars="200"/>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项目编号：</w:t>
      </w:r>
    </w:p>
    <w:tbl>
      <w:tblPr>
        <w:tblStyle w:val="27"/>
        <w:tblW w:w="87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811"/>
        <w:gridCol w:w="991"/>
        <w:gridCol w:w="736"/>
        <w:gridCol w:w="961"/>
        <w:gridCol w:w="1232"/>
        <w:gridCol w:w="744"/>
        <w:gridCol w:w="1000"/>
        <w:gridCol w:w="899"/>
      </w:tblGrid>
      <w:tr w14:paraId="084FF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exact"/>
          <w:jc w:val="center"/>
        </w:trPr>
        <w:tc>
          <w:tcPr>
            <w:tcW w:w="1381" w:type="dxa"/>
            <w:tcBorders>
              <w:bottom w:val="nil"/>
            </w:tcBorders>
            <w:shd w:val="clear" w:color="auto" w:fill="F3F3F3"/>
            <w:vAlign w:val="center"/>
          </w:tcPr>
          <w:p w14:paraId="26F667C4">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职责分工</w:t>
            </w:r>
          </w:p>
        </w:tc>
        <w:tc>
          <w:tcPr>
            <w:tcW w:w="811" w:type="dxa"/>
            <w:tcBorders>
              <w:bottom w:val="nil"/>
            </w:tcBorders>
            <w:shd w:val="clear" w:color="auto" w:fill="F3F3F3"/>
            <w:vAlign w:val="center"/>
          </w:tcPr>
          <w:p w14:paraId="0C93D0E3">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姓名</w:t>
            </w:r>
          </w:p>
        </w:tc>
        <w:tc>
          <w:tcPr>
            <w:tcW w:w="991" w:type="dxa"/>
            <w:tcBorders>
              <w:bottom w:val="nil"/>
            </w:tcBorders>
            <w:shd w:val="clear" w:color="auto" w:fill="F3F3F3"/>
            <w:vAlign w:val="center"/>
          </w:tcPr>
          <w:p w14:paraId="34BB5359">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现职务</w:t>
            </w:r>
          </w:p>
        </w:tc>
        <w:tc>
          <w:tcPr>
            <w:tcW w:w="736" w:type="dxa"/>
            <w:tcBorders>
              <w:bottom w:val="nil"/>
            </w:tcBorders>
            <w:shd w:val="clear" w:color="auto" w:fill="F3F3F3"/>
            <w:vAlign w:val="center"/>
          </w:tcPr>
          <w:p w14:paraId="6D55DCB2">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年龄</w:t>
            </w:r>
          </w:p>
        </w:tc>
        <w:tc>
          <w:tcPr>
            <w:tcW w:w="961" w:type="dxa"/>
            <w:tcBorders>
              <w:bottom w:val="nil"/>
            </w:tcBorders>
            <w:shd w:val="clear" w:color="auto" w:fill="F3F3F3"/>
            <w:vAlign w:val="center"/>
          </w:tcPr>
          <w:p w14:paraId="326B6729">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 xml:space="preserve">学历 </w:t>
            </w:r>
          </w:p>
        </w:tc>
        <w:tc>
          <w:tcPr>
            <w:tcW w:w="1232" w:type="dxa"/>
            <w:tcBorders>
              <w:bottom w:val="nil"/>
            </w:tcBorders>
            <w:shd w:val="clear" w:color="auto" w:fill="F3F3F3"/>
            <w:vAlign w:val="center"/>
          </w:tcPr>
          <w:p w14:paraId="72A0A7FF">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取得证书</w:t>
            </w:r>
          </w:p>
        </w:tc>
        <w:tc>
          <w:tcPr>
            <w:tcW w:w="744" w:type="dxa"/>
            <w:tcBorders>
              <w:bottom w:val="nil"/>
            </w:tcBorders>
            <w:shd w:val="clear" w:color="auto" w:fill="F3F3F3"/>
            <w:vAlign w:val="center"/>
          </w:tcPr>
          <w:p w14:paraId="5C1AF6C7">
            <w:pPr>
              <w:shd w:val="clear"/>
              <w:jc w:val="center"/>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val="en-US" w:eastAsia="zh-CN" w:bidi="ar"/>
              </w:rPr>
              <w:t>职称</w:t>
            </w:r>
          </w:p>
        </w:tc>
        <w:tc>
          <w:tcPr>
            <w:tcW w:w="1000" w:type="dxa"/>
            <w:tcBorders>
              <w:bottom w:val="nil"/>
            </w:tcBorders>
            <w:shd w:val="clear" w:color="auto" w:fill="F3F3F3"/>
            <w:vAlign w:val="center"/>
          </w:tcPr>
          <w:p w14:paraId="4CAA8161">
            <w:pPr>
              <w:shd w:val="clear"/>
              <w:ind w:firstLine="12"/>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拟担任职位</w:t>
            </w:r>
          </w:p>
        </w:tc>
        <w:tc>
          <w:tcPr>
            <w:tcW w:w="899" w:type="dxa"/>
            <w:tcBorders>
              <w:bottom w:val="nil"/>
            </w:tcBorders>
            <w:shd w:val="clear" w:color="auto" w:fill="F3F3F3"/>
            <w:vAlign w:val="center"/>
          </w:tcPr>
          <w:p w14:paraId="145AEE67">
            <w:pPr>
              <w:shd w:val="clear"/>
              <w:ind w:firstLine="12"/>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联系电话</w:t>
            </w:r>
          </w:p>
        </w:tc>
      </w:tr>
      <w:tr w14:paraId="7E755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exact"/>
          <w:jc w:val="center"/>
        </w:trPr>
        <w:tc>
          <w:tcPr>
            <w:tcW w:w="1381" w:type="dxa"/>
            <w:tcBorders>
              <w:bottom w:val="nil"/>
            </w:tcBorders>
            <w:vAlign w:val="center"/>
          </w:tcPr>
          <w:p w14:paraId="28E2C77E">
            <w:pPr>
              <w:shd w:val="clear"/>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bidi="ar"/>
              </w:rPr>
              <w:t>项目</w:t>
            </w:r>
            <w:r>
              <w:rPr>
                <w:rFonts w:hint="eastAsia" w:ascii="仿宋" w:hAnsi="仿宋" w:eastAsia="仿宋" w:cs="仿宋"/>
                <w:color w:val="auto"/>
                <w:sz w:val="24"/>
                <w:szCs w:val="20"/>
                <w:highlight w:val="none"/>
                <w:lang w:eastAsia="zh-CN" w:bidi="ar"/>
              </w:rPr>
              <w:t>负责人</w:t>
            </w:r>
          </w:p>
        </w:tc>
        <w:tc>
          <w:tcPr>
            <w:tcW w:w="811" w:type="dxa"/>
            <w:tcBorders>
              <w:bottom w:val="nil"/>
            </w:tcBorders>
            <w:vAlign w:val="center"/>
          </w:tcPr>
          <w:p w14:paraId="20ECCE44">
            <w:pPr>
              <w:shd w:val="clear"/>
              <w:jc w:val="center"/>
              <w:rPr>
                <w:rFonts w:ascii="仿宋" w:hAnsi="仿宋" w:eastAsia="仿宋" w:cs="仿宋"/>
                <w:color w:val="auto"/>
                <w:sz w:val="24"/>
                <w:szCs w:val="20"/>
                <w:highlight w:val="none"/>
                <w:lang w:bidi="ar"/>
              </w:rPr>
            </w:pPr>
          </w:p>
        </w:tc>
        <w:tc>
          <w:tcPr>
            <w:tcW w:w="991" w:type="dxa"/>
            <w:tcBorders>
              <w:bottom w:val="nil"/>
            </w:tcBorders>
            <w:vAlign w:val="center"/>
          </w:tcPr>
          <w:p w14:paraId="22FC5302">
            <w:pPr>
              <w:shd w:val="clear"/>
              <w:jc w:val="center"/>
              <w:rPr>
                <w:rFonts w:ascii="仿宋" w:hAnsi="仿宋" w:eastAsia="仿宋" w:cs="仿宋"/>
                <w:color w:val="auto"/>
                <w:sz w:val="24"/>
                <w:szCs w:val="20"/>
                <w:highlight w:val="none"/>
                <w:lang w:bidi="ar"/>
              </w:rPr>
            </w:pPr>
          </w:p>
        </w:tc>
        <w:tc>
          <w:tcPr>
            <w:tcW w:w="736" w:type="dxa"/>
            <w:tcBorders>
              <w:bottom w:val="nil"/>
            </w:tcBorders>
            <w:vAlign w:val="center"/>
          </w:tcPr>
          <w:p w14:paraId="181347AD">
            <w:pPr>
              <w:pStyle w:val="62"/>
              <w:keepNext w:val="0"/>
              <w:shd w:val="clear"/>
              <w:adjustRightInd/>
              <w:spacing w:before="0" w:after="0" w:line="240" w:lineRule="auto"/>
              <w:textAlignment w:val="auto"/>
              <w:rPr>
                <w:rFonts w:ascii="仿宋" w:hAnsi="仿宋" w:eastAsia="仿宋" w:cs="仿宋"/>
                <w:color w:val="auto"/>
                <w:spacing w:val="0"/>
                <w:szCs w:val="20"/>
                <w:highlight w:val="none"/>
                <w:lang w:bidi="ar"/>
              </w:rPr>
            </w:pPr>
          </w:p>
        </w:tc>
        <w:tc>
          <w:tcPr>
            <w:tcW w:w="961" w:type="dxa"/>
            <w:tcBorders>
              <w:bottom w:val="nil"/>
            </w:tcBorders>
            <w:vAlign w:val="center"/>
          </w:tcPr>
          <w:p w14:paraId="4C66344E">
            <w:pPr>
              <w:pStyle w:val="62"/>
              <w:keepNext w:val="0"/>
              <w:shd w:val="clear"/>
              <w:adjustRightInd/>
              <w:spacing w:before="0" w:after="0" w:line="240" w:lineRule="auto"/>
              <w:textAlignment w:val="auto"/>
              <w:rPr>
                <w:rFonts w:ascii="仿宋" w:hAnsi="仿宋" w:eastAsia="仿宋" w:cs="仿宋"/>
                <w:color w:val="auto"/>
                <w:spacing w:val="0"/>
                <w:szCs w:val="20"/>
                <w:highlight w:val="none"/>
                <w:lang w:bidi="ar"/>
              </w:rPr>
            </w:pPr>
          </w:p>
        </w:tc>
        <w:tc>
          <w:tcPr>
            <w:tcW w:w="1232" w:type="dxa"/>
            <w:tcBorders>
              <w:bottom w:val="nil"/>
            </w:tcBorders>
          </w:tcPr>
          <w:p w14:paraId="70F3572C">
            <w:pPr>
              <w:shd w:val="clear"/>
              <w:jc w:val="center"/>
              <w:rPr>
                <w:rFonts w:ascii="仿宋" w:hAnsi="仿宋" w:eastAsia="仿宋" w:cs="仿宋"/>
                <w:color w:val="auto"/>
                <w:sz w:val="24"/>
                <w:szCs w:val="20"/>
                <w:highlight w:val="none"/>
                <w:lang w:bidi="ar"/>
              </w:rPr>
            </w:pPr>
          </w:p>
        </w:tc>
        <w:tc>
          <w:tcPr>
            <w:tcW w:w="744" w:type="dxa"/>
            <w:tcBorders>
              <w:bottom w:val="nil"/>
            </w:tcBorders>
            <w:vAlign w:val="center"/>
          </w:tcPr>
          <w:p w14:paraId="1C6B40A1">
            <w:pPr>
              <w:shd w:val="clear"/>
              <w:jc w:val="center"/>
              <w:rPr>
                <w:rFonts w:ascii="仿宋" w:hAnsi="仿宋" w:eastAsia="仿宋" w:cs="仿宋"/>
                <w:color w:val="auto"/>
                <w:sz w:val="24"/>
                <w:szCs w:val="20"/>
                <w:highlight w:val="none"/>
                <w:lang w:bidi="ar"/>
              </w:rPr>
            </w:pPr>
          </w:p>
        </w:tc>
        <w:tc>
          <w:tcPr>
            <w:tcW w:w="1000" w:type="dxa"/>
            <w:tcBorders>
              <w:bottom w:val="nil"/>
            </w:tcBorders>
            <w:vAlign w:val="center"/>
          </w:tcPr>
          <w:p w14:paraId="7123F783">
            <w:pPr>
              <w:shd w:val="clear"/>
              <w:ind w:firstLine="12"/>
              <w:jc w:val="center"/>
              <w:rPr>
                <w:rFonts w:ascii="仿宋" w:hAnsi="仿宋" w:eastAsia="仿宋" w:cs="仿宋"/>
                <w:color w:val="auto"/>
                <w:sz w:val="24"/>
                <w:szCs w:val="20"/>
                <w:highlight w:val="none"/>
                <w:lang w:bidi="ar"/>
              </w:rPr>
            </w:pPr>
          </w:p>
        </w:tc>
        <w:tc>
          <w:tcPr>
            <w:tcW w:w="899" w:type="dxa"/>
            <w:tcBorders>
              <w:bottom w:val="nil"/>
            </w:tcBorders>
            <w:vAlign w:val="center"/>
          </w:tcPr>
          <w:p w14:paraId="59DE64A8">
            <w:pPr>
              <w:shd w:val="clear"/>
              <w:ind w:firstLine="12"/>
              <w:jc w:val="center"/>
              <w:rPr>
                <w:rFonts w:ascii="仿宋" w:hAnsi="仿宋" w:eastAsia="仿宋" w:cs="仿宋"/>
                <w:color w:val="auto"/>
                <w:sz w:val="24"/>
                <w:szCs w:val="20"/>
                <w:highlight w:val="none"/>
                <w:lang w:bidi="ar"/>
              </w:rPr>
            </w:pPr>
          </w:p>
        </w:tc>
      </w:tr>
      <w:tr w14:paraId="42C7B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381" w:type="dxa"/>
            <w:vMerge w:val="restart"/>
            <w:vAlign w:val="center"/>
          </w:tcPr>
          <w:p w14:paraId="7671B025">
            <w:pPr>
              <w:shd w:val="clea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其他成员</w:t>
            </w:r>
          </w:p>
        </w:tc>
        <w:tc>
          <w:tcPr>
            <w:tcW w:w="811" w:type="dxa"/>
            <w:vAlign w:val="center"/>
          </w:tcPr>
          <w:p w14:paraId="5576FA7E">
            <w:pPr>
              <w:shd w:val="clear"/>
              <w:jc w:val="center"/>
              <w:rPr>
                <w:rFonts w:ascii="仿宋" w:hAnsi="仿宋" w:eastAsia="仿宋" w:cs="仿宋"/>
                <w:color w:val="auto"/>
                <w:sz w:val="24"/>
                <w:szCs w:val="20"/>
                <w:highlight w:val="none"/>
                <w:lang w:bidi="ar"/>
              </w:rPr>
            </w:pPr>
          </w:p>
        </w:tc>
        <w:tc>
          <w:tcPr>
            <w:tcW w:w="991" w:type="dxa"/>
            <w:vAlign w:val="center"/>
          </w:tcPr>
          <w:p w14:paraId="7C54BF21">
            <w:pPr>
              <w:shd w:val="clear"/>
              <w:jc w:val="center"/>
              <w:rPr>
                <w:rFonts w:ascii="仿宋" w:hAnsi="仿宋" w:eastAsia="仿宋" w:cs="仿宋"/>
                <w:color w:val="auto"/>
                <w:sz w:val="24"/>
                <w:szCs w:val="20"/>
                <w:highlight w:val="none"/>
                <w:lang w:bidi="ar"/>
              </w:rPr>
            </w:pPr>
          </w:p>
        </w:tc>
        <w:tc>
          <w:tcPr>
            <w:tcW w:w="736" w:type="dxa"/>
            <w:vAlign w:val="center"/>
          </w:tcPr>
          <w:p w14:paraId="5BFF64EE">
            <w:pPr>
              <w:shd w:val="clear"/>
              <w:jc w:val="center"/>
              <w:rPr>
                <w:rFonts w:ascii="仿宋" w:hAnsi="仿宋" w:eastAsia="仿宋" w:cs="仿宋"/>
                <w:color w:val="auto"/>
                <w:sz w:val="24"/>
                <w:szCs w:val="20"/>
                <w:highlight w:val="none"/>
                <w:lang w:bidi="ar"/>
              </w:rPr>
            </w:pPr>
          </w:p>
        </w:tc>
        <w:tc>
          <w:tcPr>
            <w:tcW w:w="961" w:type="dxa"/>
            <w:vAlign w:val="center"/>
          </w:tcPr>
          <w:p w14:paraId="474E5378">
            <w:pPr>
              <w:shd w:val="clear"/>
              <w:jc w:val="center"/>
              <w:rPr>
                <w:rFonts w:ascii="仿宋" w:hAnsi="仿宋" w:eastAsia="仿宋" w:cs="仿宋"/>
                <w:color w:val="auto"/>
                <w:sz w:val="24"/>
                <w:szCs w:val="20"/>
                <w:highlight w:val="none"/>
                <w:lang w:bidi="ar"/>
              </w:rPr>
            </w:pPr>
          </w:p>
        </w:tc>
        <w:tc>
          <w:tcPr>
            <w:tcW w:w="1232" w:type="dxa"/>
          </w:tcPr>
          <w:p w14:paraId="7DF60ADC">
            <w:pPr>
              <w:shd w:val="clear"/>
              <w:jc w:val="center"/>
              <w:rPr>
                <w:rFonts w:ascii="仿宋" w:hAnsi="仿宋" w:eastAsia="仿宋" w:cs="仿宋"/>
                <w:color w:val="auto"/>
                <w:sz w:val="24"/>
                <w:szCs w:val="20"/>
                <w:highlight w:val="none"/>
                <w:lang w:bidi="ar"/>
              </w:rPr>
            </w:pPr>
          </w:p>
        </w:tc>
        <w:tc>
          <w:tcPr>
            <w:tcW w:w="744" w:type="dxa"/>
            <w:vAlign w:val="center"/>
          </w:tcPr>
          <w:p w14:paraId="2333E023">
            <w:pPr>
              <w:shd w:val="clear"/>
              <w:jc w:val="center"/>
              <w:rPr>
                <w:rFonts w:ascii="仿宋" w:hAnsi="仿宋" w:eastAsia="仿宋" w:cs="仿宋"/>
                <w:color w:val="auto"/>
                <w:sz w:val="24"/>
                <w:szCs w:val="20"/>
                <w:highlight w:val="none"/>
                <w:lang w:bidi="ar"/>
              </w:rPr>
            </w:pPr>
          </w:p>
        </w:tc>
        <w:tc>
          <w:tcPr>
            <w:tcW w:w="1000" w:type="dxa"/>
            <w:vAlign w:val="center"/>
          </w:tcPr>
          <w:p w14:paraId="7ECB2A15">
            <w:pPr>
              <w:shd w:val="clear"/>
              <w:jc w:val="center"/>
              <w:rPr>
                <w:rFonts w:ascii="仿宋" w:hAnsi="仿宋" w:eastAsia="仿宋" w:cs="仿宋"/>
                <w:color w:val="auto"/>
                <w:sz w:val="24"/>
                <w:szCs w:val="20"/>
                <w:highlight w:val="none"/>
                <w:lang w:bidi="ar"/>
              </w:rPr>
            </w:pPr>
          </w:p>
        </w:tc>
        <w:tc>
          <w:tcPr>
            <w:tcW w:w="899" w:type="dxa"/>
            <w:vAlign w:val="center"/>
          </w:tcPr>
          <w:p w14:paraId="03BC90A0">
            <w:pPr>
              <w:shd w:val="clear"/>
              <w:jc w:val="center"/>
              <w:rPr>
                <w:rFonts w:ascii="仿宋" w:hAnsi="仿宋" w:eastAsia="仿宋" w:cs="仿宋"/>
                <w:color w:val="auto"/>
                <w:sz w:val="24"/>
                <w:szCs w:val="20"/>
                <w:highlight w:val="none"/>
                <w:lang w:bidi="ar"/>
              </w:rPr>
            </w:pPr>
          </w:p>
        </w:tc>
      </w:tr>
      <w:tr w14:paraId="46FD3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381" w:type="dxa"/>
            <w:vMerge w:val="continue"/>
            <w:vAlign w:val="center"/>
          </w:tcPr>
          <w:p w14:paraId="299AA603">
            <w:pPr>
              <w:shd w:val="clear"/>
              <w:rPr>
                <w:rFonts w:ascii="仿宋" w:hAnsi="仿宋" w:eastAsia="仿宋" w:cs="仿宋"/>
                <w:color w:val="auto"/>
                <w:sz w:val="24"/>
                <w:szCs w:val="20"/>
                <w:highlight w:val="none"/>
                <w:lang w:bidi="ar"/>
              </w:rPr>
            </w:pPr>
          </w:p>
        </w:tc>
        <w:tc>
          <w:tcPr>
            <w:tcW w:w="811" w:type="dxa"/>
            <w:vAlign w:val="center"/>
          </w:tcPr>
          <w:p w14:paraId="2ED6A2D6">
            <w:pPr>
              <w:shd w:val="clear"/>
              <w:jc w:val="center"/>
              <w:rPr>
                <w:rFonts w:ascii="仿宋" w:hAnsi="仿宋" w:eastAsia="仿宋" w:cs="仿宋"/>
                <w:color w:val="auto"/>
                <w:sz w:val="24"/>
                <w:szCs w:val="20"/>
                <w:highlight w:val="none"/>
                <w:lang w:bidi="ar"/>
              </w:rPr>
            </w:pPr>
          </w:p>
        </w:tc>
        <w:tc>
          <w:tcPr>
            <w:tcW w:w="991" w:type="dxa"/>
            <w:vAlign w:val="center"/>
          </w:tcPr>
          <w:p w14:paraId="6B619C13">
            <w:pPr>
              <w:shd w:val="clear"/>
              <w:jc w:val="center"/>
              <w:rPr>
                <w:rFonts w:ascii="仿宋" w:hAnsi="仿宋" w:eastAsia="仿宋" w:cs="仿宋"/>
                <w:color w:val="auto"/>
                <w:sz w:val="24"/>
                <w:szCs w:val="20"/>
                <w:highlight w:val="none"/>
                <w:lang w:bidi="ar"/>
              </w:rPr>
            </w:pPr>
          </w:p>
        </w:tc>
        <w:tc>
          <w:tcPr>
            <w:tcW w:w="736" w:type="dxa"/>
            <w:vAlign w:val="center"/>
          </w:tcPr>
          <w:p w14:paraId="1E824876">
            <w:pPr>
              <w:shd w:val="clear"/>
              <w:jc w:val="center"/>
              <w:rPr>
                <w:rFonts w:ascii="仿宋" w:hAnsi="仿宋" w:eastAsia="仿宋" w:cs="仿宋"/>
                <w:color w:val="auto"/>
                <w:sz w:val="24"/>
                <w:szCs w:val="20"/>
                <w:highlight w:val="none"/>
                <w:lang w:bidi="ar"/>
              </w:rPr>
            </w:pPr>
          </w:p>
        </w:tc>
        <w:tc>
          <w:tcPr>
            <w:tcW w:w="961" w:type="dxa"/>
            <w:vAlign w:val="center"/>
          </w:tcPr>
          <w:p w14:paraId="12F46606">
            <w:pPr>
              <w:shd w:val="clear"/>
              <w:jc w:val="center"/>
              <w:rPr>
                <w:rFonts w:ascii="仿宋" w:hAnsi="仿宋" w:eastAsia="仿宋" w:cs="仿宋"/>
                <w:color w:val="auto"/>
                <w:sz w:val="24"/>
                <w:szCs w:val="20"/>
                <w:highlight w:val="none"/>
                <w:lang w:bidi="ar"/>
              </w:rPr>
            </w:pPr>
          </w:p>
        </w:tc>
        <w:tc>
          <w:tcPr>
            <w:tcW w:w="1232" w:type="dxa"/>
          </w:tcPr>
          <w:p w14:paraId="2123D978">
            <w:pPr>
              <w:shd w:val="clear"/>
              <w:jc w:val="center"/>
              <w:rPr>
                <w:rFonts w:ascii="仿宋" w:hAnsi="仿宋" w:eastAsia="仿宋" w:cs="仿宋"/>
                <w:color w:val="auto"/>
                <w:sz w:val="24"/>
                <w:szCs w:val="20"/>
                <w:highlight w:val="none"/>
                <w:lang w:bidi="ar"/>
              </w:rPr>
            </w:pPr>
          </w:p>
        </w:tc>
        <w:tc>
          <w:tcPr>
            <w:tcW w:w="744" w:type="dxa"/>
            <w:vAlign w:val="center"/>
          </w:tcPr>
          <w:p w14:paraId="656B8013">
            <w:pPr>
              <w:shd w:val="clear"/>
              <w:jc w:val="center"/>
              <w:rPr>
                <w:rFonts w:ascii="仿宋" w:hAnsi="仿宋" w:eastAsia="仿宋" w:cs="仿宋"/>
                <w:color w:val="auto"/>
                <w:sz w:val="24"/>
                <w:szCs w:val="20"/>
                <w:highlight w:val="none"/>
                <w:lang w:bidi="ar"/>
              </w:rPr>
            </w:pPr>
          </w:p>
        </w:tc>
        <w:tc>
          <w:tcPr>
            <w:tcW w:w="1000" w:type="dxa"/>
            <w:vAlign w:val="center"/>
          </w:tcPr>
          <w:p w14:paraId="120D0438">
            <w:pPr>
              <w:shd w:val="clear"/>
              <w:jc w:val="center"/>
              <w:rPr>
                <w:rFonts w:ascii="仿宋" w:hAnsi="仿宋" w:eastAsia="仿宋" w:cs="仿宋"/>
                <w:color w:val="auto"/>
                <w:sz w:val="24"/>
                <w:szCs w:val="20"/>
                <w:highlight w:val="none"/>
                <w:lang w:bidi="ar"/>
              </w:rPr>
            </w:pPr>
          </w:p>
        </w:tc>
        <w:tc>
          <w:tcPr>
            <w:tcW w:w="899" w:type="dxa"/>
            <w:vAlign w:val="center"/>
          </w:tcPr>
          <w:p w14:paraId="3D7A38E6">
            <w:pPr>
              <w:shd w:val="clear"/>
              <w:jc w:val="center"/>
              <w:rPr>
                <w:rFonts w:ascii="仿宋" w:hAnsi="仿宋" w:eastAsia="仿宋" w:cs="仿宋"/>
                <w:color w:val="auto"/>
                <w:sz w:val="24"/>
                <w:szCs w:val="20"/>
                <w:highlight w:val="none"/>
                <w:lang w:bidi="ar"/>
              </w:rPr>
            </w:pPr>
          </w:p>
        </w:tc>
      </w:tr>
      <w:tr w14:paraId="591ED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381" w:type="dxa"/>
            <w:vMerge w:val="continue"/>
            <w:vAlign w:val="center"/>
          </w:tcPr>
          <w:p w14:paraId="5BD598D4">
            <w:pPr>
              <w:shd w:val="clear"/>
              <w:jc w:val="center"/>
              <w:rPr>
                <w:rFonts w:ascii="仿宋" w:hAnsi="仿宋" w:eastAsia="仿宋" w:cs="仿宋"/>
                <w:color w:val="auto"/>
                <w:sz w:val="24"/>
                <w:szCs w:val="20"/>
                <w:highlight w:val="none"/>
                <w:lang w:bidi="ar"/>
              </w:rPr>
            </w:pPr>
          </w:p>
        </w:tc>
        <w:tc>
          <w:tcPr>
            <w:tcW w:w="811" w:type="dxa"/>
            <w:vAlign w:val="center"/>
          </w:tcPr>
          <w:p w14:paraId="3F30EDD5">
            <w:pPr>
              <w:shd w:val="clear"/>
              <w:jc w:val="center"/>
              <w:rPr>
                <w:rFonts w:ascii="仿宋" w:hAnsi="仿宋" w:eastAsia="仿宋" w:cs="仿宋"/>
                <w:color w:val="auto"/>
                <w:sz w:val="24"/>
                <w:szCs w:val="20"/>
                <w:highlight w:val="none"/>
                <w:lang w:bidi="ar"/>
              </w:rPr>
            </w:pPr>
          </w:p>
        </w:tc>
        <w:tc>
          <w:tcPr>
            <w:tcW w:w="991" w:type="dxa"/>
            <w:vAlign w:val="center"/>
          </w:tcPr>
          <w:p w14:paraId="30FBBCCB">
            <w:pPr>
              <w:shd w:val="clear"/>
              <w:jc w:val="center"/>
              <w:rPr>
                <w:rFonts w:ascii="仿宋" w:hAnsi="仿宋" w:eastAsia="仿宋" w:cs="仿宋"/>
                <w:color w:val="auto"/>
                <w:sz w:val="24"/>
                <w:szCs w:val="20"/>
                <w:highlight w:val="none"/>
                <w:lang w:bidi="ar"/>
              </w:rPr>
            </w:pPr>
          </w:p>
        </w:tc>
        <w:tc>
          <w:tcPr>
            <w:tcW w:w="736" w:type="dxa"/>
            <w:vAlign w:val="center"/>
          </w:tcPr>
          <w:p w14:paraId="5C99E39C">
            <w:pPr>
              <w:shd w:val="clear"/>
              <w:jc w:val="center"/>
              <w:rPr>
                <w:rFonts w:ascii="仿宋" w:hAnsi="仿宋" w:eastAsia="仿宋" w:cs="仿宋"/>
                <w:color w:val="auto"/>
                <w:sz w:val="24"/>
                <w:szCs w:val="20"/>
                <w:highlight w:val="none"/>
                <w:lang w:bidi="ar"/>
              </w:rPr>
            </w:pPr>
          </w:p>
        </w:tc>
        <w:tc>
          <w:tcPr>
            <w:tcW w:w="961" w:type="dxa"/>
            <w:vAlign w:val="center"/>
          </w:tcPr>
          <w:p w14:paraId="2B99A985">
            <w:pPr>
              <w:shd w:val="clear"/>
              <w:jc w:val="center"/>
              <w:rPr>
                <w:rFonts w:ascii="仿宋" w:hAnsi="仿宋" w:eastAsia="仿宋" w:cs="仿宋"/>
                <w:color w:val="auto"/>
                <w:sz w:val="24"/>
                <w:szCs w:val="20"/>
                <w:highlight w:val="none"/>
                <w:lang w:bidi="ar"/>
              </w:rPr>
            </w:pPr>
          </w:p>
        </w:tc>
        <w:tc>
          <w:tcPr>
            <w:tcW w:w="1232" w:type="dxa"/>
          </w:tcPr>
          <w:p w14:paraId="5D0E6CD1">
            <w:pPr>
              <w:shd w:val="clear"/>
              <w:jc w:val="center"/>
              <w:rPr>
                <w:rFonts w:ascii="仿宋" w:hAnsi="仿宋" w:eastAsia="仿宋" w:cs="仿宋"/>
                <w:color w:val="auto"/>
                <w:sz w:val="24"/>
                <w:szCs w:val="20"/>
                <w:highlight w:val="none"/>
                <w:lang w:bidi="ar"/>
              </w:rPr>
            </w:pPr>
          </w:p>
        </w:tc>
        <w:tc>
          <w:tcPr>
            <w:tcW w:w="744" w:type="dxa"/>
            <w:vAlign w:val="center"/>
          </w:tcPr>
          <w:p w14:paraId="0C34AEAF">
            <w:pPr>
              <w:shd w:val="clear"/>
              <w:jc w:val="center"/>
              <w:rPr>
                <w:rFonts w:ascii="仿宋" w:hAnsi="仿宋" w:eastAsia="仿宋" w:cs="仿宋"/>
                <w:color w:val="auto"/>
                <w:sz w:val="24"/>
                <w:szCs w:val="20"/>
                <w:highlight w:val="none"/>
                <w:lang w:bidi="ar"/>
              </w:rPr>
            </w:pPr>
          </w:p>
        </w:tc>
        <w:tc>
          <w:tcPr>
            <w:tcW w:w="1000" w:type="dxa"/>
            <w:vAlign w:val="center"/>
          </w:tcPr>
          <w:p w14:paraId="3FBF8951">
            <w:pPr>
              <w:shd w:val="clear"/>
              <w:jc w:val="center"/>
              <w:rPr>
                <w:rFonts w:ascii="仿宋" w:hAnsi="仿宋" w:eastAsia="仿宋" w:cs="仿宋"/>
                <w:color w:val="auto"/>
                <w:sz w:val="24"/>
                <w:szCs w:val="20"/>
                <w:highlight w:val="none"/>
                <w:lang w:bidi="ar"/>
              </w:rPr>
            </w:pPr>
          </w:p>
        </w:tc>
        <w:tc>
          <w:tcPr>
            <w:tcW w:w="899" w:type="dxa"/>
            <w:vAlign w:val="center"/>
          </w:tcPr>
          <w:p w14:paraId="6F9F826C">
            <w:pPr>
              <w:shd w:val="clear"/>
              <w:jc w:val="center"/>
              <w:rPr>
                <w:rFonts w:ascii="仿宋" w:hAnsi="仿宋" w:eastAsia="仿宋" w:cs="仿宋"/>
                <w:color w:val="auto"/>
                <w:sz w:val="24"/>
                <w:szCs w:val="20"/>
                <w:highlight w:val="none"/>
                <w:lang w:bidi="ar"/>
              </w:rPr>
            </w:pPr>
          </w:p>
        </w:tc>
      </w:tr>
      <w:tr w14:paraId="76B34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381" w:type="dxa"/>
            <w:vMerge w:val="continue"/>
            <w:vAlign w:val="center"/>
          </w:tcPr>
          <w:p w14:paraId="603CFD66">
            <w:pPr>
              <w:shd w:val="clear"/>
              <w:jc w:val="center"/>
              <w:rPr>
                <w:rFonts w:ascii="仿宋" w:hAnsi="仿宋" w:eastAsia="仿宋" w:cs="仿宋"/>
                <w:color w:val="auto"/>
                <w:sz w:val="24"/>
                <w:szCs w:val="20"/>
                <w:highlight w:val="none"/>
                <w:lang w:bidi="ar"/>
              </w:rPr>
            </w:pPr>
          </w:p>
        </w:tc>
        <w:tc>
          <w:tcPr>
            <w:tcW w:w="811" w:type="dxa"/>
            <w:vAlign w:val="center"/>
          </w:tcPr>
          <w:p w14:paraId="593E6060">
            <w:pPr>
              <w:shd w:val="clear"/>
              <w:jc w:val="center"/>
              <w:rPr>
                <w:rFonts w:ascii="仿宋" w:hAnsi="仿宋" w:eastAsia="仿宋" w:cs="仿宋"/>
                <w:color w:val="auto"/>
                <w:sz w:val="24"/>
                <w:szCs w:val="20"/>
                <w:highlight w:val="none"/>
                <w:lang w:bidi="ar"/>
              </w:rPr>
            </w:pPr>
          </w:p>
        </w:tc>
        <w:tc>
          <w:tcPr>
            <w:tcW w:w="991" w:type="dxa"/>
            <w:vAlign w:val="center"/>
          </w:tcPr>
          <w:p w14:paraId="3CBE6B1C">
            <w:pPr>
              <w:shd w:val="clear"/>
              <w:jc w:val="center"/>
              <w:rPr>
                <w:rFonts w:ascii="仿宋" w:hAnsi="仿宋" w:eastAsia="仿宋" w:cs="仿宋"/>
                <w:color w:val="auto"/>
                <w:sz w:val="24"/>
                <w:szCs w:val="20"/>
                <w:highlight w:val="none"/>
                <w:lang w:bidi="ar"/>
              </w:rPr>
            </w:pPr>
          </w:p>
        </w:tc>
        <w:tc>
          <w:tcPr>
            <w:tcW w:w="736" w:type="dxa"/>
            <w:vAlign w:val="center"/>
          </w:tcPr>
          <w:p w14:paraId="74F252C8">
            <w:pPr>
              <w:shd w:val="clear"/>
              <w:jc w:val="center"/>
              <w:rPr>
                <w:rFonts w:ascii="仿宋" w:hAnsi="仿宋" w:eastAsia="仿宋" w:cs="仿宋"/>
                <w:color w:val="auto"/>
                <w:sz w:val="24"/>
                <w:szCs w:val="20"/>
                <w:highlight w:val="none"/>
                <w:lang w:bidi="ar"/>
              </w:rPr>
            </w:pPr>
          </w:p>
        </w:tc>
        <w:tc>
          <w:tcPr>
            <w:tcW w:w="961" w:type="dxa"/>
            <w:vAlign w:val="center"/>
          </w:tcPr>
          <w:p w14:paraId="54C57608">
            <w:pPr>
              <w:shd w:val="clear"/>
              <w:jc w:val="center"/>
              <w:rPr>
                <w:rFonts w:ascii="仿宋" w:hAnsi="仿宋" w:eastAsia="仿宋" w:cs="仿宋"/>
                <w:color w:val="auto"/>
                <w:sz w:val="24"/>
                <w:szCs w:val="20"/>
                <w:highlight w:val="none"/>
                <w:lang w:bidi="ar"/>
              </w:rPr>
            </w:pPr>
          </w:p>
        </w:tc>
        <w:tc>
          <w:tcPr>
            <w:tcW w:w="1232" w:type="dxa"/>
          </w:tcPr>
          <w:p w14:paraId="403E85B1">
            <w:pPr>
              <w:shd w:val="clear"/>
              <w:jc w:val="center"/>
              <w:rPr>
                <w:rFonts w:ascii="仿宋" w:hAnsi="仿宋" w:eastAsia="仿宋" w:cs="仿宋"/>
                <w:color w:val="auto"/>
                <w:sz w:val="24"/>
                <w:szCs w:val="20"/>
                <w:highlight w:val="none"/>
                <w:lang w:bidi="ar"/>
              </w:rPr>
            </w:pPr>
          </w:p>
        </w:tc>
        <w:tc>
          <w:tcPr>
            <w:tcW w:w="744" w:type="dxa"/>
            <w:vAlign w:val="center"/>
          </w:tcPr>
          <w:p w14:paraId="45E7D056">
            <w:pPr>
              <w:shd w:val="clear"/>
              <w:jc w:val="center"/>
              <w:rPr>
                <w:rFonts w:ascii="仿宋" w:hAnsi="仿宋" w:eastAsia="仿宋" w:cs="仿宋"/>
                <w:color w:val="auto"/>
                <w:sz w:val="24"/>
                <w:szCs w:val="20"/>
                <w:highlight w:val="none"/>
                <w:lang w:bidi="ar"/>
              </w:rPr>
            </w:pPr>
          </w:p>
        </w:tc>
        <w:tc>
          <w:tcPr>
            <w:tcW w:w="1000" w:type="dxa"/>
            <w:vAlign w:val="center"/>
          </w:tcPr>
          <w:p w14:paraId="1A881BD5">
            <w:pPr>
              <w:shd w:val="clear"/>
              <w:jc w:val="center"/>
              <w:rPr>
                <w:rFonts w:ascii="仿宋" w:hAnsi="仿宋" w:eastAsia="仿宋" w:cs="仿宋"/>
                <w:color w:val="auto"/>
                <w:sz w:val="24"/>
                <w:szCs w:val="20"/>
                <w:highlight w:val="none"/>
                <w:lang w:bidi="ar"/>
              </w:rPr>
            </w:pPr>
          </w:p>
        </w:tc>
        <w:tc>
          <w:tcPr>
            <w:tcW w:w="899" w:type="dxa"/>
            <w:vAlign w:val="center"/>
          </w:tcPr>
          <w:p w14:paraId="0312C9D8">
            <w:pPr>
              <w:shd w:val="clear"/>
              <w:jc w:val="center"/>
              <w:rPr>
                <w:rFonts w:ascii="仿宋" w:hAnsi="仿宋" w:eastAsia="仿宋" w:cs="仿宋"/>
                <w:color w:val="auto"/>
                <w:sz w:val="24"/>
                <w:szCs w:val="20"/>
                <w:highlight w:val="none"/>
                <w:lang w:bidi="ar"/>
              </w:rPr>
            </w:pPr>
          </w:p>
        </w:tc>
      </w:tr>
      <w:tr w14:paraId="749CE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exact"/>
          <w:jc w:val="center"/>
        </w:trPr>
        <w:tc>
          <w:tcPr>
            <w:tcW w:w="1381" w:type="dxa"/>
            <w:vMerge w:val="continue"/>
            <w:vAlign w:val="center"/>
          </w:tcPr>
          <w:p w14:paraId="7C4B4D8F">
            <w:pPr>
              <w:shd w:val="clear"/>
              <w:jc w:val="center"/>
              <w:rPr>
                <w:rFonts w:ascii="仿宋" w:hAnsi="仿宋" w:eastAsia="仿宋" w:cs="仿宋"/>
                <w:color w:val="auto"/>
                <w:sz w:val="24"/>
                <w:szCs w:val="20"/>
                <w:highlight w:val="none"/>
                <w:lang w:bidi="ar"/>
              </w:rPr>
            </w:pPr>
          </w:p>
        </w:tc>
        <w:tc>
          <w:tcPr>
            <w:tcW w:w="811" w:type="dxa"/>
            <w:vAlign w:val="center"/>
          </w:tcPr>
          <w:p w14:paraId="3F462CA3">
            <w:pPr>
              <w:shd w:val="clea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w:t>
            </w:r>
          </w:p>
        </w:tc>
        <w:tc>
          <w:tcPr>
            <w:tcW w:w="991" w:type="dxa"/>
            <w:vAlign w:val="center"/>
          </w:tcPr>
          <w:p w14:paraId="5DB82E36">
            <w:pPr>
              <w:shd w:val="clear"/>
              <w:jc w:val="center"/>
              <w:rPr>
                <w:rFonts w:ascii="仿宋" w:hAnsi="仿宋" w:eastAsia="仿宋" w:cs="仿宋"/>
                <w:color w:val="auto"/>
                <w:sz w:val="24"/>
                <w:szCs w:val="20"/>
                <w:highlight w:val="none"/>
                <w:lang w:bidi="ar"/>
              </w:rPr>
            </w:pPr>
          </w:p>
        </w:tc>
        <w:tc>
          <w:tcPr>
            <w:tcW w:w="736" w:type="dxa"/>
            <w:vAlign w:val="center"/>
          </w:tcPr>
          <w:p w14:paraId="5904CF69">
            <w:pPr>
              <w:shd w:val="clear"/>
              <w:jc w:val="center"/>
              <w:rPr>
                <w:rFonts w:ascii="仿宋" w:hAnsi="仿宋" w:eastAsia="仿宋" w:cs="仿宋"/>
                <w:color w:val="auto"/>
                <w:sz w:val="24"/>
                <w:szCs w:val="20"/>
                <w:highlight w:val="none"/>
                <w:lang w:bidi="ar"/>
              </w:rPr>
            </w:pPr>
          </w:p>
        </w:tc>
        <w:tc>
          <w:tcPr>
            <w:tcW w:w="961" w:type="dxa"/>
            <w:vAlign w:val="center"/>
          </w:tcPr>
          <w:p w14:paraId="4E191705">
            <w:pPr>
              <w:shd w:val="clear"/>
              <w:jc w:val="center"/>
              <w:rPr>
                <w:rFonts w:ascii="仿宋" w:hAnsi="仿宋" w:eastAsia="仿宋" w:cs="仿宋"/>
                <w:color w:val="auto"/>
                <w:sz w:val="24"/>
                <w:szCs w:val="20"/>
                <w:highlight w:val="none"/>
                <w:lang w:bidi="ar"/>
              </w:rPr>
            </w:pPr>
          </w:p>
        </w:tc>
        <w:tc>
          <w:tcPr>
            <w:tcW w:w="1232" w:type="dxa"/>
          </w:tcPr>
          <w:p w14:paraId="179F2371">
            <w:pPr>
              <w:shd w:val="clear"/>
              <w:jc w:val="center"/>
              <w:rPr>
                <w:rFonts w:ascii="仿宋" w:hAnsi="仿宋" w:eastAsia="仿宋" w:cs="仿宋"/>
                <w:color w:val="auto"/>
                <w:sz w:val="24"/>
                <w:szCs w:val="20"/>
                <w:highlight w:val="none"/>
                <w:lang w:bidi="ar"/>
              </w:rPr>
            </w:pPr>
          </w:p>
        </w:tc>
        <w:tc>
          <w:tcPr>
            <w:tcW w:w="744" w:type="dxa"/>
            <w:vAlign w:val="center"/>
          </w:tcPr>
          <w:p w14:paraId="654C1E03">
            <w:pPr>
              <w:shd w:val="clear"/>
              <w:jc w:val="center"/>
              <w:rPr>
                <w:rFonts w:ascii="仿宋" w:hAnsi="仿宋" w:eastAsia="仿宋" w:cs="仿宋"/>
                <w:color w:val="auto"/>
                <w:sz w:val="24"/>
                <w:szCs w:val="20"/>
                <w:highlight w:val="none"/>
                <w:lang w:bidi="ar"/>
              </w:rPr>
            </w:pPr>
          </w:p>
        </w:tc>
        <w:tc>
          <w:tcPr>
            <w:tcW w:w="1000" w:type="dxa"/>
            <w:vAlign w:val="center"/>
          </w:tcPr>
          <w:p w14:paraId="5DEBFF50">
            <w:pPr>
              <w:shd w:val="clear"/>
              <w:jc w:val="center"/>
              <w:rPr>
                <w:rFonts w:ascii="仿宋" w:hAnsi="仿宋" w:eastAsia="仿宋" w:cs="仿宋"/>
                <w:color w:val="auto"/>
                <w:sz w:val="24"/>
                <w:szCs w:val="20"/>
                <w:highlight w:val="none"/>
                <w:lang w:bidi="ar"/>
              </w:rPr>
            </w:pPr>
          </w:p>
        </w:tc>
        <w:tc>
          <w:tcPr>
            <w:tcW w:w="899" w:type="dxa"/>
            <w:vAlign w:val="center"/>
          </w:tcPr>
          <w:p w14:paraId="2DB49EF4">
            <w:pPr>
              <w:shd w:val="clear"/>
              <w:jc w:val="center"/>
              <w:rPr>
                <w:rFonts w:ascii="仿宋" w:hAnsi="仿宋" w:eastAsia="仿宋" w:cs="仿宋"/>
                <w:color w:val="auto"/>
                <w:sz w:val="24"/>
                <w:szCs w:val="20"/>
                <w:highlight w:val="none"/>
                <w:lang w:bidi="ar"/>
              </w:rPr>
            </w:pPr>
          </w:p>
        </w:tc>
      </w:tr>
    </w:tbl>
    <w:p w14:paraId="0FFC9C20">
      <w:pPr>
        <w:shd w:val="clear"/>
        <w:spacing w:line="579" w:lineRule="exact"/>
        <w:ind w:firstLine="241" w:firstLineChars="100"/>
        <w:rPr>
          <w:rFonts w:ascii="仿宋" w:hAnsi="仿宋" w:eastAsia="仿宋" w:cs="仿宋"/>
          <w:color w:val="auto"/>
          <w:szCs w:val="21"/>
          <w:highlight w:val="none"/>
          <w:lang w:eastAsia="zh-CN"/>
        </w:rPr>
      </w:pPr>
      <w:r>
        <w:rPr>
          <w:rFonts w:hint="eastAsia" w:ascii="仿宋" w:hAnsi="仿宋" w:eastAsia="仿宋" w:cs="仿宋"/>
          <w:b/>
          <w:color w:val="auto"/>
          <w:sz w:val="24"/>
          <w:szCs w:val="20"/>
          <w:highlight w:val="none"/>
          <w:lang w:val="zh-CN" w:eastAsia="zh-CN" w:bidi="ar"/>
        </w:rPr>
        <w:t>我公司承诺：以上人员均为现场实际团队成员，项目团队人员的所有材料均为真实有效的，贵单位有权对人员服务经验情况进行尽职调查，如发现存在虚假或内容不实情况的，贵单位有权将取消我单位中标资格。</w:t>
      </w:r>
    </w:p>
    <w:p w14:paraId="33ED842A">
      <w:pPr>
        <w:shd w:val="clear"/>
        <w:spacing w:line="579" w:lineRule="exact"/>
        <w:ind w:firstLine="480" w:firstLineChars="200"/>
        <w:rPr>
          <w:rFonts w:ascii="仿宋" w:hAnsi="仿宋" w:eastAsia="仿宋" w:cs="仿宋"/>
          <w:color w:val="auto"/>
          <w:sz w:val="24"/>
          <w:szCs w:val="32"/>
          <w:highlight w:val="none"/>
          <w:lang w:eastAsia="zh-CN"/>
        </w:rPr>
      </w:pPr>
    </w:p>
    <w:p w14:paraId="2C0C6F6C">
      <w:pPr>
        <w:shd w:val="clear"/>
        <w:spacing w:line="579" w:lineRule="exact"/>
        <w:ind w:firstLine="480" w:firstLineChars="200"/>
        <w:rPr>
          <w:rFonts w:ascii="仿宋" w:hAnsi="仿宋" w:eastAsia="仿宋" w:cs="仿宋"/>
          <w:color w:val="auto"/>
          <w:sz w:val="24"/>
          <w:szCs w:val="32"/>
          <w:highlight w:val="none"/>
          <w:lang w:eastAsia="zh-CN"/>
        </w:rPr>
      </w:pPr>
    </w:p>
    <w:p w14:paraId="5E19C620">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7DDCE738">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4204BDB5">
      <w:pPr>
        <w:shd w:val="clear"/>
        <w:spacing w:line="579" w:lineRule="exact"/>
        <w:ind w:firstLine="480" w:firstLineChars="200"/>
        <w:rPr>
          <w:rFonts w:hint="eastAsia"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30E6E9E5">
      <w:pPr>
        <w:shd w:val="clear"/>
        <w:spacing w:line="579" w:lineRule="exact"/>
        <w:ind w:firstLine="480" w:firstLineChars="200"/>
        <w:rPr>
          <w:rFonts w:hint="eastAsia" w:ascii="仿宋" w:hAnsi="仿宋" w:eastAsia="仿宋" w:cs="仿宋"/>
          <w:color w:val="auto"/>
          <w:sz w:val="24"/>
          <w:szCs w:val="32"/>
          <w:highlight w:val="none"/>
          <w:lang w:eastAsia="zh-CN"/>
        </w:rPr>
      </w:pPr>
    </w:p>
    <w:p w14:paraId="0D6993E7">
      <w:pPr>
        <w:shd w:val="clear"/>
        <w:spacing w:line="579" w:lineRule="exact"/>
        <w:ind w:firstLine="480" w:firstLineChars="200"/>
        <w:rPr>
          <w:rFonts w:hint="eastAsia" w:ascii="仿宋" w:hAnsi="仿宋" w:eastAsia="仿宋" w:cs="仿宋"/>
          <w:color w:val="auto"/>
          <w:sz w:val="24"/>
          <w:szCs w:val="32"/>
          <w:highlight w:val="none"/>
          <w:lang w:eastAsia="zh-CN"/>
        </w:rPr>
      </w:pPr>
    </w:p>
    <w:p w14:paraId="51011D69">
      <w:pPr>
        <w:shd w:val="clear"/>
        <w:spacing w:line="579" w:lineRule="exact"/>
        <w:ind w:firstLine="480" w:firstLineChars="200"/>
        <w:rPr>
          <w:rFonts w:hint="eastAsia" w:ascii="仿宋" w:hAnsi="仿宋" w:eastAsia="仿宋" w:cs="仿宋"/>
          <w:color w:val="auto"/>
          <w:sz w:val="24"/>
          <w:szCs w:val="32"/>
          <w:highlight w:val="none"/>
          <w:lang w:eastAsia="zh-CN"/>
        </w:rPr>
      </w:pPr>
    </w:p>
    <w:p w14:paraId="2D933D05">
      <w:pPr>
        <w:shd w:val="clear"/>
        <w:rPr>
          <w:rFonts w:hint="eastAsia"/>
          <w:color w:val="auto"/>
          <w:highlight w:val="none"/>
          <w:lang w:eastAsia="zh-CN"/>
        </w:rPr>
      </w:pPr>
    </w:p>
    <w:p w14:paraId="692A4490">
      <w:pPr>
        <w:shd w:val="clear"/>
        <w:jc w:val="center"/>
        <w:rPr>
          <w:rFonts w:ascii="仿宋" w:hAnsi="仿宋" w:eastAsia="仿宋" w:cs="仿宋"/>
          <w:color w:val="auto"/>
          <w:sz w:val="28"/>
          <w:szCs w:val="28"/>
          <w:highlight w:val="none"/>
          <w:lang w:eastAsia="zh-CN"/>
        </w:rPr>
      </w:pPr>
      <w:r>
        <w:rPr>
          <w:rFonts w:hint="eastAsia" w:ascii="仿宋" w:hAnsi="仿宋" w:eastAsia="仿宋" w:cs="仿宋"/>
          <w:b/>
          <w:color w:val="auto"/>
          <w:sz w:val="24"/>
          <w:highlight w:val="none"/>
          <w:lang w:eastAsia="zh-CN"/>
        </w:rPr>
        <w:t>项目负责人简历表</w:t>
      </w:r>
    </w:p>
    <w:p w14:paraId="6BEB27B9">
      <w:pPr>
        <w:shd w:val="clear"/>
        <w:spacing w:line="480" w:lineRule="exact"/>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 xml:space="preserve">项目负责人介绍应包括：姓名、性别、年龄、职称、学历、参加工作时间、从事项目年限和能反映该负责人情况的其他内容。 </w:t>
      </w:r>
    </w:p>
    <w:tbl>
      <w:tblPr>
        <w:tblStyle w:val="27"/>
        <w:tblW w:w="8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6"/>
        <w:gridCol w:w="2853"/>
        <w:gridCol w:w="2304"/>
        <w:gridCol w:w="1845"/>
      </w:tblGrid>
      <w:tr w14:paraId="7B604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1676" w:type="dxa"/>
            <w:vAlign w:val="center"/>
          </w:tcPr>
          <w:p w14:paraId="6EBC9D73">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姓名</w:t>
            </w:r>
          </w:p>
        </w:tc>
        <w:tc>
          <w:tcPr>
            <w:tcW w:w="2853" w:type="dxa"/>
            <w:vAlign w:val="center"/>
          </w:tcPr>
          <w:p w14:paraId="424DDFF6">
            <w:pPr>
              <w:shd w:val="clear"/>
              <w:snapToGrid w:val="0"/>
              <w:spacing w:line="480" w:lineRule="exact"/>
              <w:jc w:val="center"/>
              <w:rPr>
                <w:rFonts w:ascii="仿宋" w:hAnsi="仿宋" w:eastAsia="仿宋" w:cs="仿宋"/>
                <w:color w:val="auto"/>
                <w:sz w:val="24"/>
                <w:szCs w:val="20"/>
                <w:highlight w:val="none"/>
                <w:lang w:bidi="ar"/>
              </w:rPr>
            </w:pPr>
          </w:p>
        </w:tc>
        <w:tc>
          <w:tcPr>
            <w:tcW w:w="2304" w:type="dxa"/>
            <w:vAlign w:val="center"/>
          </w:tcPr>
          <w:p w14:paraId="3B7DA3F7">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性别</w:t>
            </w:r>
          </w:p>
        </w:tc>
        <w:tc>
          <w:tcPr>
            <w:tcW w:w="1845" w:type="dxa"/>
            <w:vAlign w:val="center"/>
          </w:tcPr>
          <w:p w14:paraId="22AC7D8A">
            <w:pPr>
              <w:shd w:val="clear"/>
              <w:snapToGrid w:val="0"/>
              <w:spacing w:line="480" w:lineRule="exact"/>
              <w:jc w:val="center"/>
              <w:rPr>
                <w:rFonts w:ascii="仿宋" w:hAnsi="仿宋" w:eastAsia="仿宋" w:cs="仿宋"/>
                <w:color w:val="auto"/>
                <w:sz w:val="24"/>
                <w:szCs w:val="20"/>
                <w:highlight w:val="none"/>
                <w:lang w:bidi="ar"/>
              </w:rPr>
            </w:pPr>
          </w:p>
        </w:tc>
      </w:tr>
      <w:tr w14:paraId="351CA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1676" w:type="dxa"/>
            <w:vAlign w:val="center"/>
          </w:tcPr>
          <w:p w14:paraId="10014196">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职称</w:t>
            </w:r>
          </w:p>
        </w:tc>
        <w:tc>
          <w:tcPr>
            <w:tcW w:w="2853" w:type="dxa"/>
            <w:vAlign w:val="center"/>
          </w:tcPr>
          <w:p w14:paraId="54372E23">
            <w:pPr>
              <w:shd w:val="clear"/>
              <w:snapToGrid w:val="0"/>
              <w:spacing w:line="480" w:lineRule="exact"/>
              <w:jc w:val="center"/>
              <w:rPr>
                <w:rFonts w:ascii="仿宋" w:hAnsi="仿宋" w:eastAsia="仿宋" w:cs="仿宋"/>
                <w:color w:val="auto"/>
                <w:sz w:val="24"/>
                <w:szCs w:val="20"/>
                <w:highlight w:val="none"/>
                <w:lang w:bidi="ar"/>
              </w:rPr>
            </w:pPr>
          </w:p>
        </w:tc>
        <w:tc>
          <w:tcPr>
            <w:tcW w:w="2304" w:type="dxa"/>
            <w:vAlign w:val="center"/>
          </w:tcPr>
          <w:p w14:paraId="56621ECE">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学历</w:t>
            </w:r>
          </w:p>
        </w:tc>
        <w:tc>
          <w:tcPr>
            <w:tcW w:w="1845" w:type="dxa"/>
            <w:vAlign w:val="center"/>
          </w:tcPr>
          <w:p w14:paraId="3E27109B">
            <w:pPr>
              <w:shd w:val="clear"/>
              <w:snapToGrid w:val="0"/>
              <w:spacing w:line="480" w:lineRule="exact"/>
              <w:jc w:val="center"/>
              <w:rPr>
                <w:rFonts w:ascii="仿宋" w:hAnsi="仿宋" w:eastAsia="仿宋" w:cs="仿宋"/>
                <w:color w:val="auto"/>
                <w:sz w:val="24"/>
                <w:szCs w:val="20"/>
                <w:highlight w:val="none"/>
                <w:lang w:bidi="ar"/>
              </w:rPr>
            </w:pPr>
          </w:p>
        </w:tc>
      </w:tr>
      <w:tr w14:paraId="65621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1676" w:type="dxa"/>
            <w:vAlign w:val="center"/>
          </w:tcPr>
          <w:p w14:paraId="4E9732BC">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参加工作时间</w:t>
            </w:r>
          </w:p>
        </w:tc>
        <w:tc>
          <w:tcPr>
            <w:tcW w:w="2853" w:type="dxa"/>
            <w:vAlign w:val="center"/>
          </w:tcPr>
          <w:p w14:paraId="1C0F2EE5">
            <w:pPr>
              <w:shd w:val="clear"/>
              <w:spacing w:line="480" w:lineRule="exact"/>
              <w:jc w:val="center"/>
              <w:rPr>
                <w:rFonts w:ascii="仿宋" w:hAnsi="仿宋" w:eastAsia="仿宋" w:cs="仿宋"/>
                <w:color w:val="auto"/>
                <w:sz w:val="24"/>
                <w:szCs w:val="20"/>
                <w:highlight w:val="none"/>
                <w:lang w:bidi="ar"/>
              </w:rPr>
            </w:pPr>
          </w:p>
        </w:tc>
        <w:tc>
          <w:tcPr>
            <w:tcW w:w="2304" w:type="dxa"/>
            <w:vAlign w:val="center"/>
          </w:tcPr>
          <w:p w14:paraId="2546DEDB">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从事相关工作年限</w:t>
            </w:r>
          </w:p>
        </w:tc>
        <w:tc>
          <w:tcPr>
            <w:tcW w:w="1845" w:type="dxa"/>
            <w:vAlign w:val="center"/>
          </w:tcPr>
          <w:p w14:paraId="4791EEA0">
            <w:pPr>
              <w:shd w:val="clear"/>
              <w:spacing w:line="480" w:lineRule="exact"/>
              <w:jc w:val="center"/>
              <w:rPr>
                <w:rFonts w:ascii="仿宋" w:hAnsi="仿宋" w:eastAsia="仿宋" w:cs="仿宋"/>
                <w:color w:val="auto"/>
                <w:sz w:val="24"/>
                <w:szCs w:val="20"/>
                <w:highlight w:val="none"/>
                <w:lang w:bidi="ar"/>
              </w:rPr>
            </w:pPr>
          </w:p>
        </w:tc>
      </w:tr>
      <w:tr w14:paraId="2051E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676" w:type="dxa"/>
            <w:vAlign w:val="center"/>
          </w:tcPr>
          <w:p w14:paraId="66B0622A">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专业</w:t>
            </w:r>
          </w:p>
        </w:tc>
        <w:tc>
          <w:tcPr>
            <w:tcW w:w="2853" w:type="dxa"/>
            <w:vAlign w:val="center"/>
          </w:tcPr>
          <w:p w14:paraId="4ACCB4A3">
            <w:pPr>
              <w:shd w:val="clear"/>
              <w:spacing w:line="480" w:lineRule="exact"/>
              <w:jc w:val="center"/>
              <w:rPr>
                <w:rFonts w:ascii="仿宋" w:hAnsi="仿宋" w:eastAsia="仿宋" w:cs="仿宋"/>
                <w:color w:val="auto"/>
                <w:sz w:val="24"/>
                <w:szCs w:val="20"/>
                <w:highlight w:val="none"/>
                <w:lang w:bidi="ar"/>
              </w:rPr>
            </w:pPr>
          </w:p>
        </w:tc>
        <w:tc>
          <w:tcPr>
            <w:tcW w:w="2304" w:type="dxa"/>
            <w:vAlign w:val="center"/>
          </w:tcPr>
          <w:p w14:paraId="5242FCEF">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毕业学校</w:t>
            </w:r>
          </w:p>
        </w:tc>
        <w:tc>
          <w:tcPr>
            <w:tcW w:w="1845" w:type="dxa"/>
            <w:vAlign w:val="center"/>
          </w:tcPr>
          <w:p w14:paraId="49C0DECE">
            <w:pPr>
              <w:shd w:val="clear"/>
              <w:spacing w:line="480" w:lineRule="exact"/>
              <w:jc w:val="center"/>
              <w:rPr>
                <w:rFonts w:ascii="仿宋" w:hAnsi="仿宋" w:eastAsia="仿宋" w:cs="仿宋"/>
                <w:color w:val="auto"/>
                <w:sz w:val="24"/>
                <w:szCs w:val="20"/>
                <w:highlight w:val="none"/>
                <w:lang w:bidi="ar"/>
              </w:rPr>
            </w:pPr>
          </w:p>
        </w:tc>
      </w:tr>
      <w:tr w14:paraId="2FFE8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676" w:type="dxa"/>
            <w:vAlign w:val="center"/>
          </w:tcPr>
          <w:p w14:paraId="5B7E8C06">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身份证号码</w:t>
            </w:r>
          </w:p>
        </w:tc>
        <w:tc>
          <w:tcPr>
            <w:tcW w:w="2853" w:type="dxa"/>
            <w:vAlign w:val="center"/>
          </w:tcPr>
          <w:p w14:paraId="14BECEC2">
            <w:pPr>
              <w:shd w:val="clear"/>
              <w:spacing w:line="480" w:lineRule="exact"/>
              <w:jc w:val="center"/>
              <w:rPr>
                <w:rFonts w:ascii="仿宋" w:hAnsi="仿宋" w:eastAsia="仿宋" w:cs="仿宋"/>
                <w:color w:val="auto"/>
                <w:sz w:val="24"/>
                <w:szCs w:val="20"/>
                <w:highlight w:val="none"/>
                <w:lang w:bidi="ar"/>
              </w:rPr>
            </w:pPr>
          </w:p>
        </w:tc>
        <w:tc>
          <w:tcPr>
            <w:tcW w:w="2304" w:type="dxa"/>
            <w:vAlign w:val="center"/>
          </w:tcPr>
          <w:p w14:paraId="61A53C16">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在公司担任职务</w:t>
            </w:r>
          </w:p>
        </w:tc>
        <w:tc>
          <w:tcPr>
            <w:tcW w:w="1845" w:type="dxa"/>
            <w:vAlign w:val="center"/>
          </w:tcPr>
          <w:p w14:paraId="751C228E">
            <w:pPr>
              <w:shd w:val="clear"/>
              <w:spacing w:line="480" w:lineRule="exact"/>
              <w:jc w:val="center"/>
              <w:rPr>
                <w:rFonts w:ascii="仿宋" w:hAnsi="仿宋" w:eastAsia="仿宋" w:cs="仿宋"/>
                <w:color w:val="auto"/>
                <w:sz w:val="24"/>
                <w:szCs w:val="20"/>
                <w:highlight w:val="none"/>
                <w:lang w:bidi="ar"/>
              </w:rPr>
            </w:pPr>
          </w:p>
        </w:tc>
      </w:tr>
      <w:tr w14:paraId="0E9EF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1676" w:type="dxa"/>
            <w:vAlign w:val="center"/>
          </w:tcPr>
          <w:p w14:paraId="05758285">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联系电话</w:t>
            </w:r>
          </w:p>
        </w:tc>
        <w:tc>
          <w:tcPr>
            <w:tcW w:w="2853" w:type="dxa"/>
            <w:vAlign w:val="center"/>
          </w:tcPr>
          <w:p w14:paraId="1C75A64F">
            <w:pPr>
              <w:shd w:val="clear"/>
              <w:spacing w:line="480" w:lineRule="exact"/>
              <w:jc w:val="center"/>
              <w:rPr>
                <w:rFonts w:ascii="仿宋" w:hAnsi="仿宋" w:eastAsia="仿宋" w:cs="仿宋"/>
                <w:color w:val="auto"/>
                <w:sz w:val="24"/>
                <w:szCs w:val="20"/>
                <w:highlight w:val="none"/>
                <w:lang w:bidi="ar"/>
              </w:rPr>
            </w:pPr>
          </w:p>
        </w:tc>
        <w:tc>
          <w:tcPr>
            <w:tcW w:w="2304" w:type="dxa"/>
            <w:vAlign w:val="center"/>
          </w:tcPr>
          <w:p w14:paraId="4B7E8E0C">
            <w:pPr>
              <w:shd w:val="clea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取得证书</w:t>
            </w:r>
          </w:p>
        </w:tc>
        <w:tc>
          <w:tcPr>
            <w:tcW w:w="1845" w:type="dxa"/>
            <w:vAlign w:val="center"/>
          </w:tcPr>
          <w:p w14:paraId="3A09CB85">
            <w:pPr>
              <w:shd w:val="clear"/>
              <w:spacing w:line="480" w:lineRule="exact"/>
              <w:jc w:val="center"/>
              <w:rPr>
                <w:rFonts w:ascii="仿宋" w:hAnsi="仿宋" w:eastAsia="仿宋" w:cs="仿宋"/>
                <w:color w:val="auto"/>
                <w:sz w:val="24"/>
                <w:szCs w:val="20"/>
                <w:highlight w:val="none"/>
                <w:lang w:bidi="ar"/>
              </w:rPr>
            </w:pPr>
          </w:p>
        </w:tc>
      </w:tr>
      <w:tr w14:paraId="303C7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4" w:hRule="atLeast"/>
          <w:jc w:val="center"/>
        </w:trPr>
        <w:tc>
          <w:tcPr>
            <w:tcW w:w="8678" w:type="dxa"/>
            <w:gridSpan w:val="4"/>
            <w:vAlign w:val="center"/>
          </w:tcPr>
          <w:p w14:paraId="1DF55E31">
            <w:pPr>
              <w:shd w:val="clear"/>
              <w:spacing w:line="48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项目负责人等从业经历概述：</w:t>
            </w:r>
          </w:p>
          <w:p w14:paraId="4D3B4993">
            <w:pPr>
              <w:pStyle w:val="25"/>
              <w:shd w:val="clear"/>
              <w:ind w:firstLine="0" w:firstLineChars="0"/>
              <w:rPr>
                <w:rFonts w:hint="eastAsia" w:ascii="仿宋" w:hAnsi="仿宋" w:eastAsia="仿宋" w:cs="仿宋"/>
                <w:color w:val="auto"/>
                <w:highlight w:val="none"/>
                <w:lang w:eastAsia="zh-CN"/>
              </w:rPr>
            </w:pPr>
          </w:p>
        </w:tc>
      </w:tr>
    </w:tbl>
    <w:p w14:paraId="72C0BDAC">
      <w:pPr>
        <w:shd w:val="clear"/>
        <w:spacing w:line="300" w:lineRule="exact"/>
        <w:rPr>
          <w:rFonts w:ascii="仿宋" w:hAnsi="仿宋" w:eastAsia="仿宋" w:cs="仿宋"/>
          <w:bCs/>
          <w:color w:val="auto"/>
          <w:szCs w:val="21"/>
          <w:highlight w:val="none"/>
          <w:lang w:eastAsia="zh-CN" w:bidi="ar"/>
        </w:rPr>
      </w:pPr>
      <w:r>
        <w:rPr>
          <w:rFonts w:hint="eastAsia" w:ascii="仿宋" w:hAnsi="仿宋" w:eastAsia="仿宋" w:cs="仿宋"/>
          <w:color w:val="auto"/>
          <w:szCs w:val="21"/>
          <w:highlight w:val="none"/>
          <w:lang w:eastAsia="zh-CN" w:bidi="ar"/>
        </w:rPr>
        <w:t>附：</w:t>
      </w:r>
      <w:r>
        <w:rPr>
          <w:rFonts w:hint="eastAsia" w:ascii="仿宋" w:hAnsi="仿宋" w:eastAsia="仿宋" w:cs="仿宋"/>
          <w:color w:val="auto"/>
          <w:kern w:val="0"/>
          <w:sz w:val="21"/>
          <w:szCs w:val="21"/>
          <w:highlight w:val="none"/>
          <w:lang w:val="en-US" w:eastAsia="zh-CN" w:bidi="ar-SA"/>
        </w:rPr>
        <w:t>身份证复印件、身份证、学历证书、职称证、业绩证明材料（如有要求）、劳动合同等相关证明文件并加盖供应商公章</w:t>
      </w:r>
      <w:r>
        <w:rPr>
          <w:rFonts w:hint="eastAsia" w:ascii="仿宋" w:hAnsi="仿宋" w:eastAsia="仿宋" w:cs="仿宋"/>
          <w:bCs/>
          <w:color w:val="auto"/>
          <w:szCs w:val="21"/>
          <w:highlight w:val="none"/>
          <w:lang w:eastAsia="zh-CN" w:bidi="ar"/>
        </w:rPr>
        <w:t>；</w:t>
      </w:r>
    </w:p>
    <w:p w14:paraId="51F26916">
      <w:pPr>
        <w:shd w:val="clear"/>
        <w:spacing w:line="579" w:lineRule="exact"/>
        <w:ind w:firstLine="480" w:firstLineChars="200"/>
        <w:rPr>
          <w:rFonts w:ascii="仿宋" w:hAnsi="仿宋" w:eastAsia="仿宋" w:cs="仿宋"/>
          <w:color w:val="auto"/>
          <w:sz w:val="24"/>
          <w:szCs w:val="32"/>
          <w:highlight w:val="none"/>
          <w:lang w:eastAsia="zh-CN"/>
        </w:rPr>
      </w:pPr>
    </w:p>
    <w:p w14:paraId="397C844A">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79D78B96">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2C815933">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6784D899">
      <w:pPr>
        <w:shd w:val="clear"/>
        <w:ind w:firstLine="3132" w:firstLineChars="1300"/>
        <w:rPr>
          <w:rFonts w:ascii="仿宋" w:hAnsi="仿宋" w:eastAsia="仿宋" w:cs="仿宋"/>
          <w:b/>
          <w:color w:val="auto"/>
          <w:sz w:val="24"/>
          <w:highlight w:val="none"/>
          <w:lang w:eastAsia="zh-CN"/>
        </w:rPr>
      </w:pPr>
    </w:p>
    <w:p w14:paraId="6CC276FC">
      <w:pPr>
        <w:shd w:val="clear"/>
        <w:ind w:firstLine="3132" w:firstLineChars="1300"/>
        <w:rPr>
          <w:rFonts w:ascii="仿宋" w:hAnsi="仿宋" w:eastAsia="仿宋" w:cs="仿宋"/>
          <w:b/>
          <w:color w:val="auto"/>
          <w:sz w:val="24"/>
          <w:highlight w:val="none"/>
          <w:lang w:eastAsia="zh-CN"/>
        </w:rPr>
      </w:pPr>
    </w:p>
    <w:p w14:paraId="6C342E47">
      <w:pPr>
        <w:pStyle w:val="25"/>
        <w:shd w:val="clear"/>
        <w:rPr>
          <w:rFonts w:ascii="仿宋" w:hAnsi="仿宋" w:eastAsia="仿宋" w:cs="仿宋"/>
          <w:b/>
          <w:color w:val="auto"/>
          <w:sz w:val="24"/>
          <w:highlight w:val="none"/>
          <w:lang w:eastAsia="zh-CN"/>
        </w:rPr>
      </w:pPr>
    </w:p>
    <w:p w14:paraId="5703A5A9">
      <w:pPr>
        <w:shd w:val="clear"/>
        <w:rPr>
          <w:color w:val="auto"/>
          <w:highlight w:val="none"/>
          <w:lang w:eastAsia="zh-CN"/>
        </w:rPr>
      </w:pPr>
    </w:p>
    <w:p w14:paraId="73A0A4EA">
      <w:pPr>
        <w:shd w:val="clear"/>
        <w:rPr>
          <w:color w:val="auto"/>
          <w:highlight w:val="none"/>
          <w:lang w:eastAsia="zh-CN"/>
        </w:rPr>
      </w:pPr>
    </w:p>
    <w:p w14:paraId="10206AFA">
      <w:pPr>
        <w:shd w:val="clear"/>
        <w:rPr>
          <w:color w:val="auto"/>
          <w:highlight w:val="none"/>
          <w:lang w:eastAsia="zh-CN"/>
        </w:rPr>
      </w:pPr>
    </w:p>
    <w:p w14:paraId="434982FA">
      <w:pPr>
        <w:shd w:val="clear"/>
        <w:ind w:firstLine="3132" w:firstLineChars="1300"/>
        <w:rPr>
          <w:rFonts w:hint="eastAsia" w:ascii="仿宋" w:hAnsi="仿宋" w:eastAsia="仿宋" w:cs="仿宋"/>
          <w:b/>
          <w:color w:val="auto"/>
          <w:sz w:val="24"/>
          <w:highlight w:val="none"/>
          <w:lang w:eastAsia="zh-CN"/>
        </w:rPr>
      </w:pPr>
    </w:p>
    <w:p w14:paraId="27A170C9">
      <w:pPr>
        <w:shd w:val="clear"/>
        <w:ind w:firstLine="3132" w:firstLineChars="1300"/>
        <w:rPr>
          <w:rFonts w:ascii="仿宋" w:hAnsi="仿宋" w:eastAsia="仿宋" w:cs="仿宋"/>
          <w:color w:val="auto"/>
          <w:highlight w:val="none"/>
          <w:lang w:eastAsia="zh-CN"/>
        </w:rPr>
      </w:pPr>
      <w:r>
        <w:rPr>
          <w:rFonts w:hint="eastAsia" w:ascii="仿宋" w:hAnsi="仿宋" w:eastAsia="仿宋" w:cs="仿宋"/>
          <w:b/>
          <w:color w:val="auto"/>
          <w:sz w:val="24"/>
          <w:highlight w:val="none"/>
          <w:lang w:eastAsia="zh-CN"/>
        </w:rPr>
        <w:t>项目成员简历表</w:t>
      </w:r>
    </w:p>
    <w:p w14:paraId="1FDB9E50">
      <w:pPr>
        <w:shd w:val="clear"/>
        <w:spacing w:line="500" w:lineRule="exact"/>
        <w:jc w:val="center"/>
        <w:rPr>
          <w:rFonts w:ascii="仿宋" w:hAnsi="仿宋" w:eastAsia="仿宋" w:cs="仿宋"/>
          <w:b/>
          <w:bCs/>
          <w:color w:val="auto"/>
          <w:sz w:val="32"/>
          <w:szCs w:val="32"/>
          <w:highlight w:val="none"/>
          <w:lang w:eastAsia="zh-CN"/>
        </w:rPr>
      </w:pPr>
    </w:p>
    <w:tbl>
      <w:tblPr>
        <w:tblStyle w:val="27"/>
        <w:tblW w:w="8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4"/>
        <w:gridCol w:w="2854"/>
        <w:gridCol w:w="2327"/>
        <w:gridCol w:w="1854"/>
      </w:tblGrid>
      <w:tr w14:paraId="6C94E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1684" w:type="dxa"/>
            <w:vAlign w:val="center"/>
          </w:tcPr>
          <w:p w14:paraId="51BB413F">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姓名</w:t>
            </w:r>
          </w:p>
        </w:tc>
        <w:tc>
          <w:tcPr>
            <w:tcW w:w="2854" w:type="dxa"/>
            <w:vAlign w:val="center"/>
          </w:tcPr>
          <w:p w14:paraId="674730E7">
            <w:pPr>
              <w:shd w:val="clear"/>
              <w:snapToGrid w:val="0"/>
              <w:spacing w:line="500" w:lineRule="exact"/>
              <w:jc w:val="center"/>
              <w:rPr>
                <w:rFonts w:ascii="仿宋" w:hAnsi="仿宋" w:eastAsia="仿宋" w:cs="仿宋"/>
                <w:color w:val="auto"/>
                <w:sz w:val="24"/>
                <w:szCs w:val="20"/>
                <w:highlight w:val="none"/>
                <w:lang w:bidi="ar"/>
              </w:rPr>
            </w:pPr>
          </w:p>
        </w:tc>
        <w:tc>
          <w:tcPr>
            <w:tcW w:w="2327" w:type="dxa"/>
            <w:vAlign w:val="center"/>
          </w:tcPr>
          <w:p w14:paraId="6466A6FD">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性别</w:t>
            </w:r>
          </w:p>
        </w:tc>
        <w:tc>
          <w:tcPr>
            <w:tcW w:w="1854" w:type="dxa"/>
            <w:vAlign w:val="center"/>
          </w:tcPr>
          <w:p w14:paraId="10E724D1">
            <w:pPr>
              <w:shd w:val="clear"/>
              <w:snapToGrid w:val="0"/>
              <w:spacing w:line="500" w:lineRule="exact"/>
              <w:jc w:val="center"/>
              <w:rPr>
                <w:rFonts w:ascii="仿宋" w:hAnsi="仿宋" w:eastAsia="仿宋" w:cs="仿宋"/>
                <w:color w:val="auto"/>
                <w:sz w:val="24"/>
                <w:szCs w:val="20"/>
                <w:highlight w:val="none"/>
                <w:lang w:bidi="ar"/>
              </w:rPr>
            </w:pPr>
          </w:p>
        </w:tc>
      </w:tr>
      <w:tr w14:paraId="32F69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1684" w:type="dxa"/>
            <w:vAlign w:val="center"/>
          </w:tcPr>
          <w:p w14:paraId="094FC978">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职称</w:t>
            </w:r>
          </w:p>
        </w:tc>
        <w:tc>
          <w:tcPr>
            <w:tcW w:w="2854" w:type="dxa"/>
            <w:vAlign w:val="center"/>
          </w:tcPr>
          <w:p w14:paraId="67B813AF">
            <w:pPr>
              <w:shd w:val="clear"/>
              <w:snapToGrid w:val="0"/>
              <w:spacing w:line="500" w:lineRule="exact"/>
              <w:jc w:val="center"/>
              <w:rPr>
                <w:rFonts w:ascii="仿宋" w:hAnsi="仿宋" w:eastAsia="仿宋" w:cs="仿宋"/>
                <w:color w:val="auto"/>
                <w:sz w:val="24"/>
                <w:szCs w:val="20"/>
                <w:highlight w:val="none"/>
                <w:lang w:bidi="ar"/>
              </w:rPr>
            </w:pPr>
          </w:p>
        </w:tc>
        <w:tc>
          <w:tcPr>
            <w:tcW w:w="2327" w:type="dxa"/>
            <w:vAlign w:val="center"/>
          </w:tcPr>
          <w:p w14:paraId="41CBA684">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学历</w:t>
            </w:r>
          </w:p>
        </w:tc>
        <w:tc>
          <w:tcPr>
            <w:tcW w:w="1854" w:type="dxa"/>
            <w:vAlign w:val="center"/>
          </w:tcPr>
          <w:p w14:paraId="57A9B49B">
            <w:pPr>
              <w:shd w:val="clear"/>
              <w:snapToGrid w:val="0"/>
              <w:spacing w:line="500" w:lineRule="exact"/>
              <w:jc w:val="center"/>
              <w:rPr>
                <w:rFonts w:ascii="仿宋" w:hAnsi="仿宋" w:eastAsia="仿宋" w:cs="仿宋"/>
                <w:color w:val="auto"/>
                <w:sz w:val="24"/>
                <w:szCs w:val="20"/>
                <w:highlight w:val="none"/>
                <w:lang w:bidi="ar"/>
              </w:rPr>
            </w:pPr>
          </w:p>
        </w:tc>
      </w:tr>
      <w:tr w14:paraId="2D8EF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1684" w:type="dxa"/>
            <w:vAlign w:val="center"/>
          </w:tcPr>
          <w:p w14:paraId="4E5EDEAB">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参加工作时间</w:t>
            </w:r>
          </w:p>
        </w:tc>
        <w:tc>
          <w:tcPr>
            <w:tcW w:w="2854" w:type="dxa"/>
            <w:vAlign w:val="center"/>
          </w:tcPr>
          <w:p w14:paraId="30B6734D">
            <w:pPr>
              <w:shd w:val="clear"/>
              <w:spacing w:line="500" w:lineRule="exact"/>
              <w:jc w:val="center"/>
              <w:rPr>
                <w:rFonts w:ascii="仿宋" w:hAnsi="仿宋" w:eastAsia="仿宋" w:cs="仿宋"/>
                <w:color w:val="auto"/>
                <w:sz w:val="24"/>
                <w:szCs w:val="20"/>
                <w:highlight w:val="none"/>
                <w:lang w:bidi="ar"/>
              </w:rPr>
            </w:pPr>
          </w:p>
        </w:tc>
        <w:tc>
          <w:tcPr>
            <w:tcW w:w="2327" w:type="dxa"/>
            <w:vAlign w:val="center"/>
          </w:tcPr>
          <w:p w14:paraId="6842528B">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从事相关工作年限</w:t>
            </w:r>
          </w:p>
        </w:tc>
        <w:tc>
          <w:tcPr>
            <w:tcW w:w="1854" w:type="dxa"/>
            <w:vAlign w:val="center"/>
          </w:tcPr>
          <w:p w14:paraId="6030F77F">
            <w:pPr>
              <w:shd w:val="clear"/>
              <w:spacing w:line="500" w:lineRule="exact"/>
              <w:jc w:val="center"/>
              <w:rPr>
                <w:rFonts w:ascii="仿宋" w:hAnsi="仿宋" w:eastAsia="仿宋" w:cs="仿宋"/>
                <w:color w:val="auto"/>
                <w:sz w:val="24"/>
                <w:szCs w:val="20"/>
                <w:highlight w:val="none"/>
                <w:lang w:bidi="ar"/>
              </w:rPr>
            </w:pPr>
          </w:p>
        </w:tc>
      </w:tr>
      <w:tr w14:paraId="25B2B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1684" w:type="dxa"/>
            <w:vAlign w:val="center"/>
          </w:tcPr>
          <w:p w14:paraId="777E6564">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专业</w:t>
            </w:r>
          </w:p>
        </w:tc>
        <w:tc>
          <w:tcPr>
            <w:tcW w:w="2854" w:type="dxa"/>
            <w:vAlign w:val="center"/>
          </w:tcPr>
          <w:p w14:paraId="28475335">
            <w:pPr>
              <w:shd w:val="clear"/>
              <w:spacing w:line="500" w:lineRule="exact"/>
              <w:jc w:val="center"/>
              <w:rPr>
                <w:rFonts w:ascii="仿宋" w:hAnsi="仿宋" w:eastAsia="仿宋" w:cs="仿宋"/>
                <w:color w:val="auto"/>
                <w:sz w:val="24"/>
                <w:szCs w:val="20"/>
                <w:highlight w:val="none"/>
                <w:lang w:bidi="ar"/>
              </w:rPr>
            </w:pPr>
          </w:p>
        </w:tc>
        <w:tc>
          <w:tcPr>
            <w:tcW w:w="2327" w:type="dxa"/>
            <w:vAlign w:val="center"/>
          </w:tcPr>
          <w:p w14:paraId="4F5A5F49">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毕业学校</w:t>
            </w:r>
          </w:p>
        </w:tc>
        <w:tc>
          <w:tcPr>
            <w:tcW w:w="1854" w:type="dxa"/>
            <w:vAlign w:val="center"/>
          </w:tcPr>
          <w:p w14:paraId="43599D25">
            <w:pPr>
              <w:shd w:val="clear"/>
              <w:spacing w:line="500" w:lineRule="exact"/>
              <w:jc w:val="center"/>
              <w:rPr>
                <w:rFonts w:ascii="仿宋" w:hAnsi="仿宋" w:eastAsia="仿宋" w:cs="仿宋"/>
                <w:color w:val="auto"/>
                <w:sz w:val="24"/>
                <w:szCs w:val="20"/>
                <w:highlight w:val="none"/>
                <w:lang w:bidi="ar"/>
              </w:rPr>
            </w:pPr>
          </w:p>
        </w:tc>
      </w:tr>
      <w:tr w14:paraId="098D6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jc w:val="center"/>
        </w:trPr>
        <w:tc>
          <w:tcPr>
            <w:tcW w:w="1684" w:type="dxa"/>
            <w:vAlign w:val="center"/>
          </w:tcPr>
          <w:p w14:paraId="237362FC">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身份证号码</w:t>
            </w:r>
          </w:p>
        </w:tc>
        <w:tc>
          <w:tcPr>
            <w:tcW w:w="2854" w:type="dxa"/>
            <w:vAlign w:val="center"/>
          </w:tcPr>
          <w:p w14:paraId="1607048C">
            <w:pPr>
              <w:shd w:val="clear"/>
              <w:spacing w:line="500" w:lineRule="exact"/>
              <w:jc w:val="center"/>
              <w:rPr>
                <w:rFonts w:ascii="仿宋" w:hAnsi="仿宋" w:eastAsia="仿宋" w:cs="仿宋"/>
                <w:color w:val="auto"/>
                <w:sz w:val="24"/>
                <w:szCs w:val="20"/>
                <w:highlight w:val="none"/>
                <w:lang w:bidi="ar"/>
              </w:rPr>
            </w:pPr>
          </w:p>
        </w:tc>
        <w:tc>
          <w:tcPr>
            <w:tcW w:w="2327" w:type="dxa"/>
            <w:vAlign w:val="center"/>
          </w:tcPr>
          <w:p w14:paraId="4EEB632F">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在公司担任职务</w:t>
            </w:r>
          </w:p>
        </w:tc>
        <w:tc>
          <w:tcPr>
            <w:tcW w:w="1854" w:type="dxa"/>
            <w:vAlign w:val="center"/>
          </w:tcPr>
          <w:p w14:paraId="325E6424">
            <w:pPr>
              <w:shd w:val="clear"/>
              <w:spacing w:line="500" w:lineRule="exact"/>
              <w:jc w:val="center"/>
              <w:rPr>
                <w:rFonts w:ascii="仿宋" w:hAnsi="仿宋" w:eastAsia="仿宋" w:cs="仿宋"/>
                <w:color w:val="auto"/>
                <w:sz w:val="24"/>
                <w:szCs w:val="20"/>
                <w:highlight w:val="none"/>
                <w:lang w:bidi="ar"/>
              </w:rPr>
            </w:pPr>
          </w:p>
        </w:tc>
      </w:tr>
      <w:tr w14:paraId="1BB0F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4538" w:type="dxa"/>
            <w:gridSpan w:val="2"/>
            <w:vAlign w:val="center"/>
          </w:tcPr>
          <w:p w14:paraId="0BEAC005">
            <w:pPr>
              <w:shd w:val="clea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联系电话</w:t>
            </w:r>
          </w:p>
        </w:tc>
        <w:tc>
          <w:tcPr>
            <w:tcW w:w="4181" w:type="dxa"/>
            <w:gridSpan w:val="2"/>
            <w:vAlign w:val="center"/>
          </w:tcPr>
          <w:p w14:paraId="62A249CB">
            <w:pPr>
              <w:shd w:val="clear"/>
              <w:spacing w:line="500" w:lineRule="exact"/>
              <w:jc w:val="center"/>
              <w:rPr>
                <w:rFonts w:ascii="仿宋" w:hAnsi="仿宋" w:eastAsia="仿宋" w:cs="仿宋"/>
                <w:color w:val="auto"/>
                <w:sz w:val="24"/>
                <w:szCs w:val="20"/>
                <w:highlight w:val="none"/>
                <w:lang w:bidi="ar"/>
              </w:rPr>
            </w:pPr>
          </w:p>
        </w:tc>
      </w:tr>
      <w:tr w14:paraId="508B7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0" w:hRule="atLeast"/>
          <w:jc w:val="center"/>
        </w:trPr>
        <w:tc>
          <w:tcPr>
            <w:tcW w:w="8719" w:type="dxa"/>
            <w:gridSpan w:val="4"/>
            <w:vAlign w:val="center"/>
          </w:tcPr>
          <w:p w14:paraId="6BCA76FF">
            <w:pPr>
              <w:shd w:val="clear"/>
              <w:spacing w:line="50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本人从业经历概述：</w:t>
            </w:r>
          </w:p>
          <w:p w14:paraId="027950DB">
            <w:pPr>
              <w:pStyle w:val="25"/>
              <w:shd w:val="clear"/>
              <w:ind w:firstLine="0" w:firstLineChars="0"/>
              <w:rPr>
                <w:rFonts w:hint="eastAsia" w:ascii="仿宋" w:hAnsi="仿宋" w:eastAsia="仿宋" w:cs="仿宋"/>
                <w:color w:val="auto"/>
                <w:highlight w:val="none"/>
                <w:lang w:val="en-US" w:eastAsia="zh-CN"/>
              </w:rPr>
            </w:pPr>
          </w:p>
        </w:tc>
      </w:tr>
    </w:tbl>
    <w:p w14:paraId="4B3EA9DD">
      <w:pPr>
        <w:shd w:val="clear"/>
        <w:spacing w:line="300" w:lineRule="exact"/>
        <w:rPr>
          <w:rFonts w:ascii="仿宋" w:hAnsi="仿宋" w:eastAsia="仿宋" w:cs="仿宋"/>
          <w:bCs/>
          <w:color w:val="auto"/>
          <w:szCs w:val="21"/>
          <w:highlight w:val="none"/>
          <w:lang w:eastAsia="zh-CN" w:bidi="ar"/>
        </w:rPr>
      </w:pPr>
      <w:r>
        <w:rPr>
          <w:rFonts w:hint="eastAsia" w:ascii="仿宋" w:hAnsi="仿宋" w:eastAsia="仿宋" w:cs="仿宋"/>
          <w:color w:val="auto"/>
          <w:szCs w:val="21"/>
          <w:highlight w:val="none"/>
          <w:lang w:eastAsia="zh-CN" w:bidi="ar"/>
        </w:rPr>
        <w:t>附：</w:t>
      </w:r>
      <w:r>
        <w:rPr>
          <w:rFonts w:hint="eastAsia" w:ascii="仿宋" w:hAnsi="仿宋" w:eastAsia="仿宋" w:cs="仿宋"/>
          <w:color w:val="auto"/>
          <w:kern w:val="0"/>
          <w:sz w:val="21"/>
          <w:szCs w:val="21"/>
          <w:highlight w:val="none"/>
          <w:lang w:val="en-US" w:eastAsia="zh-CN" w:bidi="ar-SA"/>
        </w:rPr>
        <w:t>身份证复印件、学历证书复印件及其他证明材料等相关证明文件并加盖供应商公章</w:t>
      </w:r>
      <w:r>
        <w:rPr>
          <w:rFonts w:hint="eastAsia" w:ascii="仿宋" w:hAnsi="仿宋" w:eastAsia="仿宋" w:cs="仿宋"/>
          <w:bCs/>
          <w:color w:val="auto"/>
          <w:szCs w:val="21"/>
          <w:highlight w:val="none"/>
          <w:lang w:eastAsia="zh-CN" w:bidi="ar"/>
        </w:rPr>
        <w:t>；</w:t>
      </w:r>
    </w:p>
    <w:p w14:paraId="7F8EF948">
      <w:pPr>
        <w:shd w:val="clear"/>
        <w:spacing w:line="579" w:lineRule="exact"/>
        <w:ind w:firstLine="480" w:firstLineChars="200"/>
        <w:rPr>
          <w:rFonts w:ascii="仿宋" w:hAnsi="仿宋" w:eastAsia="仿宋" w:cs="仿宋"/>
          <w:color w:val="auto"/>
          <w:sz w:val="24"/>
          <w:szCs w:val="32"/>
          <w:highlight w:val="none"/>
          <w:lang w:eastAsia="zh-CN"/>
        </w:rPr>
      </w:pPr>
    </w:p>
    <w:p w14:paraId="2A0401BA">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53E66C75">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58E6D44F">
      <w:pPr>
        <w:shd w:val="clear"/>
        <w:spacing w:line="579" w:lineRule="exact"/>
        <w:ind w:firstLine="480" w:firstLineChars="200"/>
        <w:rPr>
          <w:rFonts w:hint="eastAsia"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0168BAB9">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32"/>
          <w:highlight w:val="none"/>
          <w:lang w:eastAsia="zh-CN"/>
        </w:rPr>
      </w:pPr>
    </w:p>
    <w:p w14:paraId="74552BB2">
      <w:pPr>
        <w:keepNext/>
        <w:keepLines/>
        <w:pageBreakBefore w:val="0"/>
        <w:widowControl/>
        <w:shd w:val="clear"/>
        <w:kinsoku/>
        <w:wordWrap/>
        <w:overflowPunct/>
        <w:topLinePunct w:val="0"/>
        <w:autoSpaceDE/>
        <w:autoSpaceDN/>
        <w:bidi w:val="0"/>
        <w:adjustRightInd/>
        <w:snapToGrid/>
        <w:textAlignment w:val="baseline"/>
        <w:outlineLvl w:val="9"/>
        <w:rPr>
          <w:rFonts w:hint="eastAsia"/>
          <w:color w:val="auto"/>
          <w:highlight w:val="none"/>
          <w:lang w:eastAsia="zh-CN"/>
        </w:rPr>
      </w:pPr>
    </w:p>
    <w:p w14:paraId="35E179BD">
      <w:pPr>
        <w:keepNext/>
        <w:keepLines/>
        <w:pageBreakBefore w:val="0"/>
        <w:widowControl/>
        <w:shd w:val="clear"/>
        <w:kinsoku/>
        <w:wordWrap/>
        <w:overflowPunct/>
        <w:topLinePunct w:val="0"/>
        <w:autoSpaceDE/>
        <w:autoSpaceDN/>
        <w:bidi w:val="0"/>
        <w:adjustRightInd/>
        <w:snapToGrid/>
        <w:textAlignment w:val="baseline"/>
        <w:outlineLvl w:val="9"/>
        <w:rPr>
          <w:rFonts w:hint="eastAsia"/>
          <w:color w:val="auto"/>
          <w:highlight w:val="none"/>
          <w:lang w:eastAsia="zh-CN"/>
        </w:rPr>
      </w:pPr>
    </w:p>
    <w:p w14:paraId="04F17D9D">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32"/>
          <w:highlight w:val="none"/>
          <w:lang w:eastAsia="zh-CN"/>
        </w:rPr>
      </w:pPr>
    </w:p>
    <w:p w14:paraId="0D01F124">
      <w:pPr>
        <w:pageBreakBefore w:val="0"/>
        <w:widowControl/>
        <w:shd w:val="clear"/>
        <w:kinsoku/>
        <w:wordWrap/>
        <w:overflowPunct/>
        <w:topLinePunct w:val="0"/>
        <w:autoSpaceDE/>
        <w:autoSpaceDN/>
        <w:bidi w:val="0"/>
        <w:adjustRightInd/>
        <w:snapToGrid/>
        <w:textAlignment w:val="baseline"/>
        <w:outlineLvl w:val="9"/>
        <w:rPr>
          <w:rFonts w:hint="eastAsia" w:ascii="仿宋" w:hAnsi="仿宋" w:eastAsia="仿宋" w:cs="仿宋"/>
          <w:color w:val="auto"/>
          <w:sz w:val="24"/>
          <w:szCs w:val="32"/>
          <w:highlight w:val="none"/>
          <w:lang w:eastAsia="zh-CN"/>
        </w:rPr>
      </w:pPr>
    </w:p>
    <w:p w14:paraId="6E3A1F63">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2887634F">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Fonts w:hint="eastAsia" w:ascii="仿宋" w:hAnsi="仿宋" w:eastAsia="仿宋" w:cs="仿宋"/>
          <w:b/>
          <w:color w:val="auto"/>
          <w:sz w:val="24"/>
          <w:highlight w:val="none"/>
          <w:lang w:val="en-US" w:eastAsia="zh-CN"/>
        </w:rPr>
      </w:pPr>
    </w:p>
    <w:p w14:paraId="6C4F5592">
      <w:pPr>
        <w:shd w:val="clear"/>
        <w:spacing w:line="579" w:lineRule="exact"/>
        <w:jc w:val="center"/>
        <w:outlineLvl w:val="2"/>
        <w:rPr>
          <w:rFonts w:hint="default" w:ascii="仿宋" w:hAnsi="仿宋" w:eastAsia="仿宋" w:cs="仿宋"/>
          <w:b/>
          <w:color w:val="auto"/>
          <w:sz w:val="24"/>
          <w:highlight w:val="none"/>
          <w:lang w:val="en-US" w:eastAsia="zh-CN"/>
        </w:rPr>
      </w:pPr>
      <w:bookmarkStart w:id="229" w:name="_Toc7410"/>
      <w:r>
        <w:rPr>
          <w:rFonts w:hint="eastAsia" w:ascii="仿宋" w:hAnsi="仿宋" w:eastAsia="仿宋" w:cs="仿宋"/>
          <w:b/>
          <w:color w:val="auto"/>
          <w:sz w:val="24"/>
          <w:highlight w:val="none"/>
          <w:lang w:val="en-US" w:eastAsia="zh-CN"/>
        </w:rPr>
        <w:t>（六）技术部分</w:t>
      </w:r>
      <w:bookmarkEnd w:id="229"/>
    </w:p>
    <w:p w14:paraId="57B9137E">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供应商根据本项目情况及评分细则</w:t>
      </w:r>
      <w:r>
        <w:rPr>
          <w:rFonts w:hint="eastAsia" w:ascii="仿宋" w:hAnsi="仿宋" w:eastAsia="仿宋" w:cs="仿宋"/>
          <w:color w:val="auto"/>
          <w:sz w:val="24"/>
          <w:szCs w:val="24"/>
          <w:highlight w:val="none"/>
          <w:lang w:val="en-US" w:eastAsia="zh-CN"/>
        </w:rPr>
        <w:t>提供技术部分评审资料，包括但不限于：</w:t>
      </w:r>
    </w:p>
    <w:p w14:paraId="2E099893">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SA"/>
        </w:rPr>
        <w:t>1、</w:t>
      </w:r>
      <w:r>
        <w:rPr>
          <w:rFonts w:hint="eastAsia" w:ascii="仿宋" w:hAnsi="仿宋" w:eastAsia="仿宋" w:cs="仿宋"/>
          <w:color w:val="auto"/>
          <w:sz w:val="24"/>
          <w:szCs w:val="24"/>
          <w:highlight w:val="none"/>
          <w:lang w:val="en-US" w:eastAsia="zh-CN"/>
        </w:rPr>
        <w:t>项目需求分析</w:t>
      </w:r>
    </w:p>
    <w:p w14:paraId="108F895B">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SA"/>
        </w:rPr>
        <w:t>2、系统保障</w:t>
      </w:r>
    </w:p>
    <w:p w14:paraId="7CE36AEC">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SA"/>
        </w:rPr>
        <w:t>3、数据处理</w:t>
      </w:r>
    </w:p>
    <w:p w14:paraId="00164314">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4、评价分析</w:t>
      </w:r>
    </w:p>
    <w:p w14:paraId="36D5C8FE">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数据整合分析平台更新完善</w:t>
      </w:r>
    </w:p>
    <w:p w14:paraId="181B3838">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6、园林草基准地价数据整合处理</w:t>
      </w:r>
    </w:p>
    <w:p w14:paraId="29E86176">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SA"/>
        </w:rPr>
        <w:t>7、项目成果产出</w:t>
      </w:r>
    </w:p>
    <w:p w14:paraId="59894D99">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8、保密措施</w:t>
      </w:r>
    </w:p>
    <w:p w14:paraId="66F10A35">
      <w:pPr>
        <w:keepNext w:val="0"/>
        <w:keepLines w:val="0"/>
        <w:pageBreakBefore w:val="0"/>
        <w:widowControl/>
        <w:numPr>
          <w:ilvl w:val="0"/>
          <w:numId w:val="0"/>
        </w:numPr>
        <w:shd w:val="clear"/>
        <w:kinsoku/>
        <w:wordWrap/>
        <w:overflowPunct/>
        <w:topLinePunct w:val="0"/>
        <w:autoSpaceDE/>
        <w:autoSpaceDN/>
        <w:bidi w:val="0"/>
        <w:adjustRightInd/>
        <w:snapToGrid/>
        <w:spacing w:line="579" w:lineRule="exact"/>
        <w:jc w:val="left"/>
        <w:textAlignment w:val="baseline"/>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9、售后服务</w:t>
      </w:r>
    </w:p>
    <w:p w14:paraId="4A73ECA1">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Fonts w:hint="eastAsia" w:ascii="仿宋" w:hAnsi="仿宋" w:eastAsia="仿宋" w:cs="仿宋"/>
          <w:color w:val="auto"/>
          <w:sz w:val="24"/>
          <w:szCs w:val="24"/>
          <w:highlight w:val="none"/>
          <w:lang w:val="en-US" w:eastAsia="zh-CN"/>
        </w:rPr>
      </w:pPr>
    </w:p>
    <w:p w14:paraId="13317953">
      <w:pPr>
        <w:pStyle w:val="7"/>
        <w:shd w:val="clear"/>
        <w:ind w:firstLine="480"/>
        <w:rPr>
          <w:rFonts w:ascii="仿宋" w:hAnsi="仿宋" w:eastAsia="仿宋" w:cs="仿宋"/>
          <w:color w:val="auto"/>
          <w:sz w:val="24"/>
          <w:highlight w:val="none"/>
          <w:lang w:eastAsia="zh-CN" w:bidi="ar"/>
        </w:rPr>
      </w:pPr>
    </w:p>
    <w:p w14:paraId="36D981CE">
      <w:pPr>
        <w:shd w:val="clear"/>
        <w:rPr>
          <w:color w:val="auto"/>
          <w:highlight w:val="none"/>
          <w:lang w:eastAsia="zh-CN"/>
        </w:rPr>
      </w:pPr>
    </w:p>
    <w:p w14:paraId="71C20D3F">
      <w:pPr>
        <w:pageBreakBefore w:val="0"/>
        <w:widowControl/>
        <w:shd w:val="clear"/>
        <w:kinsoku/>
        <w:wordWrap/>
        <w:overflowPunct/>
        <w:topLinePunct w:val="0"/>
        <w:autoSpaceDE/>
        <w:autoSpaceDN/>
        <w:bidi w:val="0"/>
        <w:adjustRightInd/>
        <w:snapToGrid/>
        <w:ind w:firstLine="480" w:firstLineChars="200"/>
        <w:textAlignment w:val="baseline"/>
        <w:outlineLvl w:val="9"/>
        <w:rPr>
          <w:rFonts w:hint="eastAsia" w:ascii="仿宋" w:hAnsi="仿宋" w:eastAsia="仿宋" w:cs="仿宋"/>
          <w:b w:val="0"/>
          <w:bCs w:val="0"/>
          <w:color w:val="auto"/>
          <w:sz w:val="24"/>
          <w:szCs w:val="24"/>
          <w:highlight w:val="none"/>
          <w:lang w:val="en-US" w:eastAsia="zh-CN"/>
        </w:rPr>
      </w:pPr>
    </w:p>
    <w:p w14:paraId="376D95D1">
      <w:pPr>
        <w:pageBreakBefore w:val="0"/>
        <w:widowControl/>
        <w:shd w:val="clear"/>
        <w:kinsoku/>
        <w:wordWrap/>
        <w:overflowPunct/>
        <w:topLinePunct w:val="0"/>
        <w:autoSpaceDE/>
        <w:autoSpaceDN/>
        <w:bidi w:val="0"/>
        <w:adjustRightInd/>
        <w:snapToGrid/>
        <w:ind w:firstLine="480" w:firstLineChars="200"/>
        <w:textAlignment w:val="baseline"/>
        <w:outlineLvl w:val="9"/>
        <w:rPr>
          <w:rFonts w:hint="eastAsia" w:ascii="仿宋" w:hAnsi="仿宋" w:eastAsia="仿宋" w:cs="仿宋"/>
          <w:b w:val="0"/>
          <w:bCs w:val="0"/>
          <w:color w:val="auto"/>
          <w:sz w:val="24"/>
          <w:szCs w:val="24"/>
          <w:highlight w:val="none"/>
          <w:lang w:val="en-US" w:eastAsia="zh-CN"/>
        </w:rPr>
      </w:pPr>
    </w:p>
    <w:p w14:paraId="0530D1E8">
      <w:pPr>
        <w:shd w:val="clear"/>
        <w:rPr>
          <w:color w:val="auto"/>
          <w:highlight w:val="none"/>
          <w:lang w:eastAsia="zh-CN"/>
        </w:rPr>
      </w:pPr>
    </w:p>
    <w:p w14:paraId="38377E96">
      <w:pPr>
        <w:pStyle w:val="11"/>
        <w:shd w:val="clear"/>
        <w:rPr>
          <w:color w:val="auto"/>
          <w:highlight w:val="none"/>
          <w:lang w:eastAsia="zh-CN"/>
        </w:rPr>
      </w:pPr>
    </w:p>
    <w:p w14:paraId="7C494FDA">
      <w:pPr>
        <w:shd w:val="clear"/>
        <w:rPr>
          <w:color w:val="auto"/>
          <w:highlight w:val="none"/>
          <w:lang w:eastAsia="zh-CN"/>
        </w:rPr>
      </w:pPr>
    </w:p>
    <w:p w14:paraId="30D6266D">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2F8AEE43">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2338C9A3">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130F3366">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5D872578">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569B7BF4">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6A032FFB">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4256A01A">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135F46C6">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1139D399">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1C0FF661">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62B74923">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44B6F359">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48306C9C">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5BA36606">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0E1A297C">
      <w:pPr>
        <w:pageBreakBefore w:val="0"/>
        <w:widowControl/>
        <w:shd w:val="clear"/>
        <w:kinsoku/>
        <w:wordWrap/>
        <w:overflowPunct/>
        <w:topLinePunct w:val="0"/>
        <w:autoSpaceDE/>
        <w:autoSpaceDN/>
        <w:bidi w:val="0"/>
        <w:adjustRightInd/>
        <w:snapToGrid/>
        <w:textAlignment w:val="baseline"/>
        <w:outlineLvl w:val="9"/>
        <w:rPr>
          <w:color w:val="auto"/>
          <w:highlight w:val="none"/>
          <w:lang w:eastAsia="zh-CN"/>
        </w:rPr>
      </w:pPr>
    </w:p>
    <w:p w14:paraId="0B6A2AF4">
      <w:pPr>
        <w:rPr>
          <w:rFonts w:hint="eastAsia" w:ascii="仿宋" w:hAnsi="仿宋" w:eastAsia="仿宋" w:cs="仿宋"/>
          <w:b/>
          <w:color w:val="auto"/>
          <w:sz w:val="24"/>
          <w:highlight w:val="none"/>
          <w:lang w:eastAsia="zh-CN"/>
        </w:rPr>
      </w:pPr>
      <w:bookmarkStart w:id="230" w:name="_Toc22758"/>
      <w:bookmarkStart w:id="231" w:name="_Toc4560"/>
      <w:bookmarkStart w:id="232" w:name="_Toc4701"/>
      <w:bookmarkStart w:id="233" w:name="_Toc6047"/>
      <w:bookmarkStart w:id="234" w:name="_Toc24900"/>
      <w:bookmarkStart w:id="235" w:name="_Toc22554422"/>
      <w:bookmarkStart w:id="236" w:name="_Toc3891661"/>
      <w:bookmarkStart w:id="237" w:name="_Toc2340579"/>
      <w:r>
        <w:rPr>
          <w:rFonts w:hint="eastAsia" w:ascii="仿宋" w:hAnsi="仿宋" w:eastAsia="仿宋" w:cs="仿宋"/>
          <w:b/>
          <w:color w:val="auto"/>
          <w:sz w:val="24"/>
          <w:highlight w:val="none"/>
          <w:lang w:eastAsia="zh-CN"/>
        </w:rPr>
        <w:br w:type="page"/>
      </w:r>
    </w:p>
    <w:p w14:paraId="6E2FBBEB">
      <w:pPr>
        <w:shd w:val="clear"/>
        <w:spacing w:line="579" w:lineRule="exact"/>
        <w:jc w:val="center"/>
        <w:outlineLvl w:val="2"/>
        <w:rPr>
          <w:rFonts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商务</w:t>
      </w:r>
      <w:r>
        <w:rPr>
          <w:rFonts w:hint="eastAsia" w:ascii="仿宋" w:hAnsi="仿宋" w:eastAsia="仿宋" w:cs="仿宋"/>
          <w:b/>
          <w:color w:val="auto"/>
          <w:sz w:val="24"/>
          <w:highlight w:val="none"/>
          <w:lang w:eastAsia="zh-CN"/>
        </w:rPr>
        <w:t>条款偏离表</w:t>
      </w:r>
      <w:bookmarkEnd w:id="230"/>
      <w:bookmarkEnd w:id="231"/>
      <w:bookmarkEnd w:id="232"/>
      <w:bookmarkEnd w:id="233"/>
      <w:bookmarkEnd w:id="234"/>
    </w:p>
    <w:p w14:paraId="622FA459">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项目名称：</w:t>
      </w:r>
    </w:p>
    <w:p w14:paraId="1085D229">
      <w:pPr>
        <w:shd w:val="clear"/>
        <w:spacing w:line="579" w:lineRule="exact"/>
        <w:ind w:firstLine="480" w:firstLineChars="200"/>
        <w:rPr>
          <w:rFonts w:hint="default" w:ascii="仿宋" w:hAnsi="仿宋" w:eastAsia="仿宋" w:cs="仿宋"/>
          <w:color w:val="auto"/>
          <w:highlight w:val="none"/>
          <w:lang w:val="en-US"/>
        </w:rPr>
      </w:pPr>
      <w:r>
        <w:rPr>
          <w:rFonts w:hint="eastAsia" w:ascii="仿宋" w:hAnsi="仿宋" w:eastAsia="仿宋" w:cs="仿宋"/>
          <w:color w:val="auto"/>
          <w:sz w:val="24"/>
          <w:szCs w:val="20"/>
          <w:highlight w:val="none"/>
          <w:lang w:eastAsia="zh-CN" w:bidi="ar"/>
        </w:rPr>
        <w:t>项目编号:</w:t>
      </w:r>
      <w:r>
        <w:rPr>
          <w:rFonts w:hint="eastAsia" w:ascii="仿宋" w:hAnsi="仿宋" w:eastAsia="仿宋" w:cs="仿宋"/>
          <w:color w:val="auto"/>
          <w:sz w:val="24"/>
          <w:szCs w:val="20"/>
          <w:highlight w:val="none"/>
          <w:lang w:val="en-US" w:eastAsia="zh-CN" w:bidi="ar"/>
        </w:rPr>
        <w:t xml:space="preserve"> </w:t>
      </w:r>
    </w:p>
    <w:tbl>
      <w:tblPr>
        <w:tblStyle w:val="27"/>
        <w:tblW w:w="8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477"/>
        <w:gridCol w:w="1509"/>
        <w:gridCol w:w="1048"/>
        <w:gridCol w:w="1968"/>
        <w:gridCol w:w="1960"/>
      </w:tblGrid>
      <w:tr w14:paraId="6716D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vAlign w:val="center"/>
          </w:tcPr>
          <w:p w14:paraId="4C91A0AE">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477" w:type="dxa"/>
            <w:tcBorders>
              <w:top w:val="single" w:color="auto" w:sz="4" w:space="0"/>
              <w:left w:val="single" w:color="auto" w:sz="4" w:space="0"/>
              <w:bottom w:val="single" w:color="auto" w:sz="4" w:space="0"/>
              <w:right w:val="single" w:color="auto" w:sz="4" w:space="0"/>
            </w:tcBorders>
            <w:shd w:val="clear" w:color="auto" w:fill="auto"/>
            <w:vAlign w:val="center"/>
          </w:tcPr>
          <w:p w14:paraId="4D061AEB">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磋商文件要求</w:t>
            </w:r>
          </w:p>
        </w:tc>
        <w:tc>
          <w:tcPr>
            <w:tcW w:w="1509" w:type="dxa"/>
            <w:tcBorders>
              <w:top w:val="single" w:color="auto" w:sz="4" w:space="0"/>
              <w:left w:val="single" w:color="auto" w:sz="4" w:space="0"/>
              <w:bottom w:val="single" w:color="auto" w:sz="4" w:space="0"/>
              <w:right w:val="single" w:color="auto" w:sz="4" w:space="0"/>
            </w:tcBorders>
            <w:shd w:val="clear" w:color="auto" w:fill="auto"/>
            <w:vAlign w:val="center"/>
          </w:tcPr>
          <w:p w14:paraId="76DA078B">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磋商响应</w:t>
            </w:r>
          </w:p>
        </w:tc>
        <w:tc>
          <w:tcPr>
            <w:tcW w:w="1048" w:type="dxa"/>
            <w:tcBorders>
              <w:top w:val="single" w:color="auto" w:sz="4" w:space="0"/>
              <w:left w:val="single" w:color="auto" w:sz="4" w:space="0"/>
              <w:bottom w:val="single" w:color="auto" w:sz="4" w:space="0"/>
              <w:right w:val="single" w:color="auto" w:sz="4" w:space="0"/>
            </w:tcBorders>
            <w:shd w:val="clear" w:color="auto" w:fill="auto"/>
            <w:vAlign w:val="center"/>
          </w:tcPr>
          <w:p w14:paraId="4973741F">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偏离</w:t>
            </w:r>
          </w:p>
        </w:tc>
        <w:tc>
          <w:tcPr>
            <w:tcW w:w="1968" w:type="dxa"/>
            <w:tcBorders>
              <w:top w:val="single" w:color="auto" w:sz="4" w:space="0"/>
              <w:left w:val="single" w:color="auto" w:sz="4" w:space="0"/>
              <w:bottom w:val="single" w:color="auto" w:sz="4" w:space="0"/>
              <w:right w:val="single" w:color="auto" w:sz="4" w:space="0"/>
            </w:tcBorders>
            <w:shd w:val="clear" w:color="auto" w:fill="auto"/>
            <w:vAlign w:val="center"/>
          </w:tcPr>
          <w:p w14:paraId="61C3A278">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说明</w:t>
            </w:r>
          </w:p>
        </w:tc>
        <w:tc>
          <w:tcPr>
            <w:tcW w:w="1960" w:type="dxa"/>
            <w:tcBorders>
              <w:top w:val="single" w:color="auto" w:sz="4" w:space="0"/>
              <w:left w:val="single" w:color="auto" w:sz="4" w:space="0"/>
              <w:bottom w:val="single" w:color="auto" w:sz="4" w:space="0"/>
              <w:right w:val="single" w:color="auto" w:sz="4" w:space="0"/>
            </w:tcBorders>
            <w:shd w:val="clear" w:color="auto" w:fill="auto"/>
            <w:vAlign w:val="center"/>
          </w:tcPr>
          <w:p w14:paraId="5E310CE2">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对应页码</w:t>
            </w:r>
          </w:p>
        </w:tc>
      </w:tr>
      <w:tr w14:paraId="4F994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44E87FF8">
            <w:pPr>
              <w:shd w:val="clear"/>
              <w:spacing w:line="579" w:lineRule="exact"/>
              <w:ind w:firstLine="440" w:firstLineChars="200"/>
              <w:rPr>
                <w:rFonts w:ascii="仿宋" w:hAnsi="仿宋" w:eastAsia="仿宋" w:cs="仿宋"/>
                <w:color w:val="auto"/>
                <w:highlight w:val="none"/>
              </w:rPr>
            </w:pPr>
          </w:p>
        </w:tc>
        <w:tc>
          <w:tcPr>
            <w:tcW w:w="1477" w:type="dxa"/>
            <w:tcBorders>
              <w:top w:val="single" w:color="auto" w:sz="4" w:space="0"/>
              <w:left w:val="single" w:color="auto" w:sz="4" w:space="0"/>
              <w:bottom w:val="single" w:color="auto" w:sz="4" w:space="0"/>
              <w:right w:val="single" w:color="auto" w:sz="4" w:space="0"/>
            </w:tcBorders>
            <w:shd w:val="clear" w:color="auto" w:fill="auto"/>
          </w:tcPr>
          <w:p w14:paraId="33914E0F">
            <w:pPr>
              <w:shd w:val="clear"/>
              <w:spacing w:line="579" w:lineRule="exact"/>
              <w:ind w:firstLine="440" w:firstLineChars="200"/>
              <w:rPr>
                <w:rFonts w:ascii="仿宋" w:hAnsi="仿宋" w:eastAsia="仿宋" w:cs="仿宋"/>
                <w:color w:val="auto"/>
                <w:highlight w:val="none"/>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70A82218">
            <w:pPr>
              <w:shd w:val="clear"/>
              <w:spacing w:line="579" w:lineRule="exact"/>
              <w:ind w:firstLine="440" w:firstLineChars="200"/>
              <w:rPr>
                <w:rFonts w:ascii="仿宋" w:hAnsi="仿宋" w:eastAsia="仿宋" w:cs="仿宋"/>
                <w:color w:val="auto"/>
                <w:highlight w:val="none"/>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53444519">
            <w:pPr>
              <w:shd w:val="clear"/>
              <w:spacing w:line="579" w:lineRule="exact"/>
              <w:ind w:firstLine="440" w:firstLineChars="200"/>
              <w:rPr>
                <w:rFonts w:ascii="仿宋" w:hAnsi="仿宋" w:eastAsia="仿宋" w:cs="仿宋"/>
                <w:color w:val="auto"/>
                <w:highlight w:val="none"/>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0DE756C4">
            <w:pPr>
              <w:shd w:val="clear"/>
              <w:spacing w:line="579" w:lineRule="exact"/>
              <w:ind w:firstLine="440" w:firstLineChars="200"/>
              <w:rPr>
                <w:rFonts w:ascii="仿宋" w:hAnsi="仿宋" w:eastAsia="仿宋" w:cs="仿宋"/>
                <w:color w:val="auto"/>
                <w:highlight w:val="none"/>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499FD6D0">
            <w:pPr>
              <w:shd w:val="clear"/>
              <w:spacing w:line="579" w:lineRule="exact"/>
              <w:ind w:firstLine="440" w:firstLineChars="200"/>
              <w:rPr>
                <w:rFonts w:ascii="仿宋" w:hAnsi="仿宋" w:eastAsia="仿宋" w:cs="仿宋"/>
                <w:color w:val="auto"/>
                <w:highlight w:val="none"/>
              </w:rPr>
            </w:pPr>
          </w:p>
        </w:tc>
      </w:tr>
      <w:tr w14:paraId="6BA03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35E569D8">
            <w:pPr>
              <w:shd w:val="clear"/>
              <w:spacing w:line="579" w:lineRule="exact"/>
              <w:ind w:firstLine="440" w:firstLineChars="200"/>
              <w:rPr>
                <w:rFonts w:ascii="仿宋" w:hAnsi="仿宋" w:eastAsia="仿宋" w:cs="仿宋"/>
                <w:color w:val="auto"/>
                <w:highlight w:val="none"/>
              </w:rPr>
            </w:pPr>
          </w:p>
        </w:tc>
        <w:tc>
          <w:tcPr>
            <w:tcW w:w="1477" w:type="dxa"/>
            <w:tcBorders>
              <w:top w:val="single" w:color="auto" w:sz="4" w:space="0"/>
              <w:left w:val="single" w:color="auto" w:sz="4" w:space="0"/>
              <w:bottom w:val="single" w:color="auto" w:sz="4" w:space="0"/>
              <w:right w:val="single" w:color="auto" w:sz="4" w:space="0"/>
            </w:tcBorders>
            <w:shd w:val="clear" w:color="auto" w:fill="auto"/>
          </w:tcPr>
          <w:p w14:paraId="25E52D50">
            <w:pPr>
              <w:shd w:val="clear"/>
              <w:spacing w:line="579" w:lineRule="exact"/>
              <w:ind w:firstLine="440" w:firstLineChars="200"/>
              <w:rPr>
                <w:rFonts w:ascii="仿宋" w:hAnsi="仿宋" w:eastAsia="仿宋" w:cs="仿宋"/>
                <w:color w:val="auto"/>
                <w:highlight w:val="none"/>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28D19AFB">
            <w:pPr>
              <w:shd w:val="clear"/>
              <w:spacing w:line="579" w:lineRule="exact"/>
              <w:ind w:firstLine="440" w:firstLineChars="200"/>
              <w:rPr>
                <w:rFonts w:ascii="仿宋" w:hAnsi="仿宋" w:eastAsia="仿宋" w:cs="仿宋"/>
                <w:color w:val="auto"/>
                <w:highlight w:val="none"/>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2E5FB2B9">
            <w:pPr>
              <w:shd w:val="clear"/>
              <w:spacing w:line="579" w:lineRule="exact"/>
              <w:ind w:firstLine="440" w:firstLineChars="200"/>
              <w:rPr>
                <w:rFonts w:ascii="仿宋" w:hAnsi="仿宋" w:eastAsia="仿宋" w:cs="仿宋"/>
                <w:color w:val="auto"/>
                <w:highlight w:val="none"/>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10DC9AA9">
            <w:pPr>
              <w:shd w:val="clear"/>
              <w:spacing w:line="579" w:lineRule="exact"/>
              <w:ind w:firstLine="440" w:firstLineChars="200"/>
              <w:rPr>
                <w:rFonts w:ascii="仿宋" w:hAnsi="仿宋" w:eastAsia="仿宋" w:cs="仿宋"/>
                <w:color w:val="auto"/>
                <w:highlight w:val="none"/>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2C69F187">
            <w:pPr>
              <w:shd w:val="clear"/>
              <w:spacing w:line="579" w:lineRule="exact"/>
              <w:ind w:firstLine="440" w:firstLineChars="200"/>
              <w:rPr>
                <w:rFonts w:ascii="仿宋" w:hAnsi="仿宋" w:eastAsia="仿宋" w:cs="仿宋"/>
                <w:color w:val="auto"/>
                <w:highlight w:val="none"/>
              </w:rPr>
            </w:pPr>
          </w:p>
        </w:tc>
      </w:tr>
      <w:tr w14:paraId="6447F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1307DD26">
            <w:pPr>
              <w:shd w:val="clear"/>
              <w:spacing w:line="579" w:lineRule="exact"/>
              <w:ind w:firstLine="440" w:firstLineChars="200"/>
              <w:rPr>
                <w:rFonts w:ascii="仿宋" w:hAnsi="仿宋" w:eastAsia="仿宋" w:cs="仿宋"/>
                <w:color w:val="auto"/>
                <w:highlight w:val="none"/>
              </w:rPr>
            </w:pPr>
          </w:p>
        </w:tc>
        <w:tc>
          <w:tcPr>
            <w:tcW w:w="1477" w:type="dxa"/>
            <w:tcBorders>
              <w:top w:val="single" w:color="auto" w:sz="4" w:space="0"/>
              <w:left w:val="single" w:color="auto" w:sz="4" w:space="0"/>
              <w:bottom w:val="single" w:color="auto" w:sz="4" w:space="0"/>
              <w:right w:val="single" w:color="auto" w:sz="4" w:space="0"/>
            </w:tcBorders>
            <w:shd w:val="clear" w:color="auto" w:fill="auto"/>
          </w:tcPr>
          <w:p w14:paraId="10B37967">
            <w:pPr>
              <w:shd w:val="clear"/>
              <w:spacing w:line="579" w:lineRule="exact"/>
              <w:ind w:firstLine="440" w:firstLineChars="200"/>
              <w:rPr>
                <w:rFonts w:ascii="仿宋" w:hAnsi="仿宋" w:eastAsia="仿宋" w:cs="仿宋"/>
                <w:color w:val="auto"/>
                <w:highlight w:val="none"/>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3CDE8A33">
            <w:pPr>
              <w:shd w:val="clear"/>
              <w:spacing w:line="579" w:lineRule="exact"/>
              <w:ind w:firstLine="440" w:firstLineChars="200"/>
              <w:rPr>
                <w:rFonts w:ascii="仿宋" w:hAnsi="仿宋" w:eastAsia="仿宋" w:cs="仿宋"/>
                <w:color w:val="auto"/>
                <w:highlight w:val="none"/>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607D508C">
            <w:pPr>
              <w:shd w:val="clear"/>
              <w:spacing w:line="579" w:lineRule="exact"/>
              <w:ind w:firstLine="440" w:firstLineChars="200"/>
              <w:rPr>
                <w:rFonts w:ascii="仿宋" w:hAnsi="仿宋" w:eastAsia="仿宋" w:cs="仿宋"/>
                <w:color w:val="auto"/>
                <w:highlight w:val="none"/>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50DF6B96">
            <w:pPr>
              <w:shd w:val="clear"/>
              <w:spacing w:line="579" w:lineRule="exact"/>
              <w:ind w:firstLine="440" w:firstLineChars="200"/>
              <w:rPr>
                <w:rFonts w:ascii="仿宋" w:hAnsi="仿宋" w:eastAsia="仿宋" w:cs="仿宋"/>
                <w:color w:val="auto"/>
                <w:highlight w:val="none"/>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102D63EE">
            <w:pPr>
              <w:shd w:val="clear"/>
              <w:spacing w:line="579" w:lineRule="exact"/>
              <w:ind w:firstLine="440" w:firstLineChars="200"/>
              <w:rPr>
                <w:rFonts w:ascii="仿宋" w:hAnsi="仿宋" w:eastAsia="仿宋" w:cs="仿宋"/>
                <w:color w:val="auto"/>
                <w:highlight w:val="none"/>
              </w:rPr>
            </w:pPr>
          </w:p>
        </w:tc>
      </w:tr>
    </w:tbl>
    <w:p w14:paraId="7B4D46AB">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注： </w:t>
      </w:r>
    </w:p>
    <w:p w14:paraId="4A844FF9">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1. 供应商应仔细研读、对照磋商文件规定的要求，偏离部分必须在上表中填写，并说明偏离情况。如不填写视同全部满足</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szCs w:val="20"/>
          <w:highlight w:val="none"/>
          <w:lang w:eastAsia="zh-CN" w:bidi="ar"/>
        </w:rPr>
        <w:t>文件要求。</w:t>
      </w:r>
    </w:p>
    <w:p w14:paraId="386F5C4D">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 xml:space="preserve"> 2. 供应商承诺：除本表响应的偏离项目及内容外，其他所有项目及内容均完全与</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szCs w:val="20"/>
          <w:highlight w:val="none"/>
          <w:lang w:eastAsia="zh-CN" w:bidi="ar"/>
        </w:rPr>
        <w:t>文件的</w:t>
      </w:r>
      <w:r>
        <w:rPr>
          <w:rFonts w:hint="eastAsia" w:ascii="仿宋" w:hAnsi="仿宋" w:eastAsia="仿宋" w:cs="仿宋"/>
          <w:color w:val="auto"/>
          <w:sz w:val="24"/>
          <w:szCs w:val="20"/>
          <w:highlight w:val="none"/>
          <w:lang w:val="en-US" w:eastAsia="zh-CN" w:bidi="ar"/>
        </w:rPr>
        <w:t>商务</w:t>
      </w:r>
      <w:r>
        <w:rPr>
          <w:rFonts w:hint="eastAsia" w:ascii="仿宋" w:hAnsi="仿宋" w:eastAsia="仿宋" w:cs="仿宋"/>
          <w:color w:val="auto"/>
          <w:sz w:val="24"/>
          <w:szCs w:val="20"/>
          <w:highlight w:val="none"/>
          <w:lang w:eastAsia="zh-CN" w:bidi="ar"/>
        </w:rPr>
        <w:t>服务要求相同。</w:t>
      </w:r>
    </w:p>
    <w:p w14:paraId="0A1234FF">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3. 如供应商与要求完全一致，须在上表中注明“完全响应，无偏离”。</w:t>
      </w:r>
    </w:p>
    <w:p w14:paraId="792063D5">
      <w:pPr>
        <w:shd w:val="clear"/>
        <w:spacing w:line="579" w:lineRule="exact"/>
        <w:ind w:firstLine="480" w:firstLineChars="20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4. 如有偏离，应注明“正偏离”或“负偏离”，并针对偏离项进行详细说明。</w:t>
      </w:r>
    </w:p>
    <w:p w14:paraId="44091681">
      <w:pPr>
        <w:keepNext w:val="0"/>
        <w:keepLines w:val="0"/>
        <w:pageBreakBefore w:val="0"/>
        <w:widowControl/>
        <w:shd w:val="clear"/>
        <w:kinsoku/>
        <w:wordWrap/>
        <w:overflowPunct/>
        <w:topLinePunct w:val="0"/>
        <w:autoSpaceDE/>
        <w:autoSpaceDN/>
        <w:bidi w:val="0"/>
        <w:adjustRightInd/>
        <w:snapToGrid/>
        <w:outlineLvl w:val="9"/>
        <w:rPr>
          <w:color w:val="auto"/>
          <w:highlight w:val="none"/>
          <w:lang w:eastAsia="zh-CN"/>
        </w:rPr>
      </w:pPr>
    </w:p>
    <w:p w14:paraId="7DC04BFD">
      <w:pPr>
        <w:pStyle w:val="25"/>
        <w:keepNext w:val="0"/>
        <w:keepLines w:val="0"/>
        <w:pageBreakBefore w:val="0"/>
        <w:widowControl/>
        <w:shd w:val="clear"/>
        <w:kinsoku/>
        <w:wordWrap/>
        <w:overflowPunct/>
        <w:topLinePunct w:val="0"/>
        <w:autoSpaceDE/>
        <w:autoSpaceDN/>
        <w:bidi w:val="0"/>
        <w:adjustRightInd/>
        <w:snapToGrid/>
        <w:spacing w:after="0" w:line="579" w:lineRule="exact"/>
        <w:ind w:firstLine="240"/>
        <w:outlineLvl w:val="9"/>
        <w:rPr>
          <w:rFonts w:hint="default" w:ascii="仿宋" w:hAnsi="仿宋" w:eastAsia="仿宋" w:cs="仿宋"/>
          <w:color w:val="auto"/>
          <w:highlight w:val="none"/>
          <w:lang w:eastAsia="zh-CN"/>
        </w:rPr>
      </w:pPr>
    </w:p>
    <w:p w14:paraId="292E0B8A">
      <w:pPr>
        <w:pStyle w:val="25"/>
        <w:keepNext w:val="0"/>
        <w:keepLines w:val="0"/>
        <w:pageBreakBefore w:val="0"/>
        <w:widowControl/>
        <w:shd w:val="clear"/>
        <w:kinsoku/>
        <w:wordWrap/>
        <w:overflowPunct/>
        <w:topLinePunct w:val="0"/>
        <w:autoSpaceDE/>
        <w:autoSpaceDN/>
        <w:bidi w:val="0"/>
        <w:adjustRightInd/>
        <w:snapToGrid/>
        <w:spacing w:after="0" w:line="579" w:lineRule="exact"/>
        <w:ind w:firstLine="240"/>
        <w:outlineLvl w:val="9"/>
        <w:rPr>
          <w:rFonts w:hint="default" w:ascii="仿宋" w:hAnsi="仿宋" w:eastAsia="仿宋" w:cs="仿宋"/>
          <w:color w:val="auto"/>
          <w:highlight w:val="none"/>
          <w:lang w:eastAsia="zh-CN"/>
        </w:rPr>
      </w:pPr>
    </w:p>
    <w:p w14:paraId="27D4C879">
      <w:pPr>
        <w:shd w:val="clear"/>
        <w:rPr>
          <w:rFonts w:hint="default" w:ascii="仿宋" w:hAnsi="仿宋" w:eastAsia="仿宋" w:cs="仿宋"/>
          <w:color w:val="auto"/>
          <w:highlight w:val="none"/>
          <w:lang w:eastAsia="zh-CN"/>
        </w:rPr>
      </w:pPr>
    </w:p>
    <w:p w14:paraId="0DBC9974">
      <w:pPr>
        <w:keepNext w:val="0"/>
        <w:keepLines w:val="0"/>
        <w:pageBreakBefore w:val="0"/>
        <w:widowControl/>
        <w:shd w:val="clear"/>
        <w:kinsoku/>
        <w:wordWrap/>
        <w:overflowPunct/>
        <w:topLinePunct w:val="0"/>
        <w:autoSpaceDE/>
        <w:autoSpaceDN/>
        <w:bidi w:val="0"/>
        <w:adjustRightInd/>
        <w:snapToGrid/>
        <w:textAlignment w:val="auto"/>
        <w:outlineLvl w:val="9"/>
        <w:rPr>
          <w:rFonts w:hint="default"/>
          <w:color w:val="auto"/>
          <w:highlight w:val="none"/>
          <w:lang w:eastAsia="zh-CN"/>
        </w:rPr>
      </w:pPr>
    </w:p>
    <w:p w14:paraId="755EC6DA">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51E577C7">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1460EEC9">
      <w:pPr>
        <w:shd w:val="clear"/>
        <w:spacing w:line="579" w:lineRule="exact"/>
        <w:ind w:firstLine="480" w:firstLineChars="200"/>
        <w:rPr>
          <w:rFonts w:hint="eastAsia"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0146B2AD">
      <w:pPr>
        <w:keepNext w:val="0"/>
        <w:keepLines w:val="0"/>
        <w:pageBreakBefore w:val="0"/>
        <w:widowControl/>
        <w:shd w:val="clear"/>
        <w:kinsoku/>
        <w:wordWrap/>
        <w:overflowPunct/>
        <w:topLinePunct w:val="0"/>
        <w:autoSpaceDE/>
        <w:autoSpaceDN/>
        <w:bidi w:val="0"/>
        <w:adjustRightInd/>
        <w:snapToGrid/>
        <w:textAlignment w:val="auto"/>
        <w:outlineLvl w:val="9"/>
        <w:rPr>
          <w:color w:val="auto"/>
          <w:highlight w:val="none"/>
          <w:lang w:eastAsia="zh-CN"/>
        </w:rPr>
      </w:pPr>
    </w:p>
    <w:p w14:paraId="2012157E">
      <w:pPr>
        <w:rPr>
          <w:rFonts w:hint="eastAsia" w:ascii="仿宋" w:hAnsi="仿宋" w:eastAsia="仿宋" w:cs="仿宋"/>
          <w:b/>
          <w:color w:val="auto"/>
          <w:sz w:val="24"/>
          <w:highlight w:val="none"/>
          <w:lang w:eastAsia="zh-CN"/>
        </w:rPr>
      </w:pPr>
      <w:bookmarkStart w:id="238" w:name="_Toc4026"/>
      <w:bookmarkStart w:id="239" w:name="_Toc9472"/>
      <w:bookmarkStart w:id="240" w:name="_Toc14808"/>
      <w:bookmarkStart w:id="241" w:name="_Toc27794"/>
      <w:bookmarkStart w:id="242" w:name="_Toc32266"/>
      <w:r>
        <w:rPr>
          <w:rFonts w:hint="eastAsia" w:ascii="仿宋" w:hAnsi="仿宋" w:eastAsia="仿宋" w:cs="仿宋"/>
          <w:b/>
          <w:color w:val="auto"/>
          <w:sz w:val="24"/>
          <w:highlight w:val="none"/>
          <w:lang w:eastAsia="zh-CN"/>
        </w:rPr>
        <w:br w:type="page"/>
      </w:r>
    </w:p>
    <w:p w14:paraId="67501229">
      <w:pPr>
        <w:shd w:val="clear"/>
        <w:spacing w:line="579" w:lineRule="exact"/>
        <w:jc w:val="center"/>
        <w:outlineLvl w:val="2"/>
        <w:rPr>
          <w:rFonts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lang w:eastAsia="zh-CN"/>
        </w:rPr>
        <w:t>）</w:t>
      </w:r>
      <w:bookmarkEnd w:id="235"/>
      <w:r>
        <w:rPr>
          <w:rFonts w:hint="eastAsia" w:ascii="仿宋" w:hAnsi="仿宋" w:eastAsia="仿宋" w:cs="仿宋"/>
          <w:b/>
          <w:color w:val="auto"/>
          <w:sz w:val="24"/>
          <w:highlight w:val="none"/>
          <w:lang w:val="en-US" w:eastAsia="zh-CN"/>
        </w:rPr>
        <w:t>技术（服务）</w:t>
      </w:r>
      <w:r>
        <w:rPr>
          <w:rFonts w:hint="eastAsia" w:ascii="仿宋" w:hAnsi="仿宋" w:eastAsia="仿宋" w:cs="仿宋"/>
          <w:b/>
          <w:color w:val="auto"/>
          <w:sz w:val="24"/>
          <w:highlight w:val="none"/>
          <w:lang w:eastAsia="zh-CN"/>
        </w:rPr>
        <w:t>条款偏离表</w:t>
      </w:r>
      <w:bookmarkEnd w:id="238"/>
      <w:bookmarkEnd w:id="239"/>
      <w:bookmarkEnd w:id="240"/>
      <w:bookmarkEnd w:id="241"/>
      <w:bookmarkEnd w:id="242"/>
    </w:p>
    <w:p w14:paraId="2FCD6AD1">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项目名称：</w:t>
      </w:r>
    </w:p>
    <w:p w14:paraId="0F5DBA89">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eastAsia="zh-CN" w:bidi="ar"/>
        </w:rPr>
        <w:t>项目编号:</w:t>
      </w:r>
      <w:r>
        <w:rPr>
          <w:rFonts w:hint="eastAsia" w:ascii="仿宋" w:hAnsi="仿宋" w:eastAsia="仿宋" w:cs="仿宋"/>
          <w:color w:val="auto"/>
          <w:sz w:val="24"/>
          <w:szCs w:val="20"/>
          <w:highlight w:val="none"/>
          <w:lang w:val="en-US" w:eastAsia="zh-CN" w:bidi="ar"/>
        </w:rPr>
        <w:t xml:space="preserve"> </w:t>
      </w:r>
    </w:p>
    <w:tbl>
      <w:tblPr>
        <w:tblStyle w:val="27"/>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786"/>
        <w:gridCol w:w="1825"/>
        <w:gridCol w:w="1268"/>
        <w:gridCol w:w="2380"/>
        <w:gridCol w:w="1241"/>
      </w:tblGrid>
      <w:tr w14:paraId="2A52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18" w:type="dxa"/>
            <w:tcBorders>
              <w:top w:val="single" w:color="auto" w:sz="4" w:space="0"/>
              <w:left w:val="single" w:color="auto" w:sz="4" w:space="0"/>
              <w:bottom w:val="single" w:color="auto" w:sz="4" w:space="0"/>
              <w:right w:val="single" w:color="auto" w:sz="4" w:space="0"/>
            </w:tcBorders>
            <w:shd w:val="clear" w:color="auto" w:fill="auto"/>
            <w:vAlign w:val="center"/>
          </w:tcPr>
          <w:p w14:paraId="198CF1D3">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786" w:type="dxa"/>
            <w:tcBorders>
              <w:top w:val="single" w:color="auto" w:sz="4" w:space="0"/>
              <w:left w:val="single" w:color="auto" w:sz="4" w:space="0"/>
              <w:bottom w:val="single" w:color="auto" w:sz="4" w:space="0"/>
              <w:right w:val="single" w:color="auto" w:sz="4" w:space="0"/>
            </w:tcBorders>
            <w:shd w:val="clear" w:color="auto" w:fill="auto"/>
            <w:vAlign w:val="center"/>
          </w:tcPr>
          <w:p w14:paraId="39924BD1">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lang w:val="en-US" w:eastAsia="zh-CN"/>
              </w:rPr>
              <w:t>招标</w:t>
            </w:r>
            <w:r>
              <w:rPr>
                <w:rFonts w:hint="eastAsia" w:ascii="仿宋" w:hAnsi="仿宋" w:eastAsia="仿宋" w:cs="仿宋"/>
                <w:color w:val="auto"/>
                <w:highlight w:val="none"/>
              </w:rPr>
              <w:t>文件要求</w:t>
            </w:r>
          </w:p>
        </w:tc>
        <w:tc>
          <w:tcPr>
            <w:tcW w:w="1825" w:type="dxa"/>
            <w:tcBorders>
              <w:top w:val="single" w:color="auto" w:sz="4" w:space="0"/>
              <w:left w:val="single" w:color="auto" w:sz="4" w:space="0"/>
              <w:bottom w:val="single" w:color="auto" w:sz="4" w:space="0"/>
              <w:right w:val="single" w:color="auto" w:sz="4" w:space="0"/>
            </w:tcBorders>
            <w:shd w:val="clear" w:color="auto" w:fill="auto"/>
            <w:vAlign w:val="center"/>
          </w:tcPr>
          <w:p w14:paraId="18CDF22A">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lang w:val="en-US" w:eastAsia="zh-CN"/>
              </w:rPr>
              <w:t>投标</w:t>
            </w:r>
            <w:r>
              <w:rPr>
                <w:rFonts w:hint="eastAsia" w:ascii="仿宋" w:hAnsi="仿宋" w:eastAsia="仿宋" w:cs="仿宋"/>
                <w:color w:val="auto"/>
                <w:highlight w:val="none"/>
              </w:rPr>
              <w:t>响应</w:t>
            </w:r>
          </w:p>
        </w:tc>
        <w:tc>
          <w:tcPr>
            <w:tcW w:w="1268" w:type="dxa"/>
            <w:tcBorders>
              <w:top w:val="single" w:color="auto" w:sz="4" w:space="0"/>
              <w:left w:val="single" w:color="auto" w:sz="4" w:space="0"/>
              <w:bottom w:val="single" w:color="auto" w:sz="4" w:space="0"/>
              <w:right w:val="single" w:color="auto" w:sz="4" w:space="0"/>
            </w:tcBorders>
            <w:shd w:val="clear" w:color="auto" w:fill="auto"/>
            <w:vAlign w:val="center"/>
          </w:tcPr>
          <w:p w14:paraId="55E06053">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偏离</w:t>
            </w:r>
          </w:p>
        </w:tc>
        <w:tc>
          <w:tcPr>
            <w:tcW w:w="2380" w:type="dxa"/>
            <w:tcBorders>
              <w:top w:val="single" w:color="auto" w:sz="4" w:space="0"/>
              <w:left w:val="single" w:color="auto" w:sz="4" w:space="0"/>
              <w:bottom w:val="single" w:color="auto" w:sz="4" w:space="0"/>
              <w:right w:val="single" w:color="auto" w:sz="4" w:space="0"/>
            </w:tcBorders>
            <w:shd w:val="clear" w:color="auto" w:fill="auto"/>
            <w:vAlign w:val="center"/>
          </w:tcPr>
          <w:p w14:paraId="5C1CD736">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说明</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14:paraId="3AFA7745">
            <w:pPr>
              <w:shd w:val="clea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对应页码</w:t>
            </w:r>
          </w:p>
        </w:tc>
      </w:tr>
      <w:tr w14:paraId="29498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566374E4">
            <w:pPr>
              <w:shd w:val="clear"/>
              <w:spacing w:line="579" w:lineRule="exact"/>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2297BD80">
            <w:pPr>
              <w:shd w:val="clea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48BB99D4">
            <w:pPr>
              <w:shd w:val="clea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2C12EE10">
            <w:pPr>
              <w:shd w:val="clea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236AFD69">
            <w:pPr>
              <w:shd w:val="clea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40F99C95">
            <w:pPr>
              <w:shd w:val="clear"/>
              <w:spacing w:line="579" w:lineRule="exact"/>
              <w:ind w:firstLine="440" w:firstLineChars="200"/>
              <w:rPr>
                <w:rFonts w:ascii="仿宋" w:hAnsi="仿宋" w:eastAsia="仿宋" w:cs="仿宋"/>
                <w:color w:val="auto"/>
                <w:highlight w:val="none"/>
              </w:rPr>
            </w:pPr>
          </w:p>
        </w:tc>
      </w:tr>
      <w:tr w14:paraId="45AE7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330EEBAD">
            <w:pPr>
              <w:shd w:val="clear"/>
              <w:spacing w:line="579" w:lineRule="exact"/>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51D686BC">
            <w:pPr>
              <w:shd w:val="clea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2D6E60E1">
            <w:pPr>
              <w:shd w:val="clea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5674C3FD">
            <w:pPr>
              <w:shd w:val="clea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5D3F9468">
            <w:pPr>
              <w:shd w:val="clea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110CD320">
            <w:pPr>
              <w:shd w:val="clear"/>
              <w:spacing w:line="579" w:lineRule="exact"/>
              <w:ind w:firstLine="440" w:firstLineChars="200"/>
              <w:rPr>
                <w:rFonts w:ascii="仿宋" w:hAnsi="仿宋" w:eastAsia="仿宋" w:cs="仿宋"/>
                <w:color w:val="auto"/>
                <w:highlight w:val="none"/>
              </w:rPr>
            </w:pPr>
          </w:p>
        </w:tc>
      </w:tr>
      <w:tr w14:paraId="42BAE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560E41E4">
            <w:pPr>
              <w:shd w:val="clear"/>
              <w:spacing w:line="579" w:lineRule="exact"/>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3A90577F">
            <w:pPr>
              <w:shd w:val="clea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3F219EB7">
            <w:pPr>
              <w:shd w:val="clea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32FB5BAF">
            <w:pPr>
              <w:shd w:val="clea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195C4AA8">
            <w:pPr>
              <w:shd w:val="clea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1CFC37A9">
            <w:pPr>
              <w:shd w:val="clear"/>
              <w:spacing w:line="579" w:lineRule="exact"/>
              <w:ind w:firstLine="440" w:firstLineChars="200"/>
              <w:rPr>
                <w:rFonts w:ascii="仿宋" w:hAnsi="仿宋" w:eastAsia="仿宋" w:cs="仿宋"/>
                <w:color w:val="auto"/>
                <w:highlight w:val="none"/>
              </w:rPr>
            </w:pPr>
          </w:p>
        </w:tc>
      </w:tr>
      <w:tr w14:paraId="4CB93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65968EA3">
            <w:pPr>
              <w:shd w:val="clear"/>
              <w:spacing w:line="579" w:lineRule="exact"/>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0988CD33">
            <w:pPr>
              <w:shd w:val="clea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4B13BE94">
            <w:pPr>
              <w:shd w:val="clea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63868BA3">
            <w:pPr>
              <w:shd w:val="clea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293B817E">
            <w:pPr>
              <w:shd w:val="clea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693F3697">
            <w:pPr>
              <w:shd w:val="clear"/>
              <w:spacing w:line="579" w:lineRule="exact"/>
              <w:ind w:firstLine="440" w:firstLineChars="200"/>
              <w:rPr>
                <w:rFonts w:ascii="仿宋" w:hAnsi="仿宋" w:eastAsia="仿宋" w:cs="仿宋"/>
                <w:color w:val="auto"/>
                <w:highlight w:val="none"/>
              </w:rPr>
            </w:pPr>
          </w:p>
        </w:tc>
      </w:tr>
      <w:tr w14:paraId="7D129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093768E8">
            <w:pPr>
              <w:shd w:val="clear"/>
              <w:spacing w:line="579" w:lineRule="exact"/>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3CB00944">
            <w:pPr>
              <w:shd w:val="clea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588933D8">
            <w:pPr>
              <w:shd w:val="clea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7F3A9C01">
            <w:pPr>
              <w:shd w:val="clea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45AE5614">
            <w:pPr>
              <w:shd w:val="clea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3BE8B704">
            <w:pPr>
              <w:shd w:val="clear"/>
              <w:spacing w:line="579" w:lineRule="exact"/>
              <w:ind w:firstLine="440" w:firstLineChars="200"/>
              <w:rPr>
                <w:rFonts w:ascii="仿宋" w:hAnsi="仿宋" w:eastAsia="仿宋" w:cs="仿宋"/>
                <w:color w:val="auto"/>
                <w:highlight w:val="none"/>
              </w:rPr>
            </w:pPr>
          </w:p>
        </w:tc>
      </w:tr>
    </w:tbl>
    <w:p w14:paraId="67AB5A65">
      <w:pPr>
        <w:shd w:val="clea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注： </w:t>
      </w:r>
    </w:p>
    <w:p w14:paraId="2D1CDEAA">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1. 供应商应仔细研读、对照磋商文件第三部分的要求，偏离部分必须在上表中填写，并说明偏离情况。如不填写视同全部满足</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szCs w:val="20"/>
          <w:highlight w:val="none"/>
          <w:lang w:eastAsia="zh-CN" w:bidi="ar"/>
        </w:rPr>
        <w:t>文件要求。</w:t>
      </w:r>
    </w:p>
    <w:p w14:paraId="54722A55">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 xml:space="preserve"> 2. 供应商承诺：除本表响应的偏离项目及内容外，其他所有项目及内容均完全与</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szCs w:val="20"/>
          <w:highlight w:val="none"/>
          <w:lang w:eastAsia="zh-CN" w:bidi="ar"/>
        </w:rPr>
        <w:t>文件的技术及服务要求相同。</w:t>
      </w:r>
    </w:p>
    <w:p w14:paraId="603362DA">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3. 如供应商与要求完全一致，须在上表中注明“完全响应，无偏离”。</w:t>
      </w:r>
    </w:p>
    <w:p w14:paraId="1533D258">
      <w:pPr>
        <w:shd w:val="clea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4. 如有偏离，应注明“正偏离”或“负偏离”，并针对偏离项进行详细说明。</w:t>
      </w:r>
    </w:p>
    <w:p w14:paraId="672E0652">
      <w:pPr>
        <w:pStyle w:val="25"/>
        <w:shd w:val="clear"/>
        <w:spacing w:after="0" w:line="579" w:lineRule="exact"/>
        <w:ind w:left="0" w:leftChars="0" w:firstLine="0" w:firstLineChars="0"/>
        <w:rPr>
          <w:rFonts w:hint="default" w:ascii="仿宋" w:hAnsi="仿宋" w:eastAsia="仿宋" w:cs="仿宋"/>
          <w:color w:val="auto"/>
          <w:highlight w:val="none"/>
          <w:lang w:eastAsia="zh-CN"/>
        </w:rPr>
      </w:pPr>
    </w:p>
    <w:p w14:paraId="6BBA01CF">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667FB1CB">
      <w:pPr>
        <w:shd w:val="clea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0B258514">
      <w:pPr>
        <w:shd w:val="clear"/>
        <w:spacing w:line="579" w:lineRule="exact"/>
        <w:ind w:firstLine="480" w:firstLineChars="200"/>
        <w:rPr>
          <w:rFonts w:hint="eastAsia"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035FBC7A">
      <w:pPr>
        <w:pStyle w:val="11"/>
        <w:shd w:val="clear"/>
        <w:rPr>
          <w:rFonts w:hint="eastAsia" w:ascii="仿宋" w:hAnsi="仿宋" w:eastAsia="仿宋" w:cs="仿宋"/>
          <w:color w:val="auto"/>
          <w:sz w:val="24"/>
          <w:szCs w:val="32"/>
          <w:highlight w:val="none"/>
          <w:lang w:eastAsia="zh-CN"/>
        </w:rPr>
      </w:pPr>
    </w:p>
    <w:p w14:paraId="661CADCF">
      <w:pPr>
        <w:pStyle w:val="18"/>
        <w:shd w:val="clear"/>
        <w:rPr>
          <w:rFonts w:hint="eastAsia" w:ascii="仿宋" w:hAnsi="仿宋" w:eastAsia="仿宋" w:cs="仿宋"/>
          <w:color w:val="auto"/>
          <w:sz w:val="24"/>
          <w:szCs w:val="32"/>
          <w:highlight w:val="none"/>
          <w:lang w:eastAsia="zh-CN"/>
        </w:rPr>
      </w:pPr>
    </w:p>
    <w:p w14:paraId="4821BB89">
      <w:pPr>
        <w:pStyle w:val="8"/>
        <w:shd w:val="clear"/>
        <w:rPr>
          <w:color w:val="auto"/>
          <w:highlight w:val="none"/>
          <w:lang w:eastAsia="zh-CN"/>
        </w:rPr>
      </w:pPr>
    </w:p>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36"/>
    <w:bookmarkEnd w:id="237"/>
    <w:p w14:paraId="16E542D8">
      <w:pPr>
        <w:shd w:val="clear"/>
        <w:spacing w:line="579" w:lineRule="exact"/>
        <w:jc w:val="center"/>
        <w:outlineLvl w:val="2"/>
        <w:rPr>
          <w:rFonts w:hint="eastAsia" w:ascii="仿宋" w:hAnsi="仿宋" w:eastAsia="仿宋" w:cs="仿宋"/>
          <w:b/>
          <w:color w:val="auto"/>
          <w:sz w:val="24"/>
          <w:highlight w:val="none"/>
          <w:lang w:eastAsia="zh-CN"/>
        </w:rPr>
      </w:pPr>
      <w:bookmarkStart w:id="243" w:name="_Toc2445"/>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九</w:t>
      </w:r>
      <w:r>
        <w:rPr>
          <w:rFonts w:hint="eastAsia" w:ascii="仿宋" w:hAnsi="仿宋" w:eastAsia="仿宋" w:cs="仿宋"/>
          <w:b/>
          <w:color w:val="auto"/>
          <w:sz w:val="24"/>
          <w:highlight w:val="none"/>
          <w:lang w:eastAsia="zh-CN"/>
        </w:rPr>
        <w:t>）供应商企业类型声明函</w:t>
      </w:r>
      <w:bookmarkEnd w:id="243"/>
    </w:p>
    <w:p w14:paraId="4AD391DB">
      <w:pPr>
        <w:shd w:val="clear"/>
        <w:tabs>
          <w:tab w:val="left" w:pos="3975"/>
        </w:tabs>
        <w:spacing w:line="440" w:lineRule="exact"/>
        <w:ind w:firstLine="482" w:firstLineChars="200"/>
        <w:rPr>
          <w:rFonts w:ascii="仿宋" w:hAnsi="仿宋" w:eastAsia="仿宋" w:cs="仿宋"/>
          <w:color w:val="auto"/>
          <w:sz w:val="24"/>
          <w:highlight w:val="none"/>
          <w:lang w:eastAsia="zh-CN"/>
        </w:rPr>
      </w:pP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lang w:eastAsia="zh-CN"/>
        </w:rPr>
        <w:t>-1、中小微企业声明函</w:t>
      </w:r>
    </w:p>
    <w:p w14:paraId="02D33070">
      <w:pPr>
        <w:shd w:val="clea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bidi="ar"/>
        </w:rPr>
        <w:t>《中小企业声明函》（服务）</w:t>
      </w:r>
    </w:p>
    <w:p w14:paraId="49FD3DCE">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本公司（联合体）郑重声明，根据《政府采购促进中小企业发展管理办法》（财库﹝2020﹞46 号）的规定，本公司参加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（单位名称）</w:t>
      </w:r>
      <w:r>
        <w:rPr>
          <w:rFonts w:hint="eastAsia" w:ascii="仿宋" w:hAnsi="仿宋" w:eastAsia="仿宋" w:cs="仿宋"/>
          <w:color w:val="auto"/>
          <w:sz w:val="24"/>
          <w:szCs w:val="24"/>
          <w:highlight w:val="none"/>
          <w:lang w:eastAsia="zh-CN" w:bidi="ar"/>
        </w:rPr>
        <w:t xml:space="preserve">的                     </w:t>
      </w:r>
      <w:r>
        <w:rPr>
          <w:rFonts w:hint="eastAsia" w:ascii="仿宋" w:hAnsi="仿宋" w:eastAsia="仿宋" w:cs="仿宋"/>
          <w:i/>
          <w:iCs/>
          <w:color w:val="auto"/>
          <w:sz w:val="24"/>
          <w:szCs w:val="24"/>
          <w:highlight w:val="none"/>
          <w:u w:val="single"/>
          <w:lang w:eastAsia="zh-CN" w:bidi="ar"/>
        </w:rPr>
        <w:t xml:space="preserve">               （项目名称）</w:t>
      </w:r>
      <w:r>
        <w:rPr>
          <w:rFonts w:hint="eastAsia" w:ascii="仿宋" w:hAnsi="仿宋" w:eastAsia="仿宋" w:cs="仿宋"/>
          <w:color w:val="auto"/>
          <w:sz w:val="24"/>
          <w:szCs w:val="24"/>
          <w:highlight w:val="none"/>
          <w:lang w:eastAsia="zh-CN" w:bidi="ar"/>
        </w:rPr>
        <w:t>采购活动，服务全部由符合政策要求的中小企业承接。相关企业的具体情况如下：</w:t>
      </w:r>
    </w:p>
    <w:p w14:paraId="66F71528">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1.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438FE038">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2.</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54897F79">
      <w:pPr>
        <w:shd w:val="clear"/>
        <w:spacing w:line="579" w:lineRule="exact"/>
        <w:ind w:firstLine="720" w:firstLineChars="3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w:t>
      </w:r>
    </w:p>
    <w:p w14:paraId="1F6AF06A">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以上企业，不属于大企业的分支机构，不存在控股股东为大企业的情形，也不存在与大企业的负责人为同一人的情形。</w:t>
      </w:r>
    </w:p>
    <w:p w14:paraId="2CC32F16">
      <w:pPr>
        <w:shd w:val="clea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本企业对上述声明内容的真实性负责。如有虚假，将依法承担相应责任。 </w:t>
      </w:r>
    </w:p>
    <w:p w14:paraId="1978A645">
      <w:pPr>
        <w:shd w:val="clea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企业名称（盖章）： </w:t>
      </w:r>
    </w:p>
    <w:p w14:paraId="667CECCB">
      <w:pPr>
        <w:shd w:val="clea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日 期： </w:t>
      </w:r>
    </w:p>
    <w:p w14:paraId="54EBA962">
      <w:pPr>
        <w:shd w:val="clear"/>
        <w:spacing w:line="579" w:lineRule="exact"/>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1 从业人员、营业收入、资产总额填报上一年度数据，无上一年度数据的新成立企业可不填报。</w:t>
      </w:r>
    </w:p>
    <w:p w14:paraId="3510F472">
      <w:pPr>
        <w:shd w:val="clear"/>
        <w:tabs>
          <w:tab w:val="left" w:pos="3975"/>
        </w:tabs>
        <w:spacing w:line="440" w:lineRule="exact"/>
        <w:ind w:firstLine="480" w:firstLineChars="200"/>
        <w:rPr>
          <w:rFonts w:ascii="仿宋" w:hAnsi="仿宋" w:eastAsia="仿宋" w:cs="仿宋"/>
          <w:color w:val="auto"/>
          <w:sz w:val="24"/>
          <w:highlight w:val="none"/>
          <w:lang w:eastAsia="zh-CN"/>
        </w:rPr>
      </w:pPr>
    </w:p>
    <w:p w14:paraId="524D8732">
      <w:pPr>
        <w:shd w:val="clear"/>
        <w:tabs>
          <w:tab w:val="left" w:pos="3975"/>
        </w:tabs>
        <w:spacing w:line="440" w:lineRule="exact"/>
        <w:ind w:firstLine="482" w:firstLineChars="200"/>
        <w:rPr>
          <w:rFonts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lang w:eastAsia="zh-CN"/>
        </w:rPr>
        <w:t>-2</w:t>
      </w:r>
      <w:r>
        <w:rPr>
          <w:rFonts w:hint="eastAsia" w:ascii="仿宋" w:hAnsi="仿宋" w:eastAsia="仿宋" w:cs="仿宋"/>
          <w:color w:val="auto"/>
          <w:sz w:val="24"/>
          <w:highlight w:val="none"/>
          <w:lang w:eastAsia="zh-CN"/>
        </w:rPr>
        <w:tab/>
      </w:r>
      <w:r>
        <w:rPr>
          <w:rFonts w:hint="eastAsia" w:ascii="仿宋" w:hAnsi="仿宋" w:eastAsia="仿宋" w:cs="仿宋"/>
          <w:b/>
          <w:color w:val="auto"/>
          <w:sz w:val="24"/>
          <w:highlight w:val="none"/>
          <w:lang w:eastAsia="zh-CN"/>
        </w:rPr>
        <w:t>监狱企业声明函</w:t>
      </w:r>
    </w:p>
    <w:p w14:paraId="5D0DC188">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（监狱企业适用）</w:t>
      </w:r>
    </w:p>
    <w:p w14:paraId="6B61666A">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本公司郑重声明，根据《关于政府采购支持监狱企业发展有关问题的通知》（财库[2014]68号）的规定，本公司为监狱企业。</w:t>
      </w:r>
    </w:p>
    <w:p w14:paraId="53EE05B4">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本公司参加______单位的______项目采购活动，采购活动提供本企业（填写制造的货物，由本企业承担工程、提供服务）。</w:t>
      </w:r>
    </w:p>
    <w:p w14:paraId="46024D97">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本条所称货物不包括使用大型企业注册商标的货物和服务。</w:t>
      </w:r>
    </w:p>
    <w:p w14:paraId="574DB8D1">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本公司对上述声明的真实性负责。如有虚假，将依法承担相应责任。</w:t>
      </w:r>
    </w:p>
    <w:p w14:paraId="0FB902BA">
      <w:pPr>
        <w:shd w:val="clear"/>
        <w:tabs>
          <w:tab w:val="left" w:pos="3975"/>
        </w:tabs>
        <w:spacing w:line="440" w:lineRule="exact"/>
        <w:ind w:firstLine="480" w:firstLineChars="200"/>
        <w:rPr>
          <w:rFonts w:ascii="仿宋" w:hAnsi="仿宋" w:eastAsia="仿宋" w:cs="仿宋"/>
          <w:color w:val="auto"/>
          <w:sz w:val="24"/>
          <w:highlight w:val="none"/>
          <w:lang w:eastAsia="zh-CN"/>
        </w:rPr>
      </w:pPr>
    </w:p>
    <w:p w14:paraId="4FAC9908">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企业名称（盖公章）：</w:t>
      </w:r>
    </w:p>
    <w:p w14:paraId="381E7943">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法定代表人（负责人）或其授权代表(签字)：</w:t>
      </w:r>
    </w:p>
    <w:p w14:paraId="3E843351">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w:t>
      </w:r>
    </w:p>
    <w:p w14:paraId="4EA7361C">
      <w:pPr>
        <w:shd w:val="clear"/>
        <w:tabs>
          <w:tab w:val="left" w:pos="3975"/>
        </w:tabs>
        <w:spacing w:line="440" w:lineRule="exact"/>
        <w:ind w:firstLine="480" w:firstLineChars="200"/>
        <w:rPr>
          <w:rFonts w:ascii="仿宋" w:hAnsi="仿宋" w:eastAsia="仿宋" w:cs="仿宋"/>
          <w:color w:val="auto"/>
          <w:sz w:val="24"/>
          <w:highlight w:val="none"/>
          <w:lang w:eastAsia="zh-CN"/>
        </w:rPr>
      </w:pPr>
    </w:p>
    <w:p w14:paraId="561B22DD">
      <w:pPr>
        <w:shd w:val="clear"/>
        <w:tabs>
          <w:tab w:val="left" w:pos="3975"/>
        </w:tabs>
        <w:spacing w:line="440" w:lineRule="exact"/>
        <w:ind w:firstLine="482" w:firstLineChars="200"/>
        <w:rPr>
          <w:rFonts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9</w:t>
      </w:r>
      <w:r>
        <w:rPr>
          <w:rFonts w:hint="eastAsia" w:ascii="仿宋" w:hAnsi="仿宋" w:eastAsia="仿宋" w:cs="仿宋"/>
          <w:b/>
          <w:bCs/>
          <w:color w:val="auto"/>
          <w:sz w:val="24"/>
          <w:highlight w:val="none"/>
          <w:lang w:eastAsia="zh-CN"/>
        </w:rPr>
        <w:t>-3残疾人福利性单位声明函</w:t>
      </w:r>
    </w:p>
    <w:p w14:paraId="7C4EEB6B">
      <w:pPr>
        <w:shd w:val="clear"/>
        <w:tabs>
          <w:tab w:val="left" w:pos="3975"/>
        </w:tabs>
        <w:spacing w:line="440" w:lineRule="exact"/>
        <w:ind w:firstLine="482" w:firstLineChars="200"/>
        <w:rPr>
          <w:rFonts w:ascii="仿宋" w:hAnsi="仿宋" w:eastAsia="仿宋" w:cs="仿宋"/>
          <w:b/>
          <w:bCs/>
          <w:color w:val="auto"/>
          <w:sz w:val="24"/>
          <w:highlight w:val="none"/>
          <w:lang w:eastAsia="zh-CN"/>
        </w:rPr>
      </w:pPr>
    </w:p>
    <w:p w14:paraId="041BB468">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C6B919C">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本单位对上述声明的真实性负责。如有虚假，将依法承担相应责任。                               </w:t>
      </w:r>
    </w:p>
    <w:p w14:paraId="055B1FBD">
      <w:pPr>
        <w:shd w:val="clear"/>
        <w:tabs>
          <w:tab w:val="left" w:pos="3975"/>
        </w:tabs>
        <w:spacing w:line="440" w:lineRule="exact"/>
        <w:ind w:firstLine="480" w:firstLineChars="200"/>
        <w:rPr>
          <w:rFonts w:ascii="仿宋" w:hAnsi="仿宋" w:eastAsia="仿宋" w:cs="仿宋"/>
          <w:color w:val="auto"/>
          <w:sz w:val="24"/>
          <w:highlight w:val="none"/>
          <w:lang w:eastAsia="zh-CN"/>
        </w:rPr>
      </w:pPr>
    </w:p>
    <w:p w14:paraId="577DF0BB">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单位名称（盖章）：</w:t>
      </w:r>
    </w:p>
    <w:p w14:paraId="58ECB183">
      <w:pPr>
        <w:shd w:val="clea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日  期：</w:t>
      </w:r>
    </w:p>
    <w:p w14:paraId="56193ED6">
      <w:pPr>
        <w:keepNext w:val="0"/>
        <w:keepLines w:val="0"/>
        <w:pageBreakBefore w:val="0"/>
        <w:widowControl/>
        <w:shd w:val="clear"/>
        <w:kinsoku/>
        <w:wordWrap/>
        <w:overflowPunct/>
        <w:topLinePunct w:val="0"/>
        <w:autoSpaceDE/>
        <w:autoSpaceDN/>
        <w:bidi w:val="0"/>
        <w:adjustRightInd/>
        <w:snapToGrid/>
        <w:spacing w:line="579" w:lineRule="exact"/>
        <w:jc w:val="center"/>
        <w:textAlignment w:val="baseline"/>
        <w:outlineLvl w:val="9"/>
        <w:rPr>
          <w:rFonts w:ascii="仿宋" w:hAnsi="仿宋" w:eastAsia="仿宋" w:cs="仿宋"/>
          <w:b/>
          <w:color w:val="auto"/>
          <w:sz w:val="24"/>
          <w:highlight w:val="none"/>
          <w:lang w:eastAsia="zh-CN"/>
        </w:rPr>
      </w:pPr>
    </w:p>
    <w:p w14:paraId="50C02023">
      <w:pPr>
        <w:pStyle w:val="25"/>
        <w:shd w:val="clear"/>
        <w:ind w:firstLine="241"/>
        <w:rPr>
          <w:rFonts w:hint="default" w:ascii="仿宋" w:hAnsi="仿宋" w:eastAsia="仿宋" w:cs="仿宋"/>
          <w:b/>
          <w:color w:val="auto"/>
          <w:highlight w:val="none"/>
          <w:lang w:eastAsia="zh-CN"/>
        </w:rPr>
      </w:pPr>
    </w:p>
    <w:p w14:paraId="7F197085">
      <w:pPr>
        <w:pStyle w:val="25"/>
        <w:shd w:val="clear"/>
        <w:ind w:firstLine="241"/>
        <w:rPr>
          <w:rFonts w:hint="default" w:ascii="仿宋" w:hAnsi="仿宋" w:eastAsia="仿宋" w:cs="仿宋"/>
          <w:b/>
          <w:color w:val="auto"/>
          <w:highlight w:val="none"/>
          <w:lang w:eastAsia="zh-CN"/>
        </w:rPr>
      </w:pPr>
    </w:p>
    <w:p w14:paraId="5E8CEEC9">
      <w:pPr>
        <w:shd w:val="clear"/>
        <w:rPr>
          <w:rFonts w:hint="default" w:ascii="仿宋" w:hAnsi="仿宋" w:eastAsia="仿宋" w:cs="仿宋"/>
          <w:b/>
          <w:color w:val="auto"/>
          <w:highlight w:val="none"/>
          <w:lang w:eastAsia="zh-CN"/>
        </w:rPr>
      </w:pPr>
    </w:p>
    <w:p w14:paraId="44D4BB87">
      <w:pPr>
        <w:keepNext/>
        <w:keepLines/>
        <w:pageBreakBefore w:val="0"/>
        <w:widowControl/>
        <w:shd w:val="clear"/>
        <w:kinsoku/>
        <w:wordWrap/>
        <w:overflowPunct/>
        <w:topLinePunct w:val="0"/>
        <w:autoSpaceDE/>
        <w:autoSpaceDN/>
        <w:bidi w:val="0"/>
        <w:adjustRightInd/>
        <w:snapToGrid/>
        <w:textAlignment w:val="baseline"/>
        <w:outlineLvl w:val="9"/>
        <w:rPr>
          <w:rFonts w:hint="default"/>
          <w:color w:val="auto"/>
          <w:highlight w:val="none"/>
          <w:lang w:eastAsia="zh-CN"/>
        </w:rPr>
      </w:pPr>
    </w:p>
    <w:p w14:paraId="00B9FE88">
      <w:pPr>
        <w:pStyle w:val="25"/>
        <w:shd w:val="clear"/>
        <w:ind w:firstLine="241"/>
        <w:rPr>
          <w:rFonts w:hint="default" w:ascii="仿宋" w:hAnsi="仿宋" w:eastAsia="仿宋" w:cs="仿宋"/>
          <w:b/>
          <w:color w:val="auto"/>
          <w:highlight w:val="none"/>
          <w:lang w:eastAsia="zh-CN"/>
        </w:rPr>
      </w:pPr>
    </w:p>
    <w:p w14:paraId="4F121EFC">
      <w:pPr>
        <w:shd w:val="clear"/>
        <w:spacing w:line="579" w:lineRule="exact"/>
        <w:jc w:val="center"/>
        <w:outlineLvl w:val="2"/>
        <w:rPr>
          <w:rFonts w:ascii="仿宋" w:hAnsi="仿宋" w:eastAsia="仿宋" w:cs="仿宋"/>
          <w:b/>
          <w:color w:val="auto"/>
          <w:sz w:val="24"/>
          <w:highlight w:val="none"/>
          <w:lang w:eastAsia="zh-CN"/>
        </w:rPr>
      </w:pPr>
      <w:bookmarkStart w:id="244" w:name="_Toc7885"/>
      <w:bookmarkStart w:id="245" w:name="_Toc12596"/>
      <w:bookmarkStart w:id="246" w:name="_Toc1692"/>
      <w:bookmarkStart w:id="247" w:name="_Toc9308"/>
      <w:bookmarkStart w:id="248" w:name="_Toc29252"/>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十</w:t>
      </w:r>
      <w:r>
        <w:rPr>
          <w:rFonts w:hint="eastAsia" w:ascii="仿宋" w:hAnsi="仿宋" w:eastAsia="仿宋" w:cs="仿宋"/>
          <w:b/>
          <w:color w:val="auto"/>
          <w:sz w:val="24"/>
          <w:highlight w:val="none"/>
          <w:lang w:eastAsia="zh-CN"/>
        </w:rPr>
        <w:t>）供应商认为有必要提交的其他资料</w:t>
      </w:r>
      <w:bookmarkEnd w:id="228"/>
      <w:bookmarkEnd w:id="244"/>
      <w:bookmarkEnd w:id="245"/>
      <w:bookmarkEnd w:id="246"/>
      <w:bookmarkEnd w:id="247"/>
      <w:bookmarkEnd w:id="248"/>
    </w:p>
    <w:p w14:paraId="5815C8BE">
      <w:pPr>
        <w:shd w:val="clear"/>
        <w:spacing w:line="500"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供应商应提交的其它资料应包括：</w:t>
      </w:r>
    </w:p>
    <w:p w14:paraId="3947025D">
      <w:pPr>
        <w:shd w:val="clear"/>
        <w:spacing w:line="500" w:lineRule="exact"/>
        <w:ind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）评分细则提及或供应商认为需要提供的其他说明和资料。</w:t>
      </w:r>
    </w:p>
    <w:p w14:paraId="6FDE1AD6">
      <w:pPr>
        <w:shd w:val="clear"/>
        <w:spacing w:line="500" w:lineRule="exact"/>
        <w:ind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szCs w:val="20"/>
          <w:highlight w:val="none"/>
          <w:lang w:eastAsia="zh-CN" w:bidi="ar"/>
        </w:rPr>
        <w:t>磋商</w:t>
      </w:r>
      <w:r>
        <w:rPr>
          <w:rFonts w:hint="eastAsia" w:ascii="仿宋" w:hAnsi="仿宋" w:eastAsia="仿宋" w:cs="仿宋"/>
          <w:color w:val="auto"/>
          <w:sz w:val="24"/>
          <w:highlight w:val="none"/>
          <w:lang w:eastAsia="zh-CN"/>
        </w:rPr>
        <w:t>文件要求提供的其它资料等；</w:t>
      </w:r>
    </w:p>
    <w:p w14:paraId="58A20726">
      <w:pPr>
        <w:shd w:val="clea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highlight w:val="none"/>
          <w:lang w:val="en-US" w:eastAsia="zh-CN"/>
        </w:rPr>
        <w:t>（3）单位账户信息（用于退还保证金）</w:t>
      </w:r>
    </w:p>
    <w:p w14:paraId="1A0ACA93">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账户名称：</w:t>
      </w:r>
    </w:p>
    <w:p w14:paraId="2B1DCA11">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统一社会信用代码：</w:t>
      </w:r>
    </w:p>
    <w:p w14:paraId="07F551E5">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账户号码：</w:t>
      </w:r>
    </w:p>
    <w:p w14:paraId="61058B9C">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开户行：</w:t>
      </w:r>
    </w:p>
    <w:p w14:paraId="1D502B59">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开户行号：</w:t>
      </w:r>
    </w:p>
    <w:p w14:paraId="0B641E16">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单位地址：</w:t>
      </w:r>
    </w:p>
    <w:p w14:paraId="56D14BF0">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联系电话：</w:t>
      </w:r>
    </w:p>
    <w:p w14:paraId="3B5FCE83">
      <w:pPr>
        <w:pStyle w:val="81"/>
        <w:rPr>
          <w:color w:val="auto"/>
          <w:highlight w:val="none"/>
          <w:lang w:eastAsia="zh-CN"/>
        </w:rPr>
      </w:pPr>
    </w:p>
    <w:p w14:paraId="50805F92">
      <w:pPr>
        <w:shd w:val="clear"/>
        <w:spacing w:line="455" w:lineRule="exact"/>
        <w:jc w:val="center"/>
        <w:rPr>
          <w:rStyle w:val="35"/>
          <w:rFonts w:ascii="仿宋" w:hAnsi="仿宋" w:eastAsia="仿宋" w:cs="仿宋"/>
          <w:color w:val="auto"/>
          <w:highlight w:val="none"/>
          <w:lang w:eastAsia="zh-CN"/>
        </w:rPr>
      </w:pPr>
    </w:p>
    <w:sectPr>
      <w:headerReference r:id="rId7" w:type="first"/>
      <w:headerReference r:id="rId6" w:type="default"/>
      <w:pgSz w:w="11906" w:h="16838"/>
      <w:pgMar w:top="1440" w:right="1701" w:bottom="1440" w:left="1701" w:header="851" w:footer="992" w:gutter="0"/>
      <w:pgBorders>
        <w:top w:val="none" w:sz="0" w:space="0"/>
        <w:left w:val="none" w:sz="0" w:space="0"/>
        <w:bottom w:val="none" w:sz="0" w:space="0"/>
        <w:right w:val="none" w:sz="0" w:space="0"/>
      </w:pgBorders>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仿宋_GBK">
    <w:altName w:val="微软雅黑"/>
    <w:panose1 w:val="02000000000000000000"/>
    <w:charset w:val="86"/>
    <w:family w:val="auto"/>
    <w:pitch w:val="default"/>
    <w:sig w:usb0="00000000" w:usb1="00000000" w:usb2="00082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1D418">
    <w:pPr>
      <w:pStyle w:val="38"/>
      <w:spacing w:line="14" w:lineRule="auto"/>
      <w:ind w:left="0"/>
      <w:rPr>
        <w:rStyle w:val="35"/>
        <w:sz w:val="20"/>
      </w:rPr>
    </w:pPr>
    <w:r>
      <w:rPr>
        <w:lang w:eastAsia="zh-CN"/>
      </w:rPr>
      <mc:AlternateContent>
        <mc:Choice Requires="wps">
          <w:drawing>
            <wp:anchor distT="0" distB="0" distL="114300" distR="114300" simplePos="0" relativeHeight="251659264" behindDoc="1" locked="0" layoutInCell="1" allowOverlap="1">
              <wp:simplePos x="0" y="0"/>
              <wp:positionH relativeFrom="page">
                <wp:posOffset>3813175</wp:posOffset>
              </wp:positionH>
              <wp:positionV relativeFrom="page">
                <wp:posOffset>10047605</wp:posOffset>
              </wp:positionV>
              <wp:extent cx="107950" cy="152400"/>
              <wp:effectExtent l="0" t="0" r="0" b="0"/>
              <wp:wrapNone/>
              <wp:docPr id="3" name="4097"/>
              <wp:cNvGraphicFramePr/>
              <a:graphic xmlns:a="http://schemas.openxmlformats.org/drawingml/2006/main">
                <a:graphicData uri="http://schemas.microsoft.com/office/word/2010/wordprocessingShape">
                  <wps:wsp>
                    <wps:cNvSpPr txBox="1">
                      <a:spLocks noChangeArrowheads="1"/>
                    </wps:cNvSpPr>
                    <wps:spPr bwMode="auto">
                      <a:xfrm>
                        <a:off x="0" y="0"/>
                        <a:ext cx="107950" cy="152400"/>
                      </a:xfrm>
                      <a:prstGeom prst="rect">
                        <a:avLst/>
                      </a:prstGeom>
                      <a:noFill/>
                      <a:ln>
                        <a:noFill/>
                      </a:ln>
                      <a:effectLst/>
                    </wps:spPr>
                    <wps:txbx>
                      <w:txbxContent>
                        <w:p w14:paraId="4A7400E9"/>
                      </w:txbxContent>
                    </wps:txbx>
                    <wps:bodyPr rot="0" vert="horz" wrap="square" lIns="0" tIns="0" rIns="0" bIns="0" anchor="t" anchorCtr="0" upright="1">
                      <a:noAutofit/>
                    </wps:bodyPr>
                  </wps:wsp>
                </a:graphicData>
              </a:graphic>
            </wp:anchor>
          </w:drawing>
        </mc:Choice>
        <mc:Fallback>
          <w:pict>
            <v:shape id="4097" o:spid="_x0000_s1026" o:spt="202" type="#_x0000_t202" style="position:absolute;left:0pt;margin-left:300.25pt;margin-top:791.15pt;height:12pt;width:8.5pt;mso-position-horizontal-relative:page;mso-position-vertical-relative:page;z-index:-251657216;mso-width-relative:page;mso-height-relative:page;" filled="f" stroked="f" coordsize="21600,21600" o:gfxdata="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6mXTwtoAAAANAQAADwAAAAAAAAABACAAAAAiAAAAZHJzL2Rv&#10;d25yZXYueG1sUEsBAhQAFAAAAAgAh07iQJD269X/AQAACwQAAA4AAAAAAAAAAQAgAAAAKQEAAGRy&#10;cy9lMm9Eb2MueG1sUEsFBgAAAAAGAAYAWQEAAJoFAAAAAA==&#10;">
              <v:fill on="f" focussize="0,0"/>
              <v:stroke on="f"/>
              <v:imagedata o:title=""/>
              <o:lock v:ext="edit" aspectratio="f"/>
              <v:textbox inset="0mm,0mm,0mm,0mm">
                <w:txbxContent>
                  <w:p w14:paraId="4A7400E9"/>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428F7">
    <w:pPr>
      <w:pStyle w:val="38"/>
      <w:spacing w:line="14" w:lineRule="auto"/>
      <w:ind w:left="0"/>
      <w:rPr>
        <w:rStyle w:val="35"/>
        <w:sz w:val="12"/>
      </w:rPr>
    </w:pPr>
    <w:r>
      <w:rPr>
        <w:lang w:eastAsia="zh-CN"/>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51765" cy="1828800"/>
              <wp:effectExtent l="0" t="0" r="0" b="0"/>
              <wp:wrapNone/>
              <wp:docPr id="2" name="文本框 5"/>
              <wp:cNvGraphicFramePr/>
              <a:graphic xmlns:a="http://schemas.openxmlformats.org/drawingml/2006/main">
                <a:graphicData uri="http://schemas.microsoft.com/office/word/2010/wordprocessingShape">
                  <wps:wsp>
                    <wps:cNvSpPr txBox="1"/>
                    <wps:spPr>
                      <a:xfrm>
                        <a:off x="0" y="0"/>
                        <a:ext cx="151765" cy="1828800"/>
                      </a:xfrm>
                      <a:prstGeom prst="rect">
                        <a:avLst/>
                      </a:prstGeom>
                      <a:noFill/>
                      <a:ln>
                        <a:noFill/>
                      </a:ln>
                    </wps:spPr>
                    <wps:txbx>
                      <w:txbxContent>
                        <w:p w14:paraId="533F8486">
                          <w:pPr>
                            <w:pStyle w:val="18"/>
                          </w:pPr>
                          <w:r>
                            <w:fldChar w:fldCharType="begin"/>
                          </w:r>
                          <w:r>
                            <w:instrText xml:space="preserve"> PAGE  \* MERGEFORMAT </w:instrText>
                          </w:r>
                          <w:r>
                            <w:fldChar w:fldCharType="separate"/>
                          </w:r>
                          <w:r>
                            <w:t>1</w:t>
                          </w:r>
                          <w:r>
                            <w:fldChar w:fldCharType="end"/>
                          </w:r>
                        </w:p>
                      </w:txbxContent>
                    </wps:txbx>
                    <wps:bodyPr wrap="square" lIns="0" tIns="0" rIns="0" bIns="0" upright="1">
                      <a:spAutoFit/>
                    </wps:bodyPr>
                  </wps:wsp>
                </a:graphicData>
              </a:graphic>
            </wp:anchor>
          </w:drawing>
        </mc:Choice>
        <mc:Fallback>
          <w:pict>
            <v:shape id="文本框 5" o:spid="_x0000_s1026" o:spt="202" type="#_x0000_t202" style="position:absolute;left:0pt;margin-top:0pt;height:144pt;width:11.95pt;mso-position-horizontal:center;mso-position-horizontal-relative:margin;z-index:251661312;mso-width-relative:page;mso-height-relative:page;" filled="f" stroked="f" coordsize="21600,21600" o:gfxdata="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g4o8rdIAAAAEAQAADwAAAAAAAAABACAAAAAiAAAAZHJz&#10;L2Rvd25yZXYueG1sUEsBAhQAFAAAAAgAh07iQJPYxY/RAQAAmgMAAA4AAAAAAAAAAQAgAAAAIQEA&#10;AGRycy9lMm9Eb2MueG1sUEsFBgAAAAAGAAYAWQEAAGQFAAAAAA==&#10;">
              <v:fill on="f" focussize="0,0"/>
              <v:stroke on="f"/>
              <v:imagedata o:title=""/>
              <o:lock v:ext="edit" aspectratio="f"/>
              <v:textbox inset="0mm,0mm,0mm,0mm" style="mso-fit-shape-to-text:t;">
                <w:txbxContent>
                  <w:p w14:paraId="533F8486">
                    <w:pPr>
                      <w:pStyle w:val="18"/>
                    </w:pPr>
                    <w:r>
                      <w:fldChar w:fldCharType="begin"/>
                    </w:r>
                    <w:r>
                      <w:instrText xml:space="preserve"> PAGE  \* MERGEFORMAT </w:instrText>
                    </w:r>
                    <w:r>
                      <w:fldChar w:fldCharType="separate"/>
                    </w:r>
                    <w:r>
                      <w:t>1</w:t>
                    </w:r>
                    <w:r>
                      <w:fldChar w:fldCharType="end"/>
                    </w:r>
                  </w:p>
                </w:txbxContent>
              </v:textbox>
            </v:shape>
          </w:pict>
        </mc:Fallback>
      </mc:AlternateContent>
    </w:r>
    <w:r>
      <w:rPr>
        <w:lang w:eastAsia="zh-CN"/>
      </w:rPr>
      <mc:AlternateContent>
        <mc:Choice Requires="wps">
          <w:drawing>
            <wp:anchor distT="0" distB="0" distL="114300" distR="114300" simplePos="0" relativeHeight="251660288" behindDoc="1" locked="0" layoutInCell="1" allowOverlap="1">
              <wp:simplePos x="0" y="0"/>
              <wp:positionH relativeFrom="page">
                <wp:posOffset>3751580</wp:posOffset>
              </wp:positionH>
              <wp:positionV relativeFrom="page">
                <wp:posOffset>9922510</wp:posOffset>
              </wp:positionV>
              <wp:extent cx="167005" cy="152400"/>
              <wp:effectExtent l="0" t="0" r="0" b="0"/>
              <wp:wrapNone/>
              <wp:docPr id="5" name="4099"/>
              <wp:cNvGraphicFramePr/>
              <a:graphic xmlns:a="http://schemas.openxmlformats.org/drawingml/2006/main">
                <a:graphicData uri="http://schemas.microsoft.com/office/word/2010/wordprocessingShape">
                  <wps:wsp>
                    <wps:cNvSpPr txBox="1">
                      <a:spLocks noChangeArrowheads="1"/>
                    </wps:cNvSpPr>
                    <wps:spPr bwMode="auto">
                      <a:xfrm>
                        <a:off x="0" y="0"/>
                        <a:ext cx="167005" cy="152400"/>
                      </a:xfrm>
                      <a:prstGeom prst="rect">
                        <a:avLst/>
                      </a:prstGeom>
                      <a:noFill/>
                      <a:ln>
                        <a:noFill/>
                      </a:ln>
                      <a:effectLst/>
                    </wps:spPr>
                    <wps:txbx>
                      <w:txbxContent>
                        <w:p w14:paraId="5608ABDD"/>
                      </w:txbxContent>
                    </wps:txbx>
                    <wps:bodyPr rot="0" vert="horz" wrap="square" lIns="0" tIns="0" rIns="0" bIns="0" anchor="t" anchorCtr="0" upright="1">
                      <a:noAutofit/>
                    </wps:bodyPr>
                  </wps:wsp>
                </a:graphicData>
              </a:graphic>
            </wp:anchor>
          </w:drawing>
        </mc:Choice>
        <mc:Fallback>
          <w:pict>
            <v:shape id="4099" o:spid="_x0000_s1026" o:spt="202" type="#_x0000_t202" style="position:absolute;left:0pt;margin-left:295.4pt;margin-top:781.3pt;height:12pt;width:13.15pt;mso-position-horizontal-relative:page;mso-position-vertical-relative:page;z-index:-251656192;mso-width-relative:page;mso-height-relative:page;" filled="f" stroked="f" coordsize="21600,21600" o:gfxdata="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3IKpI2gAAAA0BAAAPAAAAAAAAAAEAIAAAACIAAABkcnMvZG93&#10;bnJldi54bWxQSwECFAAUAAAACACHTuJAaXWh/f4BAAALBAAADgAAAAAAAAABACAAAAApAQAAZHJz&#10;L2Uyb0RvYy54bWxQSwUGAAAAAAYABgBZAQAAmQUAAAAA&#10;">
              <v:fill on="f" focussize="0,0"/>
              <v:stroke on="f"/>
              <v:imagedata o:title=""/>
              <o:lock v:ext="edit" aspectratio="f"/>
              <v:textbox inset="0mm,0mm,0mm,0mm">
                <w:txbxContent>
                  <w:p w14:paraId="5608ABDD"/>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C0D12">
    <w:pPr>
      <w:pStyle w:val="38"/>
      <w:spacing w:line="14" w:lineRule="auto"/>
      <w:ind w:left="0"/>
      <w:rPr>
        <w:rStyle w:val="35"/>
        <w:sz w:val="12"/>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D9DB37">
                          <w:pPr>
                            <w:pStyle w:val="18"/>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AD9DB37">
                    <w:pPr>
                      <w:pStyle w:val="18"/>
                    </w:pPr>
                    <w:r>
                      <w:fldChar w:fldCharType="begin"/>
                    </w:r>
                    <w:r>
                      <w:instrText xml:space="preserve"> PAGE  \* MERGEFORMAT </w:instrText>
                    </w:r>
                    <w:r>
                      <w:fldChar w:fldCharType="separate"/>
                    </w:r>
                    <w:r>
                      <w:t>36</w:t>
                    </w:r>
                    <w:r>
                      <w:fldChar w:fldCharType="end"/>
                    </w:r>
                  </w:p>
                </w:txbxContent>
              </v:textbox>
            </v:shape>
          </w:pict>
        </mc:Fallback>
      </mc:AlternateContent>
    </w:r>
    <w:r>
      <w:rPr>
        <w:lang w:eastAsia="zh-CN"/>
      </w:rPr>
      <mc:AlternateContent>
        <mc:Choice Requires="wps">
          <w:drawing>
            <wp:anchor distT="0" distB="0" distL="114300" distR="114300" simplePos="0" relativeHeight="251662336" behindDoc="1" locked="0" layoutInCell="1" allowOverlap="1">
              <wp:simplePos x="0" y="0"/>
              <wp:positionH relativeFrom="page">
                <wp:posOffset>3751580</wp:posOffset>
              </wp:positionH>
              <wp:positionV relativeFrom="page">
                <wp:posOffset>9922510</wp:posOffset>
              </wp:positionV>
              <wp:extent cx="167005" cy="152400"/>
              <wp:effectExtent l="0" t="0" r="0" b="0"/>
              <wp:wrapNone/>
              <wp:docPr id="10" name="4099"/>
              <wp:cNvGraphicFramePr/>
              <a:graphic xmlns:a="http://schemas.openxmlformats.org/drawingml/2006/main">
                <a:graphicData uri="http://schemas.microsoft.com/office/word/2010/wordprocessingShape">
                  <wps:wsp>
                    <wps:cNvSpPr txBox="1">
                      <a:spLocks noChangeArrowheads="1"/>
                    </wps:cNvSpPr>
                    <wps:spPr bwMode="auto">
                      <a:xfrm>
                        <a:off x="0" y="0"/>
                        <a:ext cx="167005" cy="152400"/>
                      </a:xfrm>
                      <a:prstGeom prst="rect">
                        <a:avLst/>
                      </a:prstGeom>
                      <a:noFill/>
                      <a:ln>
                        <a:noFill/>
                      </a:ln>
                      <a:effectLst/>
                    </wps:spPr>
                    <wps:txbx>
                      <w:txbxContent>
                        <w:p w14:paraId="665500C5"/>
                      </w:txbxContent>
                    </wps:txbx>
                    <wps:bodyPr rot="0" vert="horz" wrap="square" lIns="0" tIns="0" rIns="0" bIns="0" anchor="t" anchorCtr="0" upright="1">
                      <a:noAutofit/>
                    </wps:bodyPr>
                  </wps:wsp>
                </a:graphicData>
              </a:graphic>
            </wp:anchor>
          </w:drawing>
        </mc:Choice>
        <mc:Fallback>
          <w:pict>
            <v:shape id="4099" o:spid="_x0000_s1026" o:spt="202" type="#_x0000_t202" style="position:absolute;left:0pt;margin-left:295.4pt;margin-top:781.3pt;height:12pt;width:13.15pt;mso-position-horizontal-relative:page;mso-position-vertical-relative:page;z-index:-251654144;mso-width-relative:page;mso-height-relative:page;" filled="f" stroked="f" coordsize="21600,21600" o:gfxdata="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9yCqSNoAAAANAQAADwAAAAAAAAABACAAAAAiAAAAZHJzL2Rv&#10;d25yZXYueG1sUEsBAhQAFAAAAAgAh07iQDQsoHf/AQAADAQAAA4AAAAAAAAAAQAgAAAAKQEAAGRy&#10;cy9lMm9Eb2MueG1sUEsFBgAAAAAGAAYAWQEAAJoFAAAAAA==&#10;">
              <v:fill on="f" focussize="0,0"/>
              <v:stroke on="f"/>
              <v:imagedata o:title=""/>
              <o:lock v:ext="edit" aspectratio="f"/>
              <v:textbox inset="0mm,0mm,0mm,0mm">
                <w:txbxContent>
                  <w:p w14:paraId="665500C5"/>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56B1D">
    <w:pPr>
      <w:pStyle w:val="19"/>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C5C22">
    <w:pPr>
      <w:pStyle w:val="19"/>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D51B25"/>
    <w:multiLevelType w:val="multilevel"/>
    <w:tmpl w:val="00D51B2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EDBE9D3"/>
    <w:multiLevelType w:val="multilevel"/>
    <w:tmpl w:val="1EDBE9D3"/>
    <w:lvl w:ilvl="0" w:tentative="0">
      <w:start w:val="1"/>
      <w:numFmt w:val="japaneseCounting"/>
      <w:lvlText w:val="%1、"/>
      <w:lvlJc w:val="left"/>
      <w:pPr>
        <w:ind w:left="1280" w:hanging="720"/>
      </w:pPr>
      <w:rPr>
        <w:rFonts w:hint="eastAsia"/>
      </w:rPr>
    </w:lvl>
    <w:lvl w:ilvl="1" w:tentative="0">
      <w:start w:val="1"/>
      <w:numFmt w:val="lowerLetter"/>
      <w:lvlText w:val="%2)"/>
      <w:lvlJc w:val="left"/>
      <w:pPr>
        <w:ind w:left="1400" w:hanging="420"/>
      </w:pPr>
      <w:rPr>
        <w:rFonts w:hint="eastAsia"/>
      </w:rPr>
    </w:lvl>
    <w:lvl w:ilvl="2" w:tentative="0">
      <w:start w:val="1"/>
      <w:numFmt w:val="lowerRoman"/>
      <w:lvlText w:val="%3."/>
      <w:lvlJc w:val="right"/>
      <w:pPr>
        <w:ind w:left="1820" w:hanging="420"/>
      </w:pPr>
      <w:rPr>
        <w:rFonts w:hint="eastAsia"/>
      </w:rPr>
    </w:lvl>
    <w:lvl w:ilvl="3" w:tentative="0">
      <w:start w:val="1"/>
      <w:numFmt w:val="decimal"/>
      <w:suff w:val="nothing"/>
      <w:lvlText w:val="%4."/>
      <w:lvlJc w:val="left"/>
      <w:pPr>
        <w:ind w:left="2240" w:hanging="420"/>
      </w:pPr>
      <w:rPr>
        <w:rFonts w:hint="eastAsia"/>
      </w:rPr>
    </w:lvl>
    <w:lvl w:ilvl="4" w:tentative="0">
      <w:start w:val="1"/>
      <w:numFmt w:val="lowerLetter"/>
      <w:lvlText w:val="%5)"/>
      <w:lvlJc w:val="left"/>
      <w:pPr>
        <w:ind w:left="2660" w:hanging="420"/>
      </w:pPr>
      <w:rPr>
        <w:rFonts w:hint="eastAsia"/>
      </w:rPr>
    </w:lvl>
    <w:lvl w:ilvl="5" w:tentative="0">
      <w:start w:val="1"/>
      <w:numFmt w:val="lowerRoman"/>
      <w:lvlText w:val="%6."/>
      <w:lvlJc w:val="right"/>
      <w:pPr>
        <w:ind w:left="3080" w:hanging="420"/>
      </w:pPr>
      <w:rPr>
        <w:rFonts w:hint="eastAsia"/>
      </w:rPr>
    </w:lvl>
    <w:lvl w:ilvl="6" w:tentative="0">
      <w:start w:val="1"/>
      <w:numFmt w:val="decimal"/>
      <w:lvlText w:val="%7."/>
      <w:lvlJc w:val="left"/>
      <w:pPr>
        <w:ind w:left="3500" w:hanging="420"/>
      </w:pPr>
      <w:rPr>
        <w:rFonts w:hint="eastAsia"/>
      </w:rPr>
    </w:lvl>
    <w:lvl w:ilvl="7" w:tentative="0">
      <w:start w:val="1"/>
      <w:numFmt w:val="lowerLetter"/>
      <w:lvlText w:val="%8)"/>
      <w:lvlJc w:val="left"/>
      <w:pPr>
        <w:ind w:left="3920" w:hanging="420"/>
      </w:pPr>
      <w:rPr>
        <w:rFonts w:hint="eastAsia"/>
      </w:rPr>
    </w:lvl>
    <w:lvl w:ilvl="8" w:tentative="0">
      <w:start w:val="1"/>
      <w:numFmt w:val="lowerRoman"/>
      <w:lvlText w:val="%9."/>
      <w:lvlJc w:val="right"/>
      <w:pPr>
        <w:ind w:left="4340" w:hanging="420"/>
      </w:pPr>
      <w:rPr>
        <w:rFonts w:hint="eastAsia"/>
      </w:rPr>
    </w:lvl>
  </w:abstractNum>
  <w:abstractNum w:abstractNumId="2">
    <w:nsid w:val="4CF9323B"/>
    <w:multiLevelType w:val="multilevel"/>
    <w:tmpl w:val="4CF9323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D7E6C19"/>
    <w:multiLevelType w:val="multilevel"/>
    <w:tmpl w:val="5D7E6C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662F7659"/>
    <w:multiLevelType w:val="multilevel"/>
    <w:tmpl w:val="662F765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7E85B67"/>
    <w:multiLevelType w:val="multilevel"/>
    <w:tmpl w:val="77E85B67"/>
    <w:lvl w:ilvl="0" w:tentative="0">
      <w:start w:val="1"/>
      <w:numFmt w:val="decimal"/>
      <w:lvlText w:val="%1."/>
      <w:lvlJc w:val="left"/>
      <w:pPr>
        <w:ind w:left="839" w:hanging="360"/>
      </w:pPr>
      <w:rPr>
        <w:rFonts w:hint="default"/>
      </w:rPr>
    </w:lvl>
    <w:lvl w:ilvl="1" w:tentative="0">
      <w:start w:val="1"/>
      <w:numFmt w:val="lowerLetter"/>
      <w:lvlText w:val="%2)"/>
      <w:lvlJc w:val="left"/>
      <w:pPr>
        <w:ind w:left="1319" w:hanging="420"/>
      </w:pPr>
    </w:lvl>
    <w:lvl w:ilvl="2" w:tentative="0">
      <w:start w:val="1"/>
      <w:numFmt w:val="lowerRoman"/>
      <w:lvlText w:val="%3."/>
      <w:lvlJc w:val="right"/>
      <w:pPr>
        <w:ind w:left="1739" w:hanging="420"/>
      </w:pPr>
    </w:lvl>
    <w:lvl w:ilvl="3" w:tentative="0">
      <w:start w:val="1"/>
      <w:numFmt w:val="decimal"/>
      <w:lvlText w:val="%4."/>
      <w:lvlJc w:val="left"/>
      <w:pPr>
        <w:ind w:left="2159" w:hanging="420"/>
      </w:pPr>
    </w:lvl>
    <w:lvl w:ilvl="4" w:tentative="0">
      <w:start w:val="1"/>
      <w:numFmt w:val="lowerLetter"/>
      <w:lvlText w:val="%5)"/>
      <w:lvlJc w:val="left"/>
      <w:pPr>
        <w:ind w:left="2579" w:hanging="420"/>
      </w:pPr>
    </w:lvl>
    <w:lvl w:ilvl="5" w:tentative="0">
      <w:start w:val="1"/>
      <w:numFmt w:val="lowerRoman"/>
      <w:lvlText w:val="%6."/>
      <w:lvlJc w:val="right"/>
      <w:pPr>
        <w:ind w:left="2999" w:hanging="420"/>
      </w:pPr>
    </w:lvl>
    <w:lvl w:ilvl="6" w:tentative="0">
      <w:start w:val="1"/>
      <w:numFmt w:val="decimal"/>
      <w:lvlText w:val="%7."/>
      <w:lvlJc w:val="left"/>
      <w:pPr>
        <w:ind w:left="3419" w:hanging="420"/>
      </w:pPr>
    </w:lvl>
    <w:lvl w:ilvl="7" w:tentative="0">
      <w:start w:val="1"/>
      <w:numFmt w:val="lowerLetter"/>
      <w:lvlText w:val="%8)"/>
      <w:lvlJc w:val="left"/>
      <w:pPr>
        <w:ind w:left="3839" w:hanging="420"/>
      </w:pPr>
    </w:lvl>
    <w:lvl w:ilvl="8" w:tentative="0">
      <w:start w:val="1"/>
      <w:numFmt w:val="lowerRoman"/>
      <w:lvlText w:val="%9."/>
      <w:lvlJc w:val="right"/>
      <w:pPr>
        <w:ind w:left="4259" w:hanging="420"/>
      </w:pPr>
    </w:lvl>
  </w:abstractNum>
  <w:abstractNum w:abstractNumId="6">
    <w:nsid w:val="7FF9466A"/>
    <w:multiLevelType w:val="multilevel"/>
    <w:tmpl w:val="7FF9466A"/>
    <w:lvl w:ilvl="0" w:tentative="0">
      <w:start w:val="1"/>
      <w:numFmt w:val="chineseCountingThousand"/>
      <w:lvlText w:val="第%1条"/>
      <w:lvlJc w:val="left"/>
      <w:pPr>
        <w:ind w:left="892" w:hanging="420"/>
      </w:pPr>
      <w:rPr>
        <w:rFonts w:hint="eastAsia"/>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num w:numId="1">
    <w:abstractNumId w:val="5"/>
  </w:num>
  <w:num w:numId="2">
    <w:abstractNumId w:val="6"/>
  </w:num>
  <w:num w:numId="3">
    <w:abstractNumId w:val="0"/>
  </w:num>
  <w:num w:numId="4">
    <w:abstractNumId w:val="4"/>
  </w:num>
  <w:num w:numId="5">
    <w:abstractNumId w:val="3"/>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doNotCompress"/>
  <w:hdrShapeDefaults>
    <o:shapelayout v:ext="edit">
      <o:idmap v:ext="edit" data="2"/>
    </o:shapelayout>
  </w:hdrShapeDefaults>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E0NTY0YzRlNGU4Y2M3ODllMGRlYjBjNmZlZjg3NmIifQ=="/>
  </w:docVars>
  <w:rsids>
    <w:rsidRoot w:val="000E3846"/>
    <w:rsid w:val="00012818"/>
    <w:rsid w:val="00014D19"/>
    <w:rsid w:val="000241B1"/>
    <w:rsid w:val="00027679"/>
    <w:rsid w:val="00053383"/>
    <w:rsid w:val="00062972"/>
    <w:rsid w:val="00064117"/>
    <w:rsid w:val="00073A40"/>
    <w:rsid w:val="000B0876"/>
    <w:rsid w:val="000E3846"/>
    <w:rsid w:val="000F33A7"/>
    <w:rsid w:val="00117BC0"/>
    <w:rsid w:val="0012602B"/>
    <w:rsid w:val="00171147"/>
    <w:rsid w:val="001817DE"/>
    <w:rsid w:val="00182DC9"/>
    <w:rsid w:val="0018562F"/>
    <w:rsid w:val="001C564C"/>
    <w:rsid w:val="001D56E1"/>
    <w:rsid w:val="0020336E"/>
    <w:rsid w:val="002410E6"/>
    <w:rsid w:val="00247FC2"/>
    <w:rsid w:val="002910EE"/>
    <w:rsid w:val="002A3C07"/>
    <w:rsid w:val="002D313E"/>
    <w:rsid w:val="002F5AC5"/>
    <w:rsid w:val="00302197"/>
    <w:rsid w:val="003076B0"/>
    <w:rsid w:val="00310982"/>
    <w:rsid w:val="00335A35"/>
    <w:rsid w:val="00341A3C"/>
    <w:rsid w:val="00345F74"/>
    <w:rsid w:val="00351AEB"/>
    <w:rsid w:val="00352940"/>
    <w:rsid w:val="00365579"/>
    <w:rsid w:val="003832E3"/>
    <w:rsid w:val="00392F10"/>
    <w:rsid w:val="003E139F"/>
    <w:rsid w:val="003F18B4"/>
    <w:rsid w:val="00404B4C"/>
    <w:rsid w:val="004062DD"/>
    <w:rsid w:val="00414887"/>
    <w:rsid w:val="004427A9"/>
    <w:rsid w:val="00447ADB"/>
    <w:rsid w:val="00451735"/>
    <w:rsid w:val="00466B4C"/>
    <w:rsid w:val="00467A42"/>
    <w:rsid w:val="00484A73"/>
    <w:rsid w:val="00486D7D"/>
    <w:rsid w:val="004872EF"/>
    <w:rsid w:val="004C0FF4"/>
    <w:rsid w:val="004D7A73"/>
    <w:rsid w:val="004E0FF0"/>
    <w:rsid w:val="004F3C83"/>
    <w:rsid w:val="004F7D3E"/>
    <w:rsid w:val="00526B9B"/>
    <w:rsid w:val="005748DC"/>
    <w:rsid w:val="00581ADD"/>
    <w:rsid w:val="005945D8"/>
    <w:rsid w:val="005A517A"/>
    <w:rsid w:val="005E12B5"/>
    <w:rsid w:val="005F7F48"/>
    <w:rsid w:val="00612349"/>
    <w:rsid w:val="006253DA"/>
    <w:rsid w:val="00665433"/>
    <w:rsid w:val="00681C19"/>
    <w:rsid w:val="006841C7"/>
    <w:rsid w:val="006B247C"/>
    <w:rsid w:val="006C4F7F"/>
    <w:rsid w:val="00702DD4"/>
    <w:rsid w:val="00710DAD"/>
    <w:rsid w:val="007116B0"/>
    <w:rsid w:val="00715C07"/>
    <w:rsid w:val="00726149"/>
    <w:rsid w:val="0075539D"/>
    <w:rsid w:val="00770A06"/>
    <w:rsid w:val="00792C2D"/>
    <w:rsid w:val="00797303"/>
    <w:rsid w:val="007A5603"/>
    <w:rsid w:val="007B4DCC"/>
    <w:rsid w:val="007D0342"/>
    <w:rsid w:val="007E3BBC"/>
    <w:rsid w:val="007E47DD"/>
    <w:rsid w:val="007F3DDE"/>
    <w:rsid w:val="007F4845"/>
    <w:rsid w:val="00802F4E"/>
    <w:rsid w:val="00814DAA"/>
    <w:rsid w:val="00821CBA"/>
    <w:rsid w:val="008433C2"/>
    <w:rsid w:val="00863BFB"/>
    <w:rsid w:val="00880ADE"/>
    <w:rsid w:val="00892716"/>
    <w:rsid w:val="00897799"/>
    <w:rsid w:val="008C4CBC"/>
    <w:rsid w:val="008E1F45"/>
    <w:rsid w:val="008F2038"/>
    <w:rsid w:val="008F5180"/>
    <w:rsid w:val="009045D2"/>
    <w:rsid w:val="00922922"/>
    <w:rsid w:val="00941EC0"/>
    <w:rsid w:val="00952036"/>
    <w:rsid w:val="00955023"/>
    <w:rsid w:val="00963CC2"/>
    <w:rsid w:val="00965C49"/>
    <w:rsid w:val="00996FCF"/>
    <w:rsid w:val="009A0C0F"/>
    <w:rsid w:val="009A22F1"/>
    <w:rsid w:val="009A4B2F"/>
    <w:rsid w:val="009B08D8"/>
    <w:rsid w:val="009B1509"/>
    <w:rsid w:val="009F3822"/>
    <w:rsid w:val="00A03B40"/>
    <w:rsid w:val="00A21077"/>
    <w:rsid w:val="00A239B4"/>
    <w:rsid w:val="00A60236"/>
    <w:rsid w:val="00A60743"/>
    <w:rsid w:val="00A709D3"/>
    <w:rsid w:val="00A741B9"/>
    <w:rsid w:val="00A87C7B"/>
    <w:rsid w:val="00AA29C6"/>
    <w:rsid w:val="00AA3D9B"/>
    <w:rsid w:val="00AA4F90"/>
    <w:rsid w:val="00AC1F81"/>
    <w:rsid w:val="00AC4F4E"/>
    <w:rsid w:val="00AF0086"/>
    <w:rsid w:val="00AF6A4A"/>
    <w:rsid w:val="00B06909"/>
    <w:rsid w:val="00B06D56"/>
    <w:rsid w:val="00B222CE"/>
    <w:rsid w:val="00B50279"/>
    <w:rsid w:val="00B65DB7"/>
    <w:rsid w:val="00B700CC"/>
    <w:rsid w:val="00B72464"/>
    <w:rsid w:val="00BA7AD4"/>
    <w:rsid w:val="00BC6A43"/>
    <w:rsid w:val="00C26747"/>
    <w:rsid w:val="00C2691C"/>
    <w:rsid w:val="00C32925"/>
    <w:rsid w:val="00C36F95"/>
    <w:rsid w:val="00C37738"/>
    <w:rsid w:val="00C407CE"/>
    <w:rsid w:val="00C47FE9"/>
    <w:rsid w:val="00C52D35"/>
    <w:rsid w:val="00C5799A"/>
    <w:rsid w:val="00C81403"/>
    <w:rsid w:val="00CA03EC"/>
    <w:rsid w:val="00CB12E0"/>
    <w:rsid w:val="00CC0E0B"/>
    <w:rsid w:val="00CC63B4"/>
    <w:rsid w:val="00CE2CCE"/>
    <w:rsid w:val="00CE72B4"/>
    <w:rsid w:val="00D26C9B"/>
    <w:rsid w:val="00D33561"/>
    <w:rsid w:val="00D53E73"/>
    <w:rsid w:val="00D640AF"/>
    <w:rsid w:val="00D7010C"/>
    <w:rsid w:val="00DA5E90"/>
    <w:rsid w:val="00DD22D3"/>
    <w:rsid w:val="00E14646"/>
    <w:rsid w:val="00E376F8"/>
    <w:rsid w:val="00E37C90"/>
    <w:rsid w:val="00E40ED8"/>
    <w:rsid w:val="00E47BA7"/>
    <w:rsid w:val="00E5392D"/>
    <w:rsid w:val="00E57B45"/>
    <w:rsid w:val="00E67E28"/>
    <w:rsid w:val="00E74C2A"/>
    <w:rsid w:val="00EA23F6"/>
    <w:rsid w:val="00EE2055"/>
    <w:rsid w:val="00EF1584"/>
    <w:rsid w:val="00EF57B2"/>
    <w:rsid w:val="00F02510"/>
    <w:rsid w:val="00F1224B"/>
    <w:rsid w:val="00F53B5F"/>
    <w:rsid w:val="00F544B4"/>
    <w:rsid w:val="00F61498"/>
    <w:rsid w:val="00F64DEA"/>
    <w:rsid w:val="00F77128"/>
    <w:rsid w:val="00F80261"/>
    <w:rsid w:val="00F85A8D"/>
    <w:rsid w:val="00FA2E9E"/>
    <w:rsid w:val="00FB2295"/>
    <w:rsid w:val="00FD1C7D"/>
    <w:rsid w:val="00FE1C54"/>
    <w:rsid w:val="01286394"/>
    <w:rsid w:val="01567841"/>
    <w:rsid w:val="019C289F"/>
    <w:rsid w:val="01A16F33"/>
    <w:rsid w:val="01A8449D"/>
    <w:rsid w:val="01B47468"/>
    <w:rsid w:val="01CE57B8"/>
    <w:rsid w:val="02571C51"/>
    <w:rsid w:val="027B6439"/>
    <w:rsid w:val="04705D22"/>
    <w:rsid w:val="0495145E"/>
    <w:rsid w:val="04A863DD"/>
    <w:rsid w:val="055D610C"/>
    <w:rsid w:val="05675ECF"/>
    <w:rsid w:val="067B57E2"/>
    <w:rsid w:val="06AB7970"/>
    <w:rsid w:val="06CB5D92"/>
    <w:rsid w:val="06D27AF8"/>
    <w:rsid w:val="07C02047"/>
    <w:rsid w:val="082A5985"/>
    <w:rsid w:val="08DF2F56"/>
    <w:rsid w:val="094B3F58"/>
    <w:rsid w:val="09D80212"/>
    <w:rsid w:val="0B8B4D93"/>
    <w:rsid w:val="0BA9426E"/>
    <w:rsid w:val="0C831895"/>
    <w:rsid w:val="0CF55810"/>
    <w:rsid w:val="0D2B02CB"/>
    <w:rsid w:val="0D7908E3"/>
    <w:rsid w:val="0DA22D0C"/>
    <w:rsid w:val="0DAD5853"/>
    <w:rsid w:val="0E2D4B6B"/>
    <w:rsid w:val="0EB32594"/>
    <w:rsid w:val="0F91624F"/>
    <w:rsid w:val="0FEF7528"/>
    <w:rsid w:val="110F4EDE"/>
    <w:rsid w:val="115F467E"/>
    <w:rsid w:val="12154A1A"/>
    <w:rsid w:val="12294638"/>
    <w:rsid w:val="13264DFD"/>
    <w:rsid w:val="133D311B"/>
    <w:rsid w:val="13B20C55"/>
    <w:rsid w:val="13BC5DB8"/>
    <w:rsid w:val="14F17494"/>
    <w:rsid w:val="15DC6C15"/>
    <w:rsid w:val="169B736F"/>
    <w:rsid w:val="16BF12AA"/>
    <w:rsid w:val="16DD3805"/>
    <w:rsid w:val="17DD7839"/>
    <w:rsid w:val="18064177"/>
    <w:rsid w:val="184E71FB"/>
    <w:rsid w:val="18574FDE"/>
    <w:rsid w:val="185A1AA5"/>
    <w:rsid w:val="189746FE"/>
    <w:rsid w:val="189F1AF7"/>
    <w:rsid w:val="18A47AFC"/>
    <w:rsid w:val="18BA4947"/>
    <w:rsid w:val="18BC4EA1"/>
    <w:rsid w:val="197C6776"/>
    <w:rsid w:val="199A737C"/>
    <w:rsid w:val="19CA6B54"/>
    <w:rsid w:val="19F824A4"/>
    <w:rsid w:val="19F8652E"/>
    <w:rsid w:val="1A5F5EDE"/>
    <w:rsid w:val="1B874AF7"/>
    <w:rsid w:val="1D594FC0"/>
    <w:rsid w:val="1D9374E2"/>
    <w:rsid w:val="1DB90420"/>
    <w:rsid w:val="1E0C3B6A"/>
    <w:rsid w:val="1E3621E2"/>
    <w:rsid w:val="1E37603B"/>
    <w:rsid w:val="1E4427E1"/>
    <w:rsid w:val="1ED06729"/>
    <w:rsid w:val="1EE06ED7"/>
    <w:rsid w:val="1F514488"/>
    <w:rsid w:val="20473C4C"/>
    <w:rsid w:val="20660B38"/>
    <w:rsid w:val="208E4638"/>
    <w:rsid w:val="21555156"/>
    <w:rsid w:val="218203C8"/>
    <w:rsid w:val="21DD71FC"/>
    <w:rsid w:val="221E1A8A"/>
    <w:rsid w:val="22D80503"/>
    <w:rsid w:val="22DE3B19"/>
    <w:rsid w:val="22ED386C"/>
    <w:rsid w:val="230428D8"/>
    <w:rsid w:val="23867849"/>
    <w:rsid w:val="24531E4A"/>
    <w:rsid w:val="24AF703C"/>
    <w:rsid w:val="24C53D08"/>
    <w:rsid w:val="24F95C80"/>
    <w:rsid w:val="2570695E"/>
    <w:rsid w:val="25AC12CE"/>
    <w:rsid w:val="26485289"/>
    <w:rsid w:val="26FE42F5"/>
    <w:rsid w:val="275D555D"/>
    <w:rsid w:val="276C1002"/>
    <w:rsid w:val="27F47186"/>
    <w:rsid w:val="289536A8"/>
    <w:rsid w:val="28C8445F"/>
    <w:rsid w:val="28E83D31"/>
    <w:rsid w:val="291458E7"/>
    <w:rsid w:val="29170A26"/>
    <w:rsid w:val="293E3E40"/>
    <w:rsid w:val="29CD3A29"/>
    <w:rsid w:val="2A570191"/>
    <w:rsid w:val="2B1B2F6C"/>
    <w:rsid w:val="2B9D6077"/>
    <w:rsid w:val="2BD12BE5"/>
    <w:rsid w:val="2C9F01B4"/>
    <w:rsid w:val="2D47728A"/>
    <w:rsid w:val="2D6B0EDD"/>
    <w:rsid w:val="2D941D0F"/>
    <w:rsid w:val="2DE54D2D"/>
    <w:rsid w:val="2E4910CB"/>
    <w:rsid w:val="2E683BD1"/>
    <w:rsid w:val="2ECE6548"/>
    <w:rsid w:val="2EE32E7F"/>
    <w:rsid w:val="2FDE1B0D"/>
    <w:rsid w:val="300C7DD0"/>
    <w:rsid w:val="301763EC"/>
    <w:rsid w:val="305B5EDD"/>
    <w:rsid w:val="31A37E74"/>
    <w:rsid w:val="323F16FE"/>
    <w:rsid w:val="327A4E06"/>
    <w:rsid w:val="329B11B7"/>
    <w:rsid w:val="329F4483"/>
    <w:rsid w:val="33A84E4D"/>
    <w:rsid w:val="34703AAA"/>
    <w:rsid w:val="348B0A0A"/>
    <w:rsid w:val="34BF5A78"/>
    <w:rsid w:val="359F765A"/>
    <w:rsid w:val="35C613E9"/>
    <w:rsid w:val="361B02C4"/>
    <w:rsid w:val="365244E9"/>
    <w:rsid w:val="36EC3294"/>
    <w:rsid w:val="371B457E"/>
    <w:rsid w:val="37803D3B"/>
    <w:rsid w:val="37A34A15"/>
    <w:rsid w:val="37BA0B56"/>
    <w:rsid w:val="37BA3643"/>
    <w:rsid w:val="390C7E91"/>
    <w:rsid w:val="3971644D"/>
    <w:rsid w:val="39767B13"/>
    <w:rsid w:val="3AA52863"/>
    <w:rsid w:val="3AC12471"/>
    <w:rsid w:val="3B5901B9"/>
    <w:rsid w:val="3BB52F3F"/>
    <w:rsid w:val="3C045F6C"/>
    <w:rsid w:val="3C6329B0"/>
    <w:rsid w:val="3C673A15"/>
    <w:rsid w:val="3CC8229C"/>
    <w:rsid w:val="3CD236A7"/>
    <w:rsid w:val="3D475B6E"/>
    <w:rsid w:val="3DAD5802"/>
    <w:rsid w:val="3E43534C"/>
    <w:rsid w:val="3E7266F9"/>
    <w:rsid w:val="3EAE247B"/>
    <w:rsid w:val="3ED51E49"/>
    <w:rsid w:val="3F253C47"/>
    <w:rsid w:val="3F261F20"/>
    <w:rsid w:val="3F3C1B1F"/>
    <w:rsid w:val="3FAC4174"/>
    <w:rsid w:val="40763FAC"/>
    <w:rsid w:val="408F1FDB"/>
    <w:rsid w:val="413A2666"/>
    <w:rsid w:val="41C1381D"/>
    <w:rsid w:val="41D63AE4"/>
    <w:rsid w:val="41EE068E"/>
    <w:rsid w:val="429F4609"/>
    <w:rsid w:val="42AA4915"/>
    <w:rsid w:val="42D703E3"/>
    <w:rsid w:val="43235FF4"/>
    <w:rsid w:val="436E5BE5"/>
    <w:rsid w:val="4482351C"/>
    <w:rsid w:val="45072B81"/>
    <w:rsid w:val="459C2AA4"/>
    <w:rsid w:val="466167A9"/>
    <w:rsid w:val="469E17E5"/>
    <w:rsid w:val="47532C9A"/>
    <w:rsid w:val="47B70A16"/>
    <w:rsid w:val="47C4574E"/>
    <w:rsid w:val="47EA7940"/>
    <w:rsid w:val="47ED307D"/>
    <w:rsid w:val="480D1A37"/>
    <w:rsid w:val="48632CA6"/>
    <w:rsid w:val="48AF2AEE"/>
    <w:rsid w:val="4A8E0D19"/>
    <w:rsid w:val="4AAD5BAC"/>
    <w:rsid w:val="4AD32296"/>
    <w:rsid w:val="4B036A00"/>
    <w:rsid w:val="4BC32B39"/>
    <w:rsid w:val="4C3E0CA3"/>
    <w:rsid w:val="4C986C9C"/>
    <w:rsid w:val="4CF34116"/>
    <w:rsid w:val="4CF51418"/>
    <w:rsid w:val="4D594BA2"/>
    <w:rsid w:val="4D6B16DA"/>
    <w:rsid w:val="4E801E3D"/>
    <w:rsid w:val="4EAB2F9E"/>
    <w:rsid w:val="4F117CA0"/>
    <w:rsid w:val="4FA53E52"/>
    <w:rsid w:val="4FEE0B5A"/>
    <w:rsid w:val="50385459"/>
    <w:rsid w:val="517575E4"/>
    <w:rsid w:val="51797BE3"/>
    <w:rsid w:val="51FC76AB"/>
    <w:rsid w:val="52072D6D"/>
    <w:rsid w:val="52773F4A"/>
    <w:rsid w:val="52F43F1F"/>
    <w:rsid w:val="539A0E2A"/>
    <w:rsid w:val="53A25146"/>
    <w:rsid w:val="53C71BA9"/>
    <w:rsid w:val="54286D42"/>
    <w:rsid w:val="54330A77"/>
    <w:rsid w:val="54521051"/>
    <w:rsid w:val="5473011D"/>
    <w:rsid w:val="54AD082A"/>
    <w:rsid w:val="54BD45AE"/>
    <w:rsid w:val="55495648"/>
    <w:rsid w:val="554B1933"/>
    <w:rsid w:val="55AA2FBB"/>
    <w:rsid w:val="56846B43"/>
    <w:rsid w:val="576F7A7F"/>
    <w:rsid w:val="57B81478"/>
    <w:rsid w:val="57C3211F"/>
    <w:rsid w:val="582D4969"/>
    <w:rsid w:val="585767E0"/>
    <w:rsid w:val="596C5D33"/>
    <w:rsid w:val="59CC77BF"/>
    <w:rsid w:val="59EC3BA2"/>
    <w:rsid w:val="5A510752"/>
    <w:rsid w:val="5A551748"/>
    <w:rsid w:val="5AD7215D"/>
    <w:rsid w:val="5AE8181F"/>
    <w:rsid w:val="5B1E422F"/>
    <w:rsid w:val="5B992327"/>
    <w:rsid w:val="5BD078B1"/>
    <w:rsid w:val="5C2D0D2B"/>
    <w:rsid w:val="5DA33C1E"/>
    <w:rsid w:val="5DE7023E"/>
    <w:rsid w:val="5DF72B16"/>
    <w:rsid w:val="5E6A32E8"/>
    <w:rsid w:val="5E7269DF"/>
    <w:rsid w:val="5EFD5B80"/>
    <w:rsid w:val="5F291A96"/>
    <w:rsid w:val="5F467786"/>
    <w:rsid w:val="5F51659D"/>
    <w:rsid w:val="5F583C99"/>
    <w:rsid w:val="5FC07AF8"/>
    <w:rsid w:val="5FFC1BCD"/>
    <w:rsid w:val="60732927"/>
    <w:rsid w:val="6075653D"/>
    <w:rsid w:val="60794423"/>
    <w:rsid w:val="63027A37"/>
    <w:rsid w:val="630A1DE1"/>
    <w:rsid w:val="63576530"/>
    <w:rsid w:val="64247748"/>
    <w:rsid w:val="656A2DF5"/>
    <w:rsid w:val="6574699F"/>
    <w:rsid w:val="65E36874"/>
    <w:rsid w:val="65EE2DFD"/>
    <w:rsid w:val="661D4897"/>
    <w:rsid w:val="665C3E5E"/>
    <w:rsid w:val="666F0E5A"/>
    <w:rsid w:val="66F83B86"/>
    <w:rsid w:val="6714680B"/>
    <w:rsid w:val="6723647B"/>
    <w:rsid w:val="68321382"/>
    <w:rsid w:val="683C1DE5"/>
    <w:rsid w:val="6896732F"/>
    <w:rsid w:val="68CC7870"/>
    <w:rsid w:val="68F072E5"/>
    <w:rsid w:val="6A040A94"/>
    <w:rsid w:val="6A1E6767"/>
    <w:rsid w:val="6A317DAA"/>
    <w:rsid w:val="6B226F0A"/>
    <w:rsid w:val="6B7A2760"/>
    <w:rsid w:val="6B826114"/>
    <w:rsid w:val="6C5A5B54"/>
    <w:rsid w:val="6D5331F7"/>
    <w:rsid w:val="6D79057F"/>
    <w:rsid w:val="6DCE1D4D"/>
    <w:rsid w:val="6EDD7D36"/>
    <w:rsid w:val="6F140570"/>
    <w:rsid w:val="6FD92F2F"/>
    <w:rsid w:val="6FF37E5C"/>
    <w:rsid w:val="715E6F0F"/>
    <w:rsid w:val="71DE13C0"/>
    <w:rsid w:val="73AE628E"/>
    <w:rsid w:val="7449525A"/>
    <w:rsid w:val="748527D2"/>
    <w:rsid w:val="75CE3AAA"/>
    <w:rsid w:val="76992564"/>
    <w:rsid w:val="7769462C"/>
    <w:rsid w:val="78633ED9"/>
    <w:rsid w:val="7867228E"/>
    <w:rsid w:val="78A72549"/>
    <w:rsid w:val="78F24BCC"/>
    <w:rsid w:val="796E7C36"/>
    <w:rsid w:val="7A132E5B"/>
    <w:rsid w:val="7BBD3977"/>
    <w:rsid w:val="7C6C3C5E"/>
    <w:rsid w:val="7C74298E"/>
    <w:rsid w:val="7C835899"/>
    <w:rsid w:val="7CAD0B17"/>
    <w:rsid w:val="7CE56503"/>
    <w:rsid w:val="7D026909"/>
    <w:rsid w:val="7D8D08ED"/>
    <w:rsid w:val="7E542173"/>
    <w:rsid w:val="7E5D350D"/>
    <w:rsid w:val="7E697975"/>
    <w:rsid w:val="7E7D753D"/>
    <w:rsid w:val="7EF57DE7"/>
    <w:rsid w:val="7F73429A"/>
    <w:rsid w:val="7F8909CB"/>
    <w:rsid w:val="7FF1424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qFormat="1" w:unhideWhenUsed="0" w:uiPriority="0"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textAlignment w:val="baseline"/>
    </w:pPr>
    <w:rPr>
      <w:rFonts w:ascii="宋体" w:hAnsi="宋体" w:eastAsia="宋体" w:cs="Times New Roman"/>
      <w:sz w:val="22"/>
      <w:szCs w:val="22"/>
      <w:lang w:val="en-US" w:eastAsia="en-US" w:bidi="ar-SA"/>
    </w:rPr>
  </w:style>
  <w:style w:type="paragraph" w:styleId="2">
    <w:name w:val="heading 1"/>
    <w:basedOn w:val="1"/>
    <w:next w:val="1"/>
    <w:link w:val="52"/>
    <w:autoRedefine/>
    <w:qFormat/>
    <w:uiPriority w:val="9"/>
    <w:pPr>
      <w:spacing w:before="100" w:beforeAutospacing="1" w:after="100" w:afterAutospacing="1"/>
      <w:textAlignment w:val="auto"/>
      <w:outlineLvl w:val="0"/>
    </w:pPr>
    <w:rPr>
      <w:rFonts w:cs="宋体"/>
      <w:b/>
      <w:bCs/>
      <w:kern w:val="36"/>
      <w:sz w:val="48"/>
      <w:szCs w:val="48"/>
      <w:lang w:eastAsia="zh-CN"/>
    </w:rPr>
  </w:style>
  <w:style w:type="paragraph" w:styleId="3">
    <w:name w:val="heading 2"/>
    <w:basedOn w:val="1"/>
    <w:next w:val="1"/>
    <w:autoRedefine/>
    <w:unhideWhenUsed/>
    <w:qFormat/>
    <w:uiPriority w:val="0"/>
    <w:pPr>
      <w:keepNext/>
      <w:keepLines/>
      <w:spacing w:before="120" w:after="120" w:line="360" w:lineRule="auto"/>
      <w:ind w:firstLine="562" w:firstLineChars="200"/>
      <w:jc w:val="center"/>
      <w:outlineLvl w:val="1"/>
    </w:pPr>
    <w:rPr>
      <w:rFonts w:hint="eastAsia" w:hAnsi="Times New Roman"/>
      <w:b/>
      <w:sz w:val="32"/>
      <w:szCs w:val="20"/>
    </w:rPr>
  </w:style>
  <w:style w:type="paragraph" w:styleId="4">
    <w:name w:val="heading 3"/>
    <w:basedOn w:val="1"/>
    <w:next w:val="1"/>
    <w:autoRedefine/>
    <w:unhideWhenUsed/>
    <w:qFormat/>
    <w:uiPriority w:val="0"/>
    <w:pPr>
      <w:keepNext/>
      <w:keepLines/>
      <w:spacing w:before="120" w:after="120" w:line="360" w:lineRule="auto"/>
      <w:outlineLvl w:val="2"/>
    </w:pPr>
    <w:rPr>
      <w:rFonts w:hint="eastAsia" w:hAnsi="Times New Roman"/>
      <w:b/>
      <w:sz w:val="24"/>
      <w:szCs w:val="20"/>
    </w:rPr>
  </w:style>
  <w:style w:type="paragraph" w:styleId="5">
    <w:name w:val="heading 4"/>
    <w:basedOn w:val="1"/>
    <w:next w:val="1"/>
    <w:autoRedefine/>
    <w:qFormat/>
    <w:uiPriority w:val="0"/>
    <w:pPr>
      <w:keepNext/>
      <w:keepLines/>
      <w:spacing w:before="280" w:after="290" w:line="376" w:lineRule="auto"/>
      <w:outlineLvl w:val="3"/>
    </w:pPr>
    <w:rPr>
      <w:b/>
      <w:bCs/>
      <w:sz w:val="28"/>
      <w:szCs w:val="28"/>
    </w:rPr>
  </w:style>
  <w:style w:type="character" w:default="1" w:styleId="29">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6">
    <w:name w:val="table of authorities"/>
    <w:basedOn w:val="1"/>
    <w:next w:val="1"/>
    <w:autoRedefine/>
    <w:semiHidden/>
    <w:qFormat/>
    <w:uiPriority w:val="0"/>
    <w:pPr>
      <w:ind w:left="420" w:leftChars="200"/>
    </w:pPr>
  </w:style>
  <w:style w:type="paragraph" w:styleId="7">
    <w:name w:val="Normal Indent"/>
    <w:basedOn w:val="1"/>
    <w:next w:val="1"/>
    <w:autoRedefine/>
    <w:qFormat/>
    <w:uiPriority w:val="0"/>
    <w:pPr>
      <w:spacing w:line="360" w:lineRule="auto"/>
      <w:ind w:firstLine="200" w:firstLineChars="200"/>
    </w:pPr>
    <w:rPr>
      <w:rFonts w:ascii="Times New Roman" w:hAnsi="Times New Roman"/>
      <w:sz w:val="28"/>
      <w:szCs w:val="20"/>
    </w:rPr>
  </w:style>
  <w:style w:type="paragraph" w:styleId="8">
    <w:name w:val="index 5"/>
    <w:basedOn w:val="1"/>
    <w:next w:val="1"/>
    <w:autoRedefine/>
    <w:qFormat/>
    <w:uiPriority w:val="0"/>
    <w:pPr>
      <w:ind w:left="1680"/>
    </w:pPr>
  </w:style>
  <w:style w:type="paragraph" w:styleId="9">
    <w:name w:val="toa heading"/>
    <w:basedOn w:val="1"/>
    <w:next w:val="1"/>
    <w:autoRedefine/>
    <w:qFormat/>
    <w:uiPriority w:val="0"/>
    <w:pPr>
      <w:spacing w:before="120"/>
    </w:pPr>
    <w:rPr>
      <w:rFonts w:ascii="Cambria" w:hAnsi="Cambria"/>
      <w:sz w:val="24"/>
    </w:rPr>
  </w:style>
  <w:style w:type="paragraph" w:styleId="10">
    <w:name w:val="annotation text"/>
    <w:basedOn w:val="1"/>
    <w:autoRedefine/>
    <w:qFormat/>
    <w:uiPriority w:val="0"/>
    <w:pPr>
      <w:jc w:val="left"/>
    </w:pPr>
  </w:style>
  <w:style w:type="paragraph" w:styleId="11">
    <w:name w:val="Body Text"/>
    <w:basedOn w:val="1"/>
    <w:autoRedefine/>
    <w:qFormat/>
    <w:uiPriority w:val="0"/>
    <w:pPr>
      <w:spacing w:after="120"/>
    </w:pPr>
  </w:style>
  <w:style w:type="paragraph" w:styleId="12">
    <w:name w:val="Body Text Indent"/>
    <w:basedOn w:val="1"/>
    <w:next w:val="1"/>
    <w:autoRedefine/>
    <w:qFormat/>
    <w:uiPriority w:val="0"/>
    <w:pPr>
      <w:spacing w:after="120"/>
      <w:ind w:left="420" w:leftChars="200"/>
    </w:pPr>
    <w:rPr>
      <w:rFonts w:ascii="Times New Roman" w:hAnsi="Times New Roman"/>
      <w:sz w:val="20"/>
      <w:szCs w:val="24"/>
    </w:rPr>
  </w:style>
  <w:style w:type="paragraph" w:styleId="13">
    <w:name w:val="toc 3"/>
    <w:basedOn w:val="1"/>
    <w:next w:val="1"/>
    <w:autoRedefine/>
    <w:semiHidden/>
    <w:unhideWhenUsed/>
    <w:qFormat/>
    <w:uiPriority w:val="39"/>
    <w:pPr>
      <w:ind w:left="840" w:leftChars="400"/>
    </w:pPr>
  </w:style>
  <w:style w:type="paragraph" w:styleId="14">
    <w:name w:val="Plain Text"/>
    <w:basedOn w:val="1"/>
    <w:autoRedefine/>
    <w:qFormat/>
    <w:uiPriority w:val="0"/>
    <w:rPr>
      <w:rFonts w:ascii="宋体" w:hAnsi="Times New Roman"/>
      <w:szCs w:val="24"/>
    </w:rPr>
  </w:style>
  <w:style w:type="paragraph" w:styleId="15">
    <w:name w:val="Date"/>
    <w:basedOn w:val="1"/>
    <w:next w:val="1"/>
    <w:autoRedefine/>
    <w:qFormat/>
    <w:uiPriority w:val="0"/>
    <w:rPr>
      <w:rFonts w:ascii="Arial" w:hAnsi="Arial" w:cs="Arial"/>
      <w:b/>
      <w:sz w:val="28"/>
    </w:rPr>
  </w:style>
  <w:style w:type="paragraph" w:styleId="16">
    <w:name w:val="Body Text Indent 2"/>
    <w:basedOn w:val="1"/>
    <w:autoRedefine/>
    <w:qFormat/>
    <w:uiPriority w:val="99"/>
    <w:pPr>
      <w:ind w:firstLine="480"/>
    </w:pPr>
    <w:rPr>
      <w:rFonts w:asciiTheme="minorHAnsi" w:hAnsiTheme="minorHAnsi" w:eastAsiaTheme="minorEastAsia" w:cstheme="minorBidi"/>
    </w:rPr>
  </w:style>
  <w:style w:type="paragraph" w:styleId="17">
    <w:name w:val="Balloon Text"/>
    <w:basedOn w:val="1"/>
    <w:link w:val="66"/>
    <w:autoRedefine/>
    <w:semiHidden/>
    <w:unhideWhenUsed/>
    <w:qFormat/>
    <w:uiPriority w:val="99"/>
    <w:rPr>
      <w:sz w:val="18"/>
      <w:szCs w:val="18"/>
    </w:rPr>
  </w:style>
  <w:style w:type="paragraph" w:styleId="18">
    <w:name w:val="footer"/>
    <w:basedOn w:val="1"/>
    <w:link w:val="51"/>
    <w:autoRedefine/>
    <w:qFormat/>
    <w:uiPriority w:val="0"/>
    <w:pPr>
      <w:tabs>
        <w:tab w:val="center" w:pos="4153"/>
        <w:tab w:val="right" w:pos="8306"/>
      </w:tabs>
      <w:snapToGrid w:val="0"/>
    </w:pPr>
    <w:rPr>
      <w:sz w:val="18"/>
      <w:szCs w:val="18"/>
    </w:rPr>
  </w:style>
  <w:style w:type="paragraph" w:styleId="19">
    <w:name w:val="header"/>
    <w:basedOn w:val="1"/>
    <w:link w:val="50"/>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semiHidden/>
    <w:unhideWhenUsed/>
    <w:qFormat/>
    <w:uiPriority w:val="39"/>
  </w:style>
  <w:style w:type="paragraph" w:styleId="21">
    <w:name w:val="Subtitle"/>
    <w:basedOn w:val="1"/>
    <w:next w:val="1"/>
    <w:autoRedefine/>
    <w:qFormat/>
    <w:uiPriority w:val="11"/>
    <w:pPr>
      <w:widowControl w:val="0"/>
      <w:autoSpaceDE w:val="0"/>
      <w:autoSpaceDN w:val="0"/>
      <w:spacing w:before="240" w:after="60" w:line="240" w:lineRule="exact"/>
      <w:ind w:firstLine="0" w:firstLineChars="0"/>
      <w:jc w:val="center"/>
      <w:outlineLvl w:val="1"/>
    </w:pPr>
    <w:rPr>
      <w:rFonts w:asciiTheme="majorHAnsi" w:hAnsiTheme="majorHAnsi" w:eastAsiaTheme="majorEastAsia" w:cstheme="majorBidi"/>
      <w:bCs/>
      <w:kern w:val="28"/>
      <w:sz w:val="24"/>
      <w:szCs w:val="32"/>
    </w:rPr>
  </w:style>
  <w:style w:type="paragraph" w:styleId="22">
    <w:name w:val="toc 2"/>
    <w:basedOn w:val="1"/>
    <w:next w:val="1"/>
    <w:autoRedefine/>
    <w:semiHidden/>
    <w:unhideWhenUsed/>
    <w:qFormat/>
    <w:uiPriority w:val="39"/>
    <w:pPr>
      <w:ind w:left="420" w:leftChars="200"/>
    </w:pPr>
  </w:style>
  <w:style w:type="paragraph" w:styleId="23">
    <w:name w:val="Normal (Web)"/>
    <w:basedOn w:val="1"/>
    <w:autoRedefine/>
    <w:qFormat/>
    <w:uiPriority w:val="99"/>
    <w:pPr>
      <w:spacing w:before="100" w:beforeAutospacing="1" w:after="100" w:afterAutospacing="1"/>
      <w:textAlignment w:val="auto"/>
    </w:pPr>
    <w:rPr>
      <w:rFonts w:cs="宋体"/>
      <w:sz w:val="24"/>
      <w:szCs w:val="24"/>
      <w:lang w:eastAsia="zh-CN"/>
    </w:rPr>
  </w:style>
  <w:style w:type="paragraph" w:styleId="24">
    <w:name w:val="Title"/>
    <w:basedOn w:val="1"/>
    <w:next w:val="1"/>
    <w:autoRedefine/>
    <w:qFormat/>
    <w:uiPriority w:val="0"/>
    <w:pPr>
      <w:adjustRightInd w:val="0"/>
      <w:snapToGrid w:val="0"/>
      <w:spacing w:before="120" w:after="120"/>
      <w:outlineLvl w:val="0"/>
    </w:pPr>
    <w:rPr>
      <w:rFonts w:ascii="黑体" w:hAnsi="Times New Roman" w:cs="Times New Roman"/>
      <w:b/>
      <w:snapToGrid w:val="0"/>
      <w:kern w:val="0"/>
      <w:szCs w:val="20"/>
    </w:rPr>
  </w:style>
  <w:style w:type="paragraph" w:styleId="25">
    <w:name w:val="Body Text First Indent"/>
    <w:basedOn w:val="11"/>
    <w:next w:val="1"/>
    <w:autoRedefine/>
    <w:qFormat/>
    <w:uiPriority w:val="0"/>
    <w:pPr>
      <w:spacing w:line="360" w:lineRule="auto"/>
      <w:ind w:firstLine="420" w:firstLineChars="100"/>
    </w:pPr>
    <w:rPr>
      <w:rFonts w:hint="eastAsia"/>
      <w:sz w:val="24"/>
    </w:rPr>
  </w:style>
  <w:style w:type="paragraph" w:styleId="26">
    <w:name w:val="Body Text First Indent 2"/>
    <w:basedOn w:val="12"/>
    <w:next w:val="1"/>
    <w:autoRedefine/>
    <w:qFormat/>
    <w:uiPriority w:val="0"/>
    <w:pPr>
      <w:ind w:firstLine="420" w:firstLineChars="200"/>
    </w:pPr>
  </w:style>
  <w:style w:type="table" w:styleId="28">
    <w:name w:val="Table Grid"/>
    <w:basedOn w:val="27"/>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22"/>
    <w:rPr>
      <w:b/>
      <w:bCs/>
    </w:rPr>
  </w:style>
  <w:style w:type="character" w:styleId="31">
    <w:name w:val="Hyperlink"/>
    <w:basedOn w:val="29"/>
    <w:autoRedefine/>
    <w:qFormat/>
    <w:uiPriority w:val="99"/>
    <w:rPr>
      <w:color w:val="0657AB"/>
      <w:u w:val="none"/>
    </w:rPr>
  </w:style>
  <w:style w:type="character" w:styleId="32">
    <w:name w:val="HTML Sample"/>
    <w:basedOn w:val="29"/>
    <w:autoRedefine/>
    <w:qFormat/>
    <w:uiPriority w:val="0"/>
    <w:rPr>
      <w:rFonts w:ascii="Courier New" w:hAnsi="Courier New"/>
    </w:rPr>
  </w:style>
  <w:style w:type="paragraph" w:customStyle="1" w:styleId="33">
    <w:name w:val="标题 5（有编号）（绿盟科技）"/>
    <w:basedOn w:val="1"/>
    <w:next w:val="34"/>
    <w:autoRedefine/>
    <w:qFormat/>
    <w:uiPriority w:val="0"/>
    <w:pPr>
      <w:keepNext/>
      <w:keepLines/>
      <w:spacing w:before="280" w:after="156" w:line="377" w:lineRule="auto"/>
      <w:outlineLvl w:val="4"/>
    </w:pPr>
    <w:rPr>
      <w:rFonts w:ascii="Arial" w:hAnsi="Arial" w:eastAsia="黑体"/>
      <w:b/>
      <w:sz w:val="24"/>
      <w:szCs w:val="28"/>
    </w:rPr>
  </w:style>
  <w:style w:type="paragraph" w:customStyle="1" w:styleId="34">
    <w:name w:val="正文（绿盟科技）"/>
    <w:autoRedefine/>
    <w:qFormat/>
    <w:uiPriority w:val="0"/>
    <w:pPr>
      <w:spacing w:line="300" w:lineRule="auto"/>
    </w:pPr>
    <w:rPr>
      <w:rFonts w:ascii="Arial" w:hAnsi="Arial" w:eastAsia="宋体" w:cs="黑体"/>
      <w:sz w:val="21"/>
      <w:szCs w:val="21"/>
      <w:lang w:val="en-US" w:eastAsia="zh-CN" w:bidi="ar-SA"/>
    </w:rPr>
  </w:style>
  <w:style w:type="character" w:customStyle="1" w:styleId="35">
    <w:name w:val="NormalCharacter"/>
    <w:autoRedefine/>
    <w:qFormat/>
    <w:uiPriority w:val="0"/>
  </w:style>
  <w:style w:type="table" w:customStyle="1" w:styleId="36">
    <w:name w:val="TableNormal"/>
    <w:autoRedefine/>
    <w:qFormat/>
    <w:uiPriority w:val="0"/>
    <w:tblPr>
      <w:tblCellMar>
        <w:top w:w="0" w:type="dxa"/>
        <w:left w:w="0" w:type="dxa"/>
        <w:bottom w:w="0" w:type="dxa"/>
        <w:right w:w="0" w:type="dxa"/>
      </w:tblCellMar>
    </w:tblPr>
  </w:style>
  <w:style w:type="paragraph" w:customStyle="1" w:styleId="37">
    <w:name w:val="UserStyle_0"/>
    <w:basedOn w:val="1"/>
    <w:next w:val="1"/>
    <w:autoRedefine/>
    <w:qFormat/>
    <w:uiPriority w:val="0"/>
    <w:pPr>
      <w:ind w:firstLine="560"/>
    </w:pPr>
  </w:style>
  <w:style w:type="paragraph" w:customStyle="1" w:styleId="38">
    <w:name w:val="BodyText"/>
    <w:basedOn w:val="1"/>
    <w:autoRedefine/>
    <w:qFormat/>
    <w:uiPriority w:val="0"/>
    <w:pPr>
      <w:ind w:left="109"/>
    </w:pPr>
    <w:rPr>
      <w:sz w:val="24"/>
      <w:szCs w:val="24"/>
    </w:rPr>
  </w:style>
  <w:style w:type="paragraph" w:customStyle="1" w:styleId="39">
    <w:name w:val="BodyText1I"/>
    <w:basedOn w:val="38"/>
    <w:autoRedefine/>
    <w:qFormat/>
    <w:uiPriority w:val="0"/>
    <w:pPr>
      <w:ind w:firstLine="420" w:firstLineChars="100"/>
      <w:jc w:val="center"/>
    </w:pPr>
    <w:rPr>
      <w:rFonts w:cs="宋体"/>
      <w:b/>
      <w:bCs/>
      <w:kern w:val="2"/>
      <w:sz w:val="36"/>
    </w:rPr>
  </w:style>
  <w:style w:type="paragraph" w:customStyle="1" w:styleId="40">
    <w:name w:val="UserStyle_1"/>
    <w:basedOn w:val="1"/>
    <w:autoRedefine/>
    <w:qFormat/>
    <w:uiPriority w:val="0"/>
    <w:pPr>
      <w:ind w:left="54"/>
      <w:jc w:val="center"/>
    </w:pPr>
    <w:rPr>
      <w:rFonts w:cs="宋体"/>
      <w:b/>
      <w:bCs/>
      <w:sz w:val="40"/>
      <w:szCs w:val="40"/>
    </w:rPr>
  </w:style>
  <w:style w:type="paragraph" w:customStyle="1" w:styleId="41">
    <w:name w:val="UserStyle_2"/>
    <w:basedOn w:val="1"/>
    <w:autoRedefine/>
    <w:qFormat/>
    <w:uiPriority w:val="0"/>
    <w:pPr>
      <w:jc w:val="center"/>
    </w:pPr>
    <w:rPr>
      <w:rFonts w:cs="宋体"/>
      <w:b/>
      <w:bCs/>
      <w:sz w:val="36"/>
      <w:szCs w:val="36"/>
    </w:rPr>
  </w:style>
  <w:style w:type="paragraph" w:customStyle="1" w:styleId="42">
    <w:name w:val="UserStyle_3"/>
    <w:basedOn w:val="1"/>
    <w:autoRedefine/>
    <w:qFormat/>
    <w:uiPriority w:val="0"/>
    <w:pPr>
      <w:ind w:left="23"/>
      <w:jc w:val="center"/>
    </w:pPr>
    <w:rPr>
      <w:rFonts w:cs="宋体"/>
      <w:b/>
      <w:bCs/>
      <w:sz w:val="30"/>
      <w:szCs w:val="30"/>
    </w:rPr>
  </w:style>
  <w:style w:type="paragraph" w:customStyle="1" w:styleId="43">
    <w:name w:val="UserStyle_4"/>
    <w:basedOn w:val="1"/>
    <w:autoRedefine/>
    <w:qFormat/>
    <w:uiPriority w:val="0"/>
  </w:style>
  <w:style w:type="table" w:customStyle="1" w:styleId="44">
    <w:name w:val="UserStyle_5"/>
    <w:autoRedefine/>
    <w:qFormat/>
    <w:uiPriority w:val="0"/>
    <w:tblPr>
      <w:tblCellMar>
        <w:top w:w="0" w:type="dxa"/>
        <w:left w:w="0" w:type="dxa"/>
        <w:bottom w:w="0" w:type="dxa"/>
        <w:right w:w="0" w:type="dxa"/>
      </w:tblCellMar>
    </w:tblPr>
  </w:style>
  <w:style w:type="paragraph" w:customStyle="1" w:styleId="45">
    <w:name w:val="UserStyle_6"/>
    <w:basedOn w:val="1"/>
    <w:autoRedefine/>
    <w:qFormat/>
    <w:uiPriority w:val="0"/>
    <w:pPr>
      <w:spacing w:before="31"/>
      <w:ind w:left="591"/>
    </w:pPr>
    <w:rPr>
      <w:rFonts w:cs="宋体"/>
      <w:b/>
      <w:bCs/>
      <w:sz w:val="24"/>
      <w:szCs w:val="24"/>
    </w:rPr>
  </w:style>
  <w:style w:type="paragraph" w:customStyle="1" w:styleId="46">
    <w:name w:val="UserStyle_7"/>
    <w:basedOn w:val="1"/>
    <w:autoRedefine/>
    <w:qFormat/>
    <w:uiPriority w:val="0"/>
    <w:pPr>
      <w:ind w:left="152"/>
      <w:jc w:val="center"/>
    </w:pPr>
    <w:rPr>
      <w:rFonts w:cs="宋体"/>
      <w:b/>
      <w:bCs/>
      <w:sz w:val="32"/>
      <w:szCs w:val="32"/>
    </w:rPr>
  </w:style>
  <w:style w:type="paragraph" w:customStyle="1" w:styleId="47">
    <w:name w:val="179"/>
    <w:basedOn w:val="1"/>
    <w:autoRedefine/>
    <w:qFormat/>
    <w:uiPriority w:val="0"/>
    <w:pPr>
      <w:spacing w:before="31"/>
      <w:ind w:left="109" w:firstLine="480"/>
    </w:pPr>
  </w:style>
  <w:style w:type="paragraph" w:customStyle="1" w:styleId="48">
    <w:name w:val="UserStyle_8"/>
    <w:basedOn w:val="1"/>
    <w:autoRedefine/>
    <w:qFormat/>
    <w:uiPriority w:val="0"/>
    <w:pPr>
      <w:ind w:left="109"/>
    </w:pPr>
    <w:rPr>
      <w:rFonts w:cs="宋体"/>
      <w:b/>
      <w:bCs/>
      <w:sz w:val="28"/>
      <w:szCs w:val="28"/>
    </w:rPr>
  </w:style>
  <w:style w:type="paragraph" w:customStyle="1" w:styleId="49">
    <w:name w:val="UserStyle_9"/>
    <w:basedOn w:val="1"/>
    <w:autoRedefine/>
    <w:qFormat/>
    <w:uiPriority w:val="0"/>
    <w:pPr>
      <w:ind w:firstLine="420" w:firstLineChars="200"/>
    </w:pPr>
  </w:style>
  <w:style w:type="character" w:customStyle="1" w:styleId="50">
    <w:name w:val="页眉 字符"/>
    <w:basedOn w:val="29"/>
    <w:link w:val="19"/>
    <w:autoRedefine/>
    <w:qFormat/>
    <w:uiPriority w:val="99"/>
    <w:rPr>
      <w:rFonts w:ascii="宋体" w:hAnsi="宋体"/>
      <w:sz w:val="18"/>
      <w:szCs w:val="18"/>
      <w:lang w:eastAsia="en-US"/>
    </w:rPr>
  </w:style>
  <w:style w:type="character" w:customStyle="1" w:styleId="51">
    <w:name w:val="页脚 字符"/>
    <w:basedOn w:val="29"/>
    <w:link w:val="18"/>
    <w:autoRedefine/>
    <w:qFormat/>
    <w:uiPriority w:val="0"/>
    <w:rPr>
      <w:rFonts w:ascii="宋体" w:hAnsi="宋体"/>
      <w:sz w:val="18"/>
      <w:szCs w:val="18"/>
      <w:lang w:eastAsia="en-US"/>
    </w:rPr>
  </w:style>
  <w:style w:type="character" w:customStyle="1" w:styleId="52">
    <w:name w:val="标题 1 字符"/>
    <w:basedOn w:val="29"/>
    <w:link w:val="2"/>
    <w:autoRedefine/>
    <w:qFormat/>
    <w:uiPriority w:val="9"/>
    <w:rPr>
      <w:rFonts w:ascii="宋体" w:hAnsi="宋体" w:cs="宋体"/>
      <w:b/>
      <w:bCs/>
      <w:kern w:val="36"/>
      <w:sz w:val="48"/>
      <w:szCs w:val="48"/>
    </w:rPr>
  </w:style>
  <w:style w:type="paragraph" w:customStyle="1" w:styleId="53">
    <w:name w:val="detail-info"/>
    <w:basedOn w:val="1"/>
    <w:autoRedefine/>
    <w:qFormat/>
    <w:uiPriority w:val="0"/>
    <w:pPr>
      <w:spacing w:before="100" w:beforeAutospacing="1" w:after="100" w:afterAutospacing="1"/>
      <w:textAlignment w:val="auto"/>
    </w:pPr>
    <w:rPr>
      <w:rFonts w:cs="宋体"/>
      <w:sz w:val="24"/>
      <w:szCs w:val="24"/>
      <w:lang w:eastAsia="zh-CN"/>
    </w:rPr>
  </w:style>
  <w:style w:type="character" w:customStyle="1" w:styleId="54">
    <w:name w:val="bookmark-item"/>
    <w:basedOn w:val="29"/>
    <w:autoRedefine/>
    <w:qFormat/>
    <w:uiPriority w:val="0"/>
  </w:style>
  <w:style w:type="paragraph" w:styleId="55">
    <w:name w:val="List Paragraph"/>
    <w:basedOn w:val="1"/>
    <w:autoRedefine/>
    <w:qFormat/>
    <w:uiPriority w:val="34"/>
    <w:pPr>
      <w:ind w:firstLine="420" w:firstLineChars="200"/>
    </w:pPr>
  </w:style>
  <w:style w:type="paragraph" w:customStyle="1" w:styleId="56">
    <w:name w:val="标书正文"/>
    <w:basedOn w:val="1"/>
    <w:autoRedefine/>
    <w:qFormat/>
    <w:uiPriority w:val="0"/>
    <w:pPr>
      <w:spacing w:line="560" w:lineRule="exact"/>
      <w:ind w:firstLine="723" w:firstLineChars="200"/>
      <w:jc w:val="center"/>
    </w:pPr>
    <w:rPr>
      <w:rFonts w:ascii="仿宋_GB2312" w:hAnsi="Calibri" w:eastAsia="仿宋_GB2312"/>
      <w:b/>
      <w:sz w:val="36"/>
      <w:szCs w:val="24"/>
    </w:rPr>
  </w:style>
  <w:style w:type="paragraph" w:customStyle="1" w:styleId="57">
    <w:name w:val="Default"/>
    <w:autoRedefine/>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58">
    <w:name w:val="Table Paragraph"/>
    <w:basedOn w:val="59"/>
    <w:autoRedefine/>
    <w:qFormat/>
    <w:uiPriority w:val="1"/>
    <w:pPr>
      <w:widowControl w:val="0"/>
      <w:autoSpaceDE w:val="0"/>
      <w:autoSpaceDN w:val="0"/>
      <w:textAlignment w:val="auto"/>
    </w:pPr>
    <w:rPr>
      <w:rFonts w:cs="宋体"/>
      <w:lang w:eastAsia="zh-CN"/>
    </w:rPr>
  </w:style>
  <w:style w:type="paragraph" w:customStyle="1" w:styleId="59">
    <w:name w:val="正文_0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0">
    <w:name w:val="正文 A"/>
    <w:basedOn w:val="1"/>
    <w:autoRedefine/>
    <w:qFormat/>
    <w:uiPriority w:val="0"/>
    <w:pPr>
      <w:pBdr>
        <w:top w:val="none" w:color="FFFFFF" w:sz="0" w:space="0"/>
        <w:left w:val="none" w:color="FFFFFF" w:sz="0" w:space="0"/>
        <w:bottom w:val="none" w:color="FFFFFF" w:sz="0" w:space="0"/>
        <w:right w:val="none" w:color="FFFFFF" w:sz="0" w:space="0"/>
      </w:pBdr>
    </w:pPr>
    <w:rPr>
      <w:rFonts w:ascii="Times New Roman" w:hAnsi="Times New Roman"/>
      <w:color w:val="000000"/>
      <w:szCs w:val="21"/>
    </w:rPr>
  </w:style>
  <w:style w:type="paragraph" w:customStyle="1" w:styleId="61">
    <w:name w:val="11正文"/>
    <w:basedOn w:val="1"/>
    <w:autoRedefine/>
    <w:qFormat/>
    <w:uiPriority w:val="0"/>
    <w:pPr>
      <w:tabs>
        <w:tab w:val="center" w:pos="4153"/>
        <w:tab w:val="right" w:pos="8306"/>
      </w:tabs>
      <w:spacing w:line="360" w:lineRule="auto"/>
      <w:ind w:firstLine="560" w:firstLineChars="200"/>
    </w:pPr>
    <w:rPr>
      <w:rFonts w:hint="eastAsia"/>
      <w:color w:val="000000"/>
      <w:sz w:val="24"/>
      <w:szCs w:val="28"/>
    </w:rPr>
  </w:style>
  <w:style w:type="paragraph" w:customStyle="1" w:styleId="62">
    <w:name w:val="图"/>
    <w:basedOn w:val="1"/>
    <w:autoRedefine/>
    <w:qFormat/>
    <w:uiPriority w:val="99"/>
    <w:pPr>
      <w:keepNext/>
      <w:adjustRightInd w:val="0"/>
      <w:spacing w:before="60" w:after="60" w:line="300" w:lineRule="auto"/>
      <w:jc w:val="center"/>
      <w:textAlignment w:val="center"/>
    </w:pPr>
    <w:rPr>
      <w:rFonts w:ascii="Times New Roman" w:hAnsi="Times New Roman"/>
      <w:spacing w:val="20"/>
      <w:sz w:val="24"/>
    </w:rPr>
  </w:style>
  <w:style w:type="character" w:customStyle="1" w:styleId="63">
    <w:name w:val="font11"/>
    <w:basedOn w:val="29"/>
    <w:autoRedefine/>
    <w:qFormat/>
    <w:uiPriority w:val="0"/>
    <w:rPr>
      <w:rFonts w:hint="eastAsia" w:ascii="宋体" w:hAnsi="宋体" w:eastAsia="宋体" w:cs="宋体"/>
      <w:color w:val="000000"/>
      <w:sz w:val="24"/>
      <w:szCs w:val="24"/>
      <w:u w:val="none"/>
    </w:rPr>
  </w:style>
  <w:style w:type="character" w:customStyle="1" w:styleId="64">
    <w:name w:val="font01"/>
    <w:basedOn w:val="29"/>
    <w:autoRedefine/>
    <w:qFormat/>
    <w:uiPriority w:val="0"/>
    <w:rPr>
      <w:rFonts w:hint="eastAsia" w:ascii="宋体" w:hAnsi="宋体" w:eastAsia="宋体" w:cs="宋体"/>
      <w:color w:val="000000"/>
      <w:sz w:val="24"/>
      <w:szCs w:val="24"/>
      <w:u w:val="none"/>
    </w:rPr>
  </w:style>
  <w:style w:type="paragraph" w:customStyle="1" w:styleId="65">
    <w:name w:val="招标方案正文"/>
    <w:basedOn w:val="1"/>
    <w:autoRedefine/>
    <w:qFormat/>
    <w:uiPriority w:val="0"/>
    <w:pPr>
      <w:spacing w:line="360" w:lineRule="auto"/>
      <w:ind w:firstLine="200" w:firstLineChars="200"/>
    </w:pPr>
    <w:rPr>
      <w:rFonts w:ascii="Times New Roman" w:hAnsi="Times New Roman"/>
      <w:sz w:val="24"/>
    </w:rPr>
  </w:style>
  <w:style w:type="character" w:customStyle="1" w:styleId="66">
    <w:name w:val="批注框文本 字符"/>
    <w:basedOn w:val="29"/>
    <w:link w:val="17"/>
    <w:autoRedefine/>
    <w:semiHidden/>
    <w:qFormat/>
    <w:uiPriority w:val="99"/>
    <w:rPr>
      <w:rFonts w:ascii="宋体" w:hAnsi="宋体"/>
      <w:sz w:val="18"/>
      <w:szCs w:val="18"/>
      <w:lang w:eastAsia="en-US"/>
    </w:rPr>
  </w:style>
  <w:style w:type="table" w:customStyle="1" w:styleId="67">
    <w:name w:val="Table Normal"/>
    <w:autoRedefine/>
    <w:unhideWhenUsed/>
    <w:qFormat/>
    <w:uiPriority w:val="2"/>
    <w:pPr>
      <w:widowControl w:val="0"/>
      <w:autoSpaceDE w:val="0"/>
      <w:autoSpaceDN w:val="0"/>
    </w:pPr>
    <w:rPr>
      <w:kern w:val="0"/>
      <w:sz w:val="22"/>
      <w:lang w:eastAsia="en-US"/>
    </w:rPr>
    <w:tblPr>
      <w:tblCellMar>
        <w:top w:w="0" w:type="dxa"/>
        <w:left w:w="0" w:type="dxa"/>
        <w:bottom w:w="0" w:type="dxa"/>
        <w:right w:w="0" w:type="dxa"/>
      </w:tblCellMar>
    </w:tblPr>
  </w:style>
  <w:style w:type="character" w:customStyle="1" w:styleId="68">
    <w:name w:val="标题3"/>
    <w:autoRedefine/>
    <w:qFormat/>
    <w:uiPriority w:val="0"/>
    <w:rPr>
      <w:rFonts w:ascii="仿宋" w:hAnsi="仿宋" w:eastAsia="楷体"/>
      <w:b/>
      <w:kern w:val="1"/>
      <w:sz w:val="32"/>
    </w:rPr>
  </w:style>
  <w:style w:type="table" w:customStyle="1" w:styleId="69">
    <w:name w:val="网格型11"/>
    <w:basedOn w:val="27"/>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0">
    <w:name w:val="网格型3"/>
    <w:basedOn w:val="27"/>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1">
    <w:name w:val="font51"/>
    <w:basedOn w:val="29"/>
    <w:autoRedefine/>
    <w:qFormat/>
    <w:uiPriority w:val="0"/>
    <w:rPr>
      <w:rFonts w:hint="default" w:ascii="方正仿宋_GBK" w:hAnsi="方正仿宋_GBK" w:eastAsia="方正仿宋_GBK" w:cs="方正仿宋_GBK"/>
      <w:color w:val="000000"/>
      <w:sz w:val="24"/>
      <w:szCs w:val="24"/>
      <w:u w:val="none"/>
    </w:rPr>
  </w:style>
  <w:style w:type="paragraph" w:customStyle="1" w:styleId="72">
    <w:name w:val="正文缩进1"/>
    <w:basedOn w:val="1"/>
    <w:autoRedefine/>
    <w:qFormat/>
    <w:uiPriority w:val="0"/>
    <w:pPr>
      <w:ind w:firstLine="420" w:firstLineChars="200"/>
    </w:pPr>
  </w:style>
  <w:style w:type="paragraph" w:customStyle="1" w:styleId="73">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paragraph" w:customStyle="1" w:styleId="74">
    <w:name w:val="缺省文本"/>
    <w:autoRedefine/>
    <w:qFormat/>
    <w:uiPriority w:val="0"/>
    <w:pPr>
      <w:widowControl w:val="0"/>
      <w:autoSpaceDE w:val="0"/>
      <w:autoSpaceDN w:val="0"/>
      <w:adjustRightInd w:val="0"/>
    </w:pPr>
    <w:rPr>
      <w:rFonts w:asciiTheme="minorHAnsi" w:hAnsiTheme="minorHAnsi" w:eastAsiaTheme="minorEastAsia" w:cstheme="minorBidi"/>
      <w:color w:val="000000"/>
      <w:sz w:val="24"/>
      <w:szCs w:val="24"/>
      <w:lang w:val="en-US" w:eastAsia="zh-CN" w:bidi="ar-SA"/>
    </w:rPr>
  </w:style>
  <w:style w:type="paragraph" w:customStyle="1" w:styleId="75">
    <w:name w:val="列表段落1"/>
    <w:basedOn w:val="1"/>
    <w:autoRedefine/>
    <w:qFormat/>
    <w:uiPriority w:val="34"/>
    <w:pPr>
      <w:ind w:firstLine="420" w:firstLineChars="200"/>
    </w:pPr>
  </w:style>
  <w:style w:type="paragraph" w:customStyle="1" w:styleId="76">
    <w:name w:val="Body text|1"/>
    <w:basedOn w:val="1"/>
    <w:autoRedefine/>
    <w:qFormat/>
    <w:uiPriority w:val="0"/>
    <w:pPr>
      <w:widowControl w:val="0"/>
      <w:shd w:val="clear" w:color="auto" w:fill="auto"/>
      <w:spacing w:line="334" w:lineRule="auto"/>
      <w:ind w:firstLine="400"/>
    </w:pPr>
    <w:rPr>
      <w:rFonts w:ascii="宋体" w:hAnsi="宋体" w:eastAsia="宋体" w:cs="宋体"/>
      <w:u w:val="none"/>
      <w:shd w:val="clear" w:color="auto" w:fill="auto"/>
      <w:lang w:val="zh-TW" w:eastAsia="zh-TW" w:bidi="zh-TW"/>
    </w:rPr>
  </w:style>
  <w:style w:type="paragraph" w:customStyle="1" w:styleId="77">
    <w:name w:val="样式1"/>
    <w:basedOn w:val="5"/>
    <w:autoRedefine/>
    <w:qFormat/>
    <w:uiPriority w:val="99"/>
    <w:rPr>
      <w:rFonts w:ascii="宋体" w:hAnsi="宋体"/>
      <w:sz w:val="24"/>
      <w:szCs w:val="24"/>
    </w:rPr>
  </w:style>
  <w:style w:type="paragraph" w:customStyle="1" w:styleId="78">
    <w:name w:val="Normal_1"/>
    <w:next w:val="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79">
    <w:name w:val="Table Text"/>
    <w:basedOn w:val="1"/>
    <w:autoRedefine/>
    <w:semiHidden/>
    <w:qFormat/>
    <w:uiPriority w:val="0"/>
    <w:rPr>
      <w:rFonts w:eastAsia="Arial"/>
    </w:rPr>
  </w:style>
  <w:style w:type="paragraph" w:customStyle="1" w:styleId="80">
    <w:name w:val="Other|1"/>
    <w:basedOn w:val="1"/>
    <w:qFormat/>
    <w:uiPriority w:val="0"/>
    <w:pPr>
      <w:widowControl/>
      <w:shd w:val="clear" w:color="000000" w:fill="auto"/>
      <w:bidi/>
      <w:jc w:val="left"/>
    </w:pPr>
    <w:rPr>
      <w:rFonts w:ascii="宋体" w:hAnsi="宋体" w:eastAsia="宋体"/>
      <w:sz w:val="22"/>
      <w:shd w:val="clear" w:color="000000" w:fill="auto"/>
    </w:rPr>
  </w:style>
  <w:style w:type="paragraph" w:styleId="81">
    <w:name w:val="No Spacing"/>
    <w:basedOn w:val="1"/>
    <w:autoRedefine/>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82">
    <w:name w:val="一级标题"/>
    <w:basedOn w:val="2"/>
    <w:qFormat/>
    <w:uiPriority w:val="0"/>
    <w:pPr>
      <w:spacing w:before="0" w:after="0" w:line="240" w:lineRule="auto"/>
      <w:jc w:val="center"/>
    </w:pPr>
    <w:rPr>
      <w:rFonts w:ascii="方正小标宋_GBK" w:eastAsia="方正小标宋_GBK"/>
      <w:b w:val="0"/>
      <w:shd w:val="clear" w:color="auto" w:fill="FFFFFF"/>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96</Pages>
  <Words>38674</Words>
  <Characters>40434</Characters>
  <Lines>348</Lines>
  <Paragraphs>98</Paragraphs>
  <TotalTime>57</TotalTime>
  <ScaleCrop>false</ScaleCrop>
  <LinksUpToDate>false</LinksUpToDate>
  <CharactersWithSpaces>43877</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2021-08-14T12:18:00Z</dcterms:created>
  <dc:creator>Administrator</dc:creator>
  <cp:lastModifiedBy>先生</cp:lastModifiedBy>
  <cp:lastPrinted>2024-07-07T12:35:00Z</cp:lastPrinted>
  <dcterms:modified xsi:type="dcterms:W3CDTF">2025-04-07T03:22:44Z</dcterms:modified>
  <dc:title>新疆维吾尔自治区公安厅特警总队智能枪弹柜采购项目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9070D25F247B44919D52901B34CE7F41_13</vt:lpwstr>
  </property>
  <property fmtid="{D5CDD505-2E9C-101B-9397-08002B2CF9AE}" pid="4" name="KSOTemplateDocerSaveRecord">
    <vt:lpwstr>eyJoZGlkIjoiNTUwZjU3MDVkYmQyMDFmOTNkYWQ4ZWE2MGY2MzQ3MTQiLCJ1c2VySWQiOiI0NTAyNzY3MTgifQ==</vt:lpwstr>
  </property>
</Properties>
</file>