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BED34">
      <w:pPr>
        <w:autoSpaceDE w:val="0"/>
        <w:autoSpaceDN w:val="0"/>
        <w:adjustRightInd w:val="0"/>
        <w:jc w:val="both"/>
        <w:rPr>
          <w:rFonts w:ascii="宋体" w:hAnsi="宋体"/>
          <w:b/>
          <w:color w:val="auto"/>
          <w:sz w:val="44"/>
          <w:szCs w:val="44"/>
        </w:rPr>
      </w:pPr>
    </w:p>
    <w:p w14:paraId="2E453688">
      <w:pPr>
        <w:autoSpaceDE w:val="0"/>
        <w:autoSpaceDN w:val="0"/>
        <w:adjustRightInd w:val="0"/>
        <w:jc w:val="center"/>
        <w:rPr>
          <w:rFonts w:ascii="宋体" w:hAnsi="宋体" w:cs="宋体"/>
          <w:color w:val="auto"/>
          <w:sz w:val="32"/>
          <w:szCs w:val="32"/>
        </w:rPr>
      </w:pPr>
      <w:r>
        <w:rPr>
          <w:rFonts w:hint="eastAsia" w:ascii="宋体" w:hAnsi="宋体" w:eastAsia="宋体" w:cs="宋体"/>
          <w:b/>
          <w:bCs/>
          <w:color w:val="auto"/>
          <w:spacing w:val="-11"/>
          <w:sz w:val="56"/>
          <w:szCs w:val="56"/>
          <w:lang w:val="en-US" w:eastAsia="zh-CN"/>
        </w:rPr>
        <w:t>长春市第一中等专业学校智慧录播教室建设项目</w:t>
      </w:r>
    </w:p>
    <w:p w14:paraId="63B212F9">
      <w:pPr>
        <w:pStyle w:val="3"/>
        <w:rPr>
          <w:rFonts w:ascii="宋体" w:hAnsi="宋体" w:cs="宋体"/>
          <w:color w:val="auto"/>
        </w:rPr>
      </w:pPr>
    </w:p>
    <w:p w14:paraId="0E32139A">
      <w:pPr>
        <w:rPr>
          <w:color w:val="auto"/>
        </w:rPr>
      </w:pPr>
    </w:p>
    <w:p w14:paraId="2336D0AE">
      <w:pPr>
        <w:autoSpaceDE w:val="0"/>
        <w:autoSpaceDN w:val="0"/>
        <w:adjustRightInd w:val="0"/>
        <w:snapToGrid w:val="0"/>
        <w:jc w:val="center"/>
        <w:rPr>
          <w:rFonts w:ascii="宋体" w:hAnsi="宋体" w:cs="宋体"/>
          <w:color w:val="auto"/>
          <w:sz w:val="32"/>
          <w:szCs w:val="32"/>
        </w:rPr>
      </w:pPr>
    </w:p>
    <w:p w14:paraId="1F83A557">
      <w:pPr>
        <w:autoSpaceDE w:val="0"/>
        <w:autoSpaceDN w:val="0"/>
        <w:adjustRightInd w:val="0"/>
        <w:snapToGrid w:val="0"/>
        <w:jc w:val="center"/>
        <w:rPr>
          <w:rFonts w:ascii="宋体" w:hAnsi="宋体" w:cs="黑体"/>
          <w:b/>
          <w:color w:val="auto"/>
          <w:kern w:val="0"/>
          <w:sz w:val="84"/>
          <w:szCs w:val="84"/>
        </w:rPr>
      </w:pPr>
      <w:r>
        <w:rPr>
          <w:rFonts w:hint="eastAsia" w:ascii="宋体" w:hAnsi="宋体" w:cs="黑体"/>
          <w:b/>
          <w:color w:val="auto"/>
          <w:kern w:val="0"/>
          <w:sz w:val="84"/>
          <w:szCs w:val="84"/>
        </w:rPr>
        <w:t>竞争性磋商</w:t>
      </w:r>
      <w:bookmarkStart w:id="16" w:name="_GoBack"/>
      <w:bookmarkEnd w:id="16"/>
      <w:r>
        <w:rPr>
          <w:rFonts w:hint="eastAsia" w:ascii="宋体" w:hAnsi="宋体" w:cs="黑体"/>
          <w:b/>
          <w:color w:val="auto"/>
          <w:kern w:val="0"/>
          <w:sz w:val="84"/>
          <w:szCs w:val="84"/>
        </w:rPr>
        <w:t>文件</w:t>
      </w:r>
    </w:p>
    <w:p w14:paraId="2329E92B">
      <w:pPr>
        <w:autoSpaceDE w:val="0"/>
        <w:autoSpaceDN w:val="0"/>
        <w:adjustRightInd w:val="0"/>
        <w:snapToGrid w:val="0"/>
        <w:jc w:val="center"/>
        <w:rPr>
          <w:rFonts w:hint="eastAsia" w:ascii="宋体" w:hAnsi="宋体" w:cs="宋体"/>
          <w:b/>
          <w:bCs/>
          <w:color w:val="auto"/>
          <w:sz w:val="32"/>
          <w:szCs w:val="32"/>
          <w:lang w:val="zh-CN"/>
        </w:rPr>
      </w:pPr>
      <w:r>
        <w:rPr>
          <w:rFonts w:hint="eastAsia" w:ascii="宋体" w:hAnsi="宋体" w:cs="宋体"/>
          <w:b/>
          <w:bCs/>
          <w:color w:val="auto"/>
          <w:sz w:val="32"/>
          <w:szCs w:val="32"/>
          <w:lang w:val="zh-CN"/>
        </w:rPr>
        <w:t>项目编号</w:t>
      </w:r>
      <w:r>
        <w:rPr>
          <w:rFonts w:hint="eastAsia" w:ascii="宋体" w:hAnsi="宋体" w:cs="宋体"/>
          <w:b/>
          <w:bCs/>
          <w:color w:val="auto"/>
          <w:sz w:val="32"/>
          <w:szCs w:val="32"/>
          <w:highlight w:val="none"/>
          <w:lang w:val="zh-CN"/>
        </w:rPr>
        <w:t>：</w:t>
      </w:r>
      <w:r>
        <w:rPr>
          <w:rFonts w:hint="eastAsia" w:ascii="宋体" w:hAnsi="宋体" w:cs="宋体"/>
          <w:b/>
          <w:bCs/>
          <w:color w:val="auto"/>
          <w:sz w:val="32"/>
          <w:szCs w:val="32"/>
          <w:lang w:val="zh-CN"/>
        </w:rPr>
        <w:t xml:space="preserve">ZCFDAHW2411240300 </w:t>
      </w:r>
    </w:p>
    <w:p w14:paraId="4A5C3C2B">
      <w:pPr>
        <w:autoSpaceDE w:val="0"/>
        <w:autoSpaceDN w:val="0"/>
        <w:adjustRightInd w:val="0"/>
        <w:snapToGrid w:val="0"/>
        <w:rPr>
          <w:rFonts w:ascii="宋体" w:hAnsi="宋体" w:cs="宋体"/>
          <w:color w:val="auto"/>
          <w:kern w:val="0"/>
          <w:sz w:val="32"/>
          <w:szCs w:val="32"/>
        </w:rPr>
      </w:pPr>
    </w:p>
    <w:p w14:paraId="408F6DBF">
      <w:pPr>
        <w:pStyle w:val="59"/>
        <w:rPr>
          <w:color w:val="auto"/>
        </w:rPr>
      </w:pPr>
    </w:p>
    <w:p w14:paraId="72FE5C30">
      <w:pPr>
        <w:tabs>
          <w:tab w:val="left" w:pos="6219"/>
        </w:tabs>
        <w:autoSpaceDE w:val="0"/>
        <w:autoSpaceDN w:val="0"/>
        <w:adjustRightInd w:val="0"/>
        <w:snapToGrid w:val="0"/>
        <w:spacing w:line="1000" w:lineRule="exact"/>
        <w:ind w:firstLine="1263" w:firstLineChars="398"/>
        <w:rPr>
          <w:rFonts w:hint="eastAsia" w:ascii="宋体" w:hAnsi="宋体" w:eastAsia="宋体" w:cs="宋体"/>
          <w:b/>
          <w:color w:val="auto"/>
          <w:w w:val="99"/>
          <w:kern w:val="0"/>
          <w:sz w:val="32"/>
          <w:szCs w:val="32"/>
        </w:rPr>
      </w:pPr>
    </w:p>
    <w:p w14:paraId="7EFB50BE">
      <w:pPr>
        <w:tabs>
          <w:tab w:val="left" w:pos="6219"/>
        </w:tabs>
        <w:autoSpaceDE w:val="0"/>
        <w:autoSpaceDN w:val="0"/>
        <w:adjustRightInd w:val="0"/>
        <w:snapToGrid w:val="0"/>
        <w:spacing w:line="1000" w:lineRule="exact"/>
        <w:jc w:val="center"/>
        <w:rPr>
          <w:rFonts w:ascii="宋体" w:hAnsi="宋体" w:cs="宋体"/>
          <w:b/>
          <w:color w:val="auto"/>
          <w:w w:val="99"/>
          <w:kern w:val="0"/>
          <w:sz w:val="32"/>
          <w:szCs w:val="32"/>
        </w:rPr>
      </w:pPr>
      <w:r>
        <w:rPr>
          <w:rFonts w:hint="eastAsia" w:ascii="宋体" w:hAnsi="宋体" w:eastAsia="宋体" w:cs="宋体"/>
          <w:b/>
          <w:color w:val="auto"/>
          <w:spacing w:val="8"/>
          <w:kern w:val="0"/>
          <w:sz w:val="32"/>
          <w:szCs w:val="32"/>
        </w:rPr>
        <w:t>采购人</w:t>
      </w:r>
      <w:r>
        <w:rPr>
          <w:rFonts w:hint="eastAsia" w:ascii="宋体" w:hAnsi="宋体" w:cs="宋体"/>
          <w:b/>
          <w:color w:val="auto"/>
          <w:w w:val="99"/>
          <w:kern w:val="0"/>
          <w:sz w:val="32"/>
          <w:szCs w:val="32"/>
        </w:rPr>
        <w:t>：</w:t>
      </w:r>
      <w:r>
        <w:rPr>
          <w:rFonts w:hint="eastAsia" w:ascii="宋体" w:hAnsi="宋体" w:eastAsia="宋体"/>
          <w:b/>
          <w:bCs/>
          <w:color w:val="auto"/>
          <w:sz w:val="32"/>
          <w:szCs w:val="32"/>
          <w:u w:val="single"/>
          <w:lang w:val="en-US" w:eastAsia="zh-CN"/>
        </w:rPr>
        <w:t>长春市第一中等专业学校</w:t>
      </w:r>
      <w:r>
        <w:rPr>
          <w:rFonts w:hint="eastAsia" w:ascii="宋体" w:hAnsi="宋体"/>
          <w:b/>
          <w:bCs/>
          <w:color w:val="auto"/>
          <w:sz w:val="32"/>
          <w:szCs w:val="32"/>
          <w:u w:val="none"/>
        </w:rPr>
        <w:t>（盖章）</w:t>
      </w:r>
    </w:p>
    <w:p w14:paraId="312A459D">
      <w:pPr>
        <w:tabs>
          <w:tab w:val="left" w:pos="6252"/>
        </w:tabs>
        <w:autoSpaceDE w:val="0"/>
        <w:autoSpaceDN w:val="0"/>
        <w:adjustRightInd w:val="0"/>
        <w:snapToGrid w:val="0"/>
        <w:spacing w:line="1000" w:lineRule="exact"/>
        <w:jc w:val="center"/>
        <w:rPr>
          <w:rFonts w:ascii="宋体" w:hAnsi="宋体" w:cs="宋体"/>
          <w:b/>
          <w:color w:val="auto"/>
          <w:kern w:val="0"/>
          <w:sz w:val="32"/>
          <w:szCs w:val="32"/>
        </w:rPr>
      </w:pPr>
      <w:r>
        <w:rPr>
          <w:rFonts w:hint="eastAsia" w:ascii="宋体" w:hAnsi="宋体" w:eastAsia="宋体" w:cs="宋体"/>
          <w:b/>
          <w:color w:val="auto"/>
          <w:spacing w:val="8"/>
          <w:kern w:val="0"/>
          <w:sz w:val="32"/>
          <w:szCs w:val="32"/>
        </w:rPr>
        <w:t>采购代理机构</w:t>
      </w:r>
      <w:r>
        <w:rPr>
          <w:rFonts w:hint="eastAsia" w:ascii="宋体" w:hAnsi="宋体" w:cs="宋体"/>
          <w:b/>
          <w:color w:val="auto"/>
          <w:spacing w:val="8"/>
          <w:kern w:val="0"/>
          <w:sz w:val="32"/>
          <w:szCs w:val="32"/>
        </w:rPr>
        <w:t>：</w:t>
      </w:r>
      <w:r>
        <w:rPr>
          <w:rFonts w:hint="eastAsia" w:ascii="宋体" w:hAnsi="宋体" w:eastAsia="宋体"/>
          <w:b/>
          <w:bCs/>
          <w:color w:val="auto"/>
          <w:sz w:val="32"/>
          <w:szCs w:val="32"/>
          <w:u w:val="single"/>
          <w:lang w:val="en-US" w:eastAsia="zh-CN"/>
        </w:rPr>
        <w:t>中招辰丰达招标有限公司</w:t>
      </w:r>
      <w:r>
        <w:rPr>
          <w:rFonts w:hint="eastAsia" w:ascii="宋体" w:hAnsi="宋体"/>
          <w:b/>
          <w:bCs/>
          <w:color w:val="auto"/>
          <w:sz w:val="32"/>
          <w:szCs w:val="32"/>
        </w:rPr>
        <w:t>（盖章）</w:t>
      </w:r>
    </w:p>
    <w:p w14:paraId="245D9BFF">
      <w:pPr>
        <w:autoSpaceDE w:val="0"/>
        <w:autoSpaceDN w:val="0"/>
        <w:jc w:val="center"/>
        <w:rPr>
          <w:rFonts w:ascii="宋体" w:hAnsi="宋体"/>
          <w:b/>
          <w:bCs/>
          <w:color w:val="auto"/>
          <w:sz w:val="32"/>
          <w:szCs w:val="32"/>
        </w:rPr>
      </w:pPr>
    </w:p>
    <w:p w14:paraId="5E8D2D2A">
      <w:pPr>
        <w:autoSpaceDE w:val="0"/>
        <w:autoSpaceDN w:val="0"/>
        <w:jc w:val="center"/>
        <w:rPr>
          <w:rFonts w:ascii="宋体" w:hAnsi="宋体"/>
          <w:b/>
          <w:color w:val="auto"/>
          <w:sz w:val="48"/>
          <w:szCs w:val="48"/>
        </w:rPr>
      </w:pPr>
      <w:r>
        <w:rPr>
          <w:rFonts w:hint="eastAsia" w:ascii="宋体" w:hAnsi="宋体"/>
          <w:b/>
          <w:bCs/>
          <w:color w:val="auto"/>
          <w:sz w:val="32"/>
          <w:szCs w:val="32"/>
        </w:rPr>
        <w:t>二〇二</w:t>
      </w:r>
      <w:r>
        <w:rPr>
          <w:rFonts w:hint="eastAsia" w:ascii="宋体" w:hAnsi="宋体" w:eastAsia="宋体"/>
          <w:b/>
          <w:bCs/>
          <w:color w:val="auto"/>
          <w:sz w:val="32"/>
          <w:szCs w:val="32"/>
          <w:lang w:val="en-US" w:eastAsia="zh-CN"/>
        </w:rPr>
        <w:t>四</w:t>
      </w:r>
      <w:r>
        <w:rPr>
          <w:rFonts w:hint="eastAsia" w:ascii="宋体" w:hAnsi="宋体"/>
          <w:b/>
          <w:bCs/>
          <w:color w:val="auto"/>
          <w:sz w:val="32"/>
          <w:szCs w:val="32"/>
        </w:rPr>
        <w:t>年</w:t>
      </w:r>
      <w:r>
        <w:rPr>
          <w:rFonts w:hint="eastAsia" w:ascii="宋体" w:hAnsi="宋体" w:eastAsia="宋体"/>
          <w:b/>
          <w:bCs/>
          <w:color w:val="auto"/>
          <w:sz w:val="32"/>
          <w:szCs w:val="32"/>
          <w:lang w:val="en-US" w:eastAsia="zh-CN"/>
        </w:rPr>
        <w:t>十一</w:t>
      </w:r>
      <w:r>
        <w:rPr>
          <w:rFonts w:hint="eastAsia" w:ascii="宋体" w:hAnsi="宋体"/>
          <w:b/>
          <w:bCs/>
          <w:color w:val="auto"/>
          <w:sz w:val="32"/>
          <w:szCs w:val="32"/>
        </w:rPr>
        <w:t>月</w:t>
      </w:r>
    </w:p>
    <w:p w14:paraId="3087F7F5">
      <w:pPr>
        <w:autoSpaceDE w:val="0"/>
        <w:autoSpaceDN w:val="0"/>
        <w:adjustRightInd w:val="0"/>
        <w:snapToGrid w:val="0"/>
        <w:jc w:val="center"/>
        <w:rPr>
          <w:rFonts w:ascii="隶书" w:hAnsi="宋体" w:eastAsia="隶书" w:cs="宋体"/>
          <w:b/>
          <w:bCs/>
          <w:color w:val="auto"/>
          <w:kern w:val="0"/>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588" w:right="1418" w:bottom="1531" w:left="1418" w:header="1021" w:footer="1021" w:gutter="284"/>
          <w:pgBorders>
            <w:top w:val="none" w:sz="0" w:space="0"/>
            <w:left w:val="none" w:sz="0" w:space="0"/>
            <w:bottom w:val="thickThinSmallGap" w:color="auto" w:sz="18" w:space="1"/>
            <w:right w:val="none" w:sz="0" w:space="0"/>
          </w:pgBorders>
          <w:cols w:space="720" w:num="1"/>
          <w:titlePg/>
          <w:docGrid w:linePitch="312" w:charSpace="0"/>
        </w:sectPr>
      </w:pPr>
    </w:p>
    <w:p w14:paraId="147E76C9">
      <w:pPr>
        <w:autoSpaceDE w:val="0"/>
        <w:autoSpaceDN w:val="0"/>
        <w:adjustRightInd w:val="0"/>
        <w:snapToGrid w:val="0"/>
        <w:jc w:val="center"/>
        <w:rPr>
          <w:rFonts w:ascii="隶书" w:hAnsi="宋体" w:eastAsia="隶书" w:cs="宋体"/>
          <w:b/>
          <w:bCs/>
          <w:color w:val="auto"/>
          <w:kern w:val="0"/>
          <w:sz w:val="44"/>
          <w:szCs w:val="44"/>
        </w:rPr>
      </w:pPr>
      <w:r>
        <w:rPr>
          <w:rFonts w:hint="eastAsia" w:ascii="隶书" w:hAnsi="宋体" w:eastAsia="隶书" w:cs="宋体"/>
          <w:b/>
          <w:bCs/>
          <w:color w:val="auto"/>
          <w:kern w:val="0"/>
          <w:sz w:val="44"/>
          <w:szCs w:val="44"/>
        </w:rPr>
        <w:t>目  录</w:t>
      </w:r>
    </w:p>
    <w:p w14:paraId="2CB3F701">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TOC \o "1-3" \h \z \u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_Toc9761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第一章  竞争性磋商公告</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lang w:val="en-US" w:eastAsia="zh-CN"/>
        </w:rPr>
        <w:t>1</w:t>
      </w:r>
      <w:r>
        <w:rPr>
          <w:rFonts w:hint="eastAsia" w:asciiTheme="minorEastAsia" w:hAnsiTheme="minorEastAsia" w:eastAsiaTheme="minorEastAsia" w:cstheme="minorEastAsia"/>
          <w:snapToGrid w:val="0"/>
          <w:color w:val="auto"/>
          <w:sz w:val="24"/>
          <w:szCs w:val="24"/>
        </w:rPr>
        <w:fldChar w:fldCharType="end"/>
      </w:r>
    </w:p>
    <w:p w14:paraId="3F027DED">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_Toc17172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第二章  供应商须知</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lang w:val="en-US" w:eastAsia="zh-CN"/>
        </w:rPr>
        <w:t>5</w:t>
      </w:r>
      <w:r>
        <w:rPr>
          <w:rFonts w:hint="eastAsia" w:asciiTheme="minorEastAsia" w:hAnsiTheme="minorEastAsia" w:eastAsiaTheme="minorEastAsia" w:cstheme="minorEastAsia"/>
          <w:snapToGrid w:val="0"/>
          <w:color w:val="auto"/>
          <w:sz w:val="24"/>
          <w:szCs w:val="24"/>
        </w:rPr>
        <w:fldChar w:fldCharType="end"/>
      </w:r>
    </w:p>
    <w:p w14:paraId="2EF5AE78">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_Toc14054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 xml:space="preserve">第三章 </w:t>
      </w:r>
      <w:r>
        <w:rPr>
          <w:rFonts w:hint="eastAsia" w:asciiTheme="minorEastAsia" w:hAnsiTheme="minorEastAsia" w:eastAsiaTheme="minorEastAsia" w:cstheme="minorEastAsia"/>
          <w:snapToGrid w:val="0"/>
          <w:color w:val="auto"/>
          <w:sz w:val="24"/>
          <w:szCs w:val="24"/>
          <w:lang w:val="en-US" w:eastAsia="zh-CN"/>
        </w:rPr>
        <w:t xml:space="preserve"> </w:t>
      </w:r>
      <w:r>
        <w:rPr>
          <w:rFonts w:hint="eastAsia" w:asciiTheme="minorEastAsia" w:hAnsiTheme="minorEastAsia" w:eastAsiaTheme="minorEastAsia" w:cstheme="minorEastAsia"/>
          <w:snapToGrid w:val="0"/>
          <w:color w:val="auto"/>
          <w:sz w:val="24"/>
          <w:szCs w:val="24"/>
        </w:rPr>
        <w:t>评标办法（综合评估法）</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PAGEREF _Toc14054 \h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28</w:t>
      </w:r>
      <w:r>
        <w:rPr>
          <w:rFonts w:hint="eastAsia" w:asciiTheme="minorEastAsia" w:hAnsiTheme="minorEastAsia" w:eastAsiaTheme="minorEastAsia" w:cstheme="minorEastAsia"/>
          <w:snapToGrid w:val="0"/>
          <w:color w:val="auto"/>
          <w:sz w:val="24"/>
          <w:szCs w:val="24"/>
        </w:rPr>
        <w:fldChar w:fldCharType="end"/>
      </w:r>
      <w:r>
        <w:rPr>
          <w:rFonts w:hint="eastAsia" w:asciiTheme="minorEastAsia" w:hAnsiTheme="minorEastAsia" w:eastAsiaTheme="minorEastAsia" w:cstheme="minorEastAsia"/>
          <w:snapToGrid w:val="0"/>
          <w:color w:val="auto"/>
          <w:sz w:val="24"/>
          <w:szCs w:val="24"/>
        </w:rPr>
        <w:fldChar w:fldCharType="end"/>
      </w:r>
    </w:p>
    <w:p w14:paraId="5308D34C">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_Toc24479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第四章  合同条款</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PAGEREF _Toc24479 \h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33</w:t>
      </w:r>
      <w:r>
        <w:rPr>
          <w:rFonts w:hint="eastAsia" w:asciiTheme="minorEastAsia" w:hAnsiTheme="minorEastAsia" w:eastAsiaTheme="minorEastAsia" w:cstheme="minorEastAsia"/>
          <w:snapToGrid w:val="0"/>
          <w:color w:val="auto"/>
          <w:sz w:val="24"/>
          <w:szCs w:val="24"/>
        </w:rPr>
        <w:fldChar w:fldCharType="end"/>
      </w:r>
      <w:r>
        <w:rPr>
          <w:rFonts w:hint="eastAsia" w:asciiTheme="minorEastAsia" w:hAnsiTheme="minorEastAsia" w:eastAsiaTheme="minorEastAsia" w:cstheme="minorEastAsia"/>
          <w:snapToGrid w:val="0"/>
          <w:color w:val="auto"/>
          <w:sz w:val="24"/>
          <w:szCs w:val="24"/>
        </w:rPr>
        <w:fldChar w:fldCharType="end"/>
      </w:r>
    </w:p>
    <w:p w14:paraId="3D683E4B">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lang w:val="en-US" w:eastAsia="zh-CN"/>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_Toc24479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第</w:t>
      </w:r>
      <w:r>
        <w:rPr>
          <w:rFonts w:hint="eastAsia" w:asciiTheme="minorEastAsia" w:hAnsiTheme="minorEastAsia" w:eastAsiaTheme="minorEastAsia" w:cstheme="minorEastAsia"/>
          <w:snapToGrid w:val="0"/>
          <w:color w:val="auto"/>
          <w:sz w:val="24"/>
          <w:szCs w:val="24"/>
          <w:lang w:val="en-US" w:eastAsia="zh-CN"/>
        </w:rPr>
        <w:t>五</w:t>
      </w:r>
      <w:r>
        <w:rPr>
          <w:rFonts w:hint="eastAsia" w:asciiTheme="minorEastAsia" w:hAnsiTheme="minorEastAsia" w:eastAsiaTheme="minorEastAsia" w:cstheme="minorEastAsia"/>
          <w:snapToGrid w:val="0"/>
          <w:color w:val="auto"/>
          <w:sz w:val="24"/>
          <w:szCs w:val="24"/>
        </w:rPr>
        <w:t xml:space="preserve">章 </w:t>
      </w:r>
      <w:r>
        <w:rPr>
          <w:rFonts w:hint="eastAsia" w:asciiTheme="minorEastAsia" w:hAnsiTheme="minorEastAsia" w:eastAsiaTheme="minorEastAsia" w:cstheme="minorEastAsia"/>
          <w:snapToGrid w:val="0"/>
          <w:color w:val="auto"/>
          <w:sz w:val="24"/>
          <w:szCs w:val="24"/>
          <w:lang w:val="en-US" w:eastAsia="zh-CN"/>
        </w:rPr>
        <w:t xml:space="preserve"> 采购需求</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lang w:val="en-US" w:eastAsia="zh-CN"/>
        </w:rPr>
        <w:t>4</w:t>
      </w:r>
      <w:r>
        <w:rPr>
          <w:rFonts w:hint="eastAsia" w:asciiTheme="minorEastAsia" w:hAnsiTheme="minorEastAsia" w:eastAsiaTheme="minorEastAsia" w:cstheme="minorEastAsia"/>
          <w:snapToGrid w:val="0"/>
          <w:color w:val="auto"/>
          <w:sz w:val="24"/>
          <w:szCs w:val="24"/>
        </w:rPr>
        <w:fldChar w:fldCharType="end"/>
      </w:r>
      <w:r>
        <w:rPr>
          <w:rFonts w:hint="eastAsia" w:asciiTheme="minorEastAsia" w:hAnsiTheme="minorEastAsia" w:eastAsiaTheme="minorEastAsia" w:cstheme="minorEastAsia"/>
          <w:snapToGrid w:val="0"/>
          <w:color w:val="auto"/>
          <w:sz w:val="24"/>
          <w:szCs w:val="24"/>
          <w:lang w:val="en-US" w:eastAsia="zh-CN"/>
        </w:rPr>
        <w:t>1</w:t>
      </w:r>
    </w:p>
    <w:p w14:paraId="50C9E6F8">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rFonts w:hint="eastAsia" w:asciiTheme="minorEastAsia" w:hAnsiTheme="minorEastAsia" w:eastAsiaTheme="minorEastAsia" w:cstheme="minorEastAsia"/>
          <w:snapToGrid w:val="0"/>
          <w:color w:val="auto"/>
          <w:sz w:val="24"/>
          <w:szCs w:val="24"/>
          <w:lang w:val="en-US" w:eastAsia="zh-CN"/>
        </w:rPr>
      </w:pPr>
      <w:r>
        <w:rPr>
          <w:rFonts w:hint="eastAsia" w:asciiTheme="minorEastAsia" w:hAnsiTheme="minorEastAsia" w:eastAsiaTheme="minorEastAsia" w:cstheme="minorEastAsia"/>
          <w:snapToGrid w:val="0"/>
          <w:color w:val="auto"/>
          <w:sz w:val="24"/>
          <w:szCs w:val="24"/>
        </w:rPr>
        <w:fldChar w:fldCharType="begin"/>
      </w:r>
      <w:r>
        <w:rPr>
          <w:rFonts w:hint="eastAsia" w:asciiTheme="minorEastAsia" w:hAnsiTheme="minorEastAsia" w:eastAsiaTheme="minorEastAsia" w:cstheme="minorEastAsia"/>
          <w:snapToGrid w:val="0"/>
          <w:color w:val="auto"/>
          <w:sz w:val="24"/>
          <w:szCs w:val="24"/>
        </w:rPr>
        <w:instrText xml:space="preserve"> HYPERLINK \l _Toc14122 </w:instrText>
      </w:r>
      <w:r>
        <w:rPr>
          <w:rFonts w:hint="eastAsia" w:asciiTheme="minorEastAsia" w:hAnsiTheme="minorEastAsia" w:eastAsiaTheme="minorEastAsia" w:cstheme="minorEastAsia"/>
          <w:snapToGrid w:val="0"/>
          <w:color w:val="auto"/>
          <w:sz w:val="24"/>
          <w:szCs w:val="24"/>
        </w:rPr>
        <w:fldChar w:fldCharType="separate"/>
      </w:r>
      <w:r>
        <w:rPr>
          <w:rFonts w:hint="eastAsia" w:asciiTheme="minorEastAsia" w:hAnsiTheme="minorEastAsia" w:eastAsiaTheme="minorEastAsia" w:cstheme="minorEastAsia"/>
          <w:snapToGrid w:val="0"/>
          <w:color w:val="auto"/>
          <w:sz w:val="24"/>
          <w:szCs w:val="24"/>
        </w:rPr>
        <w:t>第</w:t>
      </w:r>
      <w:r>
        <w:rPr>
          <w:rFonts w:hint="eastAsia" w:asciiTheme="minorEastAsia" w:hAnsiTheme="minorEastAsia" w:eastAsiaTheme="minorEastAsia" w:cstheme="minorEastAsia"/>
          <w:snapToGrid w:val="0"/>
          <w:color w:val="auto"/>
          <w:sz w:val="24"/>
          <w:szCs w:val="24"/>
          <w:lang w:val="en-US" w:eastAsia="zh-CN"/>
        </w:rPr>
        <w:t>六</w:t>
      </w:r>
      <w:r>
        <w:rPr>
          <w:rFonts w:hint="eastAsia" w:asciiTheme="minorEastAsia" w:hAnsiTheme="minorEastAsia" w:eastAsiaTheme="minorEastAsia" w:cstheme="minorEastAsia"/>
          <w:snapToGrid w:val="0"/>
          <w:color w:val="auto"/>
          <w:sz w:val="24"/>
          <w:szCs w:val="24"/>
        </w:rPr>
        <w:t>章　响应文件格式</w:t>
      </w:r>
      <w:r>
        <w:rPr>
          <w:rFonts w:hint="eastAsia" w:asciiTheme="minorEastAsia" w:hAnsiTheme="minorEastAsia" w:eastAsiaTheme="minorEastAsia" w:cstheme="minorEastAsia"/>
          <w:snapToGrid w:val="0"/>
          <w:color w:val="auto"/>
          <w:sz w:val="24"/>
          <w:szCs w:val="24"/>
        </w:rPr>
        <w:tab/>
      </w:r>
      <w:r>
        <w:rPr>
          <w:rFonts w:hint="eastAsia" w:asciiTheme="minorEastAsia" w:hAnsiTheme="minorEastAsia" w:eastAsiaTheme="minorEastAsia" w:cstheme="minorEastAsia"/>
          <w:snapToGrid w:val="0"/>
          <w:color w:val="auto"/>
          <w:sz w:val="24"/>
          <w:szCs w:val="24"/>
          <w:lang w:val="en-US" w:eastAsia="zh-CN"/>
        </w:rPr>
        <w:t>4</w:t>
      </w:r>
      <w:r>
        <w:rPr>
          <w:rFonts w:hint="eastAsia" w:asciiTheme="minorEastAsia" w:hAnsiTheme="minorEastAsia" w:eastAsiaTheme="minorEastAsia" w:cstheme="minorEastAsia"/>
          <w:snapToGrid w:val="0"/>
          <w:color w:val="auto"/>
          <w:sz w:val="24"/>
          <w:szCs w:val="24"/>
        </w:rPr>
        <w:fldChar w:fldCharType="end"/>
      </w:r>
      <w:r>
        <w:rPr>
          <w:rFonts w:hint="eastAsia" w:asciiTheme="minorEastAsia" w:hAnsiTheme="minorEastAsia" w:eastAsiaTheme="minorEastAsia" w:cstheme="minorEastAsia"/>
          <w:snapToGrid w:val="0"/>
          <w:color w:val="auto"/>
          <w:sz w:val="24"/>
          <w:szCs w:val="24"/>
          <w:lang w:val="en-US" w:eastAsia="zh-CN"/>
        </w:rPr>
        <w:t>7</w:t>
      </w:r>
    </w:p>
    <w:p w14:paraId="6107954D">
      <w:pPr>
        <w:pStyle w:val="37"/>
        <w:keepNext w:val="0"/>
        <w:keepLines w:val="0"/>
        <w:pageBreakBefore w:val="0"/>
        <w:widowControl/>
        <w:tabs>
          <w:tab w:val="right" w:leader="dot" w:pos="8786"/>
        </w:tabs>
        <w:kinsoku/>
        <w:wordWrap/>
        <w:overflowPunct/>
        <w:topLinePunct w:val="0"/>
        <w:autoSpaceDE/>
        <w:autoSpaceDN/>
        <w:bidi w:val="0"/>
        <w:adjustRightInd/>
        <w:snapToGrid/>
        <w:spacing w:line="600" w:lineRule="exact"/>
        <w:textAlignment w:val="auto"/>
        <w:rPr>
          <w:color w:val="auto"/>
        </w:rPr>
      </w:pPr>
      <w:r>
        <w:rPr>
          <w:rFonts w:hint="eastAsia" w:asciiTheme="minorEastAsia" w:hAnsiTheme="minorEastAsia" w:eastAsiaTheme="minorEastAsia" w:cstheme="minorEastAsia"/>
          <w:snapToGrid w:val="0"/>
          <w:color w:val="auto"/>
          <w:sz w:val="24"/>
          <w:szCs w:val="24"/>
        </w:rPr>
        <w:fldChar w:fldCharType="end"/>
      </w:r>
    </w:p>
    <w:p w14:paraId="61B9CDD2">
      <w:pPr>
        <w:autoSpaceDE w:val="0"/>
        <w:autoSpaceDN w:val="0"/>
        <w:adjustRightInd w:val="0"/>
        <w:snapToGrid w:val="0"/>
        <w:spacing w:line="400" w:lineRule="exact"/>
        <w:rPr>
          <w:rFonts w:ascii="宋体" w:hAnsi="宋体" w:cs="宋体"/>
          <w:color w:val="auto"/>
          <w:kern w:val="0"/>
          <w:sz w:val="24"/>
        </w:rPr>
      </w:pPr>
    </w:p>
    <w:p w14:paraId="42710F8F">
      <w:pPr>
        <w:autoSpaceDE w:val="0"/>
        <w:autoSpaceDN w:val="0"/>
        <w:adjustRightInd w:val="0"/>
        <w:snapToGrid w:val="0"/>
        <w:spacing w:line="400" w:lineRule="exact"/>
        <w:jc w:val="center"/>
        <w:rPr>
          <w:rFonts w:ascii="宋体" w:hAnsi="宋体" w:cs="宋体"/>
          <w:color w:val="auto"/>
          <w:kern w:val="0"/>
          <w:sz w:val="24"/>
        </w:rPr>
      </w:pPr>
    </w:p>
    <w:p w14:paraId="7220FC12">
      <w:pPr>
        <w:spacing w:line="240" w:lineRule="auto"/>
        <w:jc w:val="both"/>
        <w:rPr>
          <w:rFonts w:ascii="宋体" w:hAnsi="宋体" w:cs="宋体"/>
          <w:color w:val="auto"/>
          <w:sz w:val="44"/>
          <w:szCs w:val="44"/>
        </w:rPr>
      </w:pPr>
      <w:bookmarkStart w:id="0" w:name="_Toc327288556"/>
      <w:bookmarkStart w:id="1" w:name="_Toc224103317"/>
      <w:bookmarkStart w:id="2" w:name="_Toc427603963"/>
      <w:bookmarkStart w:id="3" w:name="_Toc200513126"/>
      <w:bookmarkStart w:id="4" w:name="_Toc287607746"/>
      <w:bookmarkStart w:id="5" w:name="_Toc287607728"/>
      <w:bookmarkStart w:id="6" w:name="_Toc200359238"/>
      <w:bookmarkStart w:id="7" w:name="_Toc200359427"/>
      <w:bookmarkStart w:id="8" w:name="_Toc277082536"/>
      <w:bookmarkStart w:id="9" w:name="_Toc224103299"/>
      <w:bookmarkStart w:id="10" w:name="_Toc425325751"/>
      <w:bookmarkStart w:id="11" w:name="_Toc277082552"/>
      <w:bookmarkStart w:id="12" w:name="_Toc425325760"/>
    </w:p>
    <w:p w14:paraId="3EAE24F5">
      <w:pPr>
        <w:spacing w:line="240" w:lineRule="auto"/>
        <w:jc w:val="both"/>
        <w:rPr>
          <w:rFonts w:ascii="宋体" w:hAnsi="宋体" w:cs="宋体"/>
          <w:color w:val="auto"/>
          <w:sz w:val="44"/>
          <w:szCs w:val="44"/>
        </w:rPr>
      </w:pPr>
    </w:p>
    <w:p w14:paraId="473ACB77">
      <w:pPr>
        <w:spacing w:line="240" w:lineRule="auto"/>
        <w:jc w:val="both"/>
        <w:rPr>
          <w:rFonts w:ascii="宋体" w:hAnsi="宋体" w:cs="宋体"/>
          <w:color w:val="auto"/>
          <w:sz w:val="44"/>
          <w:szCs w:val="44"/>
        </w:rPr>
      </w:pPr>
    </w:p>
    <w:p w14:paraId="6347DF20">
      <w:pPr>
        <w:spacing w:line="240" w:lineRule="auto"/>
        <w:jc w:val="both"/>
        <w:rPr>
          <w:rFonts w:ascii="宋体" w:hAnsi="宋体" w:cs="宋体"/>
          <w:color w:val="auto"/>
          <w:sz w:val="44"/>
          <w:szCs w:val="44"/>
        </w:rPr>
      </w:pPr>
    </w:p>
    <w:p w14:paraId="77A63FF9">
      <w:pPr>
        <w:spacing w:line="240" w:lineRule="auto"/>
        <w:jc w:val="both"/>
        <w:rPr>
          <w:rFonts w:ascii="宋体" w:hAnsi="宋体" w:cs="宋体"/>
          <w:color w:val="auto"/>
          <w:sz w:val="44"/>
          <w:szCs w:val="44"/>
        </w:rPr>
      </w:pPr>
    </w:p>
    <w:p w14:paraId="5292D63A">
      <w:pPr>
        <w:pStyle w:val="5"/>
        <w:rPr>
          <w:color w:val="auto"/>
        </w:rPr>
      </w:pPr>
    </w:p>
    <w:p w14:paraId="42E9346F">
      <w:pPr>
        <w:spacing w:line="240" w:lineRule="auto"/>
        <w:jc w:val="both"/>
        <w:rPr>
          <w:rFonts w:ascii="宋体" w:hAnsi="宋体" w:cs="宋体"/>
          <w:color w:val="auto"/>
          <w:sz w:val="44"/>
          <w:szCs w:val="44"/>
        </w:rPr>
      </w:pPr>
    </w:p>
    <w:p w14:paraId="43360ABF">
      <w:pPr>
        <w:spacing w:line="240" w:lineRule="auto"/>
        <w:jc w:val="both"/>
        <w:rPr>
          <w:rFonts w:ascii="宋体" w:hAnsi="宋体" w:cs="宋体"/>
          <w:color w:val="auto"/>
          <w:sz w:val="44"/>
          <w:szCs w:val="44"/>
        </w:rPr>
      </w:pPr>
    </w:p>
    <w:p w14:paraId="121265F4">
      <w:pPr>
        <w:spacing w:line="240" w:lineRule="auto"/>
        <w:jc w:val="both"/>
        <w:rPr>
          <w:rFonts w:ascii="宋体" w:hAnsi="宋体" w:cs="宋体"/>
          <w:color w:val="auto"/>
          <w:sz w:val="44"/>
          <w:szCs w:val="44"/>
        </w:rPr>
      </w:pPr>
    </w:p>
    <w:p w14:paraId="29BA9D8F">
      <w:pPr>
        <w:spacing w:line="240" w:lineRule="auto"/>
        <w:jc w:val="both"/>
        <w:rPr>
          <w:rFonts w:ascii="宋体" w:hAnsi="宋体" w:cs="宋体"/>
          <w:color w:val="auto"/>
          <w:sz w:val="44"/>
          <w:szCs w:val="44"/>
        </w:rPr>
      </w:pPr>
    </w:p>
    <w:p w14:paraId="2F4138AE">
      <w:pPr>
        <w:spacing w:line="240" w:lineRule="auto"/>
        <w:jc w:val="both"/>
        <w:rPr>
          <w:rFonts w:ascii="宋体" w:hAnsi="宋体" w:cs="宋体"/>
          <w:color w:val="auto"/>
          <w:sz w:val="44"/>
          <w:szCs w:val="44"/>
        </w:rPr>
      </w:pPr>
    </w:p>
    <w:p w14:paraId="6A486789">
      <w:pPr>
        <w:spacing w:line="240" w:lineRule="auto"/>
        <w:jc w:val="both"/>
        <w:rPr>
          <w:rFonts w:ascii="宋体" w:hAnsi="宋体" w:cs="宋体"/>
          <w:color w:val="auto"/>
          <w:sz w:val="44"/>
          <w:szCs w:val="44"/>
        </w:rPr>
      </w:pPr>
    </w:p>
    <w:p w14:paraId="69EED2D7">
      <w:pPr>
        <w:pStyle w:val="3"/>
        <w:spacing w:line="240" w:lineRule="auto"/>
        <w:jc w:val="center"/>
        <w:rPr>
          <w:rFonts w:ascii="楷体_GB2312" w:hAnsi="宋体" w:eastAsia="楷体_GB2312" w:cs="宋体"/>
          <w:snapToGrid w:val="0"/>
          <w:color w:val="auto"/>
          <w:sz w:val="52"/>
          <w:szCs w:val="52"/>
        </w:rPr>
      </w:pPr>
      <w:r>
        <w:rPr>
          <w:rFonts w:hint="eastAsia" w:ascii="楷体_GB2312" w:hAnsi="宋体" w:eastAsia="楷体_GB2312" w:cs="宋体"/>
          <w:snapToGrid w:val="0"/>
          <w:color w:val="auto"/>
          <w:sz w:val="52"/>
          <w:szCs w:val="52"/>
        </w:rPr>
        <w:t>第一章  竞争性磋商公告</w:t>
      </w:r>
    </w:p>
    <w:p w14:paraId="23E6ADC4">
      <w:pPr>
        <w:rPr>
          <w:color w:val="auto"/>
        </w:rPr>
      </w:pPr>
    </w:p>
    <w:p w14:paraId="07ADA813">
      <w:pPr>
        <w:autoSpaceDE w:val="0"/>
        <w:autoSpaceDN w:val="0"/>
        <w:adjustRightInd w:val="0"/>
        <w:spacing w:line="360" w:lineRule="exact"/>
        <w:jc w:val="both"/>
        <w:rPr>
          <w:rFonts w:ascii="宋体" w:hAnsi="宋体"/>
          <w:b/>
          <w:color w:val="auto"/>
          <w:sz w:val="30"/>
          <w:szCs w:val="30"/>
        </w:rPr>
      </w:pPr>
    </w:p>
    <w:p w14:paraId="25795266">
      <w:pPr>
        <w:autoSpaceDE w:val="0"/>
        <w:autoSpaceDN w:val="0"/>
        <w:adjustRightInd w:val="0"/>
        <w:spacing w:line="360" w:lineRule="exact"/>
        <w:ind w:firstLine="600" w:firstLineChars="200"/>
        <w:jc w:val="center"/>
        <w:rPr>
          <w:rFonts w:ascii="宋体" w:hAnsi="宋体"/>
          <w:b/>
          <w:color w:val="auto"/>
          <w:sz w:val="30"/>
          <w:szCs w:val="30"/>
        </w:rPr>
      </w:pPr>
    </w:p>
    <w:p w14:paraId="5758B3E4">
      <w:pPr>
        <w:jc w:val="both"/>
        <w:rPr>
          <w:rFonts w:ascii="宋体" w:hAnsi="宋体" w:cs="宋体"/>
          <w:b/>
          <w:color w:val="auto"/>
          <w:sz w:val="36"/>
          <w:szCs w:val="36"/>
          <w:lang w:val="zh-CN"/>
        </w:rPr>
      </w:pPr>
    </w:p>
    <w:p w14:paraId="19EC0DC8">
      <w:pPr>
        <w:rPr>
          <w:rFonts w:ascii="宋体" w:hAnsi="宋体" w:cs="宋体"/>
          <w:b/>
          <w:color w:val="auto"/>
          <w:sz w:val="28"/>
          <w:szCs w:val="28"/>
          <w:lang w:val="zh-CN"/>
        </w:rPr>
      </w:pPr>
      <w:r>
        <w:rPr>
          <w:rFonts w:hint="eastAsia" w:ascii="宋体" w:hAnsi="宋体" w:cs="宋体"/>
          <w:b/>
          <w:color w:val="auto"/>
          <w:sz w:val="30"/>
          <w:szCs w:val="30"/>
          <w:lang w:val="zh-CN"/>
        </w:rPr>
        <w:br w:type="page"/>
      </w:r>
    </w:p>
    <w:p w14:paraId="00C4B3D8">
      <w:pPr>
        <w:pStyle w:val="17"/>
        <w:jc w:val="center"/>
        <w:rPr>
          <w:rFonts w:hint="eastAsia" w:ascii="宋体" w:hAnsi="宋体" w:eastAsia="宋体" w:cs="宋体"/>
          <w:b/>
          <w:bCs w:val="0"/>
          <w:color w:val="auto"/>
          <w:sz w:val="28"/>
          <w:szCs w:val="28"/>
          <w:lang w:val="zh-CN"/>
        </w:rPr>
      </w:pPr>
      <w:r>
        <w:rPr>
          <w:rFonts w:hint="eastAsia" w:ascii="宋体" w:hAnsi="宋体" w:eastAsia="宋体" w:cs="宋体"/>
          <w:b/>
          <w:bCs w:val="0"/>
          <w:color w:val="auto"/>
          <w:sz w:val="28"/>
          <w:szCs w:val="28"/>
        </w:rPr>
        <w:t>竞争性磋商公告</w:t>
      </w:r>
    </w:p>
    <w:p w14:paraId="264C2747">
      <w:pPr>
        <w:widowControl w:val="0"/>
        <w:pBdr>
          <w:top w:val="single" w:color="auto" w:sz="4" w:space="1"/>
          <w:left w:val="single" w:color="auto" w:sz="4" w:space="4"/>
          <w:bottom w:val="single" w:color="auto" w:sz="4" w:space="1"/>
          <w:right w:val="single" w:color="auto" w:sz="4" w:space="4"/>
        </w:pBdr>
        <w:spacing w:line="460" w:lineRule="exact"/>
        <w:ind w:firstLine="480" w:firstLineChars="200"/>
        <w:rPr>
          <w:rFonts w:ascii="宋体" w:hAnsi="宋体" w:eastAsia="宋体" w:cs="宋体"/>
          <w:color w:val="auto"/>
          <w:sz w:val="24"/>
        </w:rPr>
      </w:pPr>
      <w:r>
        <w:rPr>
          <w:rFonts w:hint="eastAsia" w:ascii="宋体" w:hAnsi="宋体" w:eastAsia="宋体" w:cs="宋体"/>
          <w:color w:val="auto"/>
          <w:sz w:val="24"/>
        </w:rPr>
        <w:t>项目概况</w:t>
      </w:r>
    </w:p>
    <w:p w14:paraId="39FAA51A">
      <w:pPr>
        <w:widowControl w:val="0"/>
        <w:pBdr>
          <w:top w:val="single" w:color="auto" w:sz="4" w:space="1"/>
          <w:left w:val="single" w:color="auto" w:sz="4" w:space="4"/>
          <w:bottom w:val="single" w:color="auto" w:sz="4" w:space="1"/>
          <w:right w:val="single" w:color="auto" w:sz="4" w:space="4"/>
        </w:pBdr>
        <w:wordWrap w:val="0"/>
        <w:spacing w:line="360" w:lineRule="exact"/>
        <w:ind w:firstLine="480" w:firstLineChars="200"/>
        <w:rPr>
          <w:rFonts w:ascii="宋体" w:hAnsi="宋体" w:eastAsia="宋体" w:cs="宋体"/>
          <w:color w:val="auto"/>
          <w:sz w:val="24"/>
          <w:u w:val="single"/>
        </w:rPr>
      </w:pPr>
      <w:r>
        <w:rPr>
          <w:rFonts w:hint="eastAsia" w:ascii="宋体" w:hAnsi="宋体" w:eastAsia="宋体" w:cs="宋体"/>
          <w:color w:val="auto"/>
          <w:sz w:val="24"/>
          <w:u w:val="single"/>
          <w:lang w:val="en-US" w:eastAsia="zh-CN"/>
        </w:rPr>
        <w:t>长春市第一中等专业学校智慧录播教室建设项目</w:t>
      </w:r>
      <w:r>
        <w:rPr>
          <w:rFonts w:hint="eastAsia" w:ascii="宋体" w:hAnsi="宋体" w:eastAsia="宋体" w:cs="宋体"/>
          <w:color w:val="auto"/>
          <w:sz w:val="24"/>
        </w:rPr>
        <w:t>的潜在供应商应在</w:t>
      </w:r>
      <w:r>
        <w:rPr>
          <w:rFonts w:hint="eastAsia" w:ascii="宋体" w:hAnsi="宋体" w:eastAsia="宋体" w:cs="宋体"/>
          <w:color w:val="auto"/>
          <w:sz w:val="24"/>
          <w:u w:val="single"/>
          <w:lang w:val="zh-CN" w:eastAsia="zh-CN"/>
        </w:rPr>
        <w:t>政府采购云平台（网址：http:// www.zcygov.cn）</w:t>
      </w:r>
      <w:r>
        <w:rPr>
          <w:rFonts w:hint="eastAsia" w:ascii="宋体" w:hAnsi="宋体" w:eastAsia="宋体" w:cs="宋体"/>
          <w:color w:val="auto"/>
          <w:sz w:val="24"/>
        </w:rPr>
        <w:t>获取采购文件，并</w:t>
      </w:r>
      <w:r>
        <w:rPr>
          <w:rFonts w:hint="eastAsia" w:ascii="宋体" w:hAnsi="宋体" w:eastAsia="宋体" w:cs="宋体"/>
          <w:color w:val="auto"/>
          <w:sz w:val="24"/>
        </w:rPr>
        <w:t>于</w:t>
      </w:r>
      <w:r>
        <w:rPr>
          <w:rFonts w:hint="eastAsia" w:ascii="宋体" w:hAnsi="宋体" w:eastAsia="宋体" w:cs="宋体"/>
          <w:color w:val="auto"/>
          <w:sz w:val="24"/>
          <w:highlight w:val="none"/>
          <w:u w:val="single"/>
          <w:lang w:val="zh-CN"/>
        </w:rPr>
        <w:t>2024年11月27日13时30分</w:t>
      </w:r>
      <w:r>
        <w:rPr>
          <w:rFonts w:hint="eastAsia" w:ascii="宋体" w:hAnsi="宋体" w:eastAsia="宋体" w:cs="宋体"/>
          <w:color w:val="auto"/>
          <w:sz w:val="24"/>
          <w:u w:val="single"/>
          <w:lang w:val="zh-CN"/>
        </w:rPr>
        <w:t>（</w:t>
      </w:r>
      <w:r>
        <w:rPr>
          <w:rFonts w:hint="eastAsia" w:ascii="宋体" w:hAnsi="宋体" w:eastAsia="宋体" w:cs="宋体"/>
          <w:color w:val="auto"/>
          <w:sz w:val="24"/>
          <w:u w:val="single"/>
          <w:lang w:val="zh-CN"/>
        </w:rPr>
        <w:t>北</w:t>
      </w:r>
      <w:r>
        <w:rPr>
          <w:rFonts w:hint="eastAsia" w:ascii="宋体" w:hAnsi="宋体" w:eastAsia="宋体" w:cs="宋体"/>
          <w:color w:val="auto"/>
          <w:sz w:val="24"/>
          <w:u w:val="single"/>
        </w:rPr>
        <w:t>京时间）前递交响应文件</w:t>
      </w:r>
    </w:p>
    <w:p w14:paraId="088754F9">
      <w:pPr>
        <w:widowControl w:val="0"/>
        <w:autoSpaceDE w:val="0"/>
        <w:autoSpaceDN w:val="0"/>
        <w:adjustRightInd w:val="0"/>
        <w:spacing w:line="460" w:lineRule="exact"/>
        <w:rPr>
          <w:rFonts w:ascii="宋体" w:hAnsi="宋体" w:eastAsia="宋体" w:cs="宋体"/>
          <w:b/>
          <w:color w:val="auto"/>
          <w:sz w:val="24"/>
        </w:rPr>
      </w:pPr>
      <w:r>
        <w:rPr>
          <w:rFonts w:hint="eastAsia" w:ascii="宋体" w:hAnsi="宋体" w:eastAsia="宋体" w:cs="宋体"/>
          <w:b/>
          <w:color w:val="auto"/>
          <w:sz w:val="24"/>
        </w:rPr>
        <w:t>一、项目基本情况</w:t>
      </w:r>
    </w:p>
    <w:p w14:paraId="5291A409">
      <w:pPr>
        <w:widowControl w:val="0"/>
        <w:autoSpaceDE w:val="0"/>
        <w:autoSpaceDN w:val="0"/>
        <w:adjustRightInd w:val="0"/>
        <w:spacing w:line="460" w:lineRule="exact"/>
        <w:ind w:firstLine="480" w:firstLineChars="200"/>
        <w:rPr>
          <w:rFonts w:ascii="宋体" w:hAnsi="宋体" w:eastAsia="宋体" w:cs="宋体"/>
          <w:bCs/>
          <w:color w:val="auto"/>
          <w:sz w:val="24"/>
        </w:rPr>
      </w:pPr>
      <w:r>
        <w:rPr>
          <w:rFonts w:hint="eastAsia" w:ascii="宋体" w:hAnsi="宋体" w:eastAsia="宋体" w:cs="宋体"/>
          <w:bCs/>
          <w:color w:val="auto"/>
          <w:sz w:val="24"/>
          <w:lang w:eastAsia="zh-CN"/>
        </w:rPr>
        <w:t>项目编号</w:t>
      </w:r>
      <w:r>
        <w:rPr>
          <w:rFonts w:hint="eastAsia" w:ascii="宋体" w:hAnsi="宋体" w:eastAsia="宋体" w:cs="宋体"/>
          <w:bCs/>
          <w:color w:val="auto"/>
          <w:sz w:val="24"/>
        </w:rPr>
        <w:t>：</w:t>
      </w:r>
      <w:r>
        <w:rPr>
          <w:rFonts w:hint="eastAsia" w:ascii="宋体" w:hAnsi="宋体" w:eastAsia="宋体" w:cs="宋体"/>
          <w:bCs/>
          <w:color w:val="auto"/>
          <w:sz w:val="24"/>
          <w:lang w:eastAsia="zh-CN"/>
        </w:rPr>
        <w:t xml:space="preserve">ZCFDAHW2411240300 </w:t>
      </w:r>
      <w:r>
        <w:rPr>
          <w:rFonts w:hint="eastAsia" w:ascii="宋体" w:hAnsi="宋体" w:eastAsia="宋体" w:cs="宋体"/>
          <w:bCs/>
          <w:color w:val="auto"/>
          <w:sz w:val="24"/>
          <w:lang w:val="zh-CN"/>
        </w:rPr>
        <w:t>；</w:t>
      </w:r>
    </w:p>
    <w:p w14:paraId="58512CA8">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rPr>
        <w:t>项目名称：</w:t>
      </w:r>
      <w:r>
        <w:rPr>
          <w:rFonts w:hint="eastAsia" w:ascii="宋体" w:hAnsi="宋体" w:eastAsia="宋体" w:cs="宋体"/>
          <w:bCs/>
          <w:color w:val="auto"/>
          <w:sz w:val="24"/>
          <w:lang w:val="en-US" w:eastAsia="zh-CN"/>
        </w:rPr>
        <w:t>长春市第一中等专业学校智慧录播教室建设项目；</w:t>
      </w:r>
    </w:p>
    <w:p w14:paraId="17521417">
      <w:pPr>
        <w:widowControl w:val="0"/>
        <w:autoSpaceDE w:val="0"/>
        <w:autoSpaceDN w:val="0"/>
        <w:adjustRightInd w:val="0"/>
        <w:spacing w:line="460" w:lineRule="exact"/>
        <w:ind w:firstLine="480" w:firstLineChars="200"/>
        <w:rPr>
          <w:rFonts w:ascii="宋体" w:hAnsi="宋体" w:eastAsia="宋体" w:cs="宋体"/>
          <w:color w:val="auto"/>
          <w:sz w:val="24"/>
        </w:rPr>
      </w:pPr>
      <w:r>
        <w:rPr>
          <w:rFonts w:hint="eastAsia" w:ascii="宋体" w:hAnsi="宋体" w:eastAsia="宋体" w:cs="宋体"/>
          <w:bCs/>
          <w:color w:val="auto"/>
          <w:sz w:val="24"/>
          <w:lang w:val="zh-CN"/>
        </w:rPr>
        <w:t>采购方式：竞争性磋商；</w:t>
      </w:r>
    </w:p>
    <w:p w14:paraId="567DF875">
      <w:pPr>
        <w:widowControl w:val="0"/>
        <w:autoSpaceDE w:val="0"/>
        <w:autoSpaceDN w:val="0"/>
        <w:adjustRightIn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预算金额：</w:t>
      </w:r>
      <w:r>
        <w:rPr>
          <w:rFonts w:hint="eastAsia" w:ascii="宋体" w:hAnsi="宋体" w:cs="宋体"/>
          <w:color w:val="auto"/>
          <w:sz w:val="24"/>
        </w:rPr>
        <w:t>人民币</w:t>
      </w:r>
      <w:r>
        <w:rPr>
          <w:rFonts w:hint="eastAsia" w:ascii="宋体" w:hAnsi="宋体" w:cs="宋体"/>
          <w:color w:val="auto"/>
          <w:sz w:val="24"/>
          <w:lang w:eastAsia="zh-CN"/>
        </w:rPr>
        <w:t>136.00</w:t>
      </w:r>
      <w:r>
        <w:rPr>
          <w:rFonts w:hint="eastAsia" w:ascii="宋体" w:hAnsi="宋体" w:cs="宋体"/>
          <w:color w:val="auto"/>
          <w:sz w:val="24"/>
        </w:rPr>
        <w:t>万元</w:t>
      </w:r>
      <w:r>
        <w:rPr>
          <w:rFonts w:hint="eastAsia" w:ascii="宋体" w:hAnsi="宋体" w:eastAsia="宋体" w:cs="宋体"/>
          <w:color w:val="auto"/>
          <w:sz w:val="24"/>
          <w:highlight w:val="none"/>
        </w:rPr>
        <w:t>；</w:t>
      </w:r>
    </w:p>
    <w:p w14:paraId="21ACE3BB">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rPr>
        <w:t>最高限价：</w:t>
      </w:r>
      <w:r>
        <w:rPr>
          <w:rFonts w:hint="eastAsia" w:ascii="宋体" w:hAnsi="宋体" w:cs="宋体"/>
          <w:color w:val="auto"/>
          <w:sz w:val="24"/>
        </w:rPr>
        <w:t>人民币</w:t>
      </w:r>
      <w:r>
        <w:rPr>
          <w:rFonts w:hint="eastAsia" w:ascii="宋体" w:hAnsi="宋体" w:cs="宋体"/>
          <w:color w:val="auto"/>
          <w:sz w:val="24"/>
          <w:lang w:eastAsia="zh-CN"/>
        </w:rPr>
        <w:t>136.00</w:t>
      </w:r>
      <w:r>
        <w:rPr>
          <w:rFonts w:hint="eastAsia" w:ascii="宋体" w:hAnsi="宋体" w:cs="宋体"/>
          <w:color w:val="auto"/>
          <w:sz w:val="24"/>
        </w:rPr>
        <w:t>万元</w:t>
      </w:r>
      <w:r>
        <w:rPr>
          <w:rFonts w:hint="eastAsia" w:ascii="宋体" w:hAnsi="宋体" w:eastAsia="宋体" w:cs="宋体"/>
          <w:bCs/>
          <w:color w:val="auto"/>
          <w:sz w:val="24"/>
        </w:rPr>
        <w:t>；</w:t>
      </w:r>
    </w:p>
    <w:p w14:paraId="2E8F34A4">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采购需求：</w:t>
      </w:r>
    </w:p>
    <w:p w14:paraId="676355F7">
      <w:pPr>
        <w:widowControl w:val="0"/>
        <w:autoSpaceDE w:val="0"/>
        <w:autoSpaceDN w:val="0"/>
        <w:adjustRightInd w:val="0"/>
        <w:spacing w:line="4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（1）标的名称：</w:t>
      </w:r>
      <w:r>
        <w:rPr>
          <w:rFonts w:hint="eastAsia" w:ascii="宋体" w:hAnsi="宋体" w:eastAsia="宋体" w:cs="宋体"/>
          <w:bCs/>
          <w:color w:val="auto"/>
          <w:sz w:val="24"/>
          <w:lang w:val="en-US" w:eastAsia="zh-CN"/>
        </w:rPr>
        <w:t>触摸式终端设备</w:t>
      </w:r>
      <w:r>
        <w:rPr>
          <w:rFonts w:hint="eastAsia" w:ascii="宋体" w:hAnsi="宋体" w:eastAsia="宋体" w:cs="宋体"/>
          <w:bCs/>
          <w:color w:val="auto"/>
          <w:sz w:val="24"/>
        </w:rPr>
        <w:t>等；</w:t>
      </w:r>
    </w:p>
    <w:p w14:paraId="4CF87583">
      <w:pPr>
        <w:widowControl w:val="0"/>
        <w:autoSpaceDE w:val="0"/>
        <w:autoSpaceDN w:val="0"/>
        <w:adjustRightInd w:val="0"/>
        <w:spacing w:line="4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（2）数量：1批；</w:t>
      </w:r>
    </w:p>
    <w:p w14:paraId="2C083C9B">
      <w:pPr>
        <w:widowControl w:val="0"/>
        <w:autoSpaceDE w:val="0"/>
        <w:autoSpaceDN w:val="0"/>
        <w:adjustRightInd w:val="0"/>
        <w:spacing w:line="4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（3）简要技术需求：详见</w:t>
      </w:r>
      <w:r>
        <w:rPr>
          <w:rFonts w:hint="eastAsia" w:ascii="宋体" w:hAnsi="宋体" w:eastAsia="宋体" w:cs="宋体"/>
          <w:bCs/>
          <w:color w:val="auto"/>
          <w:sz w:val="24"/>
          <w:lang w:val="en-US" w:eastAsia="zh-CN"/>
        </w:rPr>
        <w:t>磋商</w:t>
      </w:r>
      <w:r>
        <w:rPr>
          <w:rFonts w:hint="eastAsia" w:ascii="宋体" w:hAnsi="宋体" w:eastAsia="宋体" w:cs="宋体"/>
          <w:bCs/>
          <w:color w:val="auto"/>
          <w:sz w:val="24"/>
        </w:rPr>
        <w:t>文件；</w:t>
      </w:r>
    </w:p>
    <w:p w14:paraId="0013FEA7">
      <w:pPr>
        <w:widowControl w:val="0"/>
        <w:autoSpaceDE w:val="0"/>
        <w:autoSpaceDN w:val="0"/>
        <w:adjustRightInd w:val="0"/>
        <w:spacing w:line="4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（4）供货地点：</w:t>
      </w:r>
      <w:r>
        <w:rPr>
          <w:rFonts w:hint="eastAsia" w:ascii="宋体" w:hAnsi="宋体" w:eastAsia="宋体" w:cs="宋体"/>
          <w:bCs/>
          <w:color w:val="auto"/>
          <w:sz w:val="24"/>
          <w:lang w:eastAsia="zh-CN"/>
        </w:rPr>
        <w:t>长春市第一中等专业学校</w:t>
      </w:r>
      <w:r>
        <w:rPr>
          <w:rFonts w:hint="eastAsia" w:ascii="宋体" w:hAnsi="宋体" w:eastAsia="宋体" w:cs="宋体"/>
          <w:bCs/>
          <w:color w:val="auto"/>
          <w:sz w:val="24"/>
        </w:rPr>
        <w:t>；</w:t>
      </w:r>
    </w:p>
    <w:p w14:paraId="10480265">
      <w:pPr>
        <w:widowControl w:val="0"/>
        <w:autoSpaceDE w:val="0"/>
        <w:autoSpaceDN w:val="0"/>
        <w:adjustRightInd w:val="0"/>
        <w:spacing w:line="4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（5）质量标准：符合现行国家、行业、地方或者其他相关标准的合格要求；</w:t>
      </w:r>
    </w:p>
    <w:p w14:paraId="7FF1BEA1">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rPr>
      </w:pPr>
      <w:r>
        <w:rPr>
          <w:rFonts w:hint="eastAsia" w:ascii="宋体" w:hAnsi="宋体" w:eastAsia="宋体" w:cs="宋体"/>
          <w:bCs/>
          <w:color w:val="auto"/>
          <w:sz w:val="24"/>
        </w:rPr>
        <w:t>合同履行期限：</w:t>
      </w:r>
      <w:r>
        <w:rPr>
          <w:rFonts w:hint="eastAsia" w:ascii="宋体" w:hAnsi="宋体" w:eastAsia="宋体" w:cs="宋体"/>
          <w:bCs/>
          <w:color w:val="auto"/>
          <w:sz w:val="24"/>
          <w:lang w:val="zh-CN"/>
        </w:rPr>
        <w:t>自合同签订之日起90日内安装调试完毕交付使用并验收合格（具</w:t>
      </w:r>
      <w:r>
        <w:rPr>
          <w:rFonts w:hint="eastAsia" w:asciiTheme="minorEastAsia" w:hAnsiTheme="minorEastAsia" w:cstheme="minorEastAsia"/>
          <w:bCs/>
          <w:color w:val="auto"/>
          <w:sz w:val="24"/>
          <w:highlight w:val="none"/>
          <w:lang w:val="zh-CN"/>
        </w:rPr>
        <w:t>体时间以实际合同为准）</w:t>
      </w:r>
      <w:r>
        <w:rPr>
          <w:rFonts w:hint="eastAsia" w:asciiTheme="minorEastAsia" w:hAnsiTheme="minorEastAsia" w:cstheme="minorEastAsia"/>
          <w:bCs/>
          <w:color w:val="auto"/>
          <w:sz w:val="24"/>
          <w:highlight w:val="none"/>
        </w:rPr>
        <w:t>；</w:t>
      </w:r>
    </w:p>
    <w:p w14:paraId="16426CD6">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本项目不接受联合体投标。</w:t>
      </w:r>
    </w:p>
    <w:p w14:paraId="1A808B6E">
      <w:pPr>
        <w:widowControl w:val="0"/>
        <w:autoSpaceDE w:val="0"/>
        <w:autoSpaceDN w:val="0"/>
        <w:adjustRightInd w:val="0"/>
        <w:spacing w:line="460" w:lineRule="exact"/>
        <w:rPr>
          <w:rFonts w:ascii="宋体" w:hAnsi="宋体" w:eastAsia="宋体" w:cs="宋体"/>
          <w:b/>
          <w:color w:val="auto"/>
          <w:sz w:val="24"/>
        </w:rPr>
      </w:pPr>
      <w:r>
        <w:rPr>
          <w:rFonts w:hint="eastAsia" w:ascii="宋体" w:hAnsi="宋体" w:eastAsia="宋体" w:cs="宋体"/>
          <w:b/>
          <w:color w:val="auto"/>
          <w:sz w:val="24"/>
        </w:rPr>
        <w:t>二、申请人的资格要求：</w:t>
      </w:r>
    </w:p>
    <w:p w14:paraId="6AEAAEE0">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2.</w:t>
      </w:r>
      <w:r>
        <w:rPr>
          <w:rFonts w:hint="eastAsia" w:ascii="宋体" w:hAnsi="宋体" w:eastAsia="宋体" w:cs="宋体"/>
          <w:bCs/>
          <w:color w:val="auto"/>
          <w:sz w:val="24"/>
          <w:lang w:val="en-US" w:eastAsia="zh-CN"/>
        </w:rPr>
        <w:t xml:space="preserve"> </w:t>
      </w:r>
      <w:r>
        <w:rPr>
          <w:rFonts w:hint="eastAsia" w:ascii="宋体" w:hAnsi="宋体" w:eastAsia="宋体" w:cs="宋体"/>
          <w:bCs/>
          <w:color w:val="auto"/>
          <w:sz w:val="24"/>
          <w:lang w:val="zh-CN"/>
        </w:rPr>
        <w:t>申请人的资格要求：</w:t>
      </w:r>
    </w:p>
    <w:p w14:paraId="7BE91736">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2.1 满足《中华人民共和国政府采购法》第二十二条规定；</w:t>
      </w:r>
    </w:p>
    <w:p w14:paraId="7732D2F7">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2.2 落实政府采购政策需满足的资格：本项目</w:t>
      </w:r>
      <w:r>
        <w:rPr>
          <w:rFonts w:hint="eastAsia" w:ascii="宋体" w:hAnsi="宋体" w:eastAsia="宋体" w:cs="宋体"/>
          <w:bCs/>
          <w:color w:val="auto"/>
          <w:sz w:val="24"/>
          <w:lang w:val="en-US" w:eastAsia="zh-CN"/>
        </w:rPr>
        <w:t>非</w:t>
      </w:r>
      <w:r>
        <w:rPr>
          <w:rFonts w:hint="eastAsia" w:ascii="宋体" w:hAnsi="宋体" w:eastAsia="宋体" w:cs="宋体"/>
          <w:bCs/>
          <w:color w:val="auto"/>
          <w:sz w:val="24"/>
          <w:highlight w:val="none"/>
          <w:lang w:val="zh-CN"/>
        </w:rPr>
        <w:t>专门面向</w:t>
      </w:r>
      <w:r>
        <w:rPr>
          <w:rFonts w:hint="eastAsia" w:ascii="宋体" w:hAnsi="宋体" w:eastAsia="宋体" w:cs="宋体"/>
          <w:bCs/>
          <w:color w:val="auto"/>
          <w:sz w:val="24"/>
          <w:lang w:val="en-US" w:eastAsia="zh-CN"/>
        </w:rPr>
        <w:t>中</w:t>
      </w:r>
      <w:r>
        <w:rPr>
          <w:rFonts w:hint="eastAsia" w:ascii="宋体" w:hAnsi="宋体" w:eastAsia="宋体" w:cs="宋体"/>
          <w:bCs/>
          <w:color w:val="auto"/>
          <w:sz w:val="24"/>
          <w:lang w:val="zh-CN"/>
        </w:rPr>
        <w:t>小企业采购；</w:t>
      </w:r>
    </w:p>
    <w:p w14:paraId="52002745">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3 本项目的特定资格要求：</w:t>
      </w:r>
    </w:p>
    <w:p w14:paraId="7AA24B22">
      <w:pPr>
        <w:widowControl w:val="0"/>
        <w:autoSpaceDE w:val="0"/>
        <w:autoSpaceDN w:val="0"/>
        <w:adjustRightInd w:val="0"/>
        <w:spacing w:line="460" w:lineRule="exact"/>
        <w:ind w:firstLine="480" w:firstLineChars="200"/>
        <w:rPr>
          <w:rFonts w:hint="default" w:eastAsia="宋体"/>
          <w:color w:val="auto"/>
          <w:u w:val="none"/>
          <w:lang w:val="en-US" w:eastAsia="zh-CN"/>
        </w:rPr>
      </w:pPr>
      <w:r>
        <w:rPr>
          <w:rFonts w:hint="eastAsia" w:ascii="宋体" w:hAnsi="宋体" w:eastAsia="宋体" w:cs="宋体"/>
          <w:bCs/>
          <w:color w:val="auto"/>
          <w:sz w:val="24"/>
          <w:lang w:val="zh-CN"/>
        </w:rPr>
        <w:t>3.1 投标供应商须是具有独立法人资格的企业或其他组织，具有有效的营业执照，并在人员、设备、资金等方面具有完成本项目的能力；</w:t>
      </w:r>
    </w:p>
    <w:p w14:paraId="6455BC0D">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zh-CN"/>
        </w:rPr>
        <w:t>3.</w:t>
      </w:r>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rPr>
        <w:t xml:space="preserve"> 供应商参加采购活动应当提交反映其财务状况、依法缴纳税收和社保保障资金情况的资格条件承诺函（《关于加强政府采购信用体系建设简化供应商资格条件有关事项的通知》长财采购〔2022〕2066 号）；</w:t>
      </w:r>
    </w:p>
    <w:p w14:paraId="68DF82CA">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rPr>
      </w:pPr>
      <w:r>
        <w:rPr>
          <w:rFonts w:hint="eastAsia" w:ascii="宋体" w:hAnsi="宋体" w:eastAsia="宋体" w:cs="宋体"/>
          <w:bCs/>
          <w:color w:val="auto"/>
          <w:sz w:val="24"/>
          <w:highlight w:val="none"/>
          <w:lang w:val="en-US" w:eastAsia="zh-CN"/>
        </w:rPr>
        <w:t>3.3供应商近三年（2021年至今）须具有与本项目采购内容相关的同类项目业绩至少一项。</w:t>
      </w:r>
    </w:p>
    <w:p w14:paraId="5EBA5B02">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rPr>
      </w:pPr>
      <w:r>
        <w:rPr>
          <w:rFonts w:hint="eastAsia" w:ascii="宋体" w:hAnsi="宋体" w:eastAsia="宋体" w:cs="宋体"/>
          <w:bCs/>
          <w:color w:val="auto"/>
          <w:sz w:val="24"/>
          <w:highlight w:val="none"/>
          <w:lang w:val="zh-CN"/>
        </w:rPr>
        <w:t>3.</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val="zh-CN"/>
        </w:rPr>
        <w:t xml:space="preserve"> 信誉要求：</w:t>
      </w:r>
    </w:p>
    <w:p w14:paraId="41BD7221">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highlight w:val="none"/>
          <w:lang w:val="en-US" w:eastAsia="zh-CN"/>
        </w:rPr>
        <w:t>（1）供应商参加政府采购活动近3年内（2021年至今）在经营活动中没有重大违</w:t>
      </w:r>
      <w:r>
        <w:rPr>
          <w:rFonts w:hint="eastAsia" w:ascii="宋体" w:hAnsi="宋体" w:eastAsia="宋体" w:cs="宋体"/>
          <w:bCs/>
          <w:color w:val="auto"/>
          <w:sz w:val="24"/>
          <w:lang w:val="en-US" w:eastAsia="zh-CN"/>
        </w:rPr>
        <w:t>法记录。</w:t>
      </w:r>
    </w:p>
    <w:p w14:paraId="39C412BF">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（2）拒绝列入政府取消投标资格记录期间的企业或个人投标。</w:t>
      </w:r>
    </w:p>
    <w:p w14:paraId="7E986B03">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（3）未被列入“信用中国”网站(www.creditchina.gov.cn)、失信被执行人、企业经营异常名录、重大税收违法失信主体；</w:t>
      </w:r>
    </w:p>
    <w:p w14:paraId="3231F327">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未被工商行政管理机关在全国企业信用信息公示系统中列入严重违法失信企业名单；</w:t>
      </w:r>
    </w:p>
    <w:p w14:paraId="7FF43A0B">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未被列入“中国政府采购网”(www.ccgp.gov.cn)政府采购严重违法失信行为记录名单的供应商；</w:t>
      </w:r>
    </w:p>
    <w:p w14:paraId="15B38F06">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en-US" w:eastAsia="zh-CN"/>
        </w:rPr>
        <w:t>“中国裁判文书网”（wenshu.court.gov.cn/）查询</w:t>
      </w:r>
      <w:r>
        <w:rPr>
          <w:rFonts w:hint="eastAsia" w:ascii="宋体" w:hAnsi="宋体" w:eastAsia="宋体" w:cs="宋体"/>
          <w:bCs/>
          <w:color w:val="auto"/>
          <w:sz w:val="24"/>
          <w:lang w:val="zh-CN"/>
        </w:rPr>
        <w:t>企业及法定代表人无行贿犯罪记录证明</w:t>
      </w:r>
      <w:r>
        <w:rPr>
          <w:rFonts w:hint="eastAsia" w:ascii="宋体" w:hAnsi="宋体" w:eastAsia="宋体" w:cs="宋体"/>
          <w:bCs/>
          <w:color w:val="auto"/>
          <w:sz w:val="24"/>
          <w:lang w:val="en-US" w:eastAsia="zh-CN"/>
        </w:rPr>
        <w:t>。</w:t>
      </w:r>
    </w:p>
    <w:p w14:paraId="40C4A78A">
      <w:pPr>
        <w:keepNext w:val="0"/>
        <w:keepLines w:val="0"/>
        <w:pageBreakBefore w:val="0"/>
        <w:widowControl w:val="0"/>
        <w:kinsoku/>
        <w:wordWrap w:val="0"/>
        <w:overflowPunct/>
        <w:topLinePunct w:val="0"/>
        <w:autoSpaceDE w:val="0"/>
        <w:autoSpaceDN w:val="0"/>
        <w:bidi w:val="0"/>
        <w:adjustRightInd w:val="0"/>
        <w:snapToGrid/>
        <w:spacing w:line="460" w:lineRule="exact"/>
        <w:ind w:firstLine="480" w:firstLineChars="200"/>
        <w:textAlignment w:val="auto"/>
        <w:rPr>
          <w:rFonts w:hint="eastAsia" w:ascii="宋体" w:hAnsi="宋体" w:eastAsia="宋体" w:cs="宋体"/>
          <w:bCs/>
          <w:color w:val="auto"/>
          <w:sz w:val="24"/>
          <w:lang w:val="zh-CN"/>
        </w:rPr>
      </w:pPr>
      <w:r>
        <w:rPr>
          <w:rFonts w:hint="eastAsia" w:ascii="宋体" w:hAnsi="宋体" w:eastAsia="宋体" w:cs="宋体"/>
          <w:bCs/>
          <w:color w:val="auto"/>
          <w:sz w:val="24"/>
          <w:lang w:val="zh-CN"/>
        </w:rPr>
        <w:t>3.</w:t>
      </w:r>
      <w:r>
        <w:rPr>
          <w:rFonts w:hint="eastAsia" w:ascii="宋体" w:hAnsi="宋体" w:eastAsia="宋体" w:cs="宋体"/>
          <w:bCs/>
          <w:color w:val="auto"/>
          <w:sz w:val="24"/>
          <w:lang w:val="en-US" w:eastAsia="zh-CN"/>
        </w:rPr>
        <w:t>5</w:t>
      </w:r>
      <w:r>
        <w:rPr>
          <w:rFonts w:hint="eastAsia" w:ascii="宋体" w:hAnsi="宋体" w:eastAsia="宋体" w:cs="宋体"/>
          <w:bCs/>
          <w:color w:val="auto"/>
          <w:sz w:val="24"/>
          <w:lang w:val="zh-CN"/>
        </w:rPr>
        <w:t xml:space="preserve"> 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078D1632">
      <w:pPr>
        <w:widowControl w:val="0"/>
        <w:autoSpaceDE w:val="0"/>
        <w:autoSpaceDN w:val="0"/>
        <w:adjustRightInd w:val="0"/>
        <w:spacing w:line="460" w:lineRule="exact"/>
        <w:rPr>
          <w:rFonts w:ascii="宋体" w:hAnsi="宋体" w:eastAsia="宋体" w:cs="宋体"/>
          <w:b/>
          <w:color w:val="auto"/>
          <w:sz w:val="24"/>
        </w:rPr>
      </w:pPr>
      <w:r>
        <w:rPr>
          <w:rFonts w:hint="eastAsia" w:ascii="宋体" w:hAnsi="宋体" w:eastAsia="宋体" w:cs="宋体"/>
          <w:b/>
          <w:color w:val="auto"/>
          <w:sz w:val="24"/>
        </w:rPr>
        <w:t>三、获取</w:t>
      </w:r>
      <w:r>
        <w:rPr>
          <w:rFonts w:hint="eastAsia" w:ascii="宋体" w:hAnsi="宋体" w:eastAsia="宋体" w:cs="宋体"/>
          <w:b/>
          <w:color w:val="auto"/>
          <w:sz w:val="24"/>
          <w:lang w:val="en-US" w:eastAsia="zh-CN"/>
        </w:rPr>
        <w:t>磋商</w:t>
      </w:r>
      <w:r>
        <w:rPr>
          <w:rFonts w:hint="eastAsia" w:ascii="宋体" w:hAnsi="宋体" w:eastAsia="宋体" w:cs="宋体"/>
          <w:b/>
          <w:color w:val="auto"/>
          <w:sz w:val="24"/>
        </w:rPr>
        <w:t>文件</w:t>
      </w:r>
    </w:p>
    <w:p w14:paraId="3F526AA7">
      <w:pPr>
        <w:widowControl w:val="0"/>
        <w:autoSpaceDE w:val="0"/>
        <w:autoSpaceDN w:val="0"/>
        <w:adjustRightInd w:val="0"/>
        <w:spacing w:line="460" w:lineRule="exact"/>
        <w:ind w:firstLine="480" w:firstLineChars="200"/>
        <w:rPr>
          <w:rFonts w:hint="eastAsia" w:ascii="宋体" w:hAnsi="宋体" w:eastAsia="宋体" w:cs="宋体"/>
          <w:bCs/>
          <w:color w:val="auto"/>
          <w:sz w:val="24"/>
          <w:lang w:eastAsia="zh-CN"/>
        </w:rPr>
      </w:pPr>
      <w:r>
        <w:rPr>
          <w:rFonts w:hint="eastAsia" w:ascii="宋体" w:hAnsi="宋体" w:eastAsia="宋体" w:cs="宋体"/>
          <w:bCs/>
          <w:color w:val="auto"/>
          <w:sz w:val="24"/>
        </w:rPr>
        <w:t>时间：</w:t>
      </w:r>
      <w:r>
        <w:rPr>
          <w:rFonts w:hint="eastAsia" w:ascii="宋体" w:hAnsi="宋体" w:eastAsia="宋体" w:cs="宋体"/>
          <w:bCs/>
          <w:color w:val="auto"/>
          <w:sz w:val="24"/>
        </w:rPr>
        <w:t>202</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lang w:val="en-US" w:eastAsia="zh-CN"/>
        </w:rPr>
        <w:t>11</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lang w:val="en-US" w:eastAsia="zh-CN"/>
        </w:rPr>
        <w:t>12</w:t>
      </w:r>
      <w:r>
        <w:rPr>
          <w:rFonts w:hint="eastAsia" w:ascii="宋体" w:hAnsi="宋体" w:eastAsia="宋体" w:cs="宋体"/>
          <w:bCs/>
          <w:color w:val="auto"/>
          <w:sz w:val="24"/>
          <w:highlight w:val="none"/>
        </w:rPr>
        <w:t>日上午09时00分至202</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年</w:t>
      </w:r>
      <w:r>
        <w:rPr>
          <w:rFonts w:hint="eastAsia" w:ascii="宋体" w:hAnsi="宋体" w:eastAsia="宋体" w:cs="宋体"/>
          <w:bCs/>
          <w:color w:val="auto"/>
          <w:sz w:val="24"/>
          <w:highlight w:val="none"/>
          <w:lang w:val="en-US" w:eastAsia="zh-CN"/>
        </w:rPr>
        <w:t>11</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lang w:val="en-US" w:eastAsia="zh-CN"/>
        </w:rPr>
        <w:t>18</w:t>
      </w:r>
      <w:r>
        <w:rPr>
          <w:rFonts w:hint="eastAsia" w:ascii="宋体" w:hAnsi="宋体" w:eastAsia="宋体" w:cs="宋体"/>
          <w:bCs/>
          <w:color w:val="auto"/>
          <w:sz w:val="24"/>
          <w:highlight w:val="none"/>
        </w:rPr>
        <w:t>日下午1</w:t>
      </w:r>
      <w:r>
        <w:rPr>
          <w:rFonts w:hint="eastAsia" w:ascii="宋体" w:hAnsi="宋体" w:eastAsia="宋体" w:cs="宋体"/>
          <w:bCs/>
          <w:color w:val="auto"/>
          <w:sz w:val="24"/>
        </w:rPr>
        <w:t>6时</w:t>
      </w:r>
      <w:r>
        <w:rPr>
          <w:rFonts w:hint="eastAsia" w:ascii="宋体" w:hAnsi="宋体" w:eastAsia="宋体" w:cs="宋体"/>
          <w:bCs/>
          <w:color w:val="auto"/>
          <w:sz w:val="24"/>
        </w:rPr>
        <w:t>（北京时间，法定节假日除外）</w:t>
      </w:r>
      <w:r>
        <w:rPr>
          <w:rFonts w:hint="eastAsia" w:ascii="宋体" w:hAnsi="宋体" w:eastAsia="宋体" w:cs="宋体"/>
          <w:bCs/>
          <w:color w:val="auto"/>
          <w:sz w:val="24"/>
          <w:lang w:eastAsia="zh-CN"/>
        </w:rPr>
        <w:t>；</w:t>
      </w:r>
    </w:p>
    <w:p w14:paraId="4AB77DF9">
      <w:pPr>
        <w:pStyle w:val="122"/>
        <w:keepNext w:val="0"/>
        <w:keepLines w:val="0"/>
        <w:pageBreakBefore w:val="0"/>
        <w:kinsoku/>
        <w:wordWrap w:val="0"/>
        <w:overflowPunct/>
        <w:topLinePunct w:val="0"/>
        <w:bidi w:val="0"/>
        <w:snapToGrid/>
        <w:spacing w:line="400" w:lineRule="exact"/>
        <w:ind w:firstLine="480" w:firstLineChars="200"/>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地点：政府采购云平台（网址：http:// www.zcygov.cn）；</w:t>
      </w:r>
    </w:p>
    <w:p w14:paraId="17265B9D">
      <w:pPr>
        <w:keepNext w:val="0"/>
        <w:keepLines w:val="0"/>
        <w:pageBreakBefore w:val="0"/>
        <w:kinsoku/>
        <w:overflowPunct/>
        <w:topLinePunct w:val="0"/>
        <w:bidi w:val="0"/>
        <w:snapToGrid/>
        <w:spacing w:line="400" w:lineRule="exact"/>
        <w:ind w:firstLine="420"/>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方式：潜在供应商可自行在“政采云”平台（网址：http：//www.zcygov.cn）下载磋商文件（操作路径：登录“政采云”平台-项目采购-获取采购文件-找到本项目-点击“申请获取采购文件”），其他途径获取的采购文件开标时一律按无效投标处理。申请获取采购文件时需提交以下资料并加盖公章（以下资料须在“政采云”平台“申请获取采购文件”时的附件处提交）：</w:t>
      </w:r>
    </w:p>
    <w:p w14:paraId="1022240D">
      <w:pPr>
        <w:keepNext w:val="0"/>
        <w:keepLines w:val="0"/>
        <w:pageBreakBefore w:val="0"/>
        <w:numPr>
          <w:ilvl w:val="0"/>
          <w:numId w:val="5"/>
        </w:numPr>
        <w:kinsoku/>
        <w:overflowPunct/>
        <w:topLinePunct w:val="0"/>
        <w:bidi w:val="0"/>
        <w:snapToGrid/>
        <w:spacing w:line="400" w:lineRule="exact"/>
        <w:ind w:firstLine="420"/>
        <w:jc w:val="left"/>
        <w:textAlignment w:val="auto"/>
        <w:rPr>
          <w:rFonts w:hint="eastAsia" w:ascii="宋体" w:hAnsi="宋体" w:eastAsia="宋体" w:cs="宋体"/>
          <w:bCs/>
          <w:color w:val="auto"/>
          <w:kern w:val="2"/>
          <w:sz w:val="24"/>
          <w:szCs w:val="24"/>
          <w:lang w:val="zh-CN" w:eastAsia="zh-CN" w:bidi="ar-SA"/>
        </w:rPr>
      </w:pPr>
      <w:r>
        <w:rPr>
          <w:rFonts w:hint="eastAsia" w:ascii="宋体" w:hAnsi="宋体" w:eastAsia="宋体" w:cs="宋体"/>
          <w:bCs/>
          <w:color w:val="auto"/>
          <w:kern w:val="2"/>
          <w:sz w:val="24"/>
          <w:szCs w:val="24"/>
          <w:lang w:val="zh-CN" w:eastAsia="zh-CN" w:bidi="ar-SA"/>
        </w:rPr>
        <w:t>有效营业执照；</w:t>
      </w:r>
    </w:p>
    <w:p w14:paraId="08163243">
      <w:pPr>
        <w:keepNext w:val="0"/>
        <w:keepLines w:val="0"/>
        <w:pageBreakBefore w:val="0"/>
        <w:numPr>
          <w:ilvl w:val="0"/>
          <w:numId w:val="5"/>
        </w:numPr>
        <w:kinsoku/>
        <w:overflowPunct/>
        <w:topLinePunct w:val="0"/>
        <w:bidi w:val="0"/>
        <w:snapToGrid/>
        <w:spacing w:line="400" w:lineRule="exact"/>
        <w:ind w:firstLine="420"/>
        <w:jc w:val="left"/>
        <w:textAlignment w:val="auto"/>
        <w:rPr>
          <w:rFonts w:hint="eastAsia" w:ascii="宋体" w:hAnsi="宋体" w:eastAsia="宋体" w:cs="宋体"/>
          <w:bCs/>
          <w:color w:val="auto"/>
          <w:kern w:val="2"/>
          <w:sz w:val="24"/>
          <w:szCs w:val="24"/>
          <w:lang w:val="zh-CN" w:eastAsia="zh-CN" w:bidi="ar-SA"/>
        </w:rPr>
      </w:pPr>
      <w:r>
        <w:rPr>
          <w:rFonts w:hint="eastAsia" w:ascii="宋体" w:hAnsi="宋体" w:eastAsia="宋体" w:cs="宋体"/>
          <w:bCs/>
          <w:color w:val="auto"/>
          <w:kern w:val="2"/>
          <w:sz w:val="24"/>
          <w:szCs w:val="24"/>
          <w:lang w:val="en-US" w:eastAsia="zh-CN" w:bidi="ar-SA"/>
        </w:rPr>
        <w:t>同类业绩证明材料（供货合同或中标通知书）</w:t>
      </w:r>
      <w:r>
        <w:rPr>
          <w:rFonts w:hint="eastAsia" w:ascii="宋体" w:hAnsi="宋体" w:eastAsia="宋体" w:cs="宋体"/>
          <w:bCs/>
          <w:color w:val="auto"/>
          <w:kern w:val="2"/>
          <w:sz w:val="24"/>
          <w:szCs w:val="24"/>
          <w:lang w:val="zh-CN" w:eastAsia="zh-CN" w:bidi="ar-SA"/>
        </w:rPr>
        <w:t>；</w:t>
      </w:r>
    </w:p>
    <w:p w14:paraId="110B1419">
      <w:pPr>
        <w:keepNext w:val="0"/>
        <w:keepLines w:val="0"/>
        <w:pageBreakBefore w:val="0"/>
        <w:numPr>
          <w:ilvl w:val="0"/>
          <w:numId w:val="5"/>
        </w:numPr>
        <w:kinsoku/>
        <w:overflowPunct/>
        <w:topLinePunct w:val="0"/>
        <w:bidi w:val="0"/>
        <w:snapToGrid/>
        <w:spacing w:line="400" w:lineRule="exact"/>
        <w:ind w:firstLine="420"/>
        <w:jc w:val="left"/>
        <w:textAlignment w:val="auto"/>
        <w:rPr>
          <w:rFonts w:hint="eastAsia" w:ascii="宋体" w:hAnsi="宋体" w:eastAsia="宋体" w:cs="宋体"/>
          <w:bCs/>
          <w:color w:val="auto"/>
          <w:kern w:val="2"/>
          <w:sz w:val="24"/>
          <w:szCs w:val="24"/>
          <w:lang w:val="zh-CN" w:eastAsia="zh-CN" w:bidi="ar-SA"/>
        </w:rPr>
      </w:pPr>
      <w:r>
        <w:rPr>
          <w:rFonts w:hint="eastAsia" w:ascii="宋体" w:hAnsi="宋体" w:eastAsia="宋体" w:cs="宋体"/>
          <w:bCs/>
          <w:color w:val="auto"/>
          <w:kern w:val="2"/>
          <w:sz w:val="24"/>
          <w:szCs w:val="24"/>
          <w:lang w:val="zh-CN" w:eastAsia="zh-CN" w:bidi="ar-SA"/>
        </w:rPr>
        <w:t>被授权人身份证、法人授权委托书的材料复印件。</w:t>
      </w:r>
    </w:p>
    <w:p w14:paraId="4816E4BB">
      <w:pPr>
        <w:pStyle w:val="122"/>
        <w:keepNext w:val="0"/>
        <w:keepLines w:val="0"/>
        <w:pageBreakBefore w:val="0"/>
        <w:kinsoku/>
        <w:wordWrap w:val="0"/>
        <w:overflowPunct/>
        <w:topLinePunct w:val="0"/>
        <w:bidi w:val="0"/>
        <w:snapToGrid/>
        <w:spacing w:line="400" w:lineRule="exact"/>
        <w:ind w:firstLine="480" w:firstLineChars="200"/>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未进行网上注册并办理CA认证的供应商将无法参与本次招标活动。</w:t>
      </w:r>
    </w:p>
    <w:p w14:paraId="3EB05339">
      <w:pPr>
        <w:keepNext w:val="0"/>
        <w:keepLines w:val="0"/>
        <w:pageBreakBefore w:val="0"/>
        <w:widowControl w:val="0"/>
        <w:kinsoku/>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kern w:val="2"/>
          <w:sz w:val="24"/>
          <w:szCs w:val="24"/>
          <w:lang w:val="en-US" w:eastAsia="zh-CN" w:bidi="ar-SA"/>
        </w:rPr>
        <w:t>售价：0元。</w:t>
      </w:r>
    </w:p>
    <w:p w14:paraId="67764F23">
      <w:pPr>
        <w:widowControl w:val="0"/>
        <w:autoSpaceDE w:val="0"/>
        <w:autoSpaceDN w:val="0"/>
        <w:adjustRightInd w:val="0"/>
        <w:spacing w:line="360" w:lineRule="exact"/>
        <w:rPr>
          <w:rFonts w:ascii="宋体" w:hAnsi="宋体" w:eastAsia="宋体" w:cs="宋体"/>
          <w:b/>
          <w:color w:val="auto"/>
          <w:sz w:val="24"/>
        </w:rPr>
      </w:pPr>
      <w:r>
        <w:rPr>
          <w:rFonts w:hint="eastAsia" w:ascii="宋体" w:hAnsi="宋体" w:eastAsia="宋体" w:cs="宋体"/>
          <w:b/>
          <w:color w:val="auto"/>
          <w:sz w:val="24"/>
        </w:rPr>
        <w:t>四、</w:t>
      </w:r>
      <w:r>
        <w:rPr>
          <w:rFonts w:hint="eastAsia" w:ascii="宋体" w:hAnsi="宋体" w:eastAsia="宋体" w:cs="宋体"/>
          <w:b/>
          <w:color w:val="auto"/>
          <w:sz w:val="24"/>
          <w:lang w:eastAsia="zh-CN"/>
        </w:rPr>
        <w:t>响应</w:t>
      </w:r>
      <w:r>
        <w:rPr>
          <w:rFonts w:hint="eastAsia" w:ascii="宋体" w:hAnsi="宋体" w:eastAsia="宋体" w:cs="宋体"/>
          <w:b/>
          <w:color w:val="auto"/>
          <w:sz w:val="24"/>
        </w:rPr>
        <w:t>文件提交</w:t>
      </w:r>
    </w:p>
    <w:p w14:paraId="5682872D">
      <w:pPr>
        <w:widowControl w:val="0"/>
        <w:autoSpaceDE w:val="0"/>
        <w:autoSpaceDN w:val="0"/>
        <w:adjustRightInd w:val="0"/>
        <w:spacing w:line="360" w:lineRule="exact"/>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rPr>
        <w:t>截止时间：</w:t>
      </w:r>
      <w:r>
        <w:rPr>
          <w:rFonts w:hint="eastAsia" w:ascii="宋体" w:hAnsi="宋体" w:eastAsia="宋体" w:cs="宋体"/>
          <w:bCs/>
          <w:color w:val="auto"/>
          <w:sz w:val="24"/>
          <w:highlight w:val="none"/>
          <w:lang w:eastAsia="zh-CN"/>
        </w:rPr>
        <w:t>2024年11月27日13时30分</w:t>
      </w:r>
      <w:r>
        <w:rPr>
          <w:rFonts w:hint="eastAsia" w:ascii="宋体" w:hAnsi="宋体" w:eastAsia="宋体" w:cs="宋体"/>
          <w:bCs/>
          <w:color w:val="auto"/>
          <w:sz w:val="24"/>
          <w:highlight w:val="none"/>
        </w:rPr>
        <w:t>（北京时间）</w:t>
      </w:r>
      <w:r>
        <w:rPr>
          <w:rFonts w:hint="eastAsia" w:ascii="宋体" w:hAnsi="宋体" w:eastAsia="宋体" w:cs="宋体"/>
          <w:bCs/>
          <w:color w:val="auto"/>
          <w:sz w:val="24"/>
          <w:highlight w:val="none"/>
        </w:rPr>
        <w:t>；</w:t>
      </w:r>
    </w:p>
    <w:p w14:paraId="6A8B5EC1">
      <w:pPr>
        <w:widowControl w:val="0"/>
        <w:autoSpaceDE w:val="0"/>
        <w:autoSpaceDN w:val="0"/>
        <w:adjustRightInd w:val="0"/>
        <w:spacing w:line="36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highlight w:val="none"/>
        </w:rPr>
        <w:t>地点：</w:t>
      </w:r>
      <w:r>
        <w:rPr>
          <w:rFonts w:hint="eastAsia" w:ascii="宋体" w:hAnsi="宋体" w:eastAsia="宋体" w:cs="宋体"/>
          <w:bCs/>
          <w:color w:val="auto"/>
          <w:sz w:val="24"/>
          <w:highlight w:val="none"/>
          <w:lang w:val="zh-CN"/>
        </w:rPr>
        <w:t>吉林省长春市二道区洋浦大街6999号凯利中心AB栋101开标</w:t>
      </w:r>
      <w:r>
        <w:rPr>
          <w:rFonts w:hint="eastAsia" w:ascii="宋体" w:hAnsi="宋体" w:eastAsia="宋体" w:cs="宋体"/>
          <w:bCs/>
          <w:color w:val="auto"/>
          <w:sz w:val="24"/>
          <w:highlight w:val="none"/>
          <w:lang w:val="en-US" w:eastAsia="zh-CN"/>
        </w:rPr>
        <w:t>二</w:t>
      </w:r>
      <w:r>
        <w:rPr>
          <w:rFonts w:hint="eastAsia" w:ascii="宋体" w:hAnsi="宋体" w:eastAsia="宋体" w:cs="宋体"/>
          <w:bCs/>
          <w:color w:val="auto"/>
          <w:sz w:val="24"/>
          <w:highlight w:val="none"/>
          <w:lang w:val="zh-CN"/>
        </w:rPr>
        <w:t>室</w:t>
      </w:r>
      <w:r>
        <w:rPr>
          <w:rFonts w:hint="eastAsia" w:ascii="宋体" w:hAnsi="宋体" w:eastAsia="宋体" w:cs="宋体"/>
          <w:bCs/>
          <w:color w:val="auto"/>
          <w:sz w:val="24"/>
          <w:highlight w:val="none"/>
        </w:rPr>
        <w:t>。</w:t>
      </w:r>
    </w:p>
    <w:p w14:paraId="77D288D5">
      <w:pPr>
        <w:widowControl w:val="0"/>
        <w:autoSpaceDE w:val="0"/>
        <w:autoSpaceDN w:val="0"/>
        <w:adjustRightInd w:val="0"/>
        <w:spacing w:line="360" w:lineRule="exact"/>
        <w:ind w:firstLine="480" w:firstLineChars="200"/>
        <w:rPr>
          <w:rFonts w:ascii="宋体" w:hAnsi="宋体" w:eastAsia="宋体" w:cs="宋体"/>
          <w:bCs/>
          <w:color w:val="auto"/>
          <w:sz w:val="24"/>
        </w:rPr>
      </w:pPr>
      <w:r>
        <w:rPr>
          <w:rFonts w:hint="eastAsia" w:ascii="宋体" w:hAnsi="宋体" w:eastAsia="宋体" w:cs="宋体"/>
          <w:bCs/>
          <w:color w:val="auto"/>
          <w:sz w:val="24"/>
        </w:rPr>
        <w:t>逾期送达的或者未送达指定地点的响应文件，采购人、采购代理机构不予受理。</w:t>
      </w:r>
    </w:p>
    <w:p w14:paraId="1644125F">
      <w:pPr>
        <w:widowControl w:val="0"/>
        <w:autoSpaceDE w:val="0"/>
        <w:autoSpaceDN w:val="0"/>
        <w:adjustRightInd w:val="0"/>
        <w:spacing w:line="360" w:lineRule="exact"/>
        <w:rPr>
          <w:rFonts w:ascii="宋体" w:hAnsi="宋体" w:eastAsia="宋体" w:cs="宋体"/>
          <w:b/>
          <w:color w:val="auto"/>
          <w:sz w:val="24"/>
        </w:rPr>
      </w:pPr>
      <w:r>
        <w:rPr>
          <w:rFonts w:hint="eastAsia" w:ascii="宋体" w:hAnsi="宋体" w:eastAsia="宋体" w:cs="宋体"/>
          <w:b/>
          <w:color w:val="auto"/>
          <w:sz w:val="24"/>
        </w:rPr>
        <w:t>五、开启</w:t>
      </w:r>
    </w:p>
    <w:p w14:paraId="1583C53C">
      <w:pPr>
        <w:widowControl w:val="0"/>
        <w:autoSpaceDE w:val="0"/>
        <w:autoSpaceDN w:val="0"/>
        <w:adjustRightInd w:val="0"/>
        <w:spacing w:line="360" w:lineRule="exact"/>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rPr>
        <w:t>时间：</w:t>
      </w:r>
      <w:r>
        <w:rPr>
          <w:rFonts w:hint="eastAsia" w:ascii="宋体" w:hAnsi="宋体" w:eastAsia="宋体" w:cs="宋体"/>
          <w:bCs/>
          <w:color w:val="auto"/>
          <w:sz w:val="24"/>
          <w:highlight w:val="none"/>
          <w:lang w:eastAsia="zh-CN"/>
        </w:rPr>
        <w:t>2024年11月27日13时30分</w:t>
      </w:r>
      <w:r>
        <w:rPr>
          <w:rFonts w:hint="eastAsia" w:ascii="宋体" w:hAnsi="宋体" w:eastAsia="宋体" w:cs="宋体"/>
          <w:bCs/>
          <w:color w:val="auto"/>
          <w:sz w:val="24"/>
          <w:highlight w:val="none"/>
        </w:rPr>
        <w:t>（北京时间）</w:t>
      </w:r>
    </w:p>
    <w:p w14:paraId="0827369B">
      <w:pPr>
        <w:widowControl w:val="0"/>
        <w:autoSpaceDE w:val="0"/>
        <w:autoSpaceDN w:val="0"/>
        <w:adjustRightInd w:val="0"/>
        <w:spacing w:line="360" w:lineRule="exact"/>
        <w:ind w:firstLine="480" w:firstLineChars="200"/>
        <w:rPr>
          <w:rFonts w:ascii="宋体" w:hAnsi="宋体" w:eastAsia="宋体" w:cs="宋体"/>
          <w:bCs/>
          <w:color w:val="auto"/>
          <w:sz w:val="24"/>
        </w:rPr>
      </w:pPr>
      <w:r>
        <w:rPr>
          <w:rFonts w:hint="eastAsia" w:ascii="宋体" w:hAnsi="宋体" w:eastAsia="宋体" w:cs="宋体"/>
          <w:bCs/>
          <w:color w:val="auto"/>
          <w:sz w:val="24"/>
          <w:highlight w:val="none"/>
        </w:rPr>
        <w:t>地点：</w:t>
      </w:r>
      <w:r>
        <w:rPr>
          <w:rFonts w:hint="eastAsia" w:ascii="宋体" w:hAnsi="宋体" w:eastAsia="宋体" w:cs="宋体"/>
          <w:bCs/>
          <w:color w:val="auto"/>
          <w:sz w:val="24"/>
          <w:highlight w:val="none"/>
          <w:lang w:val="zh-CN" w:eastAsia="zh-CN"/>
        </w:rPr>
        <w:t>吉林省长春市二道区洋浦大街6999号凯利中心AB栋101</w:t>
      </w:r>
      <w:r>
        <w:rPr>
          <w:rFonts w:hint="eastAsia" w:ascii="宋体" w:hAnsi="宋体" w:eastAsia="宋体" w:cs="宋体"/>
          <w:bCs/>
          <w:color w:val="auto"/>
          <w:sz w:val="24"/>
          <w:highlight w:val="none"/>
          <w:lang w:val="en-US" w:eastAsia="zh-CN"/>
        </w:rPr>
        <w:t>评</w:t>
      </w:r>
      <w:r>
        <w:rPr>
          <w:rFonts w:hint="eastAsia" w:ascii="宋体" w:hAnsi="宋体" w:eastAsia="宋体" w:cs="宋体"/>
          <w:bCs/>
          <w:color w:val="auto"/>
          <w:sz w:val="24"/>
          <w:highlight w:val="none"/>
          <w:lang w:val="zh-CN" w:eastAsia="zh-CN"/>
        </w:rPr>
        <w:t>标室</w:t>
      </w:r>
      <w:r>
        <w:rPr>
          <w:rFonts w:hint="eastAsia" w:ascii="宋体" w:hAnsi="宋体" w:eastAsia="宋体" w:cs="宋体"/>
          <w:bCs/>
          <w:color w:val="auto"/>
          <w:sz w:val="24"/>
          <w:highlight w:val="none"/>
          <w:lang w:val="en-US" w:eastAsia="zh-CN"/>
        </w:rPr>
        <w:t>。</w:t>
      </w:r>
    </w:p>
    <w:p w14:paraId="570B1602">
      <w:pPr>
        <w:widowControl w:val="0"/>
        <w:autoSpaceDE w:val="0"/>
        <w:autoSpaceDN w:val="0"/>
        <w:adjustRightInd w:val="0"/>
        <w:spacing w:line="460" w:lineRule="exact"/>
        <w:rPr>
          <w:rFonts w:ascii="宋体" w:hAnsi="宋体" w:eastAsia="宋体" w:cs="宋体"/>
          <w:b/>
          <w:color w:val="auto"/>
          <w:sz w:val="24"/>
        </w:rPr>
      </w:pPr>
      <w:r>
        <w:rPr>
          <w:rFonts w:hint="eastAsia" w:ascii="宋体" w:hAnsi="宋体" w:eastAsia="宋体" w:cs="宋体"/>
          <w:b/>
          <w:color w:val="auto"/>
          <w:sz w:val="24"/>
        </w:rPr>
        <w:t>六、公告期限</w:t>
      </w:r>
    </w:p>
    <w:p w14:paraId="2AD9B5AF">
      <w:pPr>
        <w:widowControl w:val="0"/>
        <w:autoSpaceDE w:val="0"/>
        <w:autoSpaceDN w:val="0"/>
        <w:adjustRightInd w:val="0"/>
        <w:spacing w:line="460" w:lineRule="exact"/>
        <w:ind w:firstLine="480" w:firstLineChars="200"/>
        <w:rPr>
          <w:rStyle w:val="202"/>
          <w:rFonts w:ascii="宋体" w:hAnsi="宋体" w:cs="宋体"/>
          <w:bCs/>
          <w:color w:val="auto"/>
          <w:sz w:val="24"/>
          <w:szCs w:val="24"/>
        </w:rPr>
      </w:pPr>
      <w:r>
        <w:rPr>
          <w:rStyle w:val="202"/>
          <w:rFonts w:hint="eastAsia" w:ascii="宋体" w:hAnsi="宋体" w:cs="宋体"/>
          <w:bCs/>
          <w:color w:val="auto"/>
          <w:sz w:val="24"/>
          <w:szCs w:val="24"/>
        </w:rPr>
        <w:t>自本公告发布之日起</w:t>
      </w:r>
      <w:r>
        <w:rPr>
          <w:rStyle w:val="202"/>
          <w:rFonts w:hint="eastAsia" w:ascii="宋体" w:hAnsi="宋体" w:cs="宋体"/>
          <w:bCs/>
          <w:color w:val="auto"/>
          <w:sz w:val="24"/>
          <w:szCs w:val="24"/>
          <w:lang w:val="en-US"/>
        </w:rPr>
        <w:t>3</w:t>
      </w:r>
      <w:r>
        <w:rPr>
          <w:rStyle w:val="202"/>
          <w:rFonts w:hint="eastAsia" w:ascii="宋体" w:hAnsi="宋体" w:cs="宋体"/>
          <w:bCs/>
          <w:color w:val="auto"/>
          <w:sz w:val="24"/>
          <w:szCs w:val="24"/>
        </w:rPr>
        <w:t>个工作日。</w:t>
      </w:r>
    </w:p>
    <w:p w14:paraId="4714CA39">
      <w:pPr>
        <w:keepNext w:val="0"/>
        <w:keepLines w:val="0"/>
        <w:pageBreakBefore w:val="0"/>
        <w:widowControl w:val="0"/>
        <w:numPr>
          <w:ilvl w:val="0"/>
          <w:numId w:val="6"/>
        </w:numPr>
        <w:kinsoku/>
        <w:overflowPunct/>
        <w:topLinePunct w:val="0"/>
        <w:autoSpaceDE w:val="0"/>
        <w:autoSpaceDN w:val="0"/>
        <w:bidi w:val="0"/>
        <w:adjustRightInd w:val="0"/>
        <w:snapToGrid w:val="0"/>
        <w:spacing w:line="360" w:lineRule="auto"/>
        <w:textAlignment w:val="auto"/>
        <w:rPr>
          <w:rFonts w:hint="eastAsia" w:ascii="宋体" w:hAnsi="宋体" w:eastAsia="宋体" w:cs="宋体"/>
          <w:b/>
          <w:color w:val="auto"/>
          <w:sz w:val="24"/>
          <w:lang w:eastAsia="zh-CN"/>
        </w:rPr>
      </w:pPr>
      <w:r>
        <w:rPr>
          <w:rFonts w:hint="eastAsia" w:ascii="宋体" w:hAnsi="宋体" w:eastAsia="宋体" w:cs="宋体"/>
          <w:b/>
          <w:color w:val="auto"/>
          <w:sz w:val="24"/>
          <w:lang w:eastAsia="zh-CN"/>
        </w:rPr>
        <w:t>其他补充事宜</w:t>
      </w:r>
    </w:p>
    <w:p w14:paraId="789314A5">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1、逾期送达的或者未送达指定地点的响应文件，采购人、采购代理机构不予受理。</w:t>
      </w:r>
    </w:p>
    <w:p w14:paraId="77EC4964">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eastAsia="zh-CN"/>
        </w:rPr>
        <w:t>本项目采用全流程电子化招投标，开标方式为远程开标，供应商须在提交响应文件截止时间前通过政府采购云平台（网址：http://www.zcygov.cn）递交电子响应文件，并按照现场工作人员通知使用CA锁进行响应文件远程解密。</w:t>
      </w:r>
    </w:p>
    <w:p w14:paraId="2DFC26FD">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lang w:val="zh-CN" w:eastAsia="zh-CN"/>
        </w:rPr>
        <w:t>投标操作流程：供应商在政府采购云平台网注册入库成为正式供应商后，在平台上按《政府采购项目电子交易管理操作指南-供应商》进行投标操作。</w:t>
      </w:r>
    </w:p>
    <w:p w14:paraId="72D98D55">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lang w:val="zh-CN" w:eastAsia="zh-CN"/>
        </w:rPr>
        <w:t>数字证书办理及投标技术咨询：</w:t>
      </w:r>
      <w:r>
        <w:rPr>
          <w:rFonts w:hint="eastAsia" w:ascii="宋体" w:hAnsi="宋体" w:eastAsia="宋体" w:cs="宋体"/>
          <w:bCs/>
          <w:color w:val="auto"/>
          <w:sz w:val="24"/>
          <w:lang w:val="en-US" w:eastAsia="zh-CN"/>
        </w:rPr>
        <w:t>供应商</w:t>
      </w:r>
      <w:r>
        <w:rPr>
          <w:rFonts w:hint="eastAsia" w:ascii="宋体" w:hAnsi="宋体" w:eastAsia="宋体" w:cs="宋体"/>
          <w:bCs/>
          <w:color w:val="auto"/>
          <w:sz w:val="24"/>
          <w:lang w:val="zh-CN" w:eastAsia="zh-CN"/>
        </w:rPr>
        <w:t>须办理数字证书方可参加投标。供应商须自行考虑数字证书办理时限，由于供应商自身原因在开标前无法完成办理，后果自负。</w:t>
      </w:r>
    </w:p>
    <w:p w14:paraId="6A71FA80">
      <w:pPr>
        <w:keepNext w:val="0"/>
        <w:keepLines w:val="0"/>
        <w:pageBreakBefore w:val="0"/>
        <w:widowControl w:val="0"/>
        <w:kinsoku/>
        <w:wordWrap w:val="0"/>
        <w:overflowPunct/>
        <w:topLinePunct w:val="0"/>
        <w:autoSpaceDE w:val="0"/>
        <w:autoSpaceDN w:val="0"/>
        <w:bidi w:val="0"/>
        <w:adjustRightInd w:val="0"/>
        <w:snapToGrid/>
        <w:spacing w:line="460" w:lineRule="exact"/>
        <w:ind w:firstLine="480" w:firstLineChars="200"/>
        <w:textAlignment w:val="auto"/>
        <w:rPr>
          <w:rFonts w:hint="eastAsia" w:ascii="宋体" w:hAnsi="宋体" w:eastAsia="宋体" w:cs="宋体"/>
          <w:bCs/>
          <w:color w:val="auto"/>
          <w:sz w:val="24"/>
          <w:lang w:eastAsia="zh-CN"/>
        </w:rPr>
      </w:pPr>
      <w:r>
        <w:rPr>
          <w:rFonts w:hint="eastAsia" w:ascii="宋体" w:hAnsi="宋体" w:eastAsia="宋体" w:cs="宋体"/>
          <w:bCs/>
          <w:color w:val="auto"/>
          <w:sz w:val="24"/>
          <w:lang w:val="en-US" w:eastAsia="zh-CN"/>
        </w:rPr>
        <w:t>5、</w:t>
      </w:r>
      <w:r>
        <w:rPr>
          <w:rFonts w:hint="eastAsia" w:ascii="宋体" w:hAnsi="宋体" w:eastAsia="宋体" w:cs="宋体"/>
          <w:bCs/>
          <w:color w:val="auto"/>
          <w:sz w:val="24"/>
          <w:lang w:eastAsia="zh-CN"/>
        </w:rPr>
        <w:t>若对项目采购电子交易系统操作有疑问，可登录“政采云”平台（https://www.zcygov.cn/）点击右侧咨询小采，获取采小蜜智能服务管家帮助，或拨打政采云服务热线95763获取热线服务帮助。</w:t>
      </w:r>
    </w:p>
    <w:p w14:paraId="7CFCE9BC">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6、因企业CA锁原因未能进行解密的，其投标无效。</w:t>
      </w:r>
    </w:p>
    <w:p w14:paraId="0F18D250">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7、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7EFF9AB2">
      <w:pPr>
        <w:widowControl w:val="0"/>
        <w:autoSpaceDE w:val="0"/>
        <w:autoSpaceDN w:val="0"/>
        <w:adjustRightInd w:val="0"/>
        <w:spacing w:line="460" w:lineRule="exact"/>
        <w:ind w:firstLine="480" w:firstLineChars="200"/>
        <w:rPr>
          <w:rFonts w:hint="default" w:ascii="宋体" w:hAnsi="宋体" w:eastAsia="宋体" w:cs="宋体"/>
          <w:color w:val="auto"/>
          <w:kern w:val="2"/>
          <w:sz w:val="24"/>
          <w:szCs w:val="22"/>
          <w:lang w:val="en-US" w:eastAsia="zh-CN" w:bidi="ar-SA"/>
        </w:rPr>
      </w:pPr>
      <w:r>
        <w:rPr>
          <w:rFonts w:hint="eastAsia" w:ascii="宋体" w:hAnsi="宋体" w:eastAsia="宋体" w:cs="宋体"/>
          <w:bCs/>
          <w:color w:val="auto"/>
          <w:sz w:val="24"/>
          <w:lang w:val="en-US" w:eastAsia="zh-CN"/>
        </w:rPr>
        <w:t>8、本次采购公告同时在中国政府采购网、长春市公共资源交易网、中国招标投标公共服务平台上发布。</w:t>
      </w:r>
    </w:p>
    <w:p w14:paraId="468893DC">
      <w:pPr>
        <w:widowControl w:val="0"/>
        <w:autoSpaceDE w:val="0"/>
        <w:autoSpaceDN w:val="0"/>
        <w:adjustRightInd w:val="0"/>
        <w:spacing w:line="460" w:lineRule="exact"/>
        <w:rPr>
          <w:rFonts w:ascii="宋体" w:hAnsi="宋体" w:eastAsia="宋体" w:cs="宋体"/>
          <w:b/>
          <w:color w:val="auto"/>
          <w:sz w:val="24"/>
        </w:rPr>
      </w:pPr>
      <w:r>
        <w:rPr>
          <w:rFonts w:hint="eastAsia" w:ascii="宋体" w:hAnsi="宋体" w:eastAsia="宋体" w:cs="宋体"/>
          <w:b/>
          <w:color w:val="auto"/>
          <w:sz w:val="24"/>
        </w:rPr>
        <w:t>九、对本次</w:t>
      </w:r>
      <w:r>
        <w:rPr>
          <w:rFonts w:hint="eastAsia" w:ascii="宋体" w:hAnsi="宋体" w:eastAsia="宋体" w:cs="宋体"/>
          <w:b/>
          <w:color w:val="auto"/>
          <w:sz w:val="24"/>
          <w:lang w:eastAsia="zh-CN"/>
        </w:rPr>
        <w:t>磋商</w:t>
      </w:r>
      <w:r>
        <w:rPr>
          <w:rFonts w:hint="eastAsia" w:ascii="宋体" w:hAnsi="宋体" w:eastAsia="宋体" w:cs="宋体"/>
          <w:b/>
          <w:color w:val="auto"/>
          <w:sz w:val="24"/>
        </w:rPr>
        <w:t>提出询问，请按以下方式联系。</w:t>
      </w:r>
    </w:p>
    <w:p w14:paraId="22E8EC97">
      <w:pPr>
        <w:widowControl w:val="0"/>
        <w:autoSpaceDE w:val="0"/>
        <w:autoSpaceDN w:val="0"/>
        <w:adjustRightInd w:val="0"/>
        <w:spacing w:line="460" w:lineRule="exact"/>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rPr>
        <w:t>1.采购人信息</w:t>
      </w:r>
    </w:p>
    <w:p w14:paraId="546EACB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采 购 人：</w:t>
      </w:r>
      <w:r>
        <w:rPr>
          <w:rFonts w:hint="eastAsia" w:ascii="宋体" w:hAnsi="宋体" w:eastAsia="宋体" w:cs="宋体"/>
          <w:bCs/>
          <w:color w:val="auto"/>
          <w:sz w:val="24"/>
          <w:highlight w:val="none"/>
          <w:lang w:val="en-US" w:eastAsia="zh-CN"/>
        </w:rPr>
        <w:t>长春市第一中等专业学校</w:t>
      </w:r>
    </w:p>
    <w:p w14:paraId="5F6C0848">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地    址：长春经济技术开发区珠海路939号</w:t>
      </w:r>
    </w:p>
    <w:p w14:paraId="264F57CE">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联系方式：</w:t>
      </w:r>
      <w:r>
        <w:rPr>
          <w:rFonts w:hint="eastAsia" w:ascii="宋体" w:hAnsi="宋体" w:eastAsia="宋体" w:cs="宋体"/>
          <w:bCs/>
          <w:color w:val="auto"/>
          <w:sz w:val="24"/>
          <w:highlight w:val="none"/>
          <w:lang w:val="en-US" w:eastAsia="zh-CN"/>
        </w:rPr>
        <w:t>曲旭东0431-82532776</w:t>
      </w:r>
      <w:r>
        <w:rPr>
          <w:rFonts w:hint="eastAsia" w:ascii="宋体" w:hAnsi="宋体" w:eastAsia="宋体" w:cs="宋体"/>
          <w:bCs/>
          <w:color w:val="auto"/>
          <w:sz w:val="24"/>
          <w:highlight w:val="none"/>
          <w:lang w:eastAsia="zh-CN"/>
        </w:rPr>
        <w:t xml:space="preserve"> </w:t>
      </w:r>
    </w:p>
    <w:p w14:paraId="2729E84E">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2.采购代理机构信息</w:t>
      </w:r>
    </w:p>
    <w:p w14:paraId="4A5282E0">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名    称：中招辰丰达招标有限公司</w:t>
      </w:r>
    </w:p>
    <w:p w14:paraId="048A59E1">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地    址：长春市高新区学海街781号长春吉大科技园高科技产业孵化大厦15楼</w:t>
      </w:r>
    </w:p>
    <w:p w14:paraId="60EDF53D">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zh-CN" w:eastAsia="zh-CN"/>
        </w:rPr>
        <w:t>联系</w:t>
      </w:r>
      <w:r>
        <w:rPr>
          <w:rFonts w:hint="eastAsia" w:ascii="宋体" w:hAnsi="宋体" w:eastAsia="宋体" w:cs="宋体"/>
          <w:bCs/>
          <w:color w:val="auto"/>
          <w:sz w:val="24"/>
          <w:lang w:val="en-US" w:eastAsia="zh-CN"/>
        </w:rPr>
        <w:t>方式</w:t>
      </w:r>
      <w:r>
        <w:rPr>
          <w:rFonts w:hint="eastAsia" w:ascii="宋体" w:hAnsi="宋体" w:eastAsia="宋体" w:cs="宋体"/>
          <w:bCs/>
          <w:color w:val="auto"/>
          <w:sz w:val="24"/>
          <w:lang w:val="zh-CN" w:eastAsia="zh-CN"/>
        </w:rPr>
        <w:t>：</w:t>
      </w:r>
      <w:r>
        <w:rPr>
          <w:rFonts w:hint="eastAsia" w:ascii="宋体" w:hAnsi="宋体" w:eastAsia="宋体" w:cs="宋体"/>
          <w:bCs/>
          <w:color w:val="auto"/>
          <w:sz w:val="24"/>
          <w:lang w:val="en-US" w:eastAsia="zh-CN"/>
        </w:rPr>
        <w:t>刘鹤群</w:t>
      </w:r>
      <w:r>
        <w:rPr>
          <w:rFonts w:hint="eastAsia" w:ascii="宋体" w:hAnsi="宋体" w:eastAsia="宋体" w:cs="宋体"/>
          <w:bCs/>
          <w:color w:val="auto"/>
          <w:sz w:val="24"/>
          <w:lang w:val="zh-CN" w:eastAsia="zh-CN"/>
        </w:rPr>
        <w:t>0431-81124285</w:t>
      </w:r>
    </w:p>
    <w:p w14:paraId="473023CA">
      <w:pPr>
        <w:widowControl w:val="0"/>
        <w:autoSpaceDE w:val="0"/>
        <w:autoSpaceDN w:val="0"/>
        <w:adjustRightInd w:val="0"/>
        <w:spacing w:line="460" w:lineRule="exact"/>
        <w:ind w:firstLine="480" w:firstLineChars="200"/>
        <w:rPr>
          <w:rFonts w:hint="default" w:ascii="宋体" w:hAnsi="宋体" w:eastAsia="宋体" w:cs="宋体"/>
          <w:bCs/>
          <w:color w:val="auto"/>
          <w:sz w:val="24"/>
          <w:lang w:val="en-US" w:eastAsia="zh-CN"/>
        </w:rPr>
      </w:pPr>
    </w:p>
    <w:p w14:paraId="0CAB7BBE">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3.项目联系方式</w:t>
      </w:r>
    </w:p>
    <w:p w14:paraId="1ECE256D">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项目联系人：刘鹤群</w:t>
      </w:r>
    </w:p>
    <w:p w14:paraId="579723B4">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电　 　 话：</w:t>
      </w:r>
      <w:r>
        <w:rPr>
          <w:rFonts w:hint="eastAsia" w:ascii="宋体" w:hAnsi="宋体" w:eastAsia="宋体" w:cs="宋体"/>
          <w:bCs/>
          <w:color w:val="auto"/>
          <w:sz w:val="24"/>
          <w:lang w:val="zh-CN" w:eastAsia="zh-CN"/>
        </w:rPr>
        <w:t>0431-81124285</w:t>
      </w:r>
      <w:r>
        <w:rPr>
          <w:rFonts w:hint="eastAsia" w:ascii="宋体" w:hAnsi="宋体" w:eastAsia="宋体" w:cs="宋体"/>
          <w:bCs/>
          <w:color w:val="auto"/>
          <w:sz w:val="24"/>
          <w:lang w:val="en-US" w:eastAsia="zh-CN"/>
        </w:rPr>
        <w:t>　　</w:t>
      </w:r>
    </w:p>
    <w:p w14:paraId="62B89B0A">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eastAsia="zh-CN"/>
        </w:rPr>
      </w:pPr>
    </w:p>
    <w:p w14:paraId="59C303D0">
      <w:pPr>
        <w:ind w:firstLine="1040" w:firstLineChars="200"/>
        <w:rPr>
          <w:rFonts w:ascii="楷体_GB2312" w:hAnsi="宋体" w:eastAsia="楷体_GB2312" w:cs="宋体"/>
          <w:snapToGrid w:val="0"/>
          <w:color w:val="auto"/>
          <w:sz w:val="52"/>
          <w:szCs w:val="52"/>
        </w:rPr>
      </w:pPr>
    </w:p>
    <w:p w14:paraId="5E47C57A">
      <w:pPr>
        <w:rPr>
          <w:rFonts w:hint="eastAsia" w:ascii="楷体_GB2312" w:hAnsi="宋体" w:eastAsia="楷体_GB2312" w:cs="宋体"/>
          <w:snapToGrid w:val="0"/>
          <w:color w:val="auto"/>
          <w:sz w:val="52"/>
          <w:szCs w:val="52"/>
        </w:rPr>
      </w:pPr>
      <w:r>
        <w:rPr>
          <w:rFonts w:hint="eastAsia" w:ascii="楷体_GB2312" w:hAnsi="宋体" w:eastAsia="楷体_GB2312" w:cs="宋体"/>
          <w:snapToGrid w:val="0"/>
          <w:color w:val="auto"/>
          <w:sz w:val="52"/>
          <w:szCs w:val="52"/>
        </w:rPr>
        <w:br w:type="page"/>
      </w:r>
    </w:p>
    <w:p w14:paraId="6AA6462D">
      <w:pPr>
        <w:pStyle w:val="3"/>
        <w:spacing w:line="240" w:lineRule="auto"/>
        <w:jc w:val="center"/>
        <w:rPr>
          <w:rFonts w:ascii="楷体_GB2312" w:hAnsi="宋体" w:eastAsia="楷体_GB2312" w:cs="宋体"/>
          <w:snapToGrid w:val="0"/>
          <w:color w:val="auto"/>
          <w:sz w:val="52"/>
          <w:szCs w:val="52"/>
        </w:rPr>
      </w:pPr>
      <w:r>
        <w:rPr>
          <w:rFonts w:hint="eastAsia" w:ascii="楷体_GB2312" w:hAnsi="宋体" w:eastAsia="楷体_GB2312" w:cs="宋体"/>
          <w:snapToGrid w:val="0"/>
          <w:color w:val="auto"/>
          <w:sz w:val="52"/>
          <w:szCs w:val="52"/>
        </w:rPr>
        <w:t>第二章  供应商须知</w:t>
      </w:r>
    </w:p>
    <w:p w14:paraId="5DD051C1">
      <w:pPr>
        <w:autoSpaceDE w:val="0"/>
        <w:autoSpaceDN w:val="0"/>
        <w:adjustRightInd w:val="0"/>
        <w:spacing w:line="440" w:lineRule="exact"/>
        <w:jc w:val="center"/>
        <w:rPr>
          <w:rFonts w:ascii="黑体" w:hAnsi="宋体" w:eastAsia="黑体" w:cs="宋体"/>
          <w:b/>
          <w:bCs/>
          <w:color w:val="auto"/>
          <w:sz w:val="28"/>
          <w:szCs w:val="28"/>
          <w:lang w:val="zh-CN"/>
        </w:rPr>
      </w:pPr>
      <w:r>
        <w:rPr>
          <w:rFonts w:ascii="宋体" w:hAnsi="宋体" w:cs="宋体"/>
          <w:b/>
          <w:color w:val="auto"/>
          <w:sz w:val="24"/>
          <w:lang w:val="zh-CN"/>
        </w:rPr>
        <w:br w:type="page"/>
      </w:r>
      <w:r>
        <w:rPr>
          <w:rFonts w:hint="eastAsia" w:ascii="黑体" w:hAnsi="宋体" w:eastAsia="黑体" w:cs="宋体"/>
          <w:b/>
          <w:color w:val="auto"/>
          <w:sz w:val="28"/>
          <w:szCs w:val="28"/>
          <w:lang w:val="zh-CN"/>
        </w:rPr>
        <w:t>供应商须知前附表</w:t>
      </w:r>
    </w:p>
    <w:tbl>
      <w:tblPr>
        <w:tblStyle w:val="47"/>
        <w:tblW w:w="90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8"/>
        <w:gridCol w:w="1740"/>
        <w:gridCol w:w="6504"/>
      </w:tblGrid>
      <w:tr w14:paraId="33DFE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D3D6249">
            <w:pPr>
              <w:pStyle w:val="102"/>
              <w:spacing w:before="74" w:line="400" w:lineRule="exact"/>
              <w:ind w:right="160"/>
              <w:jc w:val="center"/>
              <w:rPr>
                <w:b/>
                <w:color w:val="auto"/>
                <w:sz w:val="24"/>
                <w:szCs w:val="24"/>
              </w:rPr>
            </w:pPr>
            <w:r>
              <w:rPr>
                <w:b/>
                <w:color w:val="auto"/>
                <w:sz w:val="24"/>
                <w:szCs w:val="24"/>
              </w:rPr>
              <w:t>序号</w:t>
            </w:r>
          </w:p>
        </w:tc>
        <w:tc>
          <w:tcPr>
            <w:tcW w:w="1740" w:type="dxa"/>
          </w:tcPr>
          <w:p w14:paraId="6136184C">
            <w:pPr>
              <w:pStyle w:val="102"/>
              <w:spacing w:before="74" w:line="400" w:lineRule="exact"/>
              <w:ind w:left="167" w:right="155"/>
              <w:jc w:val="center"/>
              <w:rPr>
                <w:b/>
                <w:color w:val="auto"/>
                <w:sz w:val="24"/>
                <w:szCs w:val="24"/>
              </w:rPr>
            </w:pPr>
            <w:r>
              <w:rPr>
                <w:b/>
                <w:color w:val="auto"/>
                <w:sz w:val="24"/>
                <w:szCs w:val="24"/>
              </w:rPr>
              <w:t>条款名称</w:t>
            </w:r>
          </w:p>
        </w:tc>
        <w:tc>
          <w:tcPr>
            <w:tcW w:w="6504" w:type="dxa"/>
            <w:vAlign w:val="center"/>
          </w:tcPr>
          <w:p w14:paraId="5DCF9FED">
            <w:pPr>
              <w:pStyle w:val="102"/>
              <w:spacing w:before="74" w:line="400" w:lineRule="exact"/>
              <w:ind w:right="2954"/>
              <w:jc w:val="center"/>
              <w:rPr>
                <w:b/>
                <w:color w:val="auto"/>
                <w:sz w:val="24"/>
                <w:szCs w:val="24"/>
              </w:rPr>
            </w:pPr>
            <w:r>
              <w:rPr>
                <w:b/>
                <w:color w:val="auto"/>
                <w:sz w:val="24"/>
                <w:szCs w:val="24"/>
              </w:rPr>
              <w:t>内容及要求</w:t>
            </w:r>
          </w:p>
        </w:tc>
      </w:tr>
      <w:tr w14:paraId="12CEA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430FAF18">
            <w:pPr>
              <w:pStyle w:val="102"/>
              <w:spacing w:line="400" w:lineRule="exact"/>
              <w:ind w:right="110"/>
              <w:jc w:val="center"/>
              <w:rPr>
                <w:color w:val="auto"/>
                <w:kern w:val="0"/>
                <w:sz w:val="24"/>
                <w:szCs w:val="24"/>
              </w:rPr>
            </w:pPr>
            <w:r>
              <w:rPr>
                <w:rFonts w:hint="eastAsia"/>
                <w:color w:val="auto"/>
                <w:kern w:val="0"/>
                <w:sz w:val="24"/>
                <w:szCs w:val="24"/>
              </w:rPr>
              <w:t>1.1.2</w:t>
            </w:r>
          </w:p>
        </w:tc>
        <w:tc>
          <w:tcPr>
            <w:tcW w:w="1740" w:type="dxa"/>
            <w:vAlign w:val="center"/>
          </w:tcPr>
          <w:p w14:paraId="587858AB">
            <w:pPr>
              <w:autoSpaceDE w:val="0"/>
              <w:autoSpaceDN w:val="0"/>
              <w:adjustRightInd w:val="0"/>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采购人</w:t>
            </w:r>
          </w:p>
        </w:tc>
        <w:tc>
          <w:tcPr>
            <w:tcW w:w="6504" w:type="dxa"/>
            <w:vAlign w:val="center"/>
          </w:tcPr>
          <w:p w14:paraId="726848C2">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采 购 人：长春市第一中等专业学校</w:t>
            </w:r>
          </w:p>
          <w:p w14:paraId="4BECEB38">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地    址： 长春经济技术开发区珠海路939号</w:t>
            </w:r>
          </w:p>
          <w:p w14:paraId="5EA4CDDC">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highlight w:val="none"/>
                <w:lang w:val="zh-CN" w:eastAsia="zh-CN"/>
              </w:rPr>
            </w:pPr>
            <w:r>
              <w:rPr>
                <w:rFonts w:hint="eastAsia" w:ascii="宋体" w:hAnsi="宋体" w:eastAsia="宋体" w:cs="Times New Roman"/>
                <w:color w:val="auto"/>
                <w:sz w:val="24"/>
                <w:szCs w:val="24"/>
                <w:highlight w:val="none"/>
                <w:lang w:val="en-US" w:eastAsia="zh-CN"/>
              </w:rPr>
              <w:t>联系方式：曲旭东0431-82532776</w:t>
            </w:r>
          </w:p>
        </w:tc>
      </w:tr>
      <w:tr w14:paraId="7F0E8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3C3AAE5">
            <w:pPr>
              <w:pStyle w:val="102"/>
              <w:spacing w:line="400" w:lineRule="exact"/>
              <w:ind w:right="110"/>
              <w:jc w:val="center"/>
              <w:rPr>
                <w:color w:val="auto"/>
                <w:kern w:val="0"/>
                <w:sz w:val="24"/>
                <w:szCs w:val="24"/>
              </w:rPr>
            </w:pPr>
            <w:r>
              <w:rPr>
                <w:rFonts w:hint="eastAsia"/>
                <w:color w:val="auto"/>
                <w:kern w:val="0"/>
                <w:sz w:val="24"/>
                <w:szCs w:val="24"/>
              </w:rPr>
              <w:t>1.1.3</w:t>
            </w:r>
          </w:p>
        </w:tc>
        <w:tc>
          <w:tcPr>
            <w:tcW w:w="1740" w:type="dxa"/>
            <w:vAlign w:val="center"/>
          </w:tcPr>
          <w:p w14:paraId="45BBD707">
            <w:pPr>
              <w:autoSpaceDE w:val="0"/>
              <w:autoSpaceDN w:val="0"/>
              <w:adjustRightInd w:val="0"/>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采购代理</w:t>
            </w:r>
          </w:p>
          <w:p w14:paraId="3FBDF389">
            <w:pPr>
              <w:autoSpaceDE w:val="0"/>
              <w:autoSpaceDN w:val="0"/>
              <w:adjustRightInd w:val="0"/>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机构</w:t>
            </w:r>
          </w:p>
        </w:tc>
        <w:tc>
          <w:tcPr>
            <w:tcW w:w="6504" w:type="dxa"/>
            <w:vAlign w:val="center"/>
          </w:tcPr>
          <w:p w14:paraId="7318F20E">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名    称：中招辰丰达招标有限公司</w:t>
            </w:r>
          </w:p>
          <w:p w14:paraId="33DF2154">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地    址：长春市高新区学海街781号长春吉大科技园高科技产业孵化大厦15楼</w:t>
            </w:r>
          </w:p>
          <w:p w14:paraId="7745AD47">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zh-CN" w:eastAsia="zh-CN"/>
              </w:rPr>
              <w:t>联系</w:t>
            </w:r>
            <w:r>
              <w:rPr>
                <w:rFonts w:hint="eastAsia" w:ascii="宋体" w:hAnsi="宋体" w:eastAsia="宋体" w:cs="Times New Roman"/>
                <w:color w:val="auto"/>
                <w:sz w:val="24"/>
                <w:szCs w:val="24"/>
                <w:lang w:val="en-US" w:eastAsia="zh-CN"/>
              </w:rPr>
              <w:t>方式</w:t>
            </w:r>
            <w:r>
              <w:rPr>
                <w:rFonts w:hint="eastAsia" w:ascii="宋体" w:hAnsi="宋体" w:eastAsia="宋体" w:cs="Times New Roman"/>
                <w:color w:val="auto"/>
                <w:sz w:val="24"/>
                <w:szCs w:val="24"/>
                <w:lang w:val="zh-CN" w:eastAsia="zh-CN"/>
              </w:rPr>
              <w:t>：</w:t>
            </w:r>
            <w:r>
              <w:rPr>
                <w:rFonts w:hint="eastAsia" w:ascii="宋体" w:hAnsi="宋体" w:eastAsia="宋体" w:cs="Times New Roman"/>
                <w:color w:val="auto"/>
                <w:sz w:val="24"/>
                <w:szCs w:val="24"/>
                <w:lang w:val="en-US" w:eastAsia="zh-CN"/>
              </w:rPr>
              <w:t>刘鹤群</w:t>
            </w:r>
            <w:r>
              <w:rPr>
                <w:rFonts w:hint="eastAsia" w:ascii="宋体" w:hAnsi="宋体" w:eastAsia="宋体" w:cs="Times New Roman"/>
                <w:color w:val="auto"/>
                <w:sz w:val="24"/>
                <w:szCs w:val="24"/>
                <w:lang w:val="zh-CN" w:eastAsia="zh-CN"/>
              </w:rPr>
              <w:t>0431-81124285</w:t>
            </w:r>
          </w:p>
        </w:tc>
      </w:tr>
      <w:tr w14:paraId="3AC95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2" w:hRule="atLeast"/>
          <w:jc w:val="center"/>
        </w:trPr>
        <w:tc>
          <w:tcPr>
            <w:tcW w:w="848" w:type="dxa"/>
            <w:vAlign w:val="center"/>
          </w:tcPr>
          <w:p w14:paraId="7DF44CDB">
            <w:pPr>
              <w:pStyle w:val="102"/>
              <w:spacing w:before="2" w:line="400" w:lineRule="exact"/>
              <w:ind w:right="110"/>
              <w:jc w:val="center"/>
              <w:rPr>
                <w:color w:val="auto"/>
                <w:kern w:val="0"/>
                <w:sz w:val="24"/>
                <w:szCs w:val="24"/>
              </w:rPr>
            </w:pPr>
            <w:r>
              <w:rPr>
                <w:rFonts w:hint="eastAsia"/>
                <w:color w:val="auto"/>
                <w:kern w:val="0"/>
                <w:sz w:val="24"/>
                <w:szCs w:val="24"/>
              </w:rPr>
              <w:t>1.1.4</w:t>
            </w:r>
          </w:p>
        </w:tc>
        <w:tc>
          <w:tcPr>
            <w:tcW w:w="1740" w:type="dxa"/>
            <w:vAlign w:val="center"/>
          </w:tcPr>
          <w:p w14:paraId="76699AA3">
            <w:pPr>
              <w:pStyle w:val="102"/>
              <w:spacing w:line="400" w:lineRule="exact"/>
              <w:ind w:left="167" w:right="155"/>
              <w:jc w:val="center"/>
              <w:rPr>
                <w:color w:val="auto"/>
                <w:kern w:val="0"/>
                <w:sz w:val="24"/>
                <w:szCs w:val="24"/>
              </w:rPr>
            </w:pPr>
            <w:r>
              <w:rPr>
                <w:rFonts w:hint="eastAsia"/>
                <w:color w:val="auto"/>
                <w:kern w:val="0"/>
                <w:sz w:val="24"/>
                <w:szCs w:val="24"/>
              </w:rPr>
              <w:t>项目名称</w:t>
            </w:r>
          </w:p>
        </w:tc>
        <w:tc>
          <w:tcPr>
            <w:tcW w:w="6504" w:type="dxa"/>
            <w:vAlign w:val="center"/>
          </w:tcPr>
          <w:p w14:paraId="5CFF8031">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长春市第一中等专业学校智慧录播教室建设项目</w:t>
            </w:r>
          </w:p>
        </w:tc>
      </w:tr>
      <w:tr w14:paraId="558C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2" w:hRule="atLeast"/>
          <w:jc w:val="center"/>
        </w:trPr>
        <w:tc>
          <w:tcPr>
            <w:tcW w:w="848" w:type="dxa"/>
            <w:vAlign w:val="center"/>
          </w:tcPr>
          <w:p w14:paraId="28C4CECD">
            <w:pPr>
              <w:pStyle w:val="102"/>
              <w:spacing w:before="2" w:line="400" w:lineRule="exact"/>
              <w:ind w:right="110"/>
              <w:jc w:val="center"/>
              <w:rPr>
                <w:rFonts w:hint="default" w:eastAsia="宋体"/>
                <w:color w:val="auto"/>
                <w:kern w:val="0"/>
                <w:sz w:val="24"/>
                <w:szCs w:val="24"/>
                <w:lang w:val="en-US" w:eastAsia="zh-CN"/>
              </w:rPr>
            </w:pPr>
            <w:r>
              <w:rPr>
                <w:rFonts w:hint="eastAsia"/>
                <w:color w:val="auto"/>
                <w:kern w:val="0"/>
                <w:sz w:val="24"/>
                <w:szCs w:val="24"/>
                <w:lang w:val="en-US" w:eastAsia="zh-CN"/>
              </w:rPr>
              <w:t>1.1.5</w:t>
            </w:r>
          </w:p>
        </w:tc>
        <w:tc>
          <w:tcPr>
            <w:tcW w:w="1740" w:type="dxa"/>
            <w:vAlign w:val="center"/>
          </w:tcPr>
          <w:p w14:paraId="3A2B8D6D">
            <w:pPr>
              <w:pStyle w:val="102"/>
              <w:spacing w:line="400" w:lineRule="exact"/>
              <w:ind w:left="167" w:right="155"/>
              <w:jc w:val="center"/>
              <w:rPr>
                <w:rFonts w:hint="default" w:eastAsia="宋体"/>
                <w:color w:val="auto"/>
                <w:kern w:val="0"/>
                <w:sz w:val="24"/>
                <w:szCs w:val="24"/>
                <w:lang w:val="en-US" w:eastAsia="zh-CN"/>
              </w:rPr>
            </w:pPr>
            <w:r>
              <w:rPr>
                <w:rFonts w:hint="eastAsia"/>
                <w:color w:val="auto"/>
                <w:kern w:val="0"/>
                <w:sz w:val="24"/>
                <w:szCs w:val="24"/>
                <w:lang w:val="en-US" w:eastAsia="zh-CN"/>
              </w:rPr>
              <w:t>标段划分</w:t>
            </w:r>
          </w:p>
        </w:tc>
        <w:tc>
          <w:tcPr>
            <w:tcW w:w="6504" w:type="dxa"/>
            <w:vAlign w:val="center"/>
          </w:tcPr>
          <w:p w14:paraId="2D8F8837">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1个标段</w:t>
            </w:r>
          </w:p>
        </w:tc>
      </w:tr>
      <w:tr w14:paraId="63C48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2" w:hRule="atLeast"/>
          <w:jc w:val="center"/>
        </w:trPr>
        <w:tc>
          <w:tcPr>
            <w:tcW w:w="848" w:type="dxa"/>
            <w:vAlign w:val="center"/>
          </w:tcPr>
          <w:p w14:paraId="6B005CC5">
            <w:pPr>
              <w:pStyle w:val="102"/>
              <w:spacing w:before="2" w:line="400" w:lineRule="exact"/>
              <w:ind w:right="110"/>
              <w:jc w:val="center"/>
              <w:rPr>
                <w:rFonts w:hint="eastAsia" w:eastAsia="宋体"/>
                <w:color w:val="auto"/>
                <w:kern w:val="0"/>
                <w:sz w:val="24"/>
                <w:szCs w:val="24"/>
                <w:lang w:eastAsia="zh-CN"/>
              </w:rPr>
            </w:pPr>
            <w:r>
              <w:rPr>
                <w:rFonts w:hint="eastAsia"/>
                <w:color w:val="auto"/>
                <w:kern w:val="0"/>
                <w:sz w:val="24"/>
                <w:szCs w:val="24"/>
              </w:rPr>
              <w:t>1.1.</w:t>
            </w:r>
            <w:r>
              <w:rPr>
                <w:rFonts w:hint="eastAsia"/>
                <w:color w:val="auto"/>
                <w:kern w:val="0"/>
                <w:sz w:val="24"/>
                <w:szCs w:val="24"/>
                <w:lang w:val="en-US" w:eastAsia="zh-CN"/>
              </w:rPr>
              <w:t>6</w:t>
            </w:r>
          </w:p>
        </w:tc>
        <w:tc>
          <w:tcPr>
            <w:tcW w:w="1740" w:type="dxa"/>
            <w:vAlign w:val="center"/>
          </w:tcPr>
          <w:p w14:paraId="43D0CC62">
            <w:pPr>
              <w:pStyle w:val="102"/>
              <w:spacing w:line="400" w:lineRule="exact"/>
              <w:ind w:left="167" w:right="155"/>
              <w:jc w:val="center"/>
              <w:rPr>
                <w:rFonts w:hint="eastAsia" w:eastAsia="宋体"/>
                <w:color w:val="auto"/>
                <w:kern w:val="0"/>
                <w:sz w:val="24"/>
                <w:szCs w:val="24"/>
                <w:lang w:eastAsia="zh-CN"/>
              </w:rPr>
            </w:pPr>
            <w:r>
              <w:rPr>
                <w:rFonts w:hint="eastAsia"/>
                <w:color w:val="auto"/>
                <w:kern w:val="0"/>
                <w:sz w:val="24"/>
                <w:szCs w:val="24"/>
                <w:lang w:val="en-US" w:eastAsia="zh-CN"/>
              </w:rPr>
              <w:t>服务地点</w:t>
            </w:r>
          </w:p>
        </w:tc>
        <w:tc>
          <w:tcPr>
            <w:tcW w:w="6504" w:type="dxa"/>
            <w:vAlign w:val="center"/>
          </w:tcPr>
          <w:p w14:paraId="6A2A644E">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Times New Roman"/>
                <w:color w:val="auto"/>
                <w:sz w:val="24"/>
                <w:szCs w:val="24"/>
                <w:lang w:val="zh-CN" w:eastAsia="zh-CN"/>
              </w:rPr>
            </w:pPr>
            <w:r>
              <w:rPr>
                <w:rFonts w:hint="eastAsia" w:ascii="宋体" w:hAnsi="宋体" w:eastAsia="宋体" w:cs="Times New Roman"/>
                <w:color w:val="auto"/>
                <w:sz w:val="24"/>
                <w:szCs w:val="24"/>
                <w:lang w:val="en-US" w:eastAsia="zh-CN"/>
              </w:rPr>
              <w:t>采购人指定地点</w:t>
            </w:r>
          </w:p>
        </w:tc>
      </w:tr>
      <w:tr w14:paraId="39AC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2" w:hRule="atLeast"/>
          <w:jc w:val="center"/>
        </w:trPr>
        <w:tc>
          <w:tcPr>
            <w:tcW w:w="848" w:type="dxa"/>
            <w:vAlign w:val="center"/>
          </w:tcPr>
          <w:p w14:paraId="37525030">
            <w:pPr>
              <w:pStyle w:val="102"/>
              <w:spacing w:before="2" w:line="400" w:lineRule="exact"/>
              <w:ind w:right="110"/>
              <w:jc w:val="center"/>
              <w:rPr>
                <w:color w:val="auto"/>
                <w:kern w:val="0"/>
                <w:sz w:val="24"/>
                <w:szCs w:val="24"/>
              </w:rPr>
            </w:pPr>
            <w:r>
              <w:rPr>
                <w:rFonts w:hint="eastAsia"/>
                <w:color w:val="auto"/>
                <w:kern w:val="0"/>
                <w:sz w:val="24"/>
                <w:szCs w:val="24"/>
              </w:rPr>
              <w:t>1.2.1</w:t>
            </w:r>
          </w:p>
        </w:tc>
        <w:tc>
          <w:tcPr>
            <w:tcW w:w="1740" w:type="dxa"/>
          </w:tcPr>
          <w:p w14:paraId="670DA886">
            <w:pPr>
              <w:pStyle w:val="102"/>
              <w:spacing w:before="2" w:line="400" w:lineRule="exact"/>
              <w:ind w:left="167" w:right="155"/>
              <w:jc w:val="center"/>
              <w:rPr>
                <w:color w:val="auto"/>
                <w:kern w:val="0"/>
                <w:sz w:val="24"/>
                <w:szCs w:val="24"/>
                <w:highlight w:val="none"/>
              </w:rPr>
            </w:pPr>
            <w:r>
              <w:rPr>
                <w:rFonts w:hint="eastAsia"/>
                <w:color w:val="auto"/>
                <w:kern w:val="0"/>
                <w:sz w:val="24"/>
                <w:szCs w:val="24"/>
                <w:highlight w:val="none"/>
              </w:rPr>
              <w:t>资金来源及比例</w:t>
            </w:r>
          </w:p>
        </w:tc>
        <w:tc>
          <w:tcPr>
            <w:tcW w:w="6504" w:type="dxa"/>
            <w:vAlign w:val="center"/>
          </w:tcPr>
          <w:p w14:paraId="15A2577C">
            <w:pPr>
              <w:keepNext w:val="0"/>
              <w:keepLines w:val="0"/>
              <w:pageBreakBefore w:val="0"/>
              <w:widowControl/>
              <w:tabs>
                <w:tab w:val="left" w:leader="underscore" w:pos="1050"/>
              </w:tabs>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财政资金100%</w:t>
            </w:r>
          </w:p>
        </w:tc>
      </w:tr>
      <w:tr w14:paraId="0569C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2" w:hRule="atLeast"/>
          <w:jc w:val="center"/>
        </w:trPr>
        <w:tc>
          <w:tcPr>
            <w:tcW w:w="848" w:type="dxa"/>
            <w:vAlign w:val="center"/>
          </w:tcPr>
          <w:p w14:paraId="6E133A79">
            <w:pPr>
              <w:pStyle w:val="102"/>
              <w:spacing w:before="2" w:line="400" w:lineRule="exact"/>
              <w:ind w:right="110"/>
              <w:jc w:val="center"/>
              <w:rPr>
                <w:color w:val="auto"/>
                <w:kern w:val="0"/>
                <w:sz w:val="24"/>
                <w:szCs w:val="24"/>
              </w:rPr>
            </w:pPr>
            <w:r>
              <w:rPr>
                <w:rFonts w:hint="eastAsia"/>
                <w:color w:val="auto"/>
                <w:kern w:val="0"/>
                <w:sz w:val="24"/>
                <w:szCs w:val="24"/>
              </w:rPr>
              <w:t>1.2.2</w:t>
            </w:r>
          </w:p>
        </w:tc>
        <w:tc>
          <w:tcPr>
            <w:tcW w:w="1740" w:type="dxa"/>
          </w:tcPr>
          <w:p w14:paraId="4DFAF1E1">
            <w:pPr>
              <w:pStyle w:val="102"/>
              <w:spacing w:before="2" w:line="400" w:lineRule="exact"/>
              <w:ind w:left="167" w:right="155"/>
              <w:jc w:val="center"/>
              <w:rPr>
                <w:color w:val="auto"/>
                <w:kern w:val="0"/>
                <w:sz w:val="24"/>
                <w:szCs w:val="24"/>
              </w:rPr>
            </w:pPr>
            <w:r>
              <w:rPr>
                <w:rFonts w:hint="eastAsia"/>
                <w:color w:val="auto"/>
                <w:kern w:val="0"/>
                <w:sz w:val="24"/>
                <w:szCs w:val="24"/>
              </w:rPr>
              <w:t>资金落实情况</w:t>
            </w:r>
          </w:p>
        </w:tc>
        <w:tc>
          <w:tcPr>
            <w:tcW w:w="6504" w:type="dxa"/>
            <w:vAlign w:val="center"/>
          </w:tcPr>
          <w:p w14:paraId="01D52613">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highlight w:val="none"/>
              </w:rPr>
            </w:pPr>
            <w:r>
              <w:rPr>
                <w:rFonts w:hint="eastAsia"/>
                <w:color w:val="auto"/>
                <w:kern w:val="0"/>
                <w:sz w:val="24"/>
                <w:szCs w:val="24"/>
                <w:highlight w:val="none"/>
              </w:rPr>
              <w:t>已落实</w:t>
            </w:r>
          </w:p>
        </w:tc>
      </w:tr>
      <w:tr w14:paraId="4CCF3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52D2AB3C">
            <w:pPr>
              <w:pStyle w:val="102"/>
              <w:spacing w:before="2" w:line="400" w:lineRule="exact"/>
              <w:ind w:right="110"/>
              <w:jc w:val="center"/>
              <w:rPr>
                <w:color w:val="auto"/>
                <w:kern w:val="0"/>
                <w:sz w:val="24"/>
                <w:szCs w:val="24"/>
              </w:rPr>
            </w:pPr>
            <w:r>
              <w:rPr>
                <w:rFonts w:hint="eastAsia"/>
                <w:color w:val="auto"/>
                <w:kern w:val="0"/>
                <w:sz w:val="24"/>
                <w:szCs w:val="24"/>
              </w:rPr>
              <w:t>1.3.1</w:t>
            </w:r>
          </w:p>
        </w:tc>
        <w:tc>
          <w:tcPr>
            <w:tcW w:w="1740" w:type="dxa"/>
            <w:vAlign w:val="center"/>
          </w:tcPr>
          <w:p w14:paraId="4DB08B26">
            <w:pPr>
              <w:pStyle w:val="102"/>
              <w:spacing w:before="2" w:line="400" w:lineRule="exact"/>
              <w:ind w:left="167" w:right="155"/>
              <w:jc w:val="center"/>
              <w:rPr>
                <w:rFonts w:hint="eastAsia" w:eastAsia="宋体"/>
                <w:color w:val="auto"/>
                <w:kern w:val="0"/>
                <w:sz w:val="24"/>
                <w:szCs w:val="24"/>
                <w:lang w:eastAsia="zh-CN"/>
              </w:rPr>
            </w:pPr>
            <w:r>
              <w:rPr>
                <w:rFonts w:hint="eastAsia"/>
                <w:color w:val="auto"/>
                <w:kern w:val="0"/>
                <w:sz w:val="24"/>
                <w:szCs w:val="24"/>
                <w:lang w:val="en-US" w:eastAsia="zh-CN"/>
              </w:rPr>
              <w:t>采购需求</w:t>
            </w:r>
          </w:p>
        </w:tc>
        <w:tc>
          <w:tcPr>
            <w:tcW w:w="6504" w:type="dxa"/>
            <w:vAlign w:val="center"/>
          </w:tcPr>
          <w:p w14:paraId="6BD49151">
            <w:pPr>
              <w:widowControl w:val="0"/>
              <w:autoSpaceDE w:val="0"/>
              <w:autoSpaceDN w:val="0"/>
              <w:adjustRightInd w:val="0"/>
              <w:spacing w:line="460" w:lineRule="exact"/>
              <w:rPr>
                <w:rFonts w:hint="eastAsia" w:ascii="宋体" w:hAnsi="宋体" w:eastAsia="宋体" w:cs="宋体"/>
                <w:bCs/>
                <w:color w:val="auto"/>
                <w:sz w:val="24"/>
              </w:rPr>
            </w:pPr>
            <w:r>
              <w:rPr>
                <w:rFonts w:hint="eastAsia" w:ascii="宋体" w:hAnsi="宋体" w:eastAsia="宋体" w:cs="宋体"/>
                <w:bCs/>
                <w:color w:val="auto"/>
                <w:sz w:val="24"/>
              </w:rPr>
              <w:t>（1）标的名称：</w:t>
            </w:r>
            <w:r>
              <w:rPr>
                <w:rFonts w:hint="eastAsia" w:ascii="宋体" w:hAnsi="宋体" w:eastAsia="宋体" w:cs="宋体"/>
                <w:bCs/>
                <w:color w:val="auto"/>
                <w:sz w:val="24"/>
                <w:lang w:val="en-US" w:eastAsia="zh-CN"/>
              </w:rPr>
              <w:t>触摸式终端设备</w:t>
            </w:r>
            <w:r>
              <w:rPr>
                <w:rFonts w:hint="eastAsia" w:ascii="宋体" w:hAnsi="宋体" w:eastAsia="宋体" w:cs="宋体"/>
                <w:bCs/>
                <w:color w:val="auto"/>
                <w:sz w:val="24"/>
              </w:rPr>
              <w:t>等；</w:t>
            </w:r>
          </w:p>
          <w:p w14:paraId="2D655C5D">
            <w:pPr>
              <w:widowControl w:val="0"/>
              <w:autoSpaceDE w:val="0"/>
              <w:autoSpaceDN w:val="0"/>
              <w:adjustRightInd w:val="0"/>
              <w:spacing w:line="460" w:lineRule="exact"/>
              <w:rPr>
                <w:rFonts w:hint="eastAsia" w:ascii="宋体" w:hAnsi="宋体" w:eastAsia="宋体" w:cs="宋体"/>
                <w:bCs/>
                <w:color w:val="auto"/>
                <w:sz w:val="24"/>
              </w:rPr>
            </w:pPr>
            <w:r>
              <w:rPr>
                <w:rFonts w:hint="eastAsia" w:ascii="宋体" w:hAnsi="宋体" w:eastAsia="宋体" w:cs="宋体"/>
                <w:bCs/>
                <w:color w:val="auto"/>
                <w:sz w:val="24"/>
              </w:rPr>
              <w:t>（2）数量：1批；</w:t>
            </w:r>
          </w:p>
          <w:p w14:paraId="25E6F482">
            <w:pPr>
              <w:widowControl w:val="0"/>
              <w:autoSpaceDE w:val="0"/>
              <w:autoSpaceDN w:val="0"/>
              <w:adjustRightInd w:val="0"/>
              <w:spacing w:line="460" w:lineRule="exact"/>
              <w:rPr>
                <w:rFonts w:hint="eastAsia" w:ascii="宋体" w:hAnsi="宋体" w:eastAsia="宋体" w:cs="宋体"/>
                <w:bCs/>
                <w:color w:val="auto"/>
                <w:sz w:val="24"/>
              </w:rPr>
            </w:pPr>
            <w:r>
              <w:rPr>
                <w:rFonts w:hint="eastAsia" w:ascii="宋体" w:hAnsi="宋体" w:eastAsia="宋体" w:cs="宋体"/>
                <w:bCs/>
                <w:color w:val="auto"/>
                <w:sz w:val="24"/>
              </w:rPr>
              <w:t>（3）简要技术需求：详见</w:t>
            </w:r>
            <w:r>
              <w:rPr>
                <w:rFonts w:hint="eastAsia" w:ascii="宋体" w:hAnsi="宋体" w:eastAsia="宋体" w:cs="宋体"/>
                <w:bCs/>
                <w:color w:val="auto"/>
                <w:sz w:val="24"/>
                <w:lang w:val="en-US" w:eastAsia="zh-CN"/>
              </w:rPr>
              <w:t>磋商</w:t>
            </w:r>
            <w:r>
              <w:rPr>
                <w:rFonts w:hint="eastAsia" w:ascii="宋体" w:hAnsi="宋体" w:eastAsia="宋体" w:cs="宋体"/>
                <w:bCs/>
                <w:color w:val="auto"/>
                <w:sz w:val="24"/>
              </w:rPr>
              <w:t>文件；</w:t>
            </w:r>
          </w:p>
          <w:p w14:paraId="2CCAFD75">
            <w:pPr>
              <w:widowControl w:val="0"/>
              <w:autoSpaceDE w:val="0"/>
              <w:autoSpaceDN w:val="0"/>
              <w:adjustRightInd w:val="0"/>
              <w:spacing w:line="460" w:lineRule="exact"/>
              <w:rPr>
                <w:rFonts w:hint="eastAsia" w:ascii="宋体" w:hAnsi="宋体" w:eastAsia="宋体" w:cs="宋体"/>
                <w:bCs/>
                <w:color w:val="auto"/>
                <w:sz w:val="24"/>
              </w:rPr>
            </w:pPr>
            <w:r>
              <w:rPr>
                <w:rFonts w:hint="eastAsia" w:ascii="宋体" w:hAnsi="宋体" w:eastAsia="宋体" w:cs="宋体"/>
                <w:bCs/>
                <w:color w:val="auto"/>
                <w:sz w:val="24"/>
              </w:rPr>
              <w:t>（4）供货地点：</w:t>
            </w:r>
            <w:r>
              <w:rPr>
                <w:rFonts w:hint="eastAsia" w:ascii="宋体" w:hAnsi="宋体" w:eastAsia="宋体" w:cs="宋体"/>
                <w:bCs/>
                <w:color w:val="auto"/>
                <w:sz w:val="24"/>
                <w:lang w:eastAsia="zh-CN"/>
              </w:rPr>
              <w:t>长春市第一中等专业学校</w:t>
            </w:r>
            <w:r>
              <w:rPr>
                <w:rFonts w:hint="eastAsia" w:ascii="宋体" w:hAnsi="宋体" w:eastAsia="宋体" w:cs="宋体"/>
                <w:bCs/>
                <w:color w:val="auto"/>
                <w:sz w:val="24"/>
              </w:rPr>
              <w:t>；</w:t>
            </w:r>
          </w:p>
          <w:p w14:paraId="4CEDAFE8">
            <w:pPr>
              <w:widowControl w:val="0"/>
              <w:autoSpaceDE w:val="0"/>
              <w:autoSpaceDN w:val="0"/>
              <w:adjustRightInd w:val="0"/>
              <w:spacing w:line="460" w:lineRule="exact"/>
              <w:rPr>
                <w:color w:val="auto"/>
                <w:lang w:val="zh-CN"/>
              </w:rPr>
            </w:pPr>
            <w:r>
              <w:rPr>
                <w:rFonts w:hint="eastAsia" w:ascii="宋体" w:hAnsi="宋体" w:eastAsia="宋体" w:cs="宋体"/>
                <w:bCs/>
                <w:color w:val="auto"/>
                <w:sz w:val="24"/>
              </w:rPr>
              <w:t>（5）质量标准：符合现行国家、行业、地方或者其他相关标准的合格要求；</w:t>
            </w:r>
          </w:p>
        </w:tc>
      </w:tr>
      <w:tr w14:paraId="51F28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A088C06">
            <w:pPr>
              <w:pStyle w:val="102"/>
              <w:spacing w:before="2" w:line="400" w:lineRule="exact"/>
              <w:ind w:right="110"/>
              <w:jc w:val="center"/>
              <w:rPr>
                <w:color w:val="auto"/>
                <w:kern w:val="0"/>
                <w:sz w:val="24"/>
                <w:szCs w:val="24"/>
              </w:rPr>
            </w:pPr>
            <w:r>
              <w:rPr>
                <w:rFonts w:hint="eastAsia"/>
                <w:color w:val="auto"/>
                <w:kern w:val="0"/>
                <w:sz w:val="24"/>
                <w:szCs w:val="24"/>
              </w:rPr>
              <w:t>1.3.2</w:t>
            </w:r>
          </w:p>
        </w:tc>
        <w:tc>
          <w:tcPr>
            <w:tcW w:w="1740" w:type="dxa"/>
            <w:vAlign w:val="center"/>
          </w:tcPr>
          <w:p w14:paraId="4A7D5655">
            <w:pPr>
              <w:pStyle w:val="102"/>
              <w:spacing w:before="2" w:line="400" w:lineRule="exact"/>
              <w:ind w:left="167" w:right="155"/>
              <w:jc w:val="center"/>
              <w:rPr>
                <w:rFonts w:hint="eastAsia" w:eastAsia="宋体"/>
                <w:color w:val="auto"/>
                <w:kern w:val="0"/>
                <w:sz w:val="24"/>
                <w:szCs w:val="24"/>
                <w:lang w:eastAsia="zh-CN"/>
              </w:rPr>
            </w:pPr>
            <w:r>
              <w:rPr>
                <w:rFonts w:hint="eastAsia" w:cs="宋体"/>
                <w:bCs/>
                <w:color w:val="auto"/>
                <w:sz w:val="24"/>
                <w:lang w:val="en-US" w:eastAsia="zh-CN"/>
              </w:rPr>
              <w:t>合同履行期限</w:t>
            </w:r>
          </w:p>
        </w:tc>
        <w:tc>
          <w:tcPr>
            <w:tcW w:w="6504" w:type="dxa"/>
            <w:vAlign w:val="center"/>
          </w:tcPr>
          <w:p w14:paraId="1538D5E9">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bCs/>
                <w:color w:val="auto"/>
                <w:sz w:val="24"/>
                <w:lang w:val="zh-CN"/>
              </w:rPr>
              <w:t>自合同签订之日起90日内安装调试完毕交付使用并验收合格（具</w:t>
            </w:r>
            <w:r>
              <w:rPr>
                <w:rFonts w:hint="eastAsia" w:asciiTheme="minorEastAsia" w:hAnsiTheme="minorEastAsia" w:cstheme="minorEastAsia"/>
                <w:bCs/>
                <w:color w:val="auto"/>
                <w:sz w:val="24"/>
                <w:highlight w:val="none"/>
                <w:lang w:val="zh-CN"/>
              </w:rPr>
              <w:t>体时间以实际合同为准）</w:t>
            </w:r>
          </w:p>
        </w:tc>
      </w:tr>
      <w:tr w14:paraId="22E5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B136E8F">
            <w:pPr>
              <w:pStyle w:val="102"/>
              <w:spacing w:line="400" w:lineRule="exact"/>
              <w:ind w:right="110"/>
              <w:jc w:val="center"/>
              <w:rPr>
                <w:color w:val="auto"/>
                <w:kern w:val="0"/>
                <w:sz w:val="24"/>
                <w:szCs w:val="24"/>
              </w:rPr>
            </w:pPr>
            <w:r>
              <w:rPr>
                <w:rFonts w:hint="eastAsia"/>
                <w:color w:val="auto"/>
                <w:kern w:val="0"/>
                <w:sz w:val="24"/>
                <w:szCs w:val="24"/>
              </w:rPr>
              <w:t>1.4.1</w:t>
            </w:r>
          </w:p>
        </w:tc>
        <w:tc>
          <w:tcPr>
            <w:tcW w:w="1740" w:type="dxa"/>
            <w:vAlign w:val="center"/>
          </w:tcPr>
          <w:p w14:paraId="2ECD4455">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供应商资质</w:t>
            </w:r>
          </w:p>
          <w:p w14:paraId="02C064C7">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条件、能力</w:t>
            </w:r>
          </w:p>
          <w:p w14:paraId="46246EB3">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和信誉</w:t>
            </w:r>
          </w:p>
        </w:tc>
        <w:tc>
          <w:tcPr>
            <w:tcW w:w="6504" w:type="dxa"/>
            <w:vAlign w:val="center"/>
          </w:tcPr>
          <w:p w14:paraId="0F26FFD1">
            <w:pPr>
              <w:widowControl w:val="0"/>
              <w:autoSpaceDE w:val="0"/>
              <w:autoSpaceDN w:val="0"/>
              <w:adjustRightInd w:val="0"/>
              <w:spacing w:line="460" w:lineRule="exact"/>
              <w:rPr>
                <w:rFonts w:hint="eastAsia" w:ascii="宋体" w:hAnsi="宋体" w:eastAsia="宋体" w:cs="宋体"/>
                <w:bCs/>
                <w:color w:val="auto"/>
                <w:sz w:val="24"/>
                <w:lang w:val="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rPr>
              <w:t>.1 满足《中华人民共和国政府采购法》第二十二条规定；</w:t>
            </w:r>
          </w:p>
          <w:p w14:paraId="0F0C6263">
            <w:pPr>
              <w:widowControl w:val="0"/>
              <w:autoSpaceDE w:val="0"/>
              <w:autoSpaceDN w:val="0"/>
              <w:adjustRightInd w:val="0"/>
              <w:spacing w:line="460" w:lineRule="exact"/>
              <w:rPr>
                <w:rFonts w:hint="eastAsia" w:ascii="宋体" w:hAnsi="宋体" w:eastAsia="宋体" w:cs="宋体"/>
                <w:bCs/>
                <w:color w:val="auto"/>
                <w:sz w:val="24"/>
                <w:lang w:val="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rPr>
              <w:t>.2 落实政府采购政策需满足的资格：本项目</w:t>
            </w:r>
            <w:r>
              <w:rPr>
                <w:rFonts w:hint="eastAsia" w:ascii="宋体" w:hAnsi="宋体" w:eastAsia="宋体" w:cs="宋体"/>
                <w:bCs/>
                <w:color w:val="auto"/>
                <w:sz w:val="24"/>
                <w:lang w:val="en-US" w:eastAsia="zh-CN"/>
              </w:rPr>
              <w:t>非</w:t>
            </w:r>
            <w:r>
              <w:rPr>
                <w:rFonts w:hint="eastAsia" w:ascii="宋体" w:hAnsi="宋体" w:eastAsia="宋体" w:cs="宋体"/>
                <w:bCs/>
                <w:color w:val="auto"/>
                <w:sz w:val="24"/>
                <w:highlight w:val="none"/>
                <w:lang w:val="zh-CN"/>
              </w:rPr>
              <w:t>专门面向</w:t>
            </w:r>
            <w:r>
              <w:rPr>
                <w:rFonts w:hint="eastAsia" w:ascii="宋体" w:hAnsi="宋体" w:eastAsia="宋体" w:cs="宋体"/>
                <w:bCs/>
                <w:color w:val="auto"/>
                <w:sz w:val="24"/>
                <w:lang w:val="en-US" w:eastAsia="zh-CN"/>
              </w:rPr>
              <w:t>中</w:t>
            </w:r>
            <w:r>
              <w:rPr>
                <w:rFonts w:hint="eastAsia" w:ascii="宋体" w:hAnsi="宋体" w:eastAsia="宋体" w:cs="宋体"/>
                <w:bCs/>
                <w:color w:val="auto"/>
                <w:sz w:val="24"/>
                <w:lang w:val="zh-CN"/>
              </w:rPr>
              <w:t>小企业采购；</w:t>
            </w:r>
          </w:p>
          <w:p w14:paraId="33F831A4">
            <w:pPr>
              <w:widowControl w:val="0"/>
              <w:autoSpaceDE w:val="0"/>
              <w:autoSpaceDN w:val="0"/>
              <w:adjustRightInd w:val="0"/>
              <w:spacing w:line="460" w:lineRule="exact"/>
              <w:rPr>
                <w:rFonts w:hint="eastAsia" w:ascii="宋体" w:hAnsi="宋体" w:eastAsia="宋体" w:cs="宋体"/>
                <w:bCs/>
                <w:color w:val="auto"/>
                <w:sz w:val="24"/>
                <w:lang w:val="zh-CN"/>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rPr>
              <w:t xml:space="preserve"> 本项目的特定资格要求：</w:t>
            </w:r>
          </w:p>
          <w:p w14:paraId="0AC87DDB">
            <w:pPr>
              <w:widowControl w:val="0"/>
              <w:autoSpaceDE w:val="0"/>
              <w:autoSpaceDN w:val="0"/>
              <w:adjustRightInd w:val="0"/>
              <w:spacing w:line="460" w:lineRule="exact"/>
              <w:rPr>
                <w:rFonts w:hint="default" w:eastAsia="宋体"/>
                <w:color w:val="auto"/>
                <w:u w:val="none"/>
                <w:lang w:val="en-US" w:eastAsia="zh-CN"/>
              </w:rPr>
            </w:pPr>
            <w:r>
              <w:rPr>
                <w:rFonts w:hint="eastAsia" w:ascii="宋体" w:hAnsi="宋体" w:eastAsia="宋体" w:cs="宋体"/>
                <w:bCs/>
                <w:color w:val="auto"/>
                <w:sz w:val="24"/>
                <w:lang w:val="zh-CN"/>
              </w:rPr>
              <w:t>2.1 投标供应商须是具有独立法人资格的企业或其他组织，具有有效的营业执照，并在人员、设备、资金等方面具有完成本项目的能力；</w:t>
            </w:r>
          </w:p>
          <w:p w14:paraId="3F9C866C">
            <w:pPr>
              <w:widowControl w:val="0"/>
              <w:autoSpaceDE w:val="0"/>
              <w:autoSpaceDN w:val="0"/>
              <w:adjustRightInd w:val="0"/>
              <w:spacing w:line="460" w:lineRule="exact"/>
              <w:rPr>
                <w:rFonts w:hint="eastAsia" w:ascii="宋体" w:hAnsi="宋体" w:eastAsia="宋体" w:cs="宋体"/>
                <w:bCs/>
                <w:color w:val="auto"/>
                <w:sz w:val="24"/>
                <w:lang w:val="zh-CN"/>
              </w:rPr>
            </w:pPr>
            <w:r>
              <w:rPr>
                <w:rFonts w:hint="eastAsia" w:ascii="宋体" w:hAnsi="宋体" w:eastAsia="宋体" w:cs="宋体"/>
                <w:bCs/>
                <w:color w:val="auto"/>
                <w:sz w:val="24"/>
                <w:lang w:val="zh-CN"/>
              </w:rPr>
              <w:t>2.</w:t>
            </w:r>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rPr>
              <w:t xml:space="preserve"> 供应商参加采购活动应当提交反映其财务状况、依法缴纳税收和社保保障资金情况的资格条件承诺函（《关于加强政府采购信用体系建设简化供应商资格条件有关事项的通知》长财采购〔2022〕2066 号）；</w:t>
            </w:r>
          </w:p>
          <w:p w14:paraId="35BF26DA">
            <w:pPr>
              <w:widowControl w:val="0"/>
              <w:autoSpaceDE w:val="0"/>
              <w:autoSpaceDN w:val="0"/>
              <w:adjustRightInd w:val="0"/>
              <w:spacing w:line="460" w:lineRule="exact"/>
              <w:rPr>
                <w:rFonts w:hint="eastAsia" w:ascii="宋体" w:hAnsi="宋体" w:eastAsia="宋体" w:cs="宋体"/>
                <w:bCs/>
                <w:color w:val="auto"/>
                <w:sz w:val="24"/>
                <w:highlight w:val="none"/>
                <w:lang w:val="zh-CN"/>
              </w:rPr>
            </w:pPr>
            <w:r>
              <w:rPr>
                <w:rFonts w:hint="eastAsia" w:ascii="宋体" w:hAnsi="宋体" w:eastAsia="宋体" w:cs="宋体"/>
                <w:bCs/>
                <w:color w:val="auto"/>
                <w:sz w:val="24"/>
                <w:highlight w:val="none"/>
                <w:lang w:val="en-US" w:eastAsia="zh-CN"/>
              </w:rPr>
              <w:t>2.3供应商近三年（2021年至今）须具有与本项目采购内容相关的同类项目业绩至少一项。</w:t>
            </w:r>
          </w:p>
          <w:p w14:paraId="454D85B5">
            <w:pPr>
              <w:widowControl w:val="0"/>
              <w:autoSpaceDE w:val="0"/>
              <w:autoSpaceDN w:val="0"/>
              <w:adjustRightInd w:val="0"/>
              <w:spacing w:line="460" w:lineRule="exact"/>
              <w:rPr>
                <w:rFonts w:hint="eastAsia" w:ascii="宋体" w:hAnsi="宋体" w:eastAsia="宋体" w:cs="宋体"/>
                <w:bCs/>
                <w:color w:val="auto"/>
                <w:sz w:val="24"/>
                <w:highlight w:val="none"/>
                <w:lang w:val="zh-CN"/>
              </w:rPr>
            </w:pPr>
            <w:r>
              <w:rPr>
                <w:rFonts w:hint="eastAsia" w:ascii="宋体" w:hAnsi="宋体" w:eastAsia="宋体" w:cs="宋体"/>
                <w:bCs/>
                <w:color w:val="auto"/>
                <w:sz w:val="24"/>
                <w:highlight w:val="none"/>
                <w:lang w:val="zh-CN"/>
              </w:rPr>
              <w:t>2.</w:t>
            </w: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val="zh-CN"/>
              </w:rPr>
              <w:t xml:space="preserve"> 信誉要求：</w:t>
            </w:r>
          </w:p>
          <w:p w14:paraId="799B3ED1">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highlight w:val="none"/>
                <w:lang w:val="en-US" w:eastAsia="zh-CN"/>
              </w:rPr>
              <w:t>（1）供应商参加政府采购活动近3年内（2021年至今）在经营活动中没有重大违</w:t>
            </w:r>
            <w:r>
              <w:rPr>
                <w:rFonts w:hint="eastAsia" w:ascii="宋体" w:hAnsi="宋体" w:eastAsia="宋体" w:cs="宋体"/>
                <w:bCs/>
                <w:color w:val="auto"/>
                <w:sz w:val="24"/>
                <w:lang w:val="en-US" w:eastAsia="zh-CN"/>
              </w:rPr>
              <w:t>法记录。</w:t>
            </w:r>
          </w:p>
          <w:p w14:paraId="62F67663">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（2）拒绝列入政府取消投标资格记录期间的企业或个人投标。</w:t>
            </w:r>
          </w:p>
          <w:p w14:paraId="4F5976A7">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（3）未被列入“信用中国”网站(www.creditchina.gov.cn)、失信被执行人、企业经营异常名录、重大税收违法失信主体；</w:t>
            </w:r>
          </w:p>
          <w:p w14:paraId="0D690725">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未被工商行政管理机关在全国企业信用信息公示系统中列入严重违法失信企业名单；</w:t>
            </w:r>
          </w:p>
          <w:p w14:paraId="7FFFCDBC">
            <w:pPr>
              <w:widowControl w:val="0"/>
              <w:autoSpaceDE w:val="0"/>
              <w:autoSpaceDN w:val="0"/>
              <w:adjustRightInd w:val="0"/>
              <w:spacing w:line="460" w:lineRule="exact"/>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未被列入“中国政府采购网”(www.ccgp.gov.cn)政府采购严重违法失信行为记录名单的供应商；</w:t>
            </w:r>
          </w:p>
          <w:p w14:paraId="3D13F29A">
            <w:pPr>
              <w:widowControl w:val="0"/>
              <w:autoSpaceDE w:val="0"/>
              <w:autoSpaceDN w:val="0"/>
              <w:adjustRightInd w:val="0"/>
              <w:spacing w:line="460" w:lineRule="exact"/>
              <w:ind w:firstLine="480" w:firstLineChars="200"/>
              <w:rPr>
                <w:rFonts w:hint="eastAsia" w:ascii="宋体" w:hAnsi="宋体" w:eastAsia="宋体" w:cs="宋体"/>
                <w:bCs/>
                <w:color w:val="auto"/>
                <w:sz w:val="24"/>
                <w:lang w:val="zh-CN"/>
              </w:rPr>
            </w:pPr>
            <w:r>
              <w:rPr>
                <w:rFonts w:hint="eastAsia" w:ascii="宋体" w:hAnsi="宋体" w:eastAsia="宋体" w:cs="宋体"/>
                <w:bCs/>
                <w:color w:val="auto"/>
                <w:sz w:val="24"/>
                <w:lang w:val="en-US" w:eastAsia="zh-CN"/>
              </w:rPr>
              <w:t>“中国裁判文书网”（wenshu.court.gov.cn/）查询</w:t>
            </w:r>
            <w:r>
              <w:rPr>
                <w:rFonts w:hint="eastAsia" w:ascii="宋体" w:hAnsi="宋体" w:eastAsia="宋体" w:cs="宋体"/>
                <w:bCs/>
                <w:color w:val="auto"/>
                <w:sz w:val="24"/>
                <w:lang w:val="zh-CN"/>
              </w:rPr>
              <w:t>企业及法定代表人无行贿犯罪记录证明</w:t>
            </w:r>
            <w:r>
              <w:rPr>
                <w:rFonts w:hint="eastAsia" w:ascii="宋体" w:hAnsi="宋体" w:eastAsia="宋体" w:cs="宋体"/>
                <w:bCs/>
                <w:color w:val="auto"/>
                <w:sz w:val="24"/>
                <w:lang w:val="en-US" w:eastAsia="zh-CN"/>
              </w:rPr>
              <w:t>。</w:t>
            </w:r>
          </w:p>
          <w:p w14:paraId="7F3B578B">
            <w:pPr>
              <w:pStyle w:val="85"/>
              <w:spacing w:after="0" w:line="386" w:lineRule="exact"/>
              <w:ind w:left="0" w:leftChars="0" w:firstLine="0" w:firstLineChars="0"/>
              <w:rPr>
                <w:rFonts w:hint="eastAsia" w:ascii="宋体" w:hAnsi="宋体" w:eastAsia="宋体" w:cs="宋体"/>
                <w:bCs/>
                <w:color w:val="auto"/>
                <w:sz w:val="24"/>
                <w:highlight w:val="none"/>
                <w:lang w:val="zh-CN"/>
              </w:rPr>
            </w:pPr>
            <w:r>
              <w:rPr>
                <w:rFonts w:hint="eastAsia" w:ascii="宋体" w:hAnsi="宋体" w:eastAsia="宋体" w:cs="宋体"/>
                <w:bCs/>
                <w:color w:val="auto"/>
                <w:sz w:val="24"/>
                <w:lang w:val="zh-CN"/>
              </w:rPr>
              <w:t>2.</w:t>
            </w:r>
            <w:r>
              <w:rPr>
                <w:rFonts w:hint="eastAsia" w:ascii="宋体" w:hAnsi="宋体" w:eastAsia="宋体" w:cs="宋体"/>
                <w:bCs/>
                <w:color w:val="auto"/>
                <w:sz w:val="24"/>
                <w:lang w:val="en-US" w:eastAsia="zh-CN"/>
              </w:rPr>
              <w:t>5</w:t>
            </w:r>
            <w:r>
              <w:rPr>
                <w:rFonts w:hint="eastAsia" w:ascii="宋体" w:hAnsi="宋体" w:eastAsia="宋体" w:cs="宋体"/>
                <w:bCs/>
                <w:color w:val="auto"/>
                <w:sz w:val="24"/>
                <w:lang w:val="zh-CN"/>
              </w:rPr>
              <w:t xml:space="preserve"> 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56592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36F8CDFB">
            <w:pPr>
              <w:pStyle w:val="102"/>
              <w:spacing w:before="171" w:line="400" w:lineRule="exact"/>
              <w:jc w:val="center"/>
              <w:rPr>
                <w:color w:val="auto"/>
                <w:kern w:val="0"/>
                <w:sz w:val="24"/>
                <w:szCs w:val="24"/>
              </w:rPr>
            </w:pPr>
            <w:r>
              <w:rPr>
                <w:rFonts w:hint="eastAsia"/>
                <w:color w:val="auto"/>
                <w:kern w:val="0"/>
                <w:sz w:val="24"/>
                <w:szCs w:val="24"/>
              </w:rPr>
              <w:t>1.9.1</w:t>
            </w:r>
          </w:p>
        </w:tc>
        <w:tc>
          <w:tcPr>
            <w:tcW w:w="1740" w:type="dxa"/>
          </w:tcPr>
          <w:p w14:paraId="6FD5140D">
            <w:pPr>
              <w:pStyle w:val="102"/>
              <w:spacing w:before="1" w:line="400" w:lineRule="exact"/>
              <w:ind w:right="172"/>
              <w:jc w:val="both"/>
              <w:rPr>
                <w:color w:val="auto"/>
                <w:kern w:val="0"/>
                <w:sz w:val="24"/>
                <w:szCs w:val="24"/>
              </w:rPr>
            </w:pPr>
            <w:r>
              <w:rPr>
                <w:rFonts w:hint="eastAsia"/>
                <w:color w:val="auto"/>
                <w:kern w:val="0"/>
                <w:sz w:val="24"/>
                <w:szCs w:val="24"/>
              </w:rPr>
              <w:t>供应商提出问题的截止时间</w:t>
            </w:r>
          </w:p>
        </w:tc>
        <w:tc>
          <w:tcPr>
            <w:tcW w:w="6504" w:type="dxa"/>
            <w:vAlign w:val="center"/>
          </w:tcPr>
          <w:p w14:paraId="21D473A0">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ascii="宋体" w:hAnsi="宋体" w:eastAsia="宋体" w:cs="宋体"/>
                <w:bCs/>
                <w:color w:val="auto"/>
                <w:kern w:val="2"/>
                <w:sz w:val="24"/>
                <w:szCs w:val="24"/>
                <w:lang w:val="zh-CN" w:eastAsia="zh-CN" w:bidi="ar-SA"/>
              </w:rPr>
            </w:pPr>
            <w:r>
              <w:rPr>
                <w:rFonts w:hint="eastAsia" w:ascii="宋体" w:hAnsi="宋体" w:eastAsia="宋体" w:cs="宋体"/>
                <w:bCs/>
                <w:color w:val="auto"/>
                <w:kern w:val="2"/>
                <w:sz w:val="24"/>
                <w:szCs w:val="24"/>
                <w:lang w:val="zh-CN" w:eastAsia="zh-CN" w:bidi="ar-SA"/>
              </w:rPr>
              <w:t>提交响应文件截止时间5日前。</w:t>
            </w:r>
          </w:p>
        </w:tc>
      </w:tr>
      <w:tr w14:paraId="36F80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jc w:val="center"/>
        </w:trPr>
        <w:tc>
          <w:tcPr>
            <w:tcW w:w="848" w:type="dxa"/>
            <w:vAlign w:val="center"/>
          </w:tcPr>
          <w:p w14:paraId="32499D9F">
            <w:pPr>
              <w:pStyle w:val="102"/>
              <w:spacing w:line="400" w:lineRule="exact"/>
              <w:ind w:left="107"/>
              <w:jc w:val="center"/>
              <w:rPr>
                <w:color w:val="auto"/>
                <w:kern w:val="0"/>
                <w:sz w:val="24"/>
                <w:szCs w:val="24"/>
              </w:rPr>
            </w:pPr>
            <w:r>
              <w:rPr>
                <w:rFonts w:hint="eastAsia"/>
                <w:color w:val="auto"/>
                <w:kern w:val="0"/>
                <w:sz w:val="24"/>
                <w:szCs w:val="24"/>
              </w:rPr>
              <w:t>1.9.2</w:t>
            </w:r>
          </w:p>
        </w:tc>
        <w:tc>
          <w:tcPr>
            <w:tcW w:w="1740" w:type="dxa"/>
          </w:tcPr>
          <w:p w14:paraId="702144CF">
            <w:pPr>
              <w:pStyle w:val="102"/>
              <w:spacing w:line="400" w:lineRule="exact"/>
              <w:ind w:left="167" w:right="155"/>
              <w:jc w:val="center"/>
              <w:rPr>
                <w:color w:val="auto"/>
                <w:kern w:val="0"/>
                <w:sz w:val="24"/>
                <w:szCs w:val="24"/>
              </w:rPr>
            </w:pPr>
            <w:r>
              <w:rPr>
                <w:rFonts w:hint="eastAsia"/>
                <w:color w:val="auto"/>
                <w:kern w:val="0"/>
                <w:sz w:val="24"/>
                <w:szCs w:val="24"/>
              </w:rPr>
              <w:t>采购人书面澄清的时间</w:t>
            </w:r>
          </w:p>
        </w:tc>
        <w:tc>
          <w:tcPr>
            <w:tcW w:w="6504" w:type="dxa"/>
            <w:vAlign w:val="center"/>
          </w:tcPr>
          <w:p w14:paraId="6FF6AF47">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ascii="宋体" w:hAnsi="宋体" w:eastAsia="宋体" w:cs="宋体"/>
                <w:bCs/>
                <w:color w:val="auto"/>
                <w:kern w:val="2"/>
                <w:sz w:val="24"/>
                <w:szCs w:val="24"/>
                <w:lang w:val="zh-CN" w:eastAsia="zh-CN" w:bidi="ar-SA"/>
              </w:rPr>
            </w:pPr>
            <w:r>
              <w:rPr>
                <w:rFonts w:hint="eastAsia" w:ascii="宋体" w:hAnsi="宋体" w:eastAsia="宋体" w:cs="宋体"/>
                <w:bCs/>
                <w:color w:val="auto"/>
                <w:kern w:val="2"/>
                <w:sz w:val="24"/>
                <w:szCs w:val="24"/>
                <w:lang w:val="zh-CN" w:eastAsia="zh-CN" w:bidi="ar-SA"/>
              </w:rPr>
              <w:t>提交首次响应文件截止时间5日前。</w:t>
            </w:r>
          </w:p>
        </w:tc>
      </w:tr>
      <w:tr w14:paraId="6C5DC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2CBD41A8">
            <w:pPr>
              <w:pStyle w:val="102"/>
              <w:spacing w:before="2" w:line="400" w:lineRule="exact"/>
              <w:ind w:left="107"/>
              <w:jc w:val="center"/>
              <w:rPr>
                <w:color w:val="auto"/>
                <w:kern w:val="0"/>
                <w:sz w:val="24"/>
                <w:szCs w:val="24"/>
              </w:rPr>
            </w:pPr>
            <w:r>
              <w:rPr>
                <w:rFonts w:hint="eastAsia"/>
                <w:color w:val="auto"/>
                <w:kern w:val="0"/>
                <w:sz w:val="24"/>
                <w:szCs w:val="24"/>
              </w:rPr>
              <w:t>1.10</w:t>
            </w:r>
          </w:p>
        </w:tc>
        <w:tc>
          <w:tcPr>
            <w:tcW w:w="1740" w:type="dxa"/>
          </w:tcPr>
          <w:p w14:paraId="6A45424A">
            <w:pPr>
              <w:pStyle w:val="102"/>
              <w:spacing w:before="2" w:line="400" w:lineRule="exact"/>
              <w:ind w:left="167" w:right="155"/>
              <w:jc w:val="center"/>
              <w:rPr>
                <w:color w:val="auto"/>
                <w:kern w:val="0"/>
                <w:sz w:val="24"/>
                <w:szCs w:val="24"/>
              </w:rPr>
            </w:pPr>
            <w:r>
              <w:rPr>
                <w:rFonts w:hint="eastAsia"/>
                <w:color w:val="auto"/>
                <w:kern w:val="0"/>
                <w:sz w:val="24"/>
                <w:szCs w:val="24"/>
              </w:rPr>
              <w:t>现场踏勘</w:t>
            </w:r>
          </w:p>
        </w:tc>
        <w:tc>
          <w:tcPr>
            <w:tcW w:w="6504" w:type="dxa"/>
            <w:vAlign w:val="center"/>
          </w:tcPr>
          <w:p w14:paraId="191D7EA5">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不组织现场踏勘</w:t>
            </w:r>
          </w:p>
        </w:tc>
      </w:tr>
      <w:tr w14:paraId="6035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325E5614">
            <w:pPr>
              <w:pStyle w:val="102"/>
              <w:spacing w:line="400" w:lineRule="exact"/>
              <w:ind w:left="107"/>
              <w:jc w:val="center"/>
              <w:rPr>
                <w:color w:val="auto"/>
                <w:kern w:val="0"/>
                <w:sz w:val="24"/>
                <w:szCs w:val="24"/>
              </w:rPr>
            </w:pPr>
            <w:r>
              <w:rPr>
                <w:rFonts w:hint="eastAsia"/>
                <w:color w:val="auto"/>
                <w:kern w:val="0"/>
                <w:sz w:val="24"/>
                <w:szCs w:val="24"/>
              </w:rPr>
              <w:t>1.11</w:t>
            </w:r>
          </w:p>
        </w:tc>
        <w:tc>
          <w:tcPr>
            <w:tcW w:w="1740" w:type="dxa"/>
          </w:tcPr>
          <w:p w14:paraId="3B3A4B1F">
            <w:pPr>
              <w:pStyle w:val="102"/>
              <w:spacing w:line="400" w:lineRule="exact"/>
              <w:ind w:left="167" w:right="155"/>
              <w:jc w:val="center"/>
              <w:rPr>
                <w:color w:val="auto"/>
                <w:kern w:val="0"/>
                <w:sz w:val="24"/>
                <w:szCs w:val="24"/>
              </w:rPr>
            </w:pPr>
            <w:r>
              <w:rPr>
                <w:rFonts w:hint="eastAsia"/>
                <w:color w:val="auto"/>
                <w:kern w:val="0"/>
                <w:sz w:val="24"/>
                <w:szCs w:val="24"/>
              </w:rPr>
              <w:t>分包</w:t>
            </w:r>
          </w:p>
        </w:tc>
        <w:tc>
          <w:tcPr>
            <w:tcW w:w="6504" w:type="dxa"/>
            <w:vAlign w:val="center"/>
          </w:tcPr>
          <w:p w14:paraId="7FDC81BC">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不允许</w:t>
            </w:r>
          </w:p>
        </w:tc>
      </w:tr>
      <w:tr w14:paraId="1F5EB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2F1CAE3F">
            <w:pPr>
              <w:pStyle w:val="102"/>
              <w:spacing w:before="1" w:line="400" w:lineRule="exact"/>
              <w:jc w:val="center"/>
              <w:rPr>
                <w:color w:val="auto"/>
                <w:kern w:val="0"/>
                <w:sz w:val="24"/>
                <w:szCs w:val="24"/>
              </w:rPr>
            </w:pPr>
          </w:p>
          <w:p w14:paraId="68D160EA">
            <w:pPr>
              <w:pStyle w:val="102"/>
              <w:spacing w:before="1" w:line="400" w:lineRule="exact"/>
              <w:ind w:left="107"/>
              <w:jc w:val="center"/>
              <w:rPr>
                <w:color w:val="auto"/>
                <w:kern w:val="0"/>
                <w:sz w:val="24"/>
                <w:szCs w:val="24"/>
              </w:rPr>
            </w:pPr>
            <w:r>
              <w:rPr>
                <w:rFonts w:hint="eastAsia"/>
                <w:color w:val="auto"/>
                <w:kern w:val="0"/>
                <w:sz w:val="24"/>
                <w:szCs w:val="24"/>
              </w:rPr>
              <w:t>2.1</w:t>
            </w:r>
          </w:p>
        </w:tc>
        <w:tc>
          <w:tcPr>
            <w:tcW w:w="1740" w:type="dxa"/>
          </w:tcPr>
          <w:p w14:paraId="0DED7C73">
            <w:pPr>
              <w:pStyle w:val="102"/>
              <w:spacing w:line="400" w:lineRule="exact"/>
              <w:ind w:left="167" w:right="155"/>
              <w:jc w:val="center"/>
              <w:rPr>
                <w:color w:val="auto"/>
                <w:kern w:val="0"/>
                <w:sz w:val="24"/>
                <w:szCs w:val="24"/>
              </w:rPr>
            </w:pPr>
            <w:r>
              <w:rPr>
                <w:rFonts w:hint="eastAsia"/>
                <w:color w:val="auto"/>
                <w:kern w:val="0"/>
                <w:sz w:val="24"/>
                <w:szCs w:val="24"/>
              </w:rPr>
              <w:t>构成磋商文件的其他材料</w:t>
            </w:r>
          </w:p>
        </w:tc>
        <w:tc>
          <w:tcPr>
            <w:tcW w:w="6504" w:type="dxa"/>
            <w:vAlign w:val="center"/>
          </w:tcPr>
          <w:p w14:paraId="4BCB66DE">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技术要求、磋商文件补充通知。</w:t>
            </w:r>
          </w:p>
        </w:tc>
      </w:tr>
      <w:tr w14:paraId="3C96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339F1B4B">
            <w:pPr>
              <w:pStyle w:val="102"/>
              <w:spacing w:before="1" w:line="400" w:lineRule="exact"/>
              <w:ind w:left="107"/>
              <w:jc w:val="center"/>
              <w:rPr>
                <w:rFonts w:hint="default" w:eastAsia="宋体"/>
                <w:color w:val="auto"/>
                <w:kern w:val="0"/>
                <w:sz w:val="24"/>
                <w:szCs w:val="24"/>
                <w:lang w:val="en-US" w:eastAsia="zh-CN"/>
              </w:rPr>
            </w:pPr>
            <w:r>
              <w:rPr>
                <w:rFonts w:hint="eastAsia"/>
                <w:color w:val="auto"/>
                <w:kern w:val="0"/>
                <w:sz w:val="24"/>
                <w:szCs w:val="24"/>
                <w:lang w:val="en-US" w:eastAsia="zh-CN"/>
              </w:rPr>
              <w:t>2.1.1</w:t>
            </w:r>
          </w:p>
        </w:tc>
        <w:tc>
          <w:tcPr>
            <w:tcW w:w="1740" w:type="dxa"/>
            <w:vAlign w:val="center"/>
          </w:tcPr>
          <w:p w14:paraId="57997A15">
            <w:pPr>
              <w:spacing w:line="360" w:lineRule="exact"/>
              <w:jc w:val="center"/>
              <w:rPr>
                <w:rFonts w:hint="eastAsia"/>
                <w:color w:val="auto"/>
                <w:kern w:val="0"/>
                <w:sz w:val="24"/>
                <w:szCs w:val="24"/>
              </w:rPr>
            </w:pPr>
            <w:r>
              <w:rPr>
                <w:rFonts w:hint="eastAsia" w:ascii="宋体" w:hAnsi="宋体" w:eastAsia="宋体" w:cs="宋体"/>
                <w:color w:val="auto"/>
                <w:kern w:val="0"/>
                <w:sz w:val="24"/>
                <w:szCs w:val="24"/>
                <w:lang w:val="zh-CN" w:eastAsia="zh-CN" w:bidi="zh-CN"/>
              </w:rPr>
              <w:t>供应商要求澄清磋商文件的截止时间</w:t>
            </w:r>
          </w:p>
        </w:tc>
        <w:tc>
          <w:tcPr>
            <w:tcW w:w="6504" w:type="dxa"/>
            <w:vAlign w:val="center"/>
          </w:tcPr>
          <w:p w14:paraId="0708B4F0">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lang w:val="zh-CN" w:eastAsia="zh-CN"/>
              </w:rPr>
            </w:pPr>
            <w:r>
              <w:rPr>
                <w:rFonts w:hint="eastAsia"/>
                <w:color w:val="auto"/>
                <w:kern w:val="0"/>
                <w:sz w:val="24"/>
                <w:szCs w:val="24"/>
                <w:lang w:val="zh-CN" w:eastAsia="zh-CN"/>
              </w:rPr>
              <w:t>截止时间：提交响应文件截止时间5日前</w:t>
            </w:r>
          </w:p>
          <w:p w14:paraId="6172A95F">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lang w:val="zh-CN" w:eastAsia="zh-CN"/>
              </w:rPr>
            </w:pPr>
            <w:r>
              <w:rPr>
                <w:rFonts w:hint="eastAsia"/>
                <w:color w:val="auto"/>
                <w:kern w:val="0"/>
                <w:sz w:val="24"/>
                <w:szCs w:val="24"/>
                <w:lang w:val="zh-CN" w:eastAsia="zh-CN"/>
              </w:rPr>
              <w:t>递交地点：长春市高新区学海街781号长春吉大科技园高科技产业孵化大厦15楼。</w:t>
            </w:r>
          </w:p>
          <w:p w14:paraId="52F3915E">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default"/>
                <w:color w:val="auto"/>
                <w:kern w:val="0"/>
                <w:sz w:val="24"/>
                <w:szCs w:val="24"/>
                <w:lang w:val="en-US" w:eastAsia="zh-CN"/>
              </w:rPr>
            </w:pPr>
            <w:r>
              <w:rPr>
                <w:rFonts w:hint="eastAsia"/>
                <w:color w:val="auto"/>
                <w:kern w:val="0"/>
                <w:sz w:val="24"/>
                <w:szCs w:val="24"/>
                <w:lang w:val="en-US" w:eastAsia="zh-CN"/>
              </w:rPr>
              <w:t>递交方式：以书面形式并加盖供应商鲜章递交至采购代理机构，并向指定邮箱发送加盖供应商公章PDF电子版及word版本。</w:t>
            </w:r>
          </w:p>
          <w:p w14:paraId="08275B61">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lang w:val="en-US" w:eastAsia="zh-CN"/>
              </w:rPr>
            </w:pPr>
            <w:r>
              <w:rPr>
                <w:rFonts w:hint="eastAsia"/>
                <w:color w:val="auto"/>
                <w:kern w:val="0"/>
                <w:sz w:val="24"/>
                <w:szCs w:val="24"/>
                <w:lang w:val="zh-CN" w:eastAsia="zh-CN"/>
              </w:rPr>
              <w:t>联系人：</w:t>
            </w:r>
            <w:r>
              <w:rPr>
                <w:rFonts w:hint="eastAsia"/>
                <w:color w:val="auto"/>
                <w:kern w:val="0"/>
                <w:sz w:val="24"/>
                <w:szCs w:val="24"/>
                <w:lang w:val="en-US" w:eastAsia="zh-CN"/>
              </w:rPr>
              <w:t>刘鹤群</w:t>
            </w:r>
          </w:p>
          <w:p w14:paraId="2E3C7666">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default"/>
                <w:color w:val="auto"/>
                <w:kern w:val="0"/>
                <w:sz w:val="24"/>
                <w:szCs w:val="24"/>
                <w:lang w:val="en-US" w:eastAsia="zh-CN"/>
              </w:rPr>
            </w:pPr>
            <w:r>
              <w:rPr>
                <w:rFonts w:hint="eastAsia"/>
                <w:color w:val="auto"/>
                <w:kern w:val="0"/>
                <w:sz w:val="24"/>
                <w:szCs w:val="24"/>
                <w:lang w:val="zh-CN" w:eastAsia="zh-CN"/>
              </w:rPr>
              <w:t>电 话 ：</w:t>
            </w:r>
            <w:r>
              <w:rPr>
                <w:rFonts w:hint="eastAsia"/>
                <w:color w:val="auto"/>
                <w:kern w:val="0"/>
                <w:sz w:val="24"/>
                <w:szCs w:val="24"/>
                <w:lang w:val="en-US" w:eastAsia="zh-CN"/>
              </w:rPr>
              <w:t>0431-81124285</w:t>
            </w:r>
          </w:p>
          <w:p w14:paraId="75B778F3">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lang w:val="en-US" w:eastAsia="zh-CN"/>
              </w:rPr>
            </w:pPr>
            <w:r>
              <w:rPr>
                <w:rFonts w:hint="eastAsia"/>
                <w:color w:val="auto"/>
                <w:kern w:val="0"/>
                <w:sz w:val="24"/>
                <w:szCs w:val="24"/>
                <w:lang w:val="zh-CN" w:eastAsia="zh-CN"/>
              </w:rPr>
              <w:t>邮箱：</w:t>
            </w:r>
            <w:r>
              <w:rPr>
                <w:rFonts w:hint="eastAsia"/>
                <w:color w:val="auto"/>
                <w:kern w:val="0"/>
                <w:sz w:val="24"/>
                <w:szCs w:val="24"/>
                <w:lang w:val="en-US" w:eastAsia="zh-CN"/>
              </w:rPr>
              <w:t>737130843@qq.com</w:t>
            </w:r>
          </w:p>
          <w:p w14:paraId="31D1BCFD">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rPr>
            </w:pPr>
            <w:r>
              <w:rPr>
                <w:rFonts w:hint="eastAsia"/>
                <w:color w:val="auto"/>
                <w:kern w:val="0"/>
                <w:sz w:val="24"/>
                <w:szCs w:val="24"/>
                <w:lang w:val="zh-CN" w:eastAsia="zh-CN"/>
              </w:rPr>
              <w:t>注：若供应商未按规定提交投标询问，则视为其无疑问，逾期不再接收任何询问。</w:t>
            </w:r>
          </w:p>
        </w:tc>
      </w:tr>
      <w:tr w14:paraId="6F5FB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E2CF665">
            <w:pPr>
              <w:pStyle w:val="102"/>
              <w:spacing w:line="400" w:lineRule="exact"/>
              <w:ind w:left="107"/>
              <w:jc w:val="center"/>
              <w:rPr>
                <w:rFonts w:hint="default" w:eastAsia="宋体"/>
                <w:color w:val="auto"/>
                <w:kern w:val="0"/>
                <w:sz w:val="24"/>
                <w:szCs w:val="24"/>
                <w:lang w:val="en-US" w:eastAsia="zh-CN"/>
              </w:rPr>
            </w:pPr>
            <w:r>
              <w:rPr>
                <w:rFonts w:hint="eastAsia"/>
                <w:color w:val="auto"/>
                <w:kern w:val="0"/>
                <w:sz w:val="24"/>
                <w:szCs w:val="24"/>
              </w:rPr>
              <w:t>2.</w:t>
            </w:r>
            <w:r>
              <w:rPr>
                <w:rFonts w:hint="eastAsia"/>
                <w:color w:val="auto"/>
                <w:kern w:val="0"/>
                <w:sz w:val="24"/>
                <w:szCs w:val="24"/>
                <w:lang w:val="en-US" w:eastAsia="zh-CN"/>
              </w:rPr>
              <w:t>2</w:t>
            </w:r>
          </w:p>
        </w:tc>
        <w:tc>
          <w:tcPr>
            <w:tcW w:w="1740" w:type="dxa"/>
          </w:tcPr>
          <w:p w14:paraId="0CAD259F">
            <w:pPr>
              <w:pStyle w:val="102"/>
              <w:spacing w:line="400" w:lineRule="exact"/>
              <w:ind w:left="187"/>
              <w:jc w:val="center"/>
              <w:rPr>
                <w:color w:val="auto"/>
                <w:kern w:val="0"/>
                <w:sz w:val="24"/>
                <w:szCs w:val="24"/>
              </w:rPr>
            </w:pPr>
            <w:r>
              <w:rPr>
                <w:rFonts w:hint="eastAsia"/>
                <w:color w:val="auto"/>
                <w:kern w:val="0"/>
                <w:sz w:val="24"/>
                <w:szCs w:val="24"/>
              </w:rPr>
              <w:t>供应商确认收到磋商文件澄清的时间</w:t>
            </w:r>
          </w:p>
        </w:tc>
        <w:tc>
          <w:tcPr>
            <w:tcW w:w="6504" w:type="dxa"/>
            <w:vAlign w:val="center"/>
          </w:tcPr>
          <w:p w14:paraId="58FB9966">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color w:val="auto"/>
                <w:kern w:val="0"/>
                <w:sz w:val="24"/>
                <w:szCs w:val="24"/>
              </w:rPr>
            </w:pPr>
            <w:r>
              <w:rPr>
                <w:rFonts w:hint="eastAsia"/>
                <w:color w:val="auto"/>
                <w:kern w:val="0"/>
                <w:sz w:val="24"/>
                <w:szCs w:val="24"/>
              </w:rPr>
              <w:t>在收到相应澄清文件后 24 小时内</w:t>
            </w:r>
          </w:p>
        </w:tc>
      </w:tr>
      <w:tr w14:paraId="7FE73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C33A522">
            <w:pPr>
              <w:pStyle w:val="102"/>
              <w:spacing w:before="160" w:line="400" w:lineRule="exact"/>
              <w:ind w:left="107"/>
              <w:jc w:val="center"/>
              <w:rPr>
                <w:rFonts w:hint="eastAsia" w:eastAsia="宋体"/>
                <w:color w:val="auto"/>
                <w:kern w:val="0"/>
                <w:sz w:val="24"/>
                <w:szCs w:val="24"/>
                <w:lang w:eastAsia="zh-CN"/>
              </w:rPr>
            </w:pPr>
            <w:r>
              <w:rPr>
                <w:rFonts w:hint="eastAsia"/>
                <w:color w:val="auto"/>
                <w:kern w:val="0"/>
                <w:sz w:val="24"/>
                <w:szCs w:val="24"/>
              </w:rPr>
              <w:t>2.</w:t>
            </w:r>
            <w:r>
              <w:rPr>
                <w:rFonts w:hint="eastAsia"/>
                <w:color w:val="auto"/>
                <w:kern w:val="0"/>
                <w:sz w:val="24"/>
                <w:szCs w:val="24"/>
                <w:lang w:val="en-US" w:eastAsia="zh-CN"/>
              </w:rPr>
              <w:t>3</w:t>
            </w:r>
          </w:p>
        </w:tc>
        <w:tc>
          <w:tcPr>
            <w:tcW w:w="1740" w:type="dxa"/>
          </w:tcPr>
          <w:p w14:paraId="126700BB">
            <w:pPr>
              <w:pStyle w:val="102"/>
              <w:spacing w:before="2" w:line="400" w:lineRule="exact"/>
              <w:ind w:left="187" w:right="172"/>
              <w:jc w:val="center"/>
              <w:rPr>
                <w:color w:val="auto"/>
                <w:kern w:val="0"/>
                <w:sz w:val="24"/>
                <w:szCs w:val="24"/>
              </w:rPr>
            </w:pPr>
            <w:r>
              <w:rPr>
                <w:rFonts w:hint="eastAsia"/>
                <w:color w:val="auto"/>
                <w:kern w:val="0"/>
                <w:sz w:val="24"/>
                <w:szCs w:val="24"/>
              </w:rPr>
              <w:t>供应商确认收到磋商文件修改的时间</w:t>
            </w:r>
          </w:p>
        </w:tc>
        <w:tc>
          <w:tcPr>
            <w:tcW w:w="6504" w:type="dxa"/>
            <w:vAlign w:val="center"/>
          </w:tcPr>
          <w:p w14:paraId="569C6C4F">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在收到相应修改文件后 24 小时内</w:t>
            </w:r>
          </w:p>
        </w:tc>
      </w:tr>
      <w:tr w14:paraId="01F10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026C655D">
            <w:pPr>
              <w:pStyle w:val="102"/>
              <w:spacing w:line="400" w:lineRule="exact"/>
              <w:ind w:left="107"/>
              <w:jc w:val="center"/>
              <w:rPr>
                <w:color w:val="auto"/>
                <w:kern w:val="0"/>
                <w:sz w:val="24"/>
                <w:szCs w:val="24"/>
              </w:rPr>
            </w:pPr>
            <w:r>
              <w:rPr>
                <w:rFonts w:hint="eastAsia"/>
                <w:color w:val="auto"/>
                <w:kern w:val="0"/>
                <w:sz w:val="24"/>
                <w:szCs w:val="24"/>
              </w:rPr>
              <w:t>3.1</w:t>
            </w:r>
          </w:p>
        </w:tc>
        <w:tc>
          <w:tcPr>
            <w:tcW w:w="1740" w:type="dxa"/>
            <w:vAlign w:val="center"/>
          </w:tcPr>
          <w:p w14:paraId="4E3A5992">
            <w:pPr>
              <w:autoSpaceDE w:val="0"/>
              <w:autoSpaceDN w:val="0"/>
              <w:adjustRightInd w:val="0"/>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构成响应文件的其他材料</w:t>
            </w:r>
          </w:p>
        </w:tc>
        <w:tc>
          <w:tcPr>
            <w:tcW w:w="6504" w:type="dxa"/>
            <w:vAlign w:val="center"/>
          </w:tcPr>
          <w:p w14:paraId="1C6769BF">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磋商文件要求提供的材料</w:t>
            </w:r>
          </w:p>
        </w:tc>
      </w:tr>
      <w:tr w14:paraId="7EB3B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50B7DB2">
            <w:pPr>
              <w:pStyle w:val="102"/>
              <w:spacing w:line="400" w:lineRule="exact"/>
              <w:ind w:left="107"/>
              <w:jc w:val="center"/>
              <w:rPr>
                <w:color w:val="auto"/>
                <w:kern w:val="0"/>
                <w:sz w:val="24"/>
                <w:szCs w:val="24"/>
              </w:rPr>
            </w:pPr>
            <w:r>
              <w:rPr>
                <w:rFonts w:hint="eastAsia"/>
                <w:color w:val="auto"/>
                <w:kern w:val="0"/>
                <w:sz w:val="24"/>
                <w:szCs w:val="24"/>
              </w:rPr>
              <w:t>3.2</w:t>
            </w:r>
          </w:p>
        </w:tc>
        <w:tc>
          <w:tcPr>
            <w:tcW w:w="1740" w:type="dxa"/>
          </w:tcPr>
          <w:p w14:paraId="1B3424D4">
            <w:pPr>
              <w:pStyle w:val="102"/>
              <w:spacing w:line="400" w:lineRule="exact"/>
              <w:jc w:val="center"/>
              <w:rPr>
                <w:color w:val="auto"/>
                <w:kern w:val="0"/>
                <w:sz w:val="24"/>
                <w:szCs w:val="24"/>
                <w:highlight w:val="none"/>
              </w:rPr>
            </w:pPr>
            <w:r>
              <w:rPr>
                <w:rFonts w:hint="eastAsia"/>
                <w:color w:val="auto"/>
                <w:kern w:val="0"/>
                <w:sz w:val="24"/>
                <w:szCs w:val="24"/>
                <w:highlight w:val="none"/>
              </w:rPr>
              <w:t>招标控制价</w:t>
            </w:r>
          </w:p>
        </w:tc>
        <w:tc>
          <w:tcPr>
            <w:tcW w:w="6504" w:type="dxa"/>
            <w:vAlign w:val="center"/>
          </w:tcPr>
          <w:p w14:paraId="4463F6C3">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136.00万元</w:t>
            </w:r>
          </w:p>
        </w:tc>
      </w:tr>
      <w:tr w14:paraId="3FAB8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10A671D">
            <w:pPr>
              <w:pStyle w:val="102"/>
              <w:spacing w:line="400" w:lineRule="exact"/>
              <w:ind w:left="107"/>
              <w:jc w:val="center"/>
              <w:rPr>
                <w:rFonts w:hint="default" w:eastAsia="宋体"/>
                <w:color w:val="auto"/>
                <w:kern w:val="0"/>
                <w:sz w:val="24"/>
                <w:szCs w:val="24"/>
                <w:lang w:val="en-US" w:eastAsia="zh-CN"/>
              </w:rPr>
            </w:pPr>
            <w:r>
              <w:rPr>
                <w:rFonts w:hint="eastAsia"/>
                <w:color w:val="auto"/>
                <w:kern w:val="0"/>
                <w:sz w:val="24"/>
                <w:szCs w:val="24"/>
                <w:lang w:val="en-US" w:eastAsia="zh-CN"/>
              </w:rPr>
              <w:t>3.3</w:t>
            </w:r>
          </w:p>
        </w:tc>
        <w:tc>
          <w:tcPr>
            <w:tcW w:w="1740" w:type="dxa"/>
            <w:vAlign w:val="center"/>
          </w:tcPr>
          <w:p w14:paraId="597E3A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kern w:val="0"/>
                <w:sz w:val="24"/>
                <w:szCs w:val="24"/>
                <w:lang w:eastAsia="zh-CN"/>
              </w:rPr>
            </w:pPr>
            <w:r>
              <w:rPr>
                <w:rFonts w:hint="eastAsia" w:ascii="宋体" w:hAnsi="宋体" w:eastAsia="宋体" w:cs="宋体"/>
                <w:color w:val="auto"/>
                <w:kern w:val="0"/>
                <w:sz w:val="24"/>
                <w:szCs w:val="24"/>
                <w:lang w:bidi="ar"/>
              </w:rPr>
              <w:t>报价</w:t>
            </w:r>
            <w:r>
              <w:rPr>
                <w:rFonts w:hint="eastAsia" w:ascii="宋体" w:hAnsi="宋体" w:eastAsia="宋体" w:cs="宋体"/>
                <w:color w:val="auto"/>
                <w:kern w:val="0"/>
                <w:sz w:val="24"/>
                <w:szCs w:val="24"/>
                <w:lang w:val="en-US" w:eastAsia="zh-CN" w:bidi="ar"/>
              </w:rPr>
              <w:t>次数</w:t>
            </w:r>
          </w:p>
        </w:tc>
        <w:tc>
          <w:tcPr>
            <w:tcW w:w="6504" w:type="dxa"/>
            <w:vAlign w:val="center"/>
          </w:tcPr>
          <w:p w14:paraId="265A0850">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2次（二次报价不得超过首次报价）</w:t>
            </w:r>
          </w:p>
        </w:tc>
      </w:tr>
      <w:tr w14:paraId="57220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327FE70D">
            <w:pPr>
              <w:pStyle w:val="102"/>
              <w:spacing w:before="2" w:line="400" w:lineRule="exact"/>
              <w:ind w:left="107"/>
              <w:jc w:val="center"/>
              <w:rPr>
                <w:rFonts w:hint="eastAsia" w:eastAsia="宋体"/>
                <w:color w:val="auto"/>
                <w:kern w:val="0"/>
                <w:sz w:val="24"/>
                <w:szCs w:val="24"/>
                <w:lang w:val="en-US" w:eastAsia="zh-CN"/>
              </w:rPr>
            </w:pPr>
            <w:r>
              <w:rPr>
                <w:rFonts w:hint="eastAsia"/>
                <w:color w:val="auto"/>
                <w:kern w:val="0"/>
                <w:sz w:val="24"/>
                <w:szCs w:val="24"/>
              </w:rPr>
              <w:t>3.</w:t>
            </w:r>
            <w:r>
              <w:rPr>
                <w:rFonts w:hint="eastAsia"/>
                <w:color w:val="auto"/>
                <w:kern w:val="0"/>
                <w:sz w:val="24"/>
                <w:szCs w:val="24"/>
                <w:lang w:val="en-US" w:eastAsia="zh-CN"/>
              </w:rPr>
              <w:t>4</w:t>
            </w:r>
          </w:p>
        </w:tc>
        <w:tc>
          <w:tcPr>
            <w:tcW w:w="1740" w:type="dxa"/>
          </w:tcPr>
          <w:p w14:paraId="071546C3">
            <w:pPr>
              <w:pStyle w:val="102"/>
              <w:spacing w:before="2" w:line="400" w:lineRule="exact"/>
              <w:jc w:val="center"/>
              <w:rPr>
                <w:color w:val="auto"/>
                <w:kern w:val="0"/>
                <w:sz w:val="24"/>
                <w:szCs w:val="24"/>
              </w:rPr>
            </w:pPr>
            <w:r>
              <w:rPr>
                <w:rFonts w:hint="eastAsia"/>
                <w:color w:val="auto"/>
                <w:kern w:val="0"/>
                <w:sz w:val="24"/>
                <w:szCs w:val="24"/>
              </w:rPr>
              <w:t>投标有效期</w:t>
            </w:r>
          </w:p>
        </w:tc>
        <w:tc>
          <w:tcPr>
            <w:tcW w:w="6504" w:type="dxa"/>
            <w:vAlign w:val="center"/>
          </w:tcPr>
          <w:p w14:paraId="5F211CCC">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投标截止之日起60日历天</w:t>
            </w:r>
          </w:p>
        </w:tc>
      </w:tr>
      <w:tr w14:paraId="48B93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F8C9B28">
            <w:pPr>
              <w:pStyle w:val="102"/>
              <w:spacing w:before="170" w:line="400" w:lineRule="exact"/>
              <w:ind w:left="107"/>
              <w:jc w:val="center"/>
              <w:rPr>
                <w:rFonts w:hint="eastAsia" w:eastAsia="宋体"/>
                <w:color w:val="auto"/>
                <w:kern w:val="0"/>
                <w:sz w:val="24"/>
                <w:szCs w:val="24"/>
                <w:lang w:val="en-US" w:eastAsia="zh-CN"/>
              </w:rPr>
            </w:pPr>
            <w:r>
              <w:rPr>
                <w:rFonts w:hint="eastAsia"/>
                <w:color w:val="auto"/>
                <w:kern w:val="0"/>
                <w:sz w:val="24"/>
                <w:szCs w:val="24"/>
              </w:rPr>
              <w:t>3.</w:t>
            </w:r>
            <w:r>
              <w:rPr>
                <w:rFonts w:hint="eastAsia"/>
                <w:color w:val="auto"/>
                <w:kern w:val="0"/>
                <w:sz w:val="24"/>
                <w:szCs w:val="24"/>
                <w:lang w:val="en-US" w:eastAsia="zh-CN"/>
              </w:rPr>
              <w:t>5</w:t>
            </w:r>
          </w:p>
        </w:tc>
        <w:tc>
          <w:tcPr>
            <w:tcW w:w="1740" w:type="dxa"/>
            <w:vAlign w:val="center"/>
          </w:tcPr>
          <w:p w14:paraId="46FEAA06">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投标</w:t>
            </w:r>
          </w:p>
          <w:p w14:paraId="796B7EC6">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保证金</w:t>
            </w:r>
          </w:p>
        </w:tc>
        <w:tc>
          <w:tcPr>
            <w:tcW w:w="6504" w:type="dxa"/>
            <w:vAlign w:val="center"/>
          </w:tcPr>
          <w:p w14:paraId="65874839">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依据长财采购〔2021〕695号文件要求，诚信记录良好的</w:t>
            </w:r>
            <w:r>
              <w:rPr>
                <w:rFonts w:hint="eastAsia" w:ascii="宋体" w:hAnsi="宋体" w:eastAsia="宋体" w:cs="宋体"/>
                <w:color w:val="auto"/>
                <w:kern w:val="2"/>
                <w:sz w:val="24"/>
                <w:szCs w:val="24"/>
                <w:highlight w:val="none"/>
                <w:lang w:val="en-US" w:eastAsia="zh-CN" w:bidi="zh-CN"/>
              </w:rPr>
              <w:t>供应商</w:t>
            </w:r>
            <w:r>
              <w:rPr>
                <w:rFonts w:hint="eastAsia" w:ascii="宋体" w:hAnsi="宋体" w:eastAsia="宋体" w:cs="宋体"/>
                <w:color w:val="auto"/>
                <w:kern w:val="2"/>
                <w:sz w:val="24"/>
                <w:szCs w:val="24"/>
                <w:highlight w:val="none"/>
                <w:lang w:val="zh-CN" w:eastAsia="zh-CN" w:bidi="zh-CN"/>
              </w:rPr>
              <w:t>无需交纳投标保证金，须附</w:t>
            </w:r>
            <w:r>
              <w:rPr>
                <w:rFonts w:hint="eastAsia" w:ascii="宋体" w:hAnsi="宋体" w:eastAsia="宋体" w:cs="宋体"/>
                <w:b/>
                <w:bCs/>
                <w:color w:val="auto"/>
                <w:kern w:val="2"/>
                <w:sz w:val="24"/>
                <w:szCs w:val="24"/>
                <w:highlight w:val="none"/>
                <w:lang w:val="zh-CN" w:eastAsia="zh-CN" w:bidi="zh-CN"/>
              </w:rPr>
              <w:t>经“信用中国”网站查询无行政处罚信息截图，</w:t>
            </w:r>
            <w:r>
              <w:rPr>
                <w:rFonts w:hint="eastAsia" w:ascii="宋体" w:hAnsi="宋体" w:eastAsia="宋体" w:cs="宋体"/>
                <w:color w:val="auto"/>
                <w:kern w:val="2"/>
                <w:sz w:val="24"/>
                <w:szCs w:val="24"/>
                <w:highlight w:val="none"/>
                <w:lang w:val="zh-CN" w:eastAsia="zh-CN" w:bidi="zh-CN"/>
              </w:rPr>
              <w:t>但对于满足《中华人民共和国政府采购法》第二十二条有关规定，</w:t>
            </w:r>
            <w:r>
              <w:rPr>
                <w:rFonts w:hint="eastAsia" w:ascii="宋体" w:hAnsi="宋体" w:eastAsia="宋体" w:cs="宋体"/>
                <w:b/>
                <w:bCs/>
                <w:color w:val="auto"/>
                <w:kern w:val="2"/>
                <w:sz w:val="24"/>
                <w:szCs w:val="24"/>
                <w:highlight w:val="none"/>
                <w:lang w:val="zh-CN" w:eastAsia="zh-CN" w:bidi="zh-CN"/>
              </w:rPr>
              <w:t>经“信用中国”网站查询存在行政处罚信息的</w:t>
            </w:r>
            <w:r>
              <w:rPr>
                <w:rFonts w:hint="eastAsia" w:ascii="宋体" w:hAnsi="宋体" w:eastAsia="宋体" w:cs="宋体"/>
                <w:b/>
                <w:bCs/>
                <w:color w:val="auto"/>
                <w:kern w:val="2"/>
                <w:sz w:val="24"/>
                <w:szCs w:val="24"/>
                <w:highlight w:val="none"/>
                <w:lang w:val="en-US" w:eastAsia="zh-CN" w:bidi="zh-CN"/>
              </w:rPr>
              <w:t>供应商</w:t>
            </w:r>
            <w:r>
              <w:rPr>
                <w:rFonts w:hint="eastAsia" w:ascii="宋体" w:hAnsi="宋体" w:eastAsia="宋体" w:cs="宋体"/>
                <w:b/>
                <w:bCs/>
                <w:color w:val="auto"/>
                <w:kern w:val="2"/>
                <w:sz w:val="24"/>
                <w:szCs w:val="24"/>
                <w:highlight w:val="none"/>
                <w:lang w:val="zh-CN" w:eastAsia="zh-CN" w:bidi="zh-CN"/>
              </w:rPr>
              <w:t>需交纳投标保证金</w:t>
            </w:r>
            <w:r>
              <w:rPr>
                <w:rFonts w:hint="eastAsia" w:ascii="宋体" w:hAnsi="宋体" w:eastAsia="宋体" w:cs="宋体"/>
                <w:color w:val="auto"/>
                <w:kern w:val="2"/>
                <w:sz w:val="24"/>
                <w:szCs w:val="24"/>
                <w:highlight w:val="none"/>
                <w:lang w:val="zh-CN" w:eastAsia="zh-CN" w:bidi="zh-CN"/>
              </w:rPr>
              <w:t>按以下要求收取投标保证金：</w:t>
            </w:r>
          </w:p>
          <w:p w14:paraId="48BCA923">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磋商保证金的形式：转账、电汇、保函、现金</w:t>
            </w:r>
          </w:p>
          <w:p w14:paraId="7153AD0F">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磋商保证金的金额：</w:t>
            </w:r>
          </w:p>
          <w:p w14:paraId="0491B8B3">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default"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en-US" w:eastAsia="zh-CN" w:bidi="zh-CN"/>
              </w:rPr>
              <w:t>人民币2.72万元；</w:t>
            </w:r>
          </w:p>
          <w:p w14:paraId="270AC23E">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银行名称：中国建设银行股份有限公司长春蔚山路支行</w:t>
            </w:r>
          </w:p>
          <w:p w14:paraId="113B72A4">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开户名称：中招辰丰达招标有限公司吉林分公司</w:t>
            </w:r>
          </w:p>
          <w:p w14:paraId="5648BC54">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账号：22050136050000000375</w:t>
            </w:r>
          </w:p>
          <w:p w14:paraId="4FFCF516">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电话：0431-81124285</w:t>
            </w:r>
          </w:p>
          <w:p w14:paraId="0DD6EC55">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1）供应商提交的磋商保证金应当从供应商基本账户转出。且应于响应文件递交截止时间24小时前，到达指定账户，供应商应充分考虑保证金在银行之间划转所需要的时间，确保磋商保证金在上述时间前到达指定账户（未从基本账户汇出或未到帐均视为无效）。供应商若未按此要求办理产生的一切后果由供应商自行承担。</w:t>
            </w:r>
          </w:p>
          <w:p w14:paraId="0CCF3F9B">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（2）汇款信息注明：请供应商在汇款时务必注明所投标项目的磋商编号、项目名称及用途，否则，因款项用途不明导致投标无效等后果由供应商自行承担。（项目名称可适当缩略，但应保证财务人员得以区分）</w:t>
            </w:r>
          </w:p>
          <w:p w14:paraId="2EBB24C5">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（3）供应商应将磋商保证金转款凭证及开户许可证复印件装订入响应文件相应位置。</w:t>
            </w:r>
          </w:p>
          <w:p w14:paraId="4241407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（4）为避免出现因投磋商证金递交失误而导致的废标情况，递交投标保证金和保函的投标的单位，须在保证金递交截至日期前，将保证金汇款凭证或保函扫描件发送至</w:t>
            </w:r>
            <w:r>
              <w:rPr>
                <w:rFonts w:hint="eastAsia" w:ascii="宋体" w:hAnsi="宋体" w:eastAsia="宋体" w:cs="宋体"/>
                <w:color w:val="auto"/>
                <w:kern w:val="2"/>
                <w:sz w:val="24"/>
                <w:szCs w:val="24"/>
                <w:highlight w:val="none"/>
                <w:lang w:val="en-US" w:eastAsia="zh-CN" w:bidi="zh-CN"/>
              </w:rPr>
              <w:t>2160200166</w:t>
            </w:r>
            <w:r>
              <w:rPr>
                <w:rFonts w:hint="eastAsia" w:ascii="宋体" w:hAnsi="宋体" w:eastAsia="宋体" w:cs="宋体"/>
                <w:color w:val="auto"/>
                <w:kern w:val="2"/>
                <w:sz w:val="24"/>
                <w:szCs w:val="24"/>
                <w:highlight w:val="none"/>
                <w:lang w:val="zh-CN" w:eastAsia="zh-CN" w:bidi="zh-CN"/>
              </w:rPr>
              <w:t>@qq.com 进行核验，且于开标当天将保函递交至代理机构，逾期未发送保证金存款凭证扫描件或未发送保函扫描件视为自动放弃投标资格，采购代理机构不另行通知投标单位。</w:t>
            </w:r>
          </w:p>
          <w:p w14:paraId="15B75BBE">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注:基本账户开户许可取消后新开立基本账户的供应商在投标时，可以按照中国人民银行的相关文件规定提交银行打印的《基本存款账户信息》。</w:t>
            </w:r>
          </w:p>
        </w:tc>
      </w:tr>
      <w:tr w14:paraId="56FF9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500C6A00">
            <w:pPr>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t>3.5.</w:t>
            </w:r>
            <w:r>
              <w:rPr>
                <w:rFonts w:hint="eastAsia" w:ascii="宋体" w:hAnsi="宋体" w:eastAsia="宋体" w:cs="宋体"/>
                <w:color w:val="auto"/>
                <w:kern w:val="0"/>
                <w:sz w:val="24"/>
                <w:szCs w:val="24"/>
                <w:lang w:val="en-US" w:eastAsia="zh-CN"/>
              </w:rPr>
              <w:t>1</w:t>
            </w:r>
          </w:p>
        </w:tc>
        <w:tc>
          <w:tcPr>
            <w:tcW w:w="1740" w:type="dxa"/>
            <w:vAlign w:val="center"/>
          </w:tcPr>
          <w:p w14:paraId="48029457">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近年财务状况的年份要求</w:t>
            </w:r>
          </w:p>
        </w:tc>
        <w:tc>
          <w:tcPr>
            <w:tcW w:w="6504" w:type="dxa"/>
            <w:vAlign w:val="center"/>
          </w:tcPr>
          <w:p w14:paraId="681C57B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近3年，指20</w:t>
            </w:r>
            <w:r>
              <w:rPr>
                <w:rFonts w:hint="eastAsia" w:ascii="宋体" w:hAnsi="宋体" w:eastAsia="宋体" w:cs="宋体"/>
                <w:color w:val="auto"/>
                <w:kern w:val="2"/>
                <w:sz w:val="24"/>
                <w:szCs w:val="24"/>
                <w:highlight w:val="none"/>
                <w:lang w:val="en-US" w:eastAsia="zh-CN" w:bidi="zh-CN"/>
              </w:rPr>
              <w:t>21</w:t>
            </w:r>
            <w:r>
              <w:rPr>
                <w:rFonts w:hint="eastAsia" w:ascii="宋体" w:hAnsi="宋体" w:eastAsia="宋体" w:cs="宋体"/>
                <w:color w:val="auto"/>
                <w:kern w:val="2"/>
                <w:sz w:val="24"/>
                <w:szCs w:val="24"/>
                <w:highlight w:val="none"/>
                <w:lang w:val="zh-CN" w:eastAsia="zh-CN" w:bidi="zh-CN"/>
              </w:rPr>
              <w:t>年度至20</w:t>
            </w:r>
            <w:r>
              <w:rPr>
                <w:rFonts w:hint="eastAsia" w:ascii="宋体" w:hAnsi="宋体" w:eastAsia="宋体" w:cs="宋体"/>
                <w:color w:val="auto"/>
                <w:kern w:val="2"/>
                <w:sz w:val="24"/>
                <w:szCs w:val="24"/>
                <w:highlight w:val="none"/>
                <w:lang w:val="en-US" w:eastAsia="zh-CN" w:bidi="zh-CN"/>
              </w:rPr>
              <w:t>23</w:t>
            </w:r>
            <w:r>
              <w:rPr>
                <w:rFonts w:hint="eastAsia" w:ascii="宋体" w:hAnsi="宋体" w:eastAsia="宋体" w:cs="宋体"/>
                <w:color w:val="auto"/>
                <w:kern w:val="2"/>
                <w:sz w:val="24"/>
                <w:szCs w:val="24"/>
                <w:highlight w:val="none"/>
                <w:lang w:val="zh-CN" w:eastAsia="zh-CN" w:bidi="zh-CN"/>
              </w:rPr>
              <w:t>年度</w:t>
            </w:r>
          </w:p>
        </w:tc>
      </w:tr>
      <w:tr w14:paraId="11B30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5D15A3F6">
            <w:pPr>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t>3.5.</w:t>
            </w:r>
            <w:r>
              <w:rPr>
                <w:rFonts w:hint="eastAsia" w:ascii="宋体" w:hAnsi="宋体" w:eastAsia="宋体" w:cs="宋体"/>
                <w:color w:val="auto"/>
                <w:kern w:val="0"/>
                <w:sz w:val="24"/>
                <w:szCs w:val="24"/>
                <w:lang w:val="en-US" w:eastAsia="zh-CN"/>
              </w:rPr>
              <w:t>2</w:t>
            </w:r>
          </w:p>
        </w:tc>
        <w:tc>
          <w:tcPr>
            <w:tcW w:w="1740" w:type="dxa"/>
            <w:vAlign w:val="center"/>
          </w:tcPr>
          <w:p w14:paraId="64452633">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近年完成的类似项目的年份要求</w:t>
            </w:r>
          </w:p>
        </w:tc>
        <w:tc>
          <w:tcPr>
            <w:tcW w:w="6504" w:type="dxa"/>
            <w:vAlign w:val="center"/>
          </w:tcPr>
          <w:p w14:paraId="3390884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近3年，指202</w:t>
            </w:r>
            <w:r>
              <w:rPr>
                <w:rFonts w:hint="eastAsia" w:ascii="宋体" w:hAnsi="宋体" w:eastAsia="宋体" w:cs="宋体"/>
                <w:color w:val="auto"/>
                <w:kern w:val="2"/>
                <w:sz w:val="24"/>
                <w:szCs w:val="24"/>
                <w:highlight w:val="none"/>
                <w:lang w:val="en-US" w:eastAsia="zh-CN" w:bidi="zh-CN"/>
              </w:rPr>
              <w:t>1</w:t>
            </w:r>
            <w:r>
              <w:rPr>
                <w:rFonts w:hint="eastAsia" w:ascii="宋体" w:hAnsi="宋体" w:eastAsia="宋体" w:cs="宋体"/>
                <w:color w:val="auto"/>
                <w:kern w:val="2"/>
                <w:sz w:val="24"/>
                <w:szCs w:val="24"/>
                <w:highlight w:val="none"/>
                <w:lang w:val="zh-CN" w:eastAsia="zh-CN" w:bidi="zh-CN"/>
              </w:rPr>
              <w:t>年1月1日至今</w:t>
            </w:r>
          </w:p>
        </w:tc>
      </w:tr>
      <w:tr w14:paraId="1CC0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401C6A6A">
            <w:pPr>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t>3.5.</w:t>
            </w:r>
            <w:r>
              <w:rPr>
                <w:rFonts w:hint="eastAsia" w:ascii="宋体" w:hAnsi="宋体" w:eastAsia="宋体" w:cs="宋体"/>
                <w:color w:val="auto"/>
                <w:kern w:val="0"/>
                <w:sz w:val="24"/>
                <w:szCs w:val="24"/>
                <w:lang w:val="en-US" w:eastAsia="zh-CN"/>
              </w:rPr>
              <w:t>3</w:t>
            </w:r>
          </w:p>
        </w:tc>
        <w:tc>
          <w:tcPr>
            <w:tcW w:w="1740" w:type="dxa"/>
            <w:vAlign w:val="center"/>
          </w:tcPr>
          <w:p w14:paraId="080BCF35">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近年发生的诉讼及仲裁情况的年份要求</w:t>
            </w:r>
          </w:p>
        </w:tc>
        <w:tc>
          <w:tcPr>
            <w:tcW w:w="6504" w:type="dxa"/>
            <w:vAlign w:val="center"/>
          </w:tcPr>
          <w:p w14:paraId="3DF517FA">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近3年，指202</w:t>
            </w:r>
            <w:r>
              <w:rPr>
                <w:rFonts w:hint="eastAsia" w:ascii="宋体" w:hAnsi="宋体" w:eastAsia="宋体" w:cs="宋体"/>
                <w:color w:val="auto"/>
                <w:kern w:val="2"/>
                <w:sz w:val="24"/>
                <w:szCs w:val="24"/>
                <w:highlight w:val="none"/>
                <w:lang w:val="en-US" w:eastAsia="zh-CN" w:bidi="zh-CN"/>
              </w:rPr>
              <w:t>1</w:t>
            </w:r>
            <w:r>
              <w:rPr>
                <w:rFonts w:hint="eastAsia" w:ascii="宋体" w:hAnsi="宋体" w:eastAsia="宋体" w:cs="宋体"/>
                <w:color w:val="auto"/>
                <w:kern w:val="2"/>
                <w:sz w:val="24"/>
                <w:szCs w:val="24"/>
                <w:highlight w:val="none"/>
                <w:lang w:val="zh-CN" w:eastAsia="zh-CN" w:bidi="zh-CN"/>
              </w:rPr>
              <w:t>年1月1日至今</w:t>
            </w:r>
          </w:p>
        </w:tc>
      </w:tr>
      <w:tr w14:paraId="6B671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80A7038">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t>3.</w:t>
            </w:r>
            <w:r>
              <w:rPr>
                <w:rFonts w:hint="eastAsia" w:ascii="宋体" w:hAnsi="宋体" w:eastAsia="宋体" w:cs="宋体"/>
                <w:color w:val="auto"/>
                <w:kern w:val="0"/>
                <w:sz w:val="24"/>
                <w:szCs w:val="24"/>
                <w:lang w:val="en-US" w:eastAsia="zh-CN"/>
              </w:rPr>
              <w:t>5.4</w:t>
            </w:r>
          </w:p>
        </w:tc>
        <w:tc>
          <w:tcPr>
            <w:tcW w:w="1740" w:type="dxa"/>
            <w:vAlign w:val="center"/>
          </w:tcPr>
          <w:p w14:paraId="66E035C4">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是否允许递交备选投标方案</w:t>
            </w:r>
          </w:p>
        </w:tc>
        <w:tc>
          <w:tcPr>
            <w:tcW w:w="6504" w:type="dxa"/>
            <w:vAlign w:val="center"/>
          </w:tcPr>
          <w:p w14:paraId="69EBF2E7">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不允许</w:t>
            </w:r>
          </w:p>
        </w:tc>
      </w:tr>
      <w:tr w14:paraId="02198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1A8CB63C">
            <w:pPr>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zh-CN"/>
              </w:rPr>
              <w:t>3.5.</w:t>
            </w:r>
            <w:r>
              <w:rPr>
                <w:rFonts w:hint="eastAsia" w:ascii="宋体" w:hAnsi="宋体" w:eastAsia="宋体" w:cs="宋体"/>
                <w:color w:val="auto"/>
                <w:kern w:val="0"/>
                <w:sz w:val="24"/>
                <w:szCs w:val="24"/>
                <w:lang w:val="en-US" w:eastAsia="zh-CN"/>
              </w:rPr>
              <w:t>5</w:t>
            </w:r>
          </w:p>
        </w:tc>
        <w:tc>
          <w:tcPr>
            <w:tcW w:w="1740" w:type="dxa"/>
            <w:vAlign w:val="center"/>
          </w:tcPr>
          <w:p w14:paraId="0A159796">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签字盖章</w:t>
            </w:r>
          </w:p>
          <w:p w14:paraId="6C77C1FD">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要求</w:t>
            </w:r>
          </w:p>
        </w:tc>
        <w:tc>
          <w:tcPr>
            <w:tcW w:w="6504" w:type="dxa"/>
            <w:vAlign w:val="center"/>
          </w:tcPr>
          <w:p w14:paraId="236D855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4"/>
                <w:szCs w:val="24"/>
                <w:highlight w:val="none"/>
                <w:lang w:val="zh-CN" w:eastAsia="zh-CN" w:bidi="zh-CN"/>
              </w:rPr>
              <w:t>按政府采购云平台（网址：http:// www.zcygov.cn）提供的格式及要求填写。</w:t>
            </w:r>
          </w:p>
          <w:p w14:paraId="6507BDEE">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响应文件应使用打印、复印或不能擦去的墨水书写，文字要清晰，语言要明确，并按磋商文件的要求签字或盖章。</w:t>
            </w:r>
          </w:p>
          <w:p w14:paraId="61BE242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响应文件应尽量避免涂改和插字，如有修改，除了按采购人书面请示进行修改的以外，均应由法定代表人（或授权委托人）在修改处盖章或签名确认。</w:t>
            </w:r>
          </w:p>
          <w:p w14:paraId="20FEE8B9">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响应文件的投标函、开标一览表、法人授权委托书等需要盖章和签字（盖章不能代替签字）的资料都要求是真迹，不得复印。</w:t>
            </w:r>
          </w:p>
          <w:p w14:paraId="19DE951D">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color w:val="auto"/>
                <w:kern w:val="2"/>
                <w:sz w:val="24"/>
                <w:szCs w:val="24"/>
                <w:highlight w:val="none"/>
                <w:lang w:val="en-US" w:eastAsia="zh-CN" w:bidi="zh-CN"/>
              </w:rPr>
              <w:t>按磋商文件要求进行签字和盖章，否则视为不响应磋商文件。</w:t>
            </w:r>
          </w:p>
        </w:tc>
      </w:tr>
      <w:tr w14:paraId="2572C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848" w:type="dxa"/>
            <w:vAlign w:val="center"/>
          </w:tcPr>
          <w:p w14:paraId="63D78DD4">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4.1</w:t>
            </w:r>
          </w:p>
        </w:tc>
        <w:tc>
          <w:tcPr>
            <w:tcW w:w="1740" w:type="dxa"/>
            <w:vAlign w:val="center"/>
          </w:tcPr>
          <w:p w14:paraId="3B0ECE7D">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响应文件份数</w:t>
            </w:r>
          </w:p>
        </w:tc>
        <w:tc>
          <w:tcPr>
            <w:tcW w:w="6504" w:type="dxa"/>
            <w:vAlign w:val="center"/>
          </w:tcPr>
          <w:p w14:paraId="4D9361F0">
            <w:pPr>
              <w:spacing w:line="360" w:lineRule="exact"/>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b w:val="0"/>
                <w:bCs w:val="0"/>
                <w:color w:val="auto"/>
                <w:kern w:val="0"/>
                <w:sz w:val="24"/>
                <w:szCs w:val="24"/>
                <w:lang w:val="en-US" w:eastAsia="zh-CN"/>
              </w:rPr>
              <w:t>成交供应商</w:t>
            </w:r>
            <w:r>
              <w:rPr>
                <w:rFonts w:hint="eastAsia" w:ascii="宋体" w:hAnsi="宋体" w:eastAsia="宋体" w:cs="宋体"/>
                <w:color w:val="auto"/>
                <w:kern w:val="0"/>
                <w:sz w:val="24"/>
                <w:szCs w:val="24"/>
                <w:lang w:val="en-US" w:eastAsia="zh-CN"/>
              </w:rPr>
              <w:t>在中标后提供</w:t>
            </w:r>
            <w:r>
              <w:rPr>
                <w:rFonts w:hint="eastAsia" w:ascii="宋体" w:hAnsi="宋体" w:eastAsia="宋体" w:cs="宋体"/>
                <w:color w:val="auto"/>
                <w:kern w:val="0"/>
                <w:sz w:val="24"/>
                <w:szCs w:val="24"/>
                <w:lang w:val="zh-CN"/>
              </w:rPr>
              <w:t>三份</w:t>
            </w:r>
            <w:r>
              <w:rPr>
                <w:rFonts w:hint="eastAsia" w:ascii="宋体" w:hAnsi="宋体" w:eastAsia="宋体" w:cs="宋体"/>
                <w:color w:val="auto"/>
                <w:kern w:val="0"/>
                <w:sz w:val="24"/>
                <w:szCs w:val="24"/>
                <w:lang w:val="en-US" w:eastAsia="zh-CN"/>
              </w:rPr>
              <w:t>响应文件</w:t>
            </w:r>
            <w:r>
              <w:rPr>
                <w:rFonts w:hint="eastAsia" w:ascii="宋体" w:hAnsi="宋体" w:eastAsia="宋体" w:cs="宋体"/>
                <w:color w:val="auto"/>
                <w:kern w:val="0"/>
                <w:sz w:val="24"/>
                <w:szCs w:val="24"/>
                <w:lang w:val="zh-CN"/>
              </w:rPr>
              <w:t>（一份正本，两份副本），电子版（U盘）两份</w:t>
            </w:r>
          </w:p>
        </w:tc>
      </w:tr>
      <w:tr w14:paraId="6BBFF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jc w:val="center"/>
        </w:trPr>
        <w:tc>
          <w:tcPr>
            <w:tcW w:w="848" w:type="dxa"/>
            <w:vAlign w:val="center"/>
          </w:tcPr>
          <w:p w14:paraId="67C7CB6B">
            <w:pPr>
              <w:pStyle w:val="102"/>
              <w:spacing w:line="400" w:lineRule="exact"/>
              <w:ind w:left="107"/>
              <w:jc w:val="center"/>
              <w:rPr>
                <w:color w:val="auto"/>
                <w:kern w:val="0"/>
                <w:sz w:val="24"/>
                <w:szCs w:val="24"/>
              </w:rPr>
            </w:pPr>
            <w:r>
              <w:rPr>
                <w:rFonts w:hint="eastAsia"/>
                <w:color w:val="auto"/>
                <w:kern w:val="0"/>
                <w:sz w:val="24"/>
                <w:szCs w:val="24"/>
              </w:rPr>
              <w:t>4.2.1</w:t>
            </w:r>
          </w:p>
        </w:tc>
        <w:tc>
          <w:tcPr>
            <w:tcW w:w="1740" w:type="dxa"/>
            <w:vAlign w:val="center"/>
          </w:tcPr>
          <w:p w14:paraId="14B994C6">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递交投标</w:t>
            </w:r>
          </w:p>
          <w:p w14:paraId="1561072E">
            <w:pPr>
              <w:spacing w:line="400" w:lineRule="exact"/>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文件地点</w:t>
            </w:r>
          </w:p>
        </w:tc>
        <w:tc>
          <w:tcPr>
            <w:tcW w:w="6504" w:type="dxa"/>
            <w:vAlign w:val="center"/>
          </w:tcPr>
          <w:p w14:paraId="313623D6">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hint="eastAsia" w:ascii="宋体" w:hAnsi="宋体" w:eastAsia="宋体" w:cs="宋体"/>
                <w:color w:val="auto"/>
                <w:kern w:val="0"/>
                <w:sz w:val="24"/>
                <w:szCs w:val="24"/>
                <w:lang w:val="zh-CN" w:eastAsia="zh-CN"/>
              </w:rPr>
            </w:pPr>
            <w:r>
              <w:rPr>
                <w:rFonts w:hint="eastAsia" w:ascii="宋体" w:hAnsi="宋体" w:eastAsia="宋体" w:cs="宋体"/>
                <w:color w:val="auto"/>
                <w:kern w:val="0"/>
                <w:sz w:val="24"/>
                <w:szCs w:val="24"/>
                <w:lang w:val="zh-CN"/>
              </w:rPr>
              <w:t>电子加密文件：上传提交至</w:t>
            </w:r>
            <w:r>
              <w:rPr>
                <w:rFonts w:hint="eastAsia" w:ascii="宋体" w:hAnsi="宋体" w:eastAsia="宋体" w:cs="宋体"/>
                <w:color w:val="auto"/>
                <w:kern w:val="0"/>
                <w:sz w:val="24"/>
                <w:szCs w:val="24"/>
                <w:lang w:val="zh-CN" w:eastAsia="zh-CN"/>
              </w:rPr>
              <w:t>政府采购云平台（网址：</w:t>
            </w:r>
            <w:r>
              <w:rPr>
                <w:rFonts w:hint="eastAsia" w:ascii="宋体" w:hAnsi="宋体" w:eastAsia="宋体" w:cs="宋体"/>
                <w:color w:val="auto"/>
                <w:kern w:val="0"/>
                <w:sz w:val="24"/>
                <w:szCs w:val="24"/>
                <w:lang w:val="zh-CN" w:eastAsia="zh-CN"/>
              </w:rPr>
              <w:fldChar w:fldCharType="begin"/>
            </w:r>
            <w:r>
              <w:rPr>
                <w:rFonts w:hint="eastAsia" w:ascii="宋体" w:hAnsi="宋体" w:eastAsia="宋体" w:cs="宋体"/>
                <w:color w:val="auto"/>
                <w:kern w:val="0"/>
                <w:sz w:val="24"/>
                <w:szCs w:val="24"/>
                <w:lang w:val="zh-CN" w:eastAsia="zh-CN"/>
              </w:rPr>
              <w:instrText xml:space="preserve"> HYPERLINK "http://www.zcygov.cn）" </w:instrText>
            </w:r>
            <w:r>
              <w:rPr>
                <w:rFonts w:hint="eastAsia" w:ascii="宋体" w:hAnsi="宋体" w:eastAsia="宋体" w:cs="宋体"/>
                <w:color w:val="auto"/>
                <w:kern w:val="0"/>
                <w:sz w:val="24"/>
                <w:szCs w:val="24"/>
                <w:lang w:val="zh-CN" w:eastAsia="zh-CN"/>
              </w:rPr>
              <w:fldChar w:fldCharType="separate"/>
            </w:r>
            <w:r>
              <w:rPr>
                <w:rFonts w:hint="eastAsia" w:ascii="宋体" w:hAnsi="宋体" w:eastAsia="宋体" w:cs="宋体"/>
                <w:color w:val="auto"/>
                <w:kern w:val="0"/>
                <w:sz w:val="24"/>
                <w:szCs w:val="24"/>
                <w:lang w:val="zh-CN" w:eastAsia="zh-CN"/>
              </w:rPr>
              <w:t>http://www.zcygov.cn）</w:t>
            </w:r>
            <w:r>
              <w:rPr>
                <w:rFonts w:hint="eastAsia" w:ascii="宋体" w:hAnsi="宋体" w:eastAsia="宋体" w:cs="宋体"/>
                <w:color w:val="auto"/>
                <w:kern w:val="0"/>
                <w:sz w:val="24"/>
                <w:szCs w:val="24"/>
                <w:lang w:val="zh-CN" w:eastAsia="zh-CN"/>
              </w:rPr>
              <w:fldChar w:fldCharType="end"/>
            </w:r>
          </w:p>
          <w:p w14:paraId="551AF943">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纸制版响应文件</w:t>
            </w:r>
            <w:r>
              <w:rPr>
                <w:rFonts w:hint="eastAsia" w:ascii="宋体" w:hAnsi="宋体" w:eastAsia="宋体" w:cs="宋体"/>
                <w:color w:val="auto"/>
                <w:kern w:val="0"/>
                <w:sz w:val="24"/>
                <w:szCs w:val="24"/>
                <w:lang w:val="zh-CN" w:eastAsia="zh-CN"/>
              </w:rPr>
              <w:t>（</w:t>
            </w:r>
            <w:r>
              <w:rPr>
                <w:rFonts w:hint="eastAsia" w:ascii="宋体" w:hAnsi="宋体" w:eastAsia="宋体" w:cs="宋体"/>
                <w:color w:val="auto"/>
                <w:kern w:val="0"/>
                <w:sz w:val="24"/>
                <w:szCs w:val="24"/>
                <w:lang w:val="en-US" w:eastAsia="zh-CN"/>
              </w:rPr>
              <w:t>成交后</w:t>
            </w:r>
            <w:r>
              <w:rPr>
                <w:rFonts w:hint="eastAsia" w:ascii="宋体" w:hAnsi="宋体" w:eastAsia="宋体" w:cs="宋体"/>
                <w:color w:val="auto"/>
                <w:kern w:val="0"/>
                <w:sz w:val="24"/>
                <w:szCs w:val="24"/>
                <w:lang w:val="zh-CN" w:eastAsia="zh-CN"/>
              </w:rPr>
              <w:t>）</w:t>
            </w:r>
            <w:r>
              <w:rPr>
                <w:rFonts w:hint="eastAsia" w:ascii="宋体" w:hAnsi="宋体" w:eastAsia="宋体" w:cs="宋体"/>
                <w:color w:val="auto"/>
                <w:kern w:val="0"/>
                <w:sz w:val="24"/>
                <w:szCs w:val="24"/>
                <w:lang w:val="zh-CN"/>
              </w:rPr>
              <w:t>：长春市高新区学海街781号长春吉大科技园高科技产业孵化大厦15楼。</w:t>
            </w:r>
          </w:p>
        </w:tc>
      </w:tr>
      <w:tr w14:paraId="0760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jc w:val="center"/>
        </w:trPr>
        <w:tc>
          <w:tcPr>
            <w:tcW w:w="848" w:type="dxa"/>
            <w:vAlign w:val="center"/>
          </w:tcPr>
          <w:p w14:paraId="3A71A191">
            <w:pPr>
              <w:pStyle w:val="102"/>
              <w:spacing w:line="400" w:lineRule="exact"/>
              <w:ind w:left="107"/>
              <w:jc w:val="center"/>
              <w:rPr>
                <w:color w:val="auto"/>
                <w:kern w:val="0"/>
                <w:sz w:val="24"/>
                <w:szCs w:val="24"/>
              </w:rPr>
            </w:pPr>
            <w:r>
              <w:rPr>
                <w:rFonts w:hint="eastAsia"/>
                <w:color w:val="auto"/>
                <w:kern w:val="0"/>
                <w:sz w:val="24"/>
                <w:szCs w:val="24"/>
              </w:rPr>
              <w:t>5.1</w:t>
            </w:r>
          </w:p>
        </w:tc>
        <w:tc>
          <w:tcPr>
            <w:tcW w:w="1740" w:type="dxa"/>
            <w:vAlign w:val="center"/>
          </w:tcPr>
          <w:p w14:paraId="43C4C3B9">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开标时间（</w:t>
            </w:r>
            <w:r>
              <w:rPr>
                <w:rFonts w:hint="eastAsia" w:ascii="宋体" w:hAnsi="宋体" w:eastAsia="宋体" w:cs="宋体"/>
                <w:color w:val="auto"/>
                <w:kern w:val="0"/>
                <w:sz w:val="24"/>
                <w:szCs w:val="24"/>
                <w:lang w:val="en-US" w:eastAsia="zh-CN"/>
              </w:rPr>
              <w:t>投标截止时间</w:t>
            </w:r>
            <w:r>
              <w:rPr>
                <w:rFonts w:hint="eastAsia" w:ascii="宋体" w:hAnsi="宋体" w:eastAsia="宋体" w:cs="宋体"/>
                <w:color w:val="auto"/>
                <w:kern w:val="0"/>
                <w:sz w:val="24"/>
                <w:szCs w:val="24"/>
                <w:lang w:val="zh-CN"/>
              </w:rPr>
              <w:t>）和地点</w:t>
            </w:r>
          </w:p>
        </w:tc>
        <w:tc>
          <w:tcPr>
            <w:tcW w:w="6504" w:type="dxa"/>
            <w:vAlign w:val="center"/>
          </w:tcPr>
          <w:p w14:paraId="291459A6">
            <w:pPr>
              <w:keepNext w:val="0"/>
              <w:keepLines w:val="0"/>
              <w:pageBreakBefore w:val="0"/>
              <w:widowControl/>
              <w:kinsoku/>
              <w:wordWrap/>
              <w:overflowPunct/>
              <w:topLinePunct w:val="0"/>
              <w:autoSpaceDE w:val="0"/>
              <w:autoSpaceDN w:val="0"/>
              <w:bidi w:val="0"/>
              <w:adjustRightInd w:val="0"/>
              <w:snapToGrid/>
              <w:spacing w:line="400" w:lineRule="exact"/>
              <w:ind w:left="105" w:leftChars="50" w:right="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开标时间：</w:t>
            </w:r>
            <w:r>
              <w:rPr>
                <w:rFonts w:hint="eastAsia" w:ascii="宋体" w:hAnsi="宋体" w:eastAsia="宋体" w:cs="宋体"/>
                <w:bCs/>
                <w:color w:val="auto"/>
                <w:kern w:val="0"/>
                <w:sz w:val="24"/>
                <w:szCs w:val="24"/>
                <w:highlight w:val="none"/>
                <w:lang w:eastAsia="zh-CN"/>
              </w:rPr>
              <w:t>2024年11月27日13时30分</w:t>
            </w:r>
            <w:r>
              <w:rPr>
                <w:rFonts w:hint="eastAsia" w:ascii="宋体" w:hAnsi="宋体" w:eastAsia="宋体" w:cs="宋体"/>
                <w:bCs/>
                <w:color w:val="auto"/>
                <w:kern w:val="0"/>
                <w:sz w:val="24"/>
                <w:szCs w:val="24"/>
                <w:highlight w:val="none"/>
              </w:rPr>
              <w:t>（北京时间）；</w:t>
            </w:r>
          </w:p>
          <w:p w14:paraId="2C88A0E3">
            <w:pPr>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开标地点：</w:t>
            </w:r>
            <w:r>
              <w:rPr>
                <w:rFonts w:hint="eastAsia" w:ascii="宋体" w:hAnsi="宋体" w:eastAsia="宋体" w:cs="宋体"/>
                <w:bCs/>
                <w:color w:val="auto"/>
                <w:kern w:val="0"/>
                <w:sz w:val="24"/>
                <w:szCs w:val="24"/>
                <w:highlight w:val="none"/>
                <w:lang w:val="zh-CN"/>
              </w:rPr>
              <w:t>吉林省长春市二道区洋浦大街6999号凯利中心AB栋101</w:t>
            </w:r>
            <w:r>
              <w:rPr>
                <w:rFonts w:hint="eastAsia" w:ascii="宋体" w:hAnsi="宋体" w:eastAsia="宋体" w:cs="宋体"/>
                <w:bCs/>
                <w:color w:val="auto"/>
                <w:kern w:val="0"/>
                <w:sz w:val="24"/>
                <w:szCs w:val="24"/>
                <w:highlight w:val="none"/>
                <w:lang w:val="zh-CN"/>
              </w:rPr>
              <w:t>开标</w:t>
            </w:r>
            <w:r>
              <w:rPr>
                <w:rFonts w:hint="eastAsia" w:ascii="宋体" w:hAnsi="宋体" w:eastAsia="宋体" w:cs="宋体"/>
                <w:bCs/>
                <w:color w:val="auto"/>
                <w:kern w:val="0"/>
                <w:sz w:val="24"/>
                <w:szCs w:val="24"/>
                <w:highlight w:val="none"/>
                <w:lang w:val="en-US" w:eastAsia="zh-CN"/>
              </w:rPr>
              <w:t>二</w:t>
            </w:r>
            <w:r>
              <w:rPr>
                <w:rFonts w:hint="eastAsia" w:ascii="宋体" w:hAnsi="宋体" w:eastAsia="宋体" w:cs="宋体"/>
                <w:bCs/>
                <w:color w:val="auto"/>
                <w:kern w:val="0"/>
                <w:sz w:val="24"/>
                <w:szCs w:val="24"/>
                <w:highlight w:val="none"/>
                <w:lang w:val="zh-CN"/>
              </w:rPr>
              <w:t>室</w:t>
            </w:r>
          </w:p>
        </w:tc>
      </w:tr>
      <w:tr w14:paraId="5AF66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jc w:val="center"/>
        </w:trPr>
        <w:tc>
          <w:tcPr>
            <w:tcW w:w="848" w:type="dxa"/>
            <w:vAlign w:val="center"/>
          </w:tcPr>
          <w:p w14:paraId="23C2BF8E">
            <w:pPr>
              <w:pStyle w:val="102"/>
              <w:spacing w:before="1" w:line="400" w:lineRule="exact"/>
              <w:ind w:left="107"/>
              <w:jc w:val="center"/>
              <w:rPr>
                <w:color w:val="auto"/>
                <w:kern w:val="0"/>
                <w:sz w:val="24"/>
                <w:szCs w:val="24"/>
              </w:rPr>
            </w:pPr>
            <w:r>
              <w:rPr>
                <w:rFonts w:hint="eastAsia"/>
                <w:color w:val="auto"/>
                <w:kern w:val="0"/>
                <w:sz w:val="24"/>
                <w:szCs w:val="24"/>
              </w:rPr>
              <w:t>6.1</w:t>
            </w:r>
          </w:p>
        </w:tc>
        <w:tc>
          <w:tcPr>
            <w:tcW w:w="1740" w:type="dxa"/>
            <w:vAlign w:val="center"/>
          </w:tcPr>
          <w:p w14:paraId="26C48761">
            <w:pPr>
              <w:pStyle w:val="102"/>
              <w:spacing w:before="1" w:line="400" w:lineRule="exact"/>
              <w:jc w:val="center"/>
              <w:rPr>
                <w:color w:val="auto"/>
                <w:kern w:val="0"/>
                <w:sz w:val="24"/>
                <w:szCs w:val="24"/>
              </w:rPr>
            </w:pPr>
            <w:r>
              <w:rPr>
                <w:rFonts w:hint="eastAsia"/>
                <w:color w:val="auto"/>
                <w:kern w:val="0"/>
                <w:sz w:val="24"/>
                <w:szCs w:val="24"/>
              </w:rPr>
              <w:t>磋商小组的组建</w:t>
            </w:r>
          </w:p>
        </w:tc>
        <w:tc>
          <w:tcPr>
            <w:tcW w:w="6504" w:type="dxa"/>
            <w:vAlign w:val="center"/>
          </w:tcPr>
          <w:p w14:paraId="6CFD0C6D">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评标委员会构成：3 人</w:t>
            </w:r>
          </w:p>
          <w:p w14:paraId="3F852637">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评标专家确定方式：外聘专家从依法设立的专家库中随机抽取</w:t>
            </w:r>
          </w:p>
        </w:tc>
      </w:tr>
      <w:tr w14:paraId="26C38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jc w:val="center"/>
        </w:trPr>
        <w:tc>
          <w:tcPr>
            <w:tcW w:w="848" w:type="dxa"/>
            <w:vAlign w:val="center"/>
          </w:tcPr>
          <w:p w14:paraId="644D8363">
            <w:pPr>
              <w:pStyle w:val="102"/>
              <w:spacing w:line="400" w:lineRule="exact"/>
              <w:ind w:left="107"/>
              <w:jc w:val="center"/>
              <w:rPr>
                <w:color w:val="auto"/>
                <w:kern w:val="0"/>
                <w:sz w:val="24"/>
                <w:szCs w:val="24"/>
              </w:rPr>
            </w:pPr>
            <w:r>
              <w:rPr>
                <w:rFonts w:hint="eastAsia"/>
                <w:color w:val="auto"/>
                <w:kern w:val="0"/>
                <w:sz w:val="24"/>
                <w:szCs w:val="24"/>
              </w:rPr>
              <w:t>7.1</w:t>
            </w:r>
          </w:p>
        </w:tc>
        <w:tc>
          <w:tcPr>
            <w:tcW w:w="1740" w:type="dxa"/>
          </w:tcPr>
          <w:p w14:paraId="1C2C6F97">
            <w:pPr>
              <w:pStyle w:val="102"/>
              <w:spacing w:line="400" w:lineRule="exact"/>
              <w:ind w:left="107"/>
              <w:jc w:val="center"/>
              <w:rPr>
                <w:color w:val="auto"/>
                <w:kern w:val="0"/>
                <w:sz w:val="24"/>
                <w:szCs w:val="24"/>
              </w:rPr>
            </w:pPr>
            <w:r>
              <w:rPr>
                <w:rFonts w:hint="eastAsia"/>
                <w:color w:val="auto"/>
                <w:kern w:val="0"/>
                <w:sz w:val="24"/>
                <w:szCs w:val="24"/>
              </w:rPr>
              <w:t>是否授权评标委员会确定中标人</w:t>
            </w:r>
          </w:p>
        </w:tc>
        <w:tc>
          <w:tcPr>
            <w:tcW w:w="6504" w:type="dxa"/>
            <w:vAlign w:val="center"/>
          </w:tcPr>
          <w:p w14:paraId="18AB3FB0">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rFonts w:hint="eastAsia" w:eastAsia="宋体"/>
                <w:color w:val="auto"/>
                <w:kern w:val="0"/>
                <w:sz w:val="24"/>
                <w:szCs w:val="24"/>
                <w:lang w:eastAsia="zh-CN"/>
              </w:rPr>
            </w:pPr>
            <w:r>
              <w:rPr>
                <w:rFonts w:hint="eastAsia"/>
                <w:color w:val="auto"/>
                <w:kern w:val="0"/>
                <w:sz w:val="24"/>
                <w:szCs w:val="24"/>
                <w:lang w:eastAsia="zh-CN"/>
              </w:rPr>
              <w:t>否，推荐</w:t>
            </w:r>
            <w:r>
              <w:rPr>
                <w:rFonts w:hint="eastAsia"/>
                <w:color w:val="auto"/>
                <w:kern w:val="0"/>
                <w:sz w:val="24"/>
                <w:szCs w:val="24"/>
                <w:lang w:val="en-US" w:eastAsia="zh-CN"/>
              </w:rPr>
              <w:t>一</w:t>
            </w:r>
            <w:r>
              <w:rPr>
                <w:rFonts w:hint="eastAsia"/>
                <w:color w:val="auto"/>
                <w:kern w:val="0"/>
                <w:sz w:val="24"/>
                <w:szCs w:val="24"/>
                <w:lang w:eastAsia="zh-CN"/>
              </w:rPr>
              <w:t>名成交候选人</w:t>
            </w:r>
          </w:p>
        </w:tc>
      </w:tr>
      <w:tr w14:paraId="35ECF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48" w:type="dxa"/>
            <w:vAlign w:val="center"/>
          </w:tcPr>
          <w:p w14:paraId="7A3AEFA3">
            <w:pPr>
              <w:pStyle w:val="102"/>
              <w:spacing w:line="400" w:lineRule="exact"/>
              <w:ind w:left="107"/>
              <w:jc w:val="center"/>
              <w:rPr>
                <w:color w:val="auto"/>
                <w:kern w:val="0"/>
                <w:sz w:val="24"/>
                <w:szCs w:val="24"/>
              </w:rPr>
            </w:pPr>
            <w:r>
              <w:rPr>
                <w:rFonts w:hint="eastAsia"/>
                <w:color w:val="auto"/>
                <w:kern w:val="0"/>
                <w:sz w:val="24"/>
                <w:szCs w:val="24"/>
              </w:rPr>
              <w:t>7.2</w:t>
            </w:r>
          </w:p>
        </w:tc>
        <w:tc>
          <w:tcPr>
            <w:tcW w:w="1740" w:type="dxa"/>
            <w:vAlign w:val="center"/>
          </w:tcPr>
          <w:p w14:paraId="60055F2B">
            <w:pPr>
              <w:pStyle w:val="102"/>
              <w:spacing w:before="2" w:line="400" w:lineRule="exact"/>
              <w:ind w:left="107"/>
              <w:jc w:val="center"/>
              <w:rPr>
                <w:color w:val="auto"/>
                <w:kern w:val="0"/>
                <w:sz w:val="24"/>
                <w:szCs w:val="24"/>
              </w:rPr>
            </w:pPr>
            <w:r>
              <w:rPr>
                <w:rFonts w:hint="eastAsia"/>
                <w:color w:val="auto"/>
                <w:kern w:val="0"/>
                <w:sz w:val="24"/>
                <w:szCs w:val="24"/>
              </w:rPr>
              <w:t>中标结果公告媒介</w:t>
            </w:r>
          </w:p>
        </w:tc>
        <w:tc>
          <w:tcPr>
            <w:tcW w:w="6504" w:type="dxa"/>
            <w:vAlign w:val="center"/>
          </w:tcPr>
          <w:p w14:paraId="025E1505">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在成交通知书发出前，采购人将</w:t>
            </w:r>
            <w:r>
              <w:rPr>
                <w:rFonts w:hint="eastAsia"/>
                <w:color w:val="auto"/>
                <w:kern w:val="0"/>
                <w:sz w:val="24"/>
                <w:szCs w:val="24"/>
                <w:lang w:eastAsia="zh-CN"/>
              </w:rPr>
              <w:t>成交结果</w:t>
            </w:r>
            <w:r>
              <w:rPr>
                <w:rFonts w:hint="eastAsia"/>
                <w:color w:val="auto"/>
                <w:kern w:val="0"/>
                <w:sz w:val="24"/>
                <w:szCs w:val="24"/>
              </w:rPr>
              <w:t>的情况在</w:t>
            </w:r>
            <w:r>
              <w:rPr>
                <w:rFonts w:hint="eastAsia" w:ascii="宋体" w:hAnsi="宋体" w:eastAsia="宋体" w:cs="宋体"/>
                <w:bCs/>
                <w:color w:val="auto"/>
                <w:sz w:val="24"/>
                <w:lang w:val="en-US" w:eastAsia="zh-CN"/>
              </w:rPr>
              <w:t>中国政府采购网、长春市公共资源交易网、中国招标投标公共服务平台</w:t>
            </w:r>
            <w:r>
              <w:rPr>
                <w:rFonts w:hint="eastAsia"/>
                <w:color w:val="auto"/>
                <w:kern w:val="0"/>
                <w:sz w:val="24"/>
                <w:szCs w:val="24"/>
              </w:rPr>
              <w:t>媒介予以</w:t>
            </w:r>
            <w:r>
              <w:rPr>
                <w:rFonts w:hint="eastAsia"/>
                <w:color w:val="auto"/>
                <w:kern w:val="0"/>
                <w:sz w:val="24"/>
                <w:szCs w:val="24"/>
                <w:lang w:val="en-US" w:eastAsia="zh-CN"/>
              </w:rPr>
              <w:t>公告</w:t>
            </w:r>
            <w:r>
              <w:rPr>
                <w:rFonts w:hint="eastAsia"/>
                <w:color w:val="auto"/>
                <w:kern w:val="0"/>
                <w:sz w:val="24"/>
                <w:szCs w:val="24"/>
              </w:rPr>
              <w:t>，公示期</w:t>
            </w:r>
            <w:r>
              <w:rPr>
                <w:rFonts w:hint="eastAsia"/>
                <w:color w:val="auto"/>
                <w:kern w:val="0"/>
                <w:sz w:val="24"/>
                <w:szCs w:val="24"/>
                <w:lang w:val="en-US"/>
              </w:rPr>
              <w:t>1个工作</w:t>
            </w:r>
            <w:r>
              <w:rPr>
                <w:rFonts w:hint="eastAsia"/>
                <w:color w:val="auto"/>
                <w:kern w:val="0"/>
                <w:sz w:val="24"/>
                <w:szCs w:val="24"/>
              </w:rPr>
              <w:t>日。</w:t>
            </w:r>
          </w:p>
        </w:tc>
      </w:tr>
      <w:tr w14:paraId="636E2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848" w:type="dxa"/>
            <w:vAlign w:val="center"/>
          </w:tcPr>
          <w:p w14:paraId="744CD58A">
            <w:pPr>
              <w:pStyle w:val="102"/>
              <w:spacing w:before="157" w:line="400" w:lineRule="exact"/>
              <w:ind w:left="107"/>
              <w:jc w:val="center"/>
              <w:rPr>
                <w:color w:val="auto"/>
                <w:kern w:val="0"/>
                <w:sz w:val="24"/>
                <w:szCs w:val="24"/>
              </w:rPr>
            </w:pPr>
            <w:r>
              <w:rPr>
                <w:rFonts w:hint="eastAsia"/>
                <w:color w:val="auto"/>
                <w:kern w:val="0"/>
                <w:sz w:val="24"/>
                <w:szCs w:val="24"/>
              </w:rPr>
              <w:t>8.2</w:t>
            </w:r>
          </w:p>
        </w:tc>
        <w:tc>
          <w:tcPr>
            <w:tcW w:w="1740" w:type="dxa"/>
          </w:tcPr>
          <w:p w14:paraId="7044834A">
            <w:pPr>
              <w:pStyle w:val="102"/>
              <w:spacing w:before="157" w:line="400" w:lineRule="exact"/>
              <w:ind w:left="107"/>
              <w:jc w:val="center"/>
              <w:rPr>
                <w:color w:val="auto"/>
                <w:kern w:val="0"/>
                <w:sz w:val="24"/>
                <w:szCs w:val="24"/>
              </w:rPr>
            </w:pPr>
            <w:r>
              <w:rPr>
                <w:rFonts w:hint="eastAsia"/>
                <w:color w:val="auto"/>
                <w:kern w:val="0"/>
                <w:sz w:val="24"/>
                <w:szCs w:val="24"/>
              </w:rPr>
              <w:t>采购代理服务费</w:t>
            </w:r>
          </w:p>
        </w:tc>
        <w:tc>
          <w:tcPr>
            <w:tcW w:w="6504" w:type="dxa"/>
            <w:vAlign w:val="center"/>
          </w:tcPr>
          <w:p w14:paraId="53D7ABD8">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执行发改价格[2015]299号文件，向</w:t>
            </w:r>
            <w:r>
              <w:rPr>
                <w:rFonts w:hint="eastAsia"/>
                <w:color w:val="auto"/>
                <w:kern w:val="0"/>
                <w:sz w:val="24"/>
                <w:szCs w:val="24"/>
                <w:lang w:val="en-US" w:eastAsia="zh-CN"/>
              </w:rPr>
              <w:t>成交供应商</w:t>
            </w:r>
            <w:r>
              <w:rPr>
                <w:rFonts w:hint="eastAsia"/>
                <w:color w:val="auto"/>
                <w:kern w:val="0"/>
                <w:sz w:val="24"/>
                <w:szCs w:val="24"/>
              </w:rPr>
              <w:t>收</w:t>
            </w:r>
            <w:r>
              <w:rPr>
                <w:rFonts w:hint="eastAsia"/>
                <w:color w:val="auto"/>
                <w:kern w:val="0"/>
                <w:sz w:val="24"/>
                <w:szCs w:val="24"/>
                <w:lang w:val="en-US" w:eastAsia="zh-CN"/>
              </w:rPr>
              <w:t>取不超过采购预算2%的</w:t>
            </w:r>
            <w:r>
              <w:rPr>
                <w:rFonts w:hint="eastAsia"/>
                <w:color w:val="auto"/>
                <w:kern w:val="0"/>
                <w:sz w:val="24"/>
                <w:szCs w:val="24"/>
              </w:rPr>
              <w:t>招标代理服务费。</w:t>
            </w:r>
          </w:p>
        </w:tc>
      </w:tr>
      <w:tr w14:paraId="6201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20D907F4">
            <w:pPr>
              <w:pStyle w:val="102"/>
              <w:spacing w:before="2" w:line="400" w:lineRule="exact"/>
              <w:ind w:left="107"/>
              <w:jc w:val="center"/>
              <w:rPr>
                <w:color w:val="auto"/>
                <w:kern w:val="0"/>
                <w:sz w:val="24"/>
                <w:szCs w:val="24"/>
              </w:rPr>
            </w:pPr>
            <w:r>
              <w:rPr>
                <w:rFonts w:hint="eastAsia"/>
                <w:color w:val="auto"/>
                <w:kern w:val="0"/>
                <w:sz w:val="24"/>
                <w:szCs w:val="24"/>
              </w:rPr>
              <w:t>8.3</w:t>
            </w:r>
          </w:p>
        </w:tc>
        <w:tc>
          <w:tcPr>
            <w:tcW w:w="1740" w:type="dxa"/>
          </w:tcPr>
          <w:p w14:paraId="379225CD">
            <w:pPr>
              <w:pStyle w:val="102"/>
              <w:spacing w:before="2" w:line="400" w:lineRule="exact"/>
              <w:ind w:left="107"/>
              <w:jc w:val="center"/>
              <w:rPr>
                <w:color w:val="auto"/>
                <w:kern w:val="0"/>
                <w:sz w:val="24"/>
                <w:szCs w:val="24"/>
              </w:rPr>
            </w:pPr>
            <w:r>
              <w:rPr>
                <w:rFonts w:hint="eastAsia"/>
                <w:color w:val="auto"/>
                <w:kern w:val="0"/>
                <w:sz w:val="24"/>
                <w:szCs w:val="24"/>
              </w:rPr>
              <w:t>投标货币</w:t>
            </w:r>
          </w:p>
        </w:tc>
        <w:tc>
          <w:tcPr>
            <w:tcW w:w="6504" w:type="dxa"/>
            <w:vAlign w:val="center"/>
          </w:tcPr>
          <w:p w14:paraId="6377CEB9">
            <w:pPr>
              <w:pStyle w:val="102"/>
              <w:keepNext w:val="0"/>
              <w:keepLines w:val="0"/>
              <w:pageBreakBefore w:val="0"/>
              <w:widowControl/>
              <w:kinsoku/>
              <w:wordWrap/>
              <w:overflowPunct/>
              <w:topLinePunct w:val="0"/>
              <w:bidi w:val="0"/>
              <w:adjustRightInd w:val="0"/>
              <w:snapToGrid/>
              <w:spacing w:line="400" w:lineRule="exact"/>
              <w:ind w:left="105" w:leftChars="50" w:right="0"/>
              <w:jc w:val="both"/>
              <w:textAlignment w:val="auto"/>
              <w:rPr>
                <w:color w:val="auto"/>
                <w:kern w:val="0"/>
                <w:sz w:val="24"/>
                <w:szCs w:val="24"/>
              </w:rPr>
            </w:pPr>
            <w:r>
              <w:rPr>
                <w:rFonts w:hint="eastAsia"/>
                <w:color w:val="auto"/>
                <w:kern w:val="0"/>
                <w:sz w:val="24"/>
                <w:szCs w:val="24"/>
              </w:rPr>
              <w:t>投标货币：人民币。</w:t>
            </w:r>
          </w:p>
        </w:tc>
      </w:tr>
      <w:tr w14:paraId="4C409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9092" w:type="dxa"/>
            <w:gridSpan w:val="3"/>
            <w:vAlign w:val="center"/>
          </w:tcPr>
          <w:p w14:paraId="519D9FBD">
            <w:pPr>
              <w:pStyle w:val="102"/>
              <w:spacing w:before="2" w:line="400" w:lineRule="exact"/>
              <w:ind w:left="108"/>
              <w:jc w:val="both"/>
              <w:rPr>
                <w:color w:val="auto"/>
                <w:kern w:val="0"/>
                <w:sz w:val="24"/>
                <w:szCs w:val="24"/>
              </w:rPr>
            </w:pPr>
            <w:r>
              <w:rPr>
                <w:rFonts w:hint="eastAsia"/>
                <w:color w:val="auto"/>
                <w:kern w:val="0"/>
                <w:sz w:val="24"/>
                <w:szCs w:val="24"/>
              </w:rPr>
              <w:t>1</w:t>
            </w:r>
            <w:r>
              <w:rPr>
                <w:rFonts w:hint="eastAsia"/>
                <w:color w:val="auto"/>
                <w:kern w:val="0"/>
                <w:sz w:val="24"/>
                <w:szCs w:val="24"/>
                <w:lang w:val="en-US" w:eastAsia="zh-CN"/>
              </w:rPr>
              <w:t>1</w:t>
            </w:r>
            <w:r>
              <w:rPr>
                <w:rFonts w:hint="eastAsia"/>
                <w:color w:val="auto"/>
                <w:kern w:val="0"/>
                <w:sz w:val="24"/>
                <w:szCs w:val="24"/>
              </w:rPr>
              <w:t>、需要补充的其他内容</w:t>
            </w:r>
          </w:p>
        </w:tc>
      </w:tr>
      <w:tr w14:paraId="2F187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062E76ED">
            <w:pPr>
              <w:spacing w:line="400" w:lineRule="exact"/>
              <w:jc w:val="center"/>
              <w:rPr>
                <w:rFonts w:hint="eastAsia" w:ascii="宋体" w:hAnsi="宋体" w:eastAsia="宋体" w:cs="宋体"/>
                <w:color w:val="auto"/>
                <w:kern w:val="0"/>
                <w:sz w:val="24"/>
                <w:szCs w:val="24"/>
                <w:lang w:val="zh-CN" w:eastAsia="zh-CN"/>
              </w:rPr>
            </w:pPr>
            <w:r>
              <w:rPr>
                <w:rFonts w:hint="eastAsia" w:ascii="宋体" w:hAnsi="宋体" w:eastAsia="宋体" w:cs="宋体"/>
                <w:color w:val="auto"/>
                <w:kern w:val="0"/>
                <w:sz w:val="24"/>
                <w:szCs w:val="24"/>
                <w:lang w:val="zh-CN"/>
              </w:rPr>
              <w:t>1</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val="zh-CN"/>
              </w:rPr>
              <w:t>.</w:t>
            </w:r>
            <w:r>
              <w:rPr>
                <w:rFonts w:hint="eastAsia" w:ascii="宋体" w:hAnsi="宋体" w:eastAsia="宋体" w:cs="宋体"/>
                <w:color w:val="auto"/>
                <w:kern w:val="0"/>
                <w:sz w:val="24"/>
                <w:szCs w:val="24"/>
                <w:lang w:val="en-US" w:eastAsia="zh-CN"/>
              </w:rPr>
              <w:t>1</w:t>
            </w:r>
          </w:p>
        </w:tc>
        <w:tc>
          <w:tcPr>
            <w:tcW w:w="1740" w:type="dxa"/>
            <w:vAlign w:val="center"/>
          </w:tcPr>
          <w:p w14:paraId="14EA1CCE">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特别提示</w:t>
            </w:r>
          </w:p>
        </w:tc>
        <w:tc>
          <w:tcPr>
            <w:tcW w:w="6504" w:type="dxa"/>
            <w:vAlign w:val="center"/>
          </w:tcPr>
          <w:p w14:paraId="62274BEC">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采购人将进一步核查供应商在响应文件中的提供的资料复印件，供应商若提供虚假资料，将取消其中标资格并追究其法律责任。</w:t>
            </w:r>
          </w:p>
        </w:tc>
      </w:tr>
      <w:tr w14:paraId="0901B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5D0435BC">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11.2</w:t>
            </w:r>
          </w:p>
        </w:tc>
        <w:tc>
          <w:tcPr>
            <w:tcW w:w="1740" w:type="dxa"/>
            <w:vAlign w:val="center"/>
          </w:tcPr>
          <w:p w14:paraId="24520D34">
            <w:pPr>
              <w:spacing w:line="400" w:lineRule="exact"/>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履约保证金</w:t>
            </w:r>
          </w:p>
        </w:tc>
        <w:tc>
          <w:tcPr>
            <w:tcW w:w="6504" w:type="dxa"/>
            <w:vAlign w:val="center"/>
          </w:tcPr>
          <w:p w14:paraId="612025CA">
            <w:pPr>
              <w:spacing w:line="400" w:lineRule="exact"/>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en-US" w:eastAsia="zh-CN"/>
              </w:rPr>
              <w:t>无</w:t>
            </w:r>
          </w:p>
        </w:tc>
      </w:tr>
      <w:tr w14:paraId="64C1F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426CEEB6">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11.3</w:t>
            </w:r>
          </w:p>
        </w:tc>
        <w:tc>
          <w:tcPr>
            <w:tcW w:w="1740" w:type="dxa"/>
            <w:vAlign w:val="center"/>
          </w:tcPr>
          <w:p w14:paraId="39CBA1BA">
            <w:pPr>
              <w:spacing w:line="400" w:lineRule="exact"/>
              <w:jc w:val="center"/>
              <w:rPr>
                <w:rFonts w:hint="default"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bCs/>
                <w:color w:val="auto"/>
                <w:kern w:val="0"/>
                <w:sz w:val="24"/>
                <w:szCs w:val="24"/>
                <w:highlight w:val="none"/>
                <w:lang w:val="en-US" w:eastAsia="zh-CN" w:bidi="ar-SA"/>
              </w:rPr>
              <w:t>付款方式</w:t>
            </w:r>
          </w:p>
        </w:tc>
        <w:tc>
          <w:tcPr>
            <w:tcW w:w="6504" w:type="dxa"/>
            <w:vAlign w:val="center"/>
          </w:tcPr>
          <w:p w14:paraId="29EEABB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cs="宋体"/>
                <w:b w:val="0"/>
                <w:bCs w:val="0"/>
                <w:color w:val="auto"/>
                <w:sz w:val="24"/>
                <w:highlight w:val="none"/>
                <w:lang w:val="en-US"/>
              </w:rPr>
            </w:pPr>
            <w:r>
              <w:rPr>
                <w:rFonts w:hint="eastAsia" w:ascii="宋体" w:hAnsi="宋体" w:eastAsia="宋体" w:cs="宋体"/>
                <w:b w:val="0"/>
                <w:bCs w:val="0"/>
                <w:color w:val="auto"/>
                <w:kern w:val="0"/>
                <w:sz w:val="24"/>
                <w:szCs w:val="24"/>
                <w:highlight w:val="none"/>
                <w:lang w:val="en-US" w:eastAsia="zh-CN"/>
              </w:rPr>
              <w:t>合同签订以后付款50%，供货安装并经验收合格后付款50%。</w:t>
            </w:r>
          </w:p>
        </w:tc>
      </w:tr>
      <w:tr w14:paraId="461F3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60B014A1">
            <w:pPr>
              <w:spacing w:line="400" w:lineRule="exact"/>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zh-CN"/>
              </w:rPr>
              <w:t>1</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val="zh-CN"/>
              </w:rPr>
              <w:t>.</w:t>
            </w:r>
            <w:r>
              <w:rPr>
                <w:rFonts w:hint="eastAsia" w:ascii="宋体" w:hAnsi="宋体" w:eastAsia="宋体" w:cs="宋体"/>
                <w:color w:val="auto"/>
                <w:kern w:val="0"/>
                <w:sz w:val="24"/>
                <w:szCs w:val="24"/>
                <w:lang w:val="en-US" w:eastAsia="zh-CN"/>
              </w:rPr>
              <w:t>4</w:t>
            </w:r>
          </w:p>
        </w:tc>
        <w:tc>
          <w:tcPr>
            <w:tcW w:w="1740" w:type="dxa"/>
            <w:vAlign w:val="center"/>
          </w:tcPr>
          <w:p w14:paraId="4FC616D1">
            <w:pPr>
              <w:spacing w:line="340" w:lineRule="exact"/>
              <w:jc w:val="center"/>
              <w:textAlignment w:val="baseline"/>
              <w:rPr>
                <w:rFonts w:hint="eastAsia" w:ascii="宋体" w:hAnsi="宋体" w:eastAsia="宋体" w:cs="宋体"/>
                <w:b w:val="0"/>
                <w:bCs/>
                <w:color w:val="auto"/>
                <w:kern w:val="0"/>
                <w:sz w:val="24"/>
                <w:szCs w:val="24"/>
                <w:highlight w:val="none"/>
                <w:lang w:val="en-US" w:eastAsia="zh-CN" w:bidi="ar-SA"/>
              </w:rPr>
            </w:pPr>
            <w:r>
              <w:rPr>
                <w:rFonts w:hint="eastAsia" w:ascii="宋体" w:hAnsi="宋体" w:cs="宋体"/>
                <w:color w:val="auto"/>
                <w:sz w:val="24"/>
                <w:szCs w:val="24"/>
                <w:highlight w:val="none"/>
              </w:rPr>
              <w:t>中小企业划分标准所属行业</w:t>
            </w:r>
          </w:p>
        </w:tc>
        <w:tc>
          <w:tcPr>
            <w:tcW w:w="6504" w:type="dxa"/>
            <w:vAlign w:val="center"/>
          </w:tcPr>
          <w:p w14:paraId="444A1029">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hint="eastAsia" w:ascii="宋体" w:hAnsi="宋体" w:cs="Times New Roman"/>
                <w:b w:val="0"/>
                <w:bCs w:val="0"/>
                <w:color w:val="auto"/>
                <w:sz w:val="24"/>
                <w:highlight w:val="none"/>
              </w:rPr>
            </w:pPr>
            <w:r>
              <w:rPr>
                <w:rFonts w:hint="eastAsia" w:ascii="宋体" w:hAnsi="宋体" w:cs="Times New Roman"/>
                <w:b w:val="0"/>
                <w:bCs w:val="0"/>
                <w:color w:val="auto"/>
                <w:sz w:val="24"/>
                <w:highlight w:val="none"/>
                <w:lang w:val="en-US" w:eastAsia="zh-CN"/>
              </w:rPr>
              <w:t>本项目所属行业为工业。</w:t>
            </w:r>
          </w:p>
        </w:tc>
      </w:tr>
      <w:tr w14:paraId="0D929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shd w:val="clear" w:color="auto" w:fill="auto"/>
            <w:vAlign w:val="center"/>
          </w:tcPr>
          <w:p w14:paraId="13C781A3">
            <w:pPr>
              <w:spacing w:line="400" w:lineRule="exact"/>
              <w:jc w:val="center"/>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en-US" w:eastAsia="zh-CN"/>
              </w:rPr>
              <w:t>11.5</w:t>
            </w:r>
          </w:p>
        </w:tc>
        <w:tc>
          <w:tcPr>
            <w:tcW w:w="1740" w:type="dxa"/>
            <w:vAlign w:val="center"/>
          </w:tcPr>
          <w:p w14:paraId="09E10EFA">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highlight w:val="none"/>
              </w:rPr>
              <w:t>质保期</w:t>
            </w:r>
          </w:p>
        </w:tc>
        <w:tc>
          <w:tcPr>
            <w:tcW w:w="6504" w:type="dxa"/>
            <w:vAlign w:val="center"/>
          </w:tcPr>
          <w:p w14:paraId="5F4542BB">
            <w:pPr>
              <w:autoSpaceDE w:val="0"/>
              <w:autoSpaceDN w:val="0"/>
              <w:adjustRightInd w:val="0"/>
              <w:spacing w:line="360" w:lineRule="auto"/>
              <w:rPr>
                <w:rFonts w:hint="eastAsia" w:ascii="宋体" w:hAnsi="宋体" w:cs="Times New Roman"/>
                <w:b w:val="0"/>
                <w:bCs w:val="0"/>
                <w:color w:val="auto"/>
                <w:sz w:val="24"/>
                <w:highlight w:val="none"/>
                <w:lang w:val="en-US" w:eastAsia="zh-CN"/>
              </w:rPr>
            </w:pPr>
            <w:r>
              <w:rPr>
                <w:rFonts w:ascii="宋体" w:hAnsi="宋体" w:cs="宋体"/>
                <w:color w:val="auto"/>
                <w:sz w:val="24"/>
                <w:highlight w:val="none"/>
              </w:rPr>
              <w:t>整体项目质保期</w:t>
            </w:r>
            <w:r>
              <w:rPr>
                <w:rFonts w:hint="eastAsia" w:ascii="宋体" w:hAnsi="宋体" w:eastAsia="宋体" w:cs="宋体"/>
                <w:color w:val="auto"/>
                <w:sz w:val="24"/>
                <w:highlight w:val="none"/>
                <w:lang w:val="en-US" w:eastAsia="zh-CN"/>
              </w:rPr>
              <w:t>3</w:t>
            </w:r>
            <w:r>
              <w:rPr>
                <w:rFonts w:ascii="宋体" w:hAnsi="宋体" w:cs="宋体"/>
                <w:color w:val="auto"/>
                <w:sz w:val="24"/>
                <w:highlight w:val="none"/>
              </w:rPr>
              <w:t>年。质保期从验收合格投入使用之日起计,所有产品按国家“三包”规定保修。终身提供技术支持服务,在质保期期内因货物质量、安装而造成货物损坏,其全部费用由中标人负责。</w:t>
            </w:r>
          </w:p>
        </w:tc>
      </w:tr>
      <w:tr w14:paraId="3338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shd w:val="clear" w:color="auto" w:fill="auto"/>
            <w:vAlign w:val="center"/>
          </w:tcPr>
          <w:p w14:paraId="3FC7F4FE">
            <w:pPr>
              <w:spacing w:line="400" w:lineRule="exact"/>
              <w:jc w:val="center"/>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en-US" w:eastAsia="zh-CN"/>
              </w:rPr>
              <w:t>11.6</w:t>
            </w:r>
          </w:p>
        </w:tc>
        <w:tc>
          <w:tcPr>
            <w:tcW w:w="1740" w:type="dxa"/>
            <w:vAlign w:val="center"/>
          </w:tcPr>
          <w:p w14:paraId="47B9C014">
            <w:pPr>
              <w:spacing w:line="400" w:lineRule="exact"/>
              <w:jc w:val="center"/>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重新招标的其他情形</w:t>
            </w:r>
          </w:p>
        </w:tc>
        <w:tc>
          <w:tcPr>
            <w:tcW w:w="6504" w:type="dxa"/>
            <w:vAlign w:val="center"/>
          </w:tcPr>
          <w:p w14:paraId="5196CCB1">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ascii="宋体" w:hAnsi="宋体" w:eastAsia="宋体" w:cs="宋体"/>
                <w:color w:val="auto"/>
                <w:kern w:val="0"/>
                <w:sz w:val="24"/>
                <w:szCs w:val="24"/>
                <w:lang w:val="zh-CN"/>
              </w:rPr>
            </w:pPr>
            <w:r>
              <w:rPr>
                <w:rFonts w:hint="eastAsia" w:ascii="宋体" w:hAnsi="宋体" w:eastAsia="宋体" w:cs="宋体"/>
                <w:color w:val="auto"/>
                <w:kern w:val="0"/>
                <w:sz w:val="24"/>
                <w:szCs w:val="24"/>
                <w:lang w:val="en-US" w:eastAsia="zh-CN"/>
              </w:rPr>
              <w:t>法律法规规定的</w:t>
            </w:r>
            <w:r>
              <w:rPr>
                <w:rFonts w:hint="eastAsia" w:ascii="宋体" w:hAnsi="宋体" w:eastAsia="宋体" w:cs="宋体"/>
                <w:color w:val="auto"/>
                <w:kern w:val="0"/>
                <w:sz w:val="24"/>
                <w:szCs w:val="24"/>
                <w:lang w:val="zh-CN"/>
              </w:rPr>
              <w:t>情形，采购人应当依法重新招标。</w:t>
            </w:r>
          </w:p>
        </w:tc>
      </w:tr>
      <w:tr w14:paraId="6307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2BE044F1">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11.7</w:t>
            </w:r>
          </w:p>
        </w:tc>
        <w:tc>
          <w:tcPr>
            <w:tcW w:w="1740" w:type="dxa"/>
            <w:vAlign w:val="center"/>
          </w:tcPr>
          <w:p w14:paraId="07706A96">
            <w:pPr>
              <w:pStyle w:val="209"/>
              <w:spacing w:line="240" w:lineRule="auto"/>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不正当竞争预防措施</w:t>
            </w:r>
          </w:p>
          <w:p w14:paraId="202DA769">
            <w:pPr>
              <w:pStyle w:val="209"/>
              <w:spacing w:line="240" w:lineRule="auto"/>
              <w:jc w:val="left"/>
              <w:rPr>
                <w:rFonts w:hint="eastAsia" w:ascii="宋体" w:hAnsi="宋体" w:eastAsia="宋体" w:cs="宋体"/>
                <w:color w:val="auto"/>
                <w:kern w:val="0"/>
                <w:sz w:val="24"/>
                <w:szCs w:val="24"/>
                <w:lang w:val="zh-CN"/>
              </w:rPr>
            </w:pPr>
          </w:p>
        </w:tc>
        <w:tc>
          <w:tcPr>
            <w:tcW w:w="6504" w:type="dxa"/>
            <w:vAlign w:val="center"/>
          </w:tcPr>
          <w:p w14:paraId="25794B47">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在评标过程中，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供应商书面说明应当按照国家财务会计制度的规定要求，逐项就</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提供的货物、工程和服务的主营业务成本（应根据</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企业类型予以区别）、税金及附加、销售费用、管理费用、财务费用等成本构成事项详细陈述。</w:t>
            </w:r>
          </w:p>
          <w:p w14:paraId="087EF1D4">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供应商书面说明应当签字确认或者加盖公章，否则无效。书面说明的签字确认：</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为法人</w:t>
            </w:r>
            <w:r>
              <w:rPr>
                <w:rFonts w:hint="eastAsia" w:ascii="宋体" w:hAnsi="宋体" w:eastAsia="宋体" w:cs="宋体"/>
                <w:color w:val="auto"/>
                <w:kern w:val="0"/>
                <w:sz w:val="24"/>
                <w:szCs w:val="24"/>
                <w:lang w:val="zh-CN"/>
              </w:rPr>
              <w:t>（负责人）</w:t>
            </w:r>
            <w:r>
              <w:rPr>
                <w:rFonts w:hint="eastAsia" w:ascii="宋体" w:hAnsi="宋体" w:eastAsia="宋体" w:cs="宋体"/>
                <w:color w:val="auto"/>
                <w:kern w:val="0"/>
                <w:sz w:val="24"/>
                <w:szCs w:val="24"/>
                <w:lang w:val="en-US" w:eastAsia="zh-CN"/>
              </w:rPr>
              <w:t>的，由其法定代表人</w:t>
            </w:r>
            <w:r>
              <w:rPr>
                <w:rFonts w:hint="eastAsia" w:ascii="宋体" w:hAnsi="宋体" w:eastAsia="宋体" w:cs="宋体"/>
                <w:color w:val="auto"/>
                <w:kern w:val="0"/>
                <w:sz w:val="24"/>
                <w:szCs w:val="24"/>
                <w:lang w:val="zh-CN"/>
              </w:rPr>
              <w:t>（负责人）</w:t>
            </w:r>
            <w:r>
              <w:rPr>
                <w:rFonts w:hint="eastAsia" w:ascii="宋体" w:hAnsi="宋体" w:eastAsia="宋体" w:cs="宋体"/>
                <w:color w:val="auto"/>
                <w:kern w:val="0"/>
                <w:sz w:val="24"/>
                <w:szCs w:val="24"/>
                <w:lang w:val="en-US" w:eastAsia="zh-CN"/>
              </w:rPr>
              <w:t>或者代理人签字确认；</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为其他组织的，由其主要负责人或者代理人签字确认；</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为自然人的，由其本人或者代理人签字确认。</w:t>
            </w:r>
          </w:p>
          <w:p w14:paraId="1808D95E">
            <w:pPr>
              <w:keepNext w:val="0"/>
              <w:keepLines w:val="0"/>
              <w:pageBreakBefore w:val="0"/>
              <w:widowControl/>
              <w:kinsoku/>
              <w:wordWrap/>
              <w:overflowPunct/>
              <w:topLinePunct w:val="0"/>
              <w:autoSpaceDE/>
              <w:autoSpaceDN/>
              <w:bidi w:val="0"/>
              <w:adjustRightInd/>
              <w:snapToGrid/>
              <w:spacing w:line="400" w:lineRule="exact"/>
              <w:ind w:left="105" w:leftChars="50"/>
              <w:jc w:val="both"/>
              <w:textAlignment w:val="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en-US" w:eastAsia="zh-CN"/>
              </w:rPr>
              <w:t>供应商提供书面说明后，评标委员会应当结合采购项目采购需求、专业实际情况、</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财务状况报告、与其他</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比较情况等就</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书面说明进行审查评价。</w:t>
            </w:r>
            <w:r>
              <w:rPr>
                <w:rFonts w:hint="eastAsia" w:ascii="宋体" w:hAnsi="宋体" w:eastAsia="宋体" w:cs="宋体"/>
                <w:color w:val="auto"/>
                <w:kern w:val="0"/>
                <w:sz w:val="24"/>
                <w:szCs w:val="24"/>
                <w:lang w:val="zh-CN"/>
              </w:rPr>
              <w:t>供应商</w:t>
            </w:r>
            <w:r>
              <w:rPr>
                <w:rFonts w:hint="eastAsia" w:ascii="宋体" w:hAnsi="宋体" w:eastAsia="宋体" w:cs="宋体"/>
                <w:color w:val="auto"/>
                <w:kern w:val="0"/>
                <w:sz w:val="24"/>
                <w:szCs w:val="24"/>
                <w:lang w:val="en-US" w:eastAsia="zh-CN"/>
              </w:rPr>
              <w:t>拒绝或者变相拒绝提供有效书面说明或者书面说明不能证明其报价合理性的，评标委员会应当将其响应文件作为无效处理。</w:t>
            </w:r>
          </w:p>
        </w:tc>
      </w:tr>
      <w:tr w14:paraId="0D9F9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48" w:type="dxa"/>
            <w:vAlign w:val="center"/>
          </w:tcPr>
          <w:p w14:paraId="3981F95A">
            <w:pPr>
              <w:spacing w:line="400" w:lineRule="exact"/>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11.8</w:t>
            </w:r>
          </w:p>
        </w:tc>
        <w:tc>
          <w:tcPr>
            <w:tcW w:w="1740" w:type="dxa"/>
            <w:vAlign w:val="center"/>
          </w:tcPr>
          <w:p w14:paraId="4FF13805">
            <w:pPr>
              <w:pStyle w:val="209"/>
              <w:jc w:val="center"/>
              <w:rPr>
                <w:rFonts w:hint="eastAsia" w:ascii="宋体" w:hAnsi="宋体" w:eastAsia="宋体" w:cs="宋体"/>
                <w:color w:val="auto"/>
                <w:kern w:val="0"/>
                <w:sz w:val="24"/>
                <w:szCs w:val="24"/>
                <w:lang w:val="zh-CN"/>
              </w:rPr>
            </w:pPr>
            <w:r>
              <w:rPr>
                <w:rFonts w:hint="eastAsia"/>
                <w:color w:val="auto"/>
                <w:lang w:val="zh-CN"/>
              </w:rPr>
              <w:t>相同品牌产品认定</w:t>
            </w:r>
          </w:p>
        </w:tc>
        <w:tc>
          <w:tcPr>
            <w:tcW w:w="6504" w:type="dxa"/>
            <w:vAlign w:val="center"/>
          </w:tcPr>
          <w:p w14:paraId="34C230A4">
            <w:pPr>
              <w:autoSpaceDE w:val="0"/>
              <w:autoSpaceDN w:val="0"/>
              <w:adjustRightInd w:val="0"/>
              <w:spacing w:line="360" w:lineRule="auto"/>
              <w:rPr>
                <w:rFonts w:hint="eastAsia" w:ascii="宋体" w:hAnsi="宋体" w:eastAsia="宋体" w:cs="宋体"/>
                <w:color w:val="auto"/>
                <w:kern w:val="0"/>
                <w:sz w:val="24"/>
                <w:szCs w:val="24"/>
                <w:lang w:val="en-US" w:eastAsia="zh-CN"/>
              </w:rPr>
            </w:pPr>
            <w:r>
              <w:rPr>
                <w:rFonts w:hint="eastAsia" w:ascii="宋体" w:hAnsi="宋体" w:cs="宋体"/>
                <w:color w:val="auto"/>
                <w:sz w:val="24"/>
              </w:rPr>
              <w:t>提供相同品牌产品且通过资格审查、符合性审查的不同供应商参加同一合同项下投标的，按一家供应商计算，评审后得分最高的同品牌供应商获得</w:t>
            </w:r>
            <w:r>
              <w:rPr>
                <w:rFonts w:hint="eastAsia" w:ascii="宋体" w:hAnsi="宋体" w:eastAsia="宋体" w:cs="宋体"/>
                <w:color w:val="auto"/>
                <w:sz w:val="24"/>
                <w:lang w:val="en-US" w:eastAsia="zh-CN"/>
              </w:rPr>
              <w:t>成交</w:t>
            </w:r>
            <w:r>
              <w:rPr>
                <w:rFonts w:hint="eastAsia" w:ascii="宋体" w:hAnsi="宋体" w:cs="宋体"/>
                <w:color w:val="auto"/>
                <w:sz w:val="24"/>
              </w:rPr>
              <w:t>人推荐资格；评审得分相同的，由采购人或者采购人委托评标委员会按照</w:t>
            </w:r>
            <w:r>
              <w:rPr>
                <w:rFonts w:hint="eastAsia" w:ascii="宋体" w:hAnsi="宋体" w:eastAsia="宋体" w:cs="宋体"/>
                <w:color w:val="auto"/>
                <w:sz w:val="24"/>
                <w:lang w:val="en-US" w:eastAsia="zh-CN"/>
              </w:rPr>
              <w:t>磋商</w:t>
            </w:r>
            <w:r>
              <w:rPr>
                <w:rFonts w:hint="eastAsia" w:ascii="宋体" w:hAnsi="宋体" w:cs="宋体"/>
                <w:color w:val="auto"/>
                <w:sz w:val="24"/>
              </w:rPr>
              <w:t>文件规定的方式确定一个供应商获得</w:t>
            </w:r>
            <w:r>
              <w:rPr>
                <w:rFonts w:hint="eastAsia" w:ascii="宋体" w:hAnsi="宋体" w:eastAsia="宋体" w:cs="宋体"/>
                <w:color w:val="auto"/>
                <w:sz w:val="24"/>
                <w:lang w:val="en-US" w:eastAsia="zh-CN"/>
              </w:rPr>
              <w:t>成交</w:t>
            </w:r>
            <w:r>
              <w:rPr>
                <w:rFonts w:hint="eastAsia" w:ascii="宋体" w:hAnsi="宋体" w:cs="宋体"/>
                <w:color w:val="auto"/>
                <w:sz w:val="24"/>
              </w:rPr>
              <w:t>人推荐资格，</w:t>
            </w:r>
            <w:r>
              <w:rPr>
                <w:rFonts w:hint="eastAsia" w:ascii="宋体" w:hAnsi="宋体" w:eastAsia="宋体" w:cs="宋体"/>
                <w:color w:val="auto"/>
                <w:sz w:val="24"/>
                <w:lang w:val="en-US" w:eastAsia="zh-CN"/>
              </w:rPr>
              <w:t>磋商</w:t>
            </w:r>
            <w:r>
              <w:rPr>
                <w:rFonts w:hint="eastAsia" w:ascii="宋体" w:hAnsi="宋体" w:cs="宋体"/>
                <w:color w:val="auto"/>
                <w:sz w:val="24"/>
              </w:rPr>
              <w:t>文件未规定的采取随机抽取方式确定，其他同品牌供应商不作为</w:t>
            </w:r>
            <w:r>
              <w:rPr>
                <w:rFonts w:hint="eastAsia" w:ascii="宋体" w:hAnsi="宋体" w:eastAsia="宋体" w:cs="宋体"/>
                <w:color w:val="auto"/>
                <w:sz w:val="24"/>
                <w:lang w:val="en-US" w:eastAsia="zh-CN"/>
              </w:rPr>
              <w:t>成交</w:t>
            </w:r>
            <w:r>
              <w:rPr>
                <w:rFonts w:hint="eastAsia" w:ascii="宋体" w:hAnsi="宋体" w:cs="宋体"/>
                <w:color w:val="auto"/>
                <w:sz w:val="24"/>
              </w:rPr>
              <w:t xml:space="preserve">候选人。 </w:t>
            </w:r>
          </w:p>
        </w:tc>
      </w:tr>
      <w:tr w14:paraId="288DD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4" w:hRule="atLeast"/>
          <w:jc w:val="center"/>
        </w:trPr>
        <w:tc>
          <w:tcPr>
            <w:tcW w:w="9092" w:type="dxa"/>
            <w:gridSpan w:val="3"/>
            <w:vAlign w:val="center"/>
          </w:tcPr>
          <w:p w14:paraId="4B8DA865">
            <w:pPr>
              <w:pStyle w:val="102"/>
              <w:spacing w:before="98" w:line="400" w:lineRule="exact"/>
              <w:ind w:left="107"/>
              <w:jc w:val="both"/>
              <w:rPr>
                <w:b/>
                <w:color w:val="auto"/>
                <w:kern w:val="0"/>
                <w:szCs w:val="21"/>
              </w:rPr>
            </w:pPr>
            <w:r>
              <w:rPr>
                <w:rFonts w:hint="eastAsia"/>
                <w:b/>
                <w:color w:val="auto"/>
                <w:kern w:val="0"/>
                <w:szCs w:val="21"/>
              </w:rPr>
              <w:t>磋商公告与磋商文件有不一致之处以磋商文件为准。</w:t>
            </w:r>
          </w:p>
        </w:tc>
      </w:tr>
    </w:tbl>
    <w:p w14:paraId="0C25E036">
      <w:pPr>
        <w:autoSpaceDE w:val="0"/>
        <w:autoSpaceDN w:val="0"/>
        <w:adjustRightInd w:val="0"/>
        <w:ind w:firstLine="420"/>
        <w:rPr>
          <w:rFonts w:ascii="宋体" w:hAnsi="宋体"/>
          <w:bCs/>
          <w:color w:val="auto"/>
          <w:sz w:val="24"/>
          <w:szCs w:val="24"/>
          <w:lang w:val="zh-CN"/>
        </w:rPr>
      </w:pPr>
      <w:r>
        <w:rPr>
          <w:rFonts w:ascii="宋体" w:hAnsi="宋体"/>
          <w:b/>
          <w:color w:val="auto"/>
          <w:sz w:val="24"/>
          <w:lang w:val="zh-CN"/>
        </w:rPr>
        <w:br w:type="page"/>
      </w:r>
      <w:r>
        <w:rPr>
          <w:rFonts w:hint="eastAsia" w:ascii="宋体" w:hAnsi="宋体"/>
          <w:bCs/>
          <w:color w:val="auto"/>
          <w:sz w:val="24"/>
          <w:szCs w:val="24"/>
          <w:lang w:val="zh-CN"/>
        </w:rPr>
        <w:t>1.总则</w:t>
      </w:r>
    </w:p>
    <w:p w14:paraId="3044C631">
      <w:pPr>
        <w:shd w:val="clear"/>
        <w:adjustRightInd w:val="0"/>
        <w:snapToGrid w:val="0"/>
        <w:ind w:firstLine="473" w:firstLineChars="197"/>
        <w:rPr>
          <w:rFonts w:hint="default" w:ascii="宋体" w:hAnsi="宋体" w:eastAsia="Calibri" w:cs="宋体"/>
          <w:b/>
          <w:bCs/>
          <w:color w:val="auto"/>
          <w:kern w:val="2"/>
          <w:sz w:val="24"/>
          <w:szCs w:val="24"/>
          <w:highlight w:val="none"/>
          <w:lang w:val="en-US" w:eastAsia="zh-CN" w:bidi="ar-SA"/>
        </w:rPr>
      </w:pPr>
      <w:r>
        <w:rPr>
          <w:rFonts w:hint="eastAsia" w:ascii="宋体" w:hAnsi="宋体" w:eastAsia="Calibri" w:cs="宋体"/>
          <w:b/>
          <w:bCs/>
          <w:color w:val="auto"/>
          <w:kern w:val="2"/>
          <w:sz w:val="24"/>
          <w:szCs w:val="24"/>
          <w:highlight w:val="none"/>
          <w:lang w:val="en-US" w:eastAsia="zh-CN" w:bidi="ar-SA"/>
        </w:rPr>
        <w:t>1.</w:t>
      </w:r>
      <w:r>
        <w:rPr>
          <w:rFonts w:hint="eastAsia" w:ascii="宋体" w:hAnsi="宋体" w:cs="宋体"/>
          <w:b/>
          <w:bCs/>
          <w:color w:val="auto"/>
          <w:kern w:val="2"/>
          <w:sz w:val="24"/>
          <w:szCs w:val="24"/>
          <w:highlight w:val="none"/>
          <w:lang w:val="en-US" w:eastAsia="zh-CN" w:bidi="ar-SA"/>
        </w:rPr>
        <w:t>1</w:t>
      </w:r>
      <w:r>
        <w:rPr>
          <w:rFonts w:hint="eastAsia" w:ascii="宋体" w:hAnsi="宋体" w:eastAsia="Calibri" w:cs="宋体"/>
          <w:b/>
          <w:bCs/>
          <w:color w:val="auto"/>
          <w:kern w:val="2"/>
          <w:sz w:val="24"/>
          <w:szCs w:val="24"/>
          <w:highlight w:val="none"/>
          <w:lang w:val="en-US" w:eastAsia="zh-CN" w:bidi="ar-SA"/>
        </w:rPr>
        <w:t>定义</w:t>
      </w:r>
    </w:p>
    <w:p w14:paraId="4565CD38">
      <w:pPr>
        <w:shd w:val="clear"/>
        <w:adjustRightInd w:val="0"/>
        <w:snapToGrid w:val="0"/>
        <w:ind w:firstLine="472" w:firstLineChars="197"/>
        <w:rPr>
          <w:rFonts w:ascii="宋体" w:hAnsi="宋体"/>
          <w:color w:val="auto"/>
          <w:sz w:val="24"/>
          <w:highlight w:val="none"/>
        </w:rPr>
      </w:pPr>
      <w:r>
        <w:rPr>
          <w:rFonts w:hint="eastAsia" w:ascii="宋体" w:hAnsi="宋体"/>
          <w:color w:val="auto"/>
          <w:sz w:val="24"/>
          <w:highlight w:val="none"/>
        </w:rPr>
        <w:t>1.1</w:t>
      </w:r>
      <w:r>
        <w:rPr>
          <w:rFonts w:hint="eastAsia" w:ascii="宋体" w:hAnsi="宋体" w:eastAsia="宋体"/>
          <w:color w:val="auto"/>
          <w:sz w:val="24"/>
          <w:highlight w:val="none"/>
          <w:lang w:val="en-US" w:eastAsia="zh-CN"/>
        </w:rPr>
        <w:t>.1</w:t>
      </w:r>
      <w:r>
        <w:rPr>
          <w:rFonts w:hint="eastAsia" w:ascii="宋体" w:hAnsi="宋体"/>
          <w:color w:val="auto"/>
          <w:sz w:val="24"/>
          <w:highlight w:val="none"/>
        </w:rPr>
        <w:t xml:space="preserve"> “采购人”是指依法进行政府采购的国家机关、事业单位、团体组织。本项目采购人详见本</w:t>
      </w:r>
      <w:r>
        <w:rPr>
          <w:rFonts w:hint="eastAsia" w:ascii="宋体" w:hAnsi="宋体" w:eastAsia="宋体"/>
          <w:color w:val="auto"/>
          <w:sz w:val="24"/>
          <w:highlight w:val="none"/>
          <w:lang w:eastAsia="zh-CN"/>
        </w:rPr>
        <w:t>磋商文件</w:t>
      </w:r>
      <w:r>
        <w:rPr>
          <w:rFonts w:hint="eastAsia" w:ascii="宋体" w:hAnsi="宋体"/>
          <w:color w:val="auto"/>
          <w:sz w:val="24"/>
          <w:highlight w:val="none"/>
        </w:rPr>
        <w:t>中第一章《</w:t>
      </w:r>
      <w:r>
        <w:rPr>
          <w:rFonts w:hint="eastAsia" w:ascii="宋体" w:hAnsi="宋体"/>
          <w:color w:val="auto"/>
          <w:sz w:val="24"/>
          <w:highlight w:val="none"/>
          <w:lang w:eastAsia="zh-CN"/>
        </w:rPr>
        <w:t>采购公告</w:t>
      </w:r>
      <w:r>
        <w:rPr>
          <w:rFonts w:hint="eastAsia" w:ascii="宋体" w:hAnsi="宋体"/>
          <w:color w:val="auto"/>
          <w:sz w:val="24"/>
          <w:highlight w:val="none"/>
        </w:rPr>
        <w:t xml:space="preserve">》。 </w:t>
      </w:r>
    </w:p>
    <w:p w14:paraId="380FFE9B">
      <w:pPr>
        <w:shd w:val="clear"/>
        <w:adjustRightInd w:val="0"/>
        <w:snapToGrid w:val="0"/>
        <w:ind w:firstLine="472" w:firstLineChars="197"/>
        <w:rPr>
          <w:rFonts w:ascii="宋体" w:hAnsi="宋体"/>
          <w:color w:val="auto"/>
          <w:sz w:val="24"/>
          <w:highlight w:val="none"/>
        </w:rPr>
      </w:pPr>
      <w:r>
        <w:rPr>
          <w:rFonts w:hint="eastAsia" w:ascii="宋体" w:hAnsi="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color w:val="auto"/>
          <w:sz w:val="24"/>
          <w:highlight w:val="none"/>
        </w:rPr>
        <w:t>2 “</w:t>
      </w:r>
      <w:r>
        <w:rPr>
          <w:rFonts w:hint="eastAsia" w:ascii="宋体" w:hAnsi="宋体"/>
          <w:color w:val="auto"/>
          <w:sz w:val="24"/>
          <w:highlight w:val="none"/>
          <w:lang w:eastAsia="zh-CN"/>
        </w:rPr>
        <w:t>采购代理机构</w:t>
      </w:r>
      <w:r>
        <w:rPr>
          <w:rFonts w:hint="eastAsia" w:ascii="宋体" w:hAnsi="宋体"/>
          <w:color w:val="auto"/>
          <w:sz w:val="24"/>
          <w:highlight w:val="none"/>
        </w:rPr>
        <w:t>”是指</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中招辰丰达招标有限公司</w:t>
      </w:r>
      <w:r>
        <w:rPr>
          <w:rFonts w:hint="eastAsia" w:ascii="宋体" w:hAnsi="宋体"/>
          <w:color w:val="auto"/>
          <w:sz w:val="24"/>
          <w:highlight w:val="none"/>
          <w:u w:val="single"/>
        </w:rPr>
        <w:t xml:space="preserve"> </w:t>
      </w:r>
    </w:p>
    <w:p w14:paraId="79B9F749">
      <w:pPr>
        <w:shd w:val="clear"/>
        <w:adjustRightInd w:val="0"/>
        <w:snapToGrid w:val="0"/>
        <w:ind w:firstLine="472" w:firstLineChars="197"/>
        <w:rPr>
          <w:rFonts w:ascii="宋体" w:hAnsi="宋体"/>
          <w:color w:val="auto"/>
          <w:sz w:val="24"/>
          <w:highlight w:val="none"/>
        </w:rPr>
      </w:pPr>
      <w:r>
        <w:rPr>
          <w:rFonts w:hint="eastAsia" w:ascii="宋体" w:hAnsi="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color w:val="auto"/>
          <w:sz w:val="24"/>
          <w:highlight w:val="none"/>
        </w:rPr>
        <w:t>3</w:t>
      </w:r>
      <w:r>
        <w:rPr>
          <w:rFonts w:hint="eastAsia" w:ascii="宋体" w:hAnsi="宋体"/>
          <w:color w:val="auto"/>
          <w:sz w:val="24"/>
          <w:highlight w:val="none"/>
        </w:rPr>
        <w:t>“货物和服务”是指</w:t>
      </w:r>
      <w:r>
        <w:rPr>
          <w:rFonts w:hint="eastAsia" w:ascii="宋体" w:hAnsi="宋体"/>
          <w:color w:val="auto"/>
          <w:sz w:val="24"/>
          <w:highlight w:val="none"/>
          <w:lang w:eastAsia="zh-CN"/>
        </w:rPr>
        <w:t>磋商文件</w:t>
      </w:r>
      <w:r>
        <w:rPr>
          <w:rFonts w:hint="eastAsia" w:ascii="宋体" w:hAnsi="宋体"/>
          <w:color w:val="auto"/>
          <w:sz w:val="24"/>
          <w:highlight w:val="none"/>
        </w:rPr>
        <w:t>中所属产品及相关服务。</w:t>
      </w:r>
    </w:p>
    <w:p w14:paraId="4FA916C0">
      <w:pPr>
        <w:shd w:val="clear"/>
        <w:adjustRightInd w:val="0"/>
        <w:snapToGrid w:val="0"/>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color w:val="auto"/>
          <w:sz w:val="24"/>
          <w:highlight w:val="none"/>
        </w:rPr>
        <w:t>4 “</w:t>
      </w:r>
      <w:r>
        <w:rPr>
          <w:rFonts w:hint="eastAsia" w:ascii="宋体" w:hAnsi="宋体"/>
          <w:color w:val="auto"/>
          <w:sz w:val="24"/>
          <w:highlight w:val="none"/>
          <w:lang w:eastAsia="zh-CN"/>
        </w:rPr>
        <w:t>供应商</w:t>
      </w:r>
      <w:r>
        <w:rPr>
          <w:rFonts w:hint="eastAsia" w:ascii="宋体" w:hAnsi="宋体"/>
          <w:color w:val="auto"/>
          <w:sz w:val="24"/>
          <w:highlight w:val="none"/>
        </w:rPr>
        <w:t>（</w:t>
      </w:r>
      <w:r>
        <w:rPr>
          <w:rFonts w:hint="eastAsia" w:ascii="宋体" w:hAnsi="宋体"/>
          <w:color w:val="auto"/>
          <w:sz w:val="24"/>
          <w:highlight w:val="none"/>
          <w:lang w:eastAsia="zh-CN"/>
        </w:rPr>
        <w:t>供应商</w:t>
      </w:r>
      <w:r>
        <w:rPr>
          <w:rFonts w:hint="eastAsia" w:ascii="宋体" w:hAnsi="宋体"/>
          <w:color w:val="auto"/>
          <w:sz w:val="24"/>
          <w:highlight w:val="none"/>
        </w:rPr>
        <w:t>）”是指</w:t>
      </w:r>
      <w:r>
        <w:rPr>
          <w:rFonts w:ascii="宋体" w:hAnsi="宋体"/>
          <w:color w:val="auto"/>
          <w:sz w:val="24"/>
          <w:highlight w:val="none"/>
        </w:rPr>
        <w:t>响应招标、参加投标竞争的法人、其他组织或者自然人。</w:t>
      </w:r>
    </w:p>
    <w:p w14:paraId="3DDCDD85">
      <w:pPr>
        <w:shd w:val="clear"/>
        <w:adjustRightInd w:val="0"/>
        <w:snapToGrid w:val="0"/>
        <w:ind w:firstLine="472" w:firstLineChars="197"/>
        <w:rPr>
          <w:rFonts w:ascii="宋体" w:hAnsi="宋体"/>
          <w:color w:val="auto"/>
          <w:sz w:val="24"/>
          <w:highlight w:val="none"/>
        </w:rPr>
      </w:pPr>
      <w:r>
        <w:rPr>
          <w:rFonts w:hint="eastAsia" w:ascii="宋体" w:hAnsi="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color w:val="auto"/>
          <w:sz w:val="24"/>
          <w:highlight w:val="none"/>
        </w:rPr>
        <w:t>5 “合格</w:t>
      </w:r>
      <w:r>
        <w:rPr>
          <w:rFonts w:hint="eastAsia" w:ascii="宋体" w:hAnsi="宋体"/>
          <w:color w:val="auto"/>
          <w:sz w:val="24"/>
          <w:highlight w:val="none"/>
          <w:lang w:eastAsia="zh-CN"/>
        </w:rPr>
        <w:t>供应商</w:t>
      </w:r>
      <w:r>
        <w:rPr>
          <w:rFonts w:hint="eastAsia" w:ascii="宋体" w:hAnsi="宋体"/>
          <w:color w:val="auto"/>
          <w:sz w:val="24"/>
          <w:highlight w:val="none"/>
        </w:rPr>
        <w:t>”是指</w:t>
      </w:r>
      <w:r>
        <w:rPr>
          <w:rFonts w:hint="eastAsia" w:ascii="宋体" w:hAnsi="宋体" w:eastAsia="宋体"/>
          <w:bCs/>
          <w:color w:val="auto"/>
          <w:sz w:val="24"/>
          <w:highlight w:val="none"/>
          <w:lang w:eastAsia="zh-CN"/>
        </w:rPr>
        <w:t>响应文件</w:t>
      </w:r>
      <w:r>
        <w:rPr>
          <w:rFonts w:hint="eastAsia" w:ascii="宋体" w:hAnsi="宋体"/>
          <w:bCs/>
          <w:color w:val="auto"/>
          <w:sz w:val="24"/>
          <w:highlight w:val="none"/>
        </w:rPr>
        <w:t>提交成功、且</w:t>
      </w:r>
      <w:r>
        <w:rPr>
          <w:rFonts w:hint="eastAsia" w:ascii="宋体" w:hAnsi="宋体"/>
          <w:color w:val="auto"/>
          <w:sz w:val="24"/>
          <w:highlight w:val="none"/>
        </w:rPr>
        <w:t>资格审查和符合性审查</w:t>
      </w:r>
      <w:r>
        <w:rPr>
          <w:rFonts w:hint="eastAsia" w:ascii="宋体" w:hAnsi="宋体"/>
          <w:color w:val="auto"/>
          <w:sz w:val="24"/>
          <w:highlight w:val="none"/>
          <w:lang w:val="en-US" w:eastAsia="zh-CN"/>
        </w:rPr>
        <w:t>(资格、形式、响应)</w:t>
      </w:r>
      <w:r>
        <w:rPr>
          <w:rFonts w:hint="eastAsia" w:ascii="宋体" w:hAnsi="宋体"/>
          <w:color w:val="auto"/>
          <w:sz w:val="24"/>
          <w:highlight w:val="none"/>
        </w:rPr>
        <w:t>合格的</w:t>
      </w:r>
      <w:r>
        <w:rPr>
          <w:rFonts w:hint="eastAsia" w:ascii="宋体" w:hAnsi="宋体"/>
          <w:color w:val="auto"/>
          <w:sz w:val="24"/>
          <w:highlight w:val="none"/>
          <w:lang w:eastAsia="zh-CN"/>
        </w:rPr>
        <w:t>供应商</w:t>
      </w:r>
      <w:r>
        <w:rPr>
          <w:rFonts w:hint="eastAsia" w:ascii="宋体" w:hAnsi="宋体"/>
          <w:color w:val="auto"/>
          <w:sz w:val="24"/>
          <w:highlight w:val="none"/>
        </w:rPr>
        <w:t>。</w:t>
      </w:r>
    </w:p>
    <w:p w14:paraId="08843084">
      <w:pPr>
        <w:autoSpaceDE w:val="0"/>
        <w:autoSpaceDN w:val="0"/>
        <w:adjustRightInd w:val="0"/>
        <w:ind w:firstLine="420"/>
        <w:rPr>
          <w:rFonts w:ascii="宋体" w:hAnsi="宋体"/>
          <w:bCs/>
          <w:color w:val="auto"/>
          <w:sz w:val="24"/>
          <w:szCs w:val="24"/>
          <w:lang w:val="zh-CN"/>
        </w:rPr>
      </w:pPr>
      <w:r>
        <w:rPr>
          <w:rFonts w:hint="eastAsia" w:ascii="宋体" w:hAnsi="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color w:val="auto"/>
          <w:sz w:val="24"/>
          <w:highlight w:val="none"/>
        </w:rPr>
        <w:t xml:space="preserve">6 </w:t>
      </w:r>
      <w:r>
        <w:rPr>
          <w:rFonts w:hint="eastAsia" w:ascii="宋体" w:hAnsi="宋体" w:cs="宋体"/>
          <w:color w:val="auto"/>
          <w:sz w:val="24"/>
          <w:highlight w:val="none"/>
        </w:rPr>
        <w:t>本</w:t>
      </w:r>
      <w:r>
        <w:rPr>
          <w:rFonts w:hint="eastAsia" w:ascii="宋体" w:hAnsi="宋体" w:eastAsia="宋体" w:cs="宋体"/>
          <w:color w:val="auto"/>
          <w:sz w:val="24"/>
          <w:highlight w:val="none"/>
          <w:lang w:eastAsia="zh-CN"/>
        </w:rPr>
        <w:t>磋商文件</w:t>
      </w:r>
      <w:r>
        <w:rPr>
          <w:rFonts w:hint="eastAsia" w:ascii="宋体" w:hAnsi="宋体" w:cs="宋体"/>
          <w:color w:val="auto"/>
          <w:sz w:val="24"/>
          <w:highlight w:val="none"/>
        </w:rPr>
        <w:t>各部分规定的期间以时、日、月、年计算。期间开始的时和日，不计算在期间内，而从次日开始计算。期间届满的最后一天是节假日的，以节假日后的第一日为期间届满的日期。</w:t>
      </w:r>
    </w:p>
    <w:p w14:paraId="7A8D4E5B">
      <w:pPr>
        <w:pStyle w:val="99"/>
        <w:numPr>
          <w:ilvl w:val="0"/>
          <w:numId w:val="0"/>
        </w:numPr>
        <w:shd w:val="clear"/>
        <w:tabs>
          <w:tab w:val="left" w:pos="720"/>
        </w:tabs>
        <w:ind w:firstLine="482" w:firstLineChars="200"/>
        <w:rPr>
          <w:rFonts w:cs="宋体"/>
          <w:b/>
          <w:bCs/>
          <w:color w:val="auto"/>
          <w:sz w:val="24"/>
          <w:szCs w:val="24"/>
          <w:highlight w:val="none"/>
        </w:rPr>
      </w:pPr>
      <w:r>
        <w:rPr>
          <w:rFonts w:hint="eastAsia" w:eastAsia="宋体" w:cs="宋体"/>
          <w:b/>
          <w:bCs/>
          <w:color w:val="auto"/>
          <w:sz w:val="24"/>
          <w:szCs w:val="24"/>
          <w:highlight w:val="none"/>
          <w:lang w:val="en-US" w:eastAsia="zh-CN"/>
        </w:rPr>
        <w:t>1.</w:t>
      </w:r>
      <w:r>
        <w:rPr>
          <w:rFonts w:hint="eastAsia" w:cs="宋体"/>
          <w:b/>
          <w:bCs/>
          <w:color w:val="auto"/>
          <w:sz w:val="24"/>
          <w:szCs w:val="24"/>
          <w:highlight w:val="none"/>
        </w:rPr>
        <w:t>2.</w:t>
      </w:r>
      <w:r>
        <w:rPr>
          <w:rFonts w:hint="eastAsia" w:cs="宋体"/>
          <w:b/>
          <w:bCs/>
          <w:color w:val="auto"/>
          <w:sz w:val="24"/>
          <w:szCs w:val="24"/>
          <w:highlight w:val="none"/>
          <w:lang w:eastAsia="zh-CN"/>
        </w:rPr>
        <w:t>供应商</w:t>
      </w:r>
      <w:r>
        <w:rPr>
          <w:rFonts w:hint="eastAsia" w:cs="宋体"/>
          <w:b/>
          <w:bCs/>
          <w:color w:val="auto"/>
          <w:sz w:val="24"/>
          <w:szCs w:val="24"/>
          <w:highlight w:val="none"/>
        </w:rPr>
        <w:t>参加政府采购的条件</w:t>
      </w:r>
    </w:p>
    <w:p w14:paraId="4E1357BB">
      <w:pPr>
        <w:shd w:val="clear"/>
        <w:adjustRightInd w:val="0"/>
        <w:snapToGrid w:val="0"/>
        <w:spacing w:line="360" w:lineRule="auto"/>
        <w:ind w:firstLine="472" w:firstLineChars="197"/>
        <w:rPr>
          <w:rFonts w:ascii="宋体" w:hAnsi="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rPr>
        <w:t>2</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w:t>
      </w:r>
      <w:r>
        <w:rPr>
          <w:rFonts w:hint="eastAsia" w:ascii="宋体" w:hAnsi="宋体" w:cs="宋体"/>
          <w:color w:val="auto"/>
          <w:sz w:val="24"/>
          <w:highlight w:val="none"/>
          <w:lang w:eastAsia="zh-CN"/>
        </w:rPr>
        <w:t>采购公告</w:t>
      </w:r>
      <w:r>
        <w:rPr>
          <w:rFonts w:hint="eastAsia" w:ascii="宋体" w:hAnsi="宋体" w:eastAsia="宋体" w:cs="宋体"/>
          <w:color w:val="auto"/>
          <w:sz w:val="24"/>
          <w:highlight w:val="none"/>
        </w:rPr>
        <w:t>》规定的“</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文件获取时间”内</w:t>
      </w:r>
      <w:r>
        <w:rPr>
          <w:rFonts w:hint="eastAsia" w:ascii="宋体" w:hAnsi="宋体" w:eastAsia="宋体" w:cs="宋体"/>
          <w:color w:val="auto"/>
          <w:sz w:val="24"/>
          <w:highlight w:val="none"/>
          <w:lang w:eastAsia="zh-CN"/>
        </w:rPr>
        <w:t>获取</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w:t>
      </w:r>
      <w:r>
        <w:rPr>
          <w:rFonts w:hint="eastAsia" w:ascii="宋体" w:hAnsi="宋体" w:eastAsia="宋体" w:cs="宋体"/>
          <w:color w:val="auto"/>
          <w:sz w:val="24"/>
          <w:highlight w:val="none"/>
        </w:rPr>
        <w:t>并填写投标信息。</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lang w:eastAsia="zh-CN"/>
        </w:rPr>
        <w:t>获取</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lang w:eastAsia="zh-CN"/>
        </w:rPr>
        <w:t>文件</w:t>
      </w:r>
      <w:r>
        <w:rPr>
          <w:rFonts w:hint="eastAsia" w:ascii="宋体" w:hAnsi="宋体" w:eastAsia="宋体" w:cs="宋体"/>
          <w:color w:val="auto"/>
          <w:sz w:val="24"/>
          <w:highlight w:val="none"/>
        </w:rPr>
        <w:t>后，务必在规定的“</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文件获取时间”内填写投标信息，否则将失去参加本项目的投标资格。</w:t>
      </w:r>
    </w:p>
    <w:p w14:paraId="03479DF0">
      <w:pPr>
        <w:shd w:val="clear"/>
        <w:adjustRightInd w:val="0"/>
        <w:snapToGrid w:val="0"/>
        <w:spacing w:line="360" w:lineRule="auto"/>
        <w:ind w:firstLine="472" w:firstLineChars="197"/>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2.2 符合</w:t>
      </w:r>
      <w:r>
        <w:rPr>
          <w:rFonts w:hint="eastAsia" w:ascii="宋体" w:hAnsi="宋体" w:eastAsia="宋体" w:cs="宋体"/>
          <w:color w:val="auto"/>
          <w:sz w:val="24"/>
          <w:highlight w:val="none"/>
          <w:lang w:eastAsia="zh-CN"/>
        </w:rPr>
        <w:t>磋商文件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采购公告</w:t>
      </w:r>
      <w:r>
        <w:rPr>
          <w:rFonts w:hint="eastAsia" w:ascii="宋体" w:hAnsi="宋体" w:eastAsia="宋体" w:cs="宋体"/>
          <w:color w:val="auto"/>
          <w:sz w:val="24"/>
          <w:highlight w:val="none"/>
        </w:rPr>
        <w:t>》中规定的</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资格条件。</w:t>
      </w:r>
    </w:p>
    <w:p w14:paraId="4EDB5540">
      <w:pPr>
        <w:shd w:val="clear"/>
        <w:adjustRightInd w:val="0"/>
        <w:snapToGrid w:val="0"/>
        <w:spacing w:line="360" w:lineRule="auto"/>
        <w:ind w:firstLine="472" w:firstLineChars="197"/>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1.2.3</w:t>
      </w:r>
      <w:r>
        <w:rPr>
          <w:rFonts w:hint="eastAsia" w:ascii="宋体" w:hAnsi="宋体" w:eastAsia="宋体" w:cs="宋体"/>
          <w:color w:val="auto"/>
          <w:sz w:val="24"/>
          <w:highlight w:val="none"/>
          <w:lang w:val="zh-CN"/>
        </w:rPr>
        <w:t>供应商不得存在下列情形之一：</w:t>
      </w:r>
    </w:p>
    <w:p w14:paraId="41FF2F17">
      <w:pPr>
        <w:shd w:val="clear"/>
        <w:adjustRightInd w:val="0"/>
        <w:snapToGrid w:val="0"/>
        <w:spacing w:line="360" w:lineRule="auto"/>
        <w:ind w:firstLine="472" w:firstLineChars="197"/>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（1）为采购人不具有独立承担民事责任的能力的附属机构（单位）；</w:t>
      </w:r>
    </w:p>
    <w:p w14:paraId="38D521A5">
      <w:pPr>
        <w:shd w:val="clear"/>
        <w:adjustRightInd w:val="0"/>
        <w:snapToGrid w:val="0"/>
        <w:spacing w:line="360" w:lineRule="auto"/>
        <w:ind w:firstLine="472" w:firstLineChars="197"/>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（2）为本磋商项目前期准备提供设计或咨询服务的；</w:t>
      </w:r>
    </w:p>
    <w:p w14:paraId="72C40FB4">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（3）为本磋商项目提供磋商代理服务的；</w:t>
      </w:r>
    </w:p>
    <w:p w14:paraId="2DACA7B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（4）与本磋商项目的采购代理机构同为一个法定代表人的；</w:t>
      </w:r>
    </w:p>
    <w:p w14:paraId="56E3D22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（5）与本磋商项目的采购代理机构相互控股或参股的；</w:t>
      </w:r>
    </w:p>
    <w:p w14:paraId="3EE6A404">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（6）与本磋商项目的采购代理机构相互任职或工作的；</w:t>
      </w:r>
    </w:p>
    <w:p w14:paraId="0A3145C2">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（7）被责令停业的；</w:t>
      </w:r>
    </w:p>
    <w:p w14:paraId="431FCFD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（8）被暂停或取消磋商资格的；</w:t>
      </w:r>
    </w:p>
    <w:p w14:paraId="56404A72">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（9）财产被接管或冻结的；</w:t>
      </w:r>
    </w:p>
    <w:p w14:paraId="082D1B7A">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（10）在最近三年内有骗取成交或严重违约的。</w:t>
      </w:r>
    </w:p>
    <w:p w14:paraId="0E42418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（11）被政府列入取消磋商资格期限内的企业或个人参加磋商若存在以上情形之一，取消其成交资格。</w:t>
      </w:r>
    </w:p>
    <w:p w14:paraId="128EB31B">
      <w:pPr>
        <w:pStyle w:val="99"/>
        <w:numPr>
          <w:ilvl w:val="0"/>
          <w:numId w:val="0"/>
        </w:numPr>
        <w:tabs>
          <w:tab w:val="left" w:pos="720"/>
        </w:tabs>
        <w:ind w:firstLine="480" w:firstLineChars="200"/>
        <w:rPr>
          <w:rFonts w:hint="default" w:eastAsia="宋体" w:cs="宋体"/>
          <w:b/>
          <w:bCs/>
          <w:color w:val="auto"/>
          <w:sz w:val="24"/>
          <w:szCs w:val="24"/>
          <w:highlight w:val="none"/>
          <w:lang w:val="en-US" w:eastAsia="zh-CN"/>
        </w:rPr>
      </w:pPr>
      <w:r>
        <w:rPr>
          <w:rFonts w:hint="eastAsia" w:ascii="宋体" w:hAnsi="宋体" w:eastAsia="宋体"/>
          <w:bCs/>
          <w:color w:val="auto"/>
          <w:sz w:val="24"/>
          <w:szCs w:val="24"/>
          <w:lang w:val="en-US" w:eastAsia="zh-CN"/>
        </w:rPr>
        <w:t>1.2.4</w:t>
      </w:r>
      <w:r>
        <w:rPr>
          <w:rFonts w:hint="eastAsia" w:ascii="宋体" w:hAnsi="宋体"/>
          <w:bCs/>
          <w:color w:val="auto"/>
          <w:sz w:val="24"/>
          <w:szCs w:val="24"/>
          <w:lang w:val="zh-CN"/>
        </w:rPr>
        <w:t>单位负责人为同一人或者存在控股、管理关系的不同单位，不得同时参加本磋商项目磋商。</w:t>
      </w:r>
    </w:p>
    <w:p w14:paraId="6C8F8564">
      <w:pPr>
        <w:pStyle w:val="99"/>
        <w:numPr>
          <w:ilvl w:val="0"/>
          <w:numId w:val="0"/>
        </w:numPr>
        <w:tabs>
          <w:tab w:val="left" w:pos="720"/>
        </w:tabs>
        <w:ind w:firstLine="482" w:firstLineChars="200"/>
        <w:rPr>
          <w:rFonts w:hint="eastAsia" w:cs="宋体"/>
          <w:b/>
          <w:bCs/>
          <w:color w:val="auto"/>
          <w:sz w:val="24"/>
          <w:szCs w:val="24"/>
          <w:highlight w:val="none"/>
        </w:rPr>
      </w:pPr>
      <w:r>
        <w:rPr>
          <w:rFonts w:hint="eastAsia" w:eastAsia="宋体" w:cs="宋体"/>
          <w:b/>
          <w:bCs/>
          <w:color w:val="auto"/>
          <w:sz w:val="24"/>
          <w:szCs w:val="24"/>
          <w:highlight w:val="none"/>
          <w:lang w:val="en-US" w:eastAsia="zh-CN"/>
        </w:rPr>
        <w:t>1.</w:t>
      </w:r>
      <w:r>
        <w:rPr>
          <w:rFonts w:hint="eastAsia" w:cs="宋体"/>
          <w:b/>
          <w:bCs/>
          <w:color w:val="auto"/>
          <w:sz w:val="24"/>
          <w:szCs w:val="24"/>
          <w:highlight w:val="none"/>
        </w:rPr>
        <w:t>3.合格的货物及相关服务</w:t>
      </w:r>
    </w:p>
    <w:p w14:paraId="325F8487">
      <w:pPr>
        <w:spacing w:line="276" w:lineRule="auto"/>
        <w:ind w:firstLine="472" w:firstLineChars="197"/>
        <w:rPr>
          <w:rFonts w:hint="eastAsia" w:ascii="宋体" w:hAnsi="宋体"/>
          <w:color w:val="auto"/>
          <w:sz w:val="24"/>
          <w:highlight w:val="none"/>
        </w:rPr>
      </w:pPr>
      <w:r>
        <w:rPr>
          <w:rFonts w:hint="eastAsia" w:ascii="宋体" w:hAnsi="宋体" w:eastAsia="宋体"/>
          <w:color w:val="auto"/>
          <w:sz w:val="24"/>
          <w:highlight w:val="none"/>
          <w:lang w:val="en-US" w:eastAsia="zh-CN"/>
        </w:rPr>
        <w:t>1.</w:t>
      </w:r>
      <w:r>
        <w:rPr>
          <w:rFonts w:hint="eastAsia" w:ascii="宋体" w:hAnsi="宋体"/>
          <w:color w:val="auto"/>
          <w:sz w:val="24"/>
          <w:highlight w:val="none"/>
        </w:rPr>
        <w:t>3.1政府采购应当采购本国货物。按照财政部《政府采购进口产品管理办法》规定确需采购进口产品的，实行审核管理。经审核允许采购进口产品的，不得排斥符合要求的本国产品。在</w:t>
      </w:r>
      <w:r>
        <w:rPr>
          <w:rFonts w:hint="eastAsia" w:ascii="宋体" w:hAnsi="宋体" w:cs="宋体"/>
          <w:color w:val="auto"/>
          <w:sz w:val="24"/>
          <w:highlight w:val="none"/>
          <w:lang w:val="en-US" w:eastAsia="zh-CN"/>
        </w:rPr>
        <w:t>磋商</w:t>
      </w:r>
      <w:r>
        <w:rPr>
          <w:rFonts w:hint="eastAsia" w:ascii="宋体" w:hAnsi="宋体" w:cs="宋体"/>
          <w:color w:val="auto"/>
          <w:sz w:val="24"/>
          <w:highlight w:val="none"/>
          <w:lang w:eastAsia="zh-CN"/>
        </w:rPr>
        <w:t>文件</w:t>
      </w:r>
      <w:r>
        <w:rPr>
          <w:rFonts w:hint="eastAsia" w:ascii="宋体" w:hAnsi="宋体"/>
          <w:color w:val="auto"/>
          <w:sz w:val="24"/>
          <w:highlight w:val="none"/>
        </w:rPr>
        <w:t>中未标明采购进口产品的，均为采购本国产品。供应商必须投报本国产品，投报进口产品的，</w:t>
      </w:r>
      <w:r>
        <w:rPr>
          <w:rFonts w:hint="eastAsia" w:ascii="宋体" w:hAnsi="宋体"/>
          <w:color w:val="auto"/>
          <w:sz w:val="24"/>
          <w:highlight w:val="none"/>
          <w:lang w:val="en-US" w:eastAsia="zh-CN"/>
        </w:rPr>
        <w:t>响应</w:t>
      </w:r>
      <w:r>
        <w:rPr>
          <w:rFonts w:hint="eastAsia" w:ascii="宋体" w:hAnsi="宋体"/>
          <w:color w:val="auto"/>
          <w:sz w:val="24"/>
          <w:highlight w:val="none"/>
          <w:lang w:eastAsia="zh-CN"/>
        </w:rPr>
        <w:t>文件</w:t>
      </w:r>
      <w:r>
        <w:rPr>
          <w:rFonts w:hint="eastAsia" w:ascii="宋体" w:hAnsi="宋体"/>
          <w:color w:val="auto"/>
          <w:sz w:val="24"/>
          <w:highlight w:val="none"/>
        </w:rPr>
        <w:t>无效。进口产品是指通过中国海关报关验放进入中国境内且产自关境外的产品。</w:t>
      </w:r>
    </w:p>
    <w:p w14:paraId="4B639F56">
      <w:pPr>
        <w:spacing w:line="276" w:lineRule="auto"/>
        <w:ind w:firstLine="472" w:firstLineChars="197"/>
        <w:rPr>
          <w:rFonts w:hint="eastAsia" w:ascii="宋体" w:hAnsi="宋体"/>
          <w:color w:val="auto"/>
          <w:sz w:val="24"/>
          <w:highlight w:val="none"/>
        </w:rPr>
      </w:pPr>
      <w:r>
        <w:rPr>
          <w:rFonts w:hint="eastAsia" w:ascii="宋体" w:hAnsi="宋体" w:eastAsia="宋体"/>
          <w:color w:val="auto"/>
          <w:sz w:val="24"/>
          <w:highlight w:val="none"/>
          <w:lang w:val="en-US" w:eastAsia="zh-CN"/>
        </w:rPr>
        <w:t>1.</w:t>
      </w:r>
      <w:r>
        <w:rPr>
          <w:rFonts w:hint="eastAsia" w:ascii="宋体" w:hAnsi="宋体"/>
          <w:color w:val="auto"/>
          <w:sz w:val="24"/>
          <w:highlight w:val="none"/>
        </w:rPr>
        <w:t xml:space="preserve">3.2 供应商所提供的货物应当没有侵犯任何第三方的知识产权、技术秘密等合法权利，不存在任何抵押、留置、查封等产权瑕疵。 </w:t>
      </w:r>
    </w:p>
    <w:p w14:paraId="3E63EEBB">
      <w:pPr>
        <w:spacing w:line="276" w:lineRule="auto"/>
        <w:ind w:firstLine="472" w:firstLineChars="197"/>
        <w:rPr>
          <w:rFonts w:hint="eastAsia" w:ascii="宋体" w:hAnsi="宋体"/>
          <w:color w:val="auto"/>
          <w:sz w:val="24"/>
          <w:highlight w:val="none"/>
        </w:rPr>
      </w:pPr>
      <w:r>
        <w:rPr>
          <w:rFonts w:hint="eastAsia" w:ascii="宋体" w:hAnsi="宋体" w:eastAsia="宋体"/>
          <w:color w:val="auto"/>
          <w:sz w:val="24"/>
          <w:highlight w:val="none"/>
          <w:lang w:val="en-US" w:eastAsia="zh-CN"/>
        </w:rPr>
        <w:t>1.</w:t>
      </w:r>
      <w:r>
        <w:rPr>
          <w:rFonts w:hint="eastAsia" w:ascii="宋体" w:hAnsi="宋体"/>
          <w:color w:val="auto"/>
          <w:sz w:val="24"/>
          <w:highlight w:val="none"/>
        </w:rPr>
        <w:t>3.3 供应商所提供的货物和相关服务应当符合</w:t>
      </w:r>
      <w:r>
        <w:rPr>
          <w:rFonts w:hint="eastAsia" w:ascii="宋体" w:hAnsi="宋体" w:cs="宋体"/>
          <w:color w:val="auto"/>
          <w:sz w:val="24"/>
          <w:highlight w:val="none"/>
          <w:lang w:eastAsia="zh-CN"/>
        </w:rPr>
        <w:t>磋商文件</w:t>
      </w:r>
      <w:r>
        <w:rPr>
          <w:rFonts w:hint="eastAsia" w:ascii="宋体" w:hAnsi="宋体"/>
          <w:color w:val="auto"/>
          <w:sz w:val="24"/>
          <w:highlight w:val="none"/>
        </w:rPr>
        <w:t>的要求，并且其质量完全符合国家标准、行业标准或地方标准。</w:t>
      </w:r>
    </w:p>
    <w:p w14:paraId="4F216F0B">
      <w:pPr>
        <w:shd w:val="clear"/>
        <w:adjustRightInd w:val="0"/>
        <w:snapToGrid w:val="0"/>
        <w:ind w:firstLine="475" w:firstLineChars="197"/>
        <w:rPr>
          <w:rFonts w:ascii="宋体" w:hAnsi="宋体" w:cs="宋体"/>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cs="宋体"/>
          <w:b/>
          <w:bCs/>
          <w:color w:val="auto"/>
          <w:sz w:val="24"/>
          <w:highlight w:val="none"/>
        </w:rPr>
        <w:t>4.联合体投标</w:t>
      </w:r>
    </w:p>
    <w:p w14:paraId="20A996B2">
      <w:pPr>
        <w:shd w:val="clear"/>
        <w:ind w:firstLine="472" w:firstLineChars="197"/>
        <w:rPr>
          <w:rFonts w:ascii="宋体" w:hAnsi="宋体" w:cs="宋体"/>
          <w:color w:val="auto"/>
          <w:sz w:val="24"/>
          <w:highlight w:val="none"/>
        </w:rPr>
      </w:pPr>
      <w:r>
        <w:rPr>
          <w:rFonts w:hint="eastAsia" w:ascii="宋体" w:hAnsi="宋体" w:cs="宋体"/>
          <w:color w:val="auto"/>
          <w:sz w:val="24"/>
          <w:highlight w:val="none"/>
        </w:rPr>
        <w:t>如果</w:t>
      </w:r>
      <w:r>
        <w:rPr>
          <w:rFonts w:hint="eastAsia" w:ascii="宋体" w:hAnsi="宋体" w:eastAsia="宋体" w:cs="宋体"/>
          <w:color w:val="auto"/>
          <w:sz w:val="24"/>
          <w:highlight w:val="none"/>
          <w:lang w:eastAsia="zh-CN"/>
        </w:rPr>
        <w:t>磋商文件</w:t>
      </w:r>
      <w:r>
        <w:rPr>
          <w:rFonts w:hint="eastAsia" w:ascii="宋体" w:hAnsi="宋体" w:cs="宋体"/>
          <w:color w:val="auto"/>
          <w:sz w:val="24"/>
          <w:highlight w:val="none"/>
        </w:rPr>
        <w:t>《</w:t>
      </w:r>
      <w:r>
        <w:rPr>
          <w:rFonts w:hint="eastAsia" w:ascii="宋体" w:hAnsi="宋体" w:cs="宋体"/>
          <w:color w:val="auto"/>
          <w:sz w:val="24"/>
          <w:highlight w:val="none"/>
          <w:lang w:eastAsia="zh-CN"/>
        </w:rPr>
        <w:t>采购公告</w:t>
      </w:r>
      <w:r>
        <w:rPr>
          <w:rFonts w:hint="eastAsia" w:ascii="宋体" w:hAnsi="宋体" w:cs="宋体"/>
          <w:color w:val="auto"/>
          <w:sz w:val="24"/>
          <w:highlight w:val="none"/>
        </w:rPr>
        <w:t>》中没有特殊说明，本次</w:t>
      </w:r>
      <w:r>
        <w:rPr>
          <w:rFonts w:hint="eastAsia" w:ascii="宋体" w:hAnsi="宋体" w:eastAsia="宋体" w:cs="宋体"/>
          <w:color w:val="auto"/>
          <w:sz w:val="24"/>
          <w:highlight w:val="none"/>
          <w:lang w:val="en-US" w:eastAsia="zh-CN"/>
        </w:rPr>
        <w:t>磋商</w:t>
      </w:r>
      <w:r>
        <w:rPr>
          <w:rFonts w:hint="eastAsia" w:ascii="宋体" w:hAnsi="宋体" w:cs="宋体"/>
          <w:color w:val="auto"/>
          <w:sz w:val="24"/>
          <w:highlight w:val="none"/>
        </w:rPr>
        <w:t>允许由2个以上</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组成1个联合体以1个</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身份共同投标。联合体各方应符合下列要求：</w:t>
      </w:r>
    </w:p>
    <w:p w14:paraId="621A8101">
      <w:pPr>
        <w:shd w:val="clear"/>
        <w:ind w:firstLine="472" w:firstLineChars="197"/>
        <w:rPr>
          <w:rFonts w:ascii="宋体" w:hAnsi="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rPr>
        <w:t>4.1 《中华人民共和国政府采购法》第二十二条规定的条件。联合体中有同类资质的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按照联合体分工承担相同工作的，应当按照资质等级较低的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确定资质等级。联合体各方不得再单独参加或者与其他</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另外组成联合体参加同一合同项下的政府采购活动。</w:t>
      </w:r>
    </w:p>
    <w:p w14:paraId="4AA07A7D">
      <w:pPr>
        <w:shd w:val="clear"/>
        <w:ind w:firstLine="472" w:firstLineChars="197"/>
        <w:rPr>
          <w:rFonts w:ascii="宋体" w:hAnsi="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rPr>
        <w:t>4.2 联合体各方之间应当签订《联合体协议书》并在投标文件内提交，明确约定联合体各方承担的工作和相应的责任。该协议书对联合体各方均具有法律约束力。</w:t>
      </w:r>
    </w:p>
    <w:p w14:paraId="6F959B10">
      <w:pPr>
        <w:shd w:val="clear"/>
        <w:ind w:firstLine="480" w:firstLineChars="200"/>
        <w:rPr>
          <w:rFonts w:ascii="宋体" w:hAnsi="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rPr>
        <w:t>4.3 联合体各方应按</w:t>
      </w:r>
      <w:r>
        <w:rPr>
          <w:rFonts w:hint="eastAsia" w:ascii="宋体" w:hAnsi="宋体" w:eastAsia="宋体" w:cs="宋体"/>
          <w:color w:val="auto"/>
          <w:sz w:val="24"/>
          <w:highlight w:val="none"/>
          <w:lang w:eastAsia="zh-CN"/>
        </w:rPr>
        <w:t>磋商文件</w:t>
      </w:r>
      <w:r>
        <w:rPr>
          <w:rFonts w:hint="eastAsia" w:ascii="宋体" w:hAnsi="宋体" w:cs="宋体"/>
          <w:color w:val="auto"/>
          <w:sz w:val="24"/>
          <w:highlight w:val="none"/>
        </w:rPr>
        <w:t>提供的格式签订《联合体协议书》，明确各方权利义务，并承诺就中标项目向采购人承担连带责任。</w:t>
      </w:r>
    </w:p>
    <w:p w14:paraId="1A8E0FCC">
      <w:pPr>
        <w:autoSpaceDE w:val="0"/>
        <w:autoSpaceDN w:val="0"/>
        <w:adjustRightInd w:val="0"/>
        <w:ind w:firstLine="420"/>
        <w:rPr>
          <w:rFonts w:hint="eastAsia" w:ascii="宋体" w:hAnsi="宋体"/>
          <w:bCs/>
          <w:color w:val="auto"/>
          <w:sz w:val="24"/>
          <w:szCs w:val="24"/>
          <w:lang w:val="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rPr>
        <w:t>4.4 联合体中标后，联合体各方应当共同与采购人签订采购合同，就采购合同约定的事项对采购人承担连带责任。</w:t>
      </w:r>
    </w:p>
    <w:p w14:paraId="5B2A6CA1">
      <w:pPr>
        <w:shd w:val="clear"/>
        <w:adjustRightInd w:val="0"/>
        <w:snapToGrid w:val="0"/>
        <w:ind w:firstLine="473" w:firstLineChars="197"/>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1.5费用承担</w:t>
      </w:r>
    </w:p>
    <w:p w14:paraId="7E18D6DA">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eastAsia="zh-CN"/>
        </w:rPr>
        <w:t>供应商</w:t>
      </w:r>
      <w:r>
        <w:rPr>
          <w:rFonts w:hint="eastAsia" w:ascii="宋体" w:hAnsi="宋体"/>
          <w:bCs/>
          <w:color w:val="auto"/>
          <w:sz w:val="24"/>
          <w:szCs w:val="24"/>
          <w:lang w:val="zh-CN"/>
        </w:rPr>
        <w:t>应承担所有与准备和参加投标有关的费用，采购人和</w:t>
      </w:r>
      <w:r>
        <w:rPr>
          <w:rFonts w:hint="eastAsia" w:ascii="宋体" w:hAnsi="宋体"/>
          <w:bCs/>
          <w:color w:val="auto"/>
          <w:sz w:val="24"/>
          <w:szCs w:val="24"/>
          <w:lang w:val="zh-CN" w:eastAsia="zh-CN"/>
        </w:rPr>
        <w:t>采购代理机构</w:t>
      </w:r>
      <w:r>
        <w:rPr>
          <w:rFonts w:hint="eastAsia" w:ascii="宋体" w:hAnsi="宋体"/>
          <w:bCs/>
          <w:color w:val="auto"/>
          <w:sz w:val="24"/>
          <w:szCs w:val="24"/>
          <w:lang w:val="zh-CN"/>
        </w:rPr>
        <w:t>在任何情况下均无义务和责任承担这些费用。</w:t>
      </w:r>
    </w:p>
    <w:p w14:paraId="2E7D05D1">
      <w:pPr>
        <w:shd w:val="clear"/>
        <w:adjustRightInd w:val="0"/>
        <w:snapToGrid w:val="0"/>
        <w:ind w:firstLine="475" w:firstLineChars="197"/>
        <w:rPr>
          <w:rFonts w:hint="eastAsia" w:ascii="宋体" w:hAnsi="宋体" w:cs="宋体"/>
          <w:b/>
          <w:bCs/>
          <w:color w:val="auto"/>
          <w:sz w:val="24"/>
          <w:highlight w:val="none"/>
          <w:lang w:val="zh-CN"/>
        </w:rPr>
      </w:pPr>
      <w:r>
        <w:rPr>
          <w:rFonts w:hint="eastAsia" w:ascii="宋体" w:hAnsi="宋体" w:eastAsia="宋体" w:cs="宋体"/>
          <w:b/>
          <w:bCs/>
          <w:color w:val="auto"/>
          <w:sz w:val="24"/>
          <w:highlight w:val="none"/>
          <w:lang w:val="en-US" w:eastAsia="zh-CN"/>
        </w:rPr>
        <w:t>1.</w:t>
      </w:r>
      <w:r>
        <w:rPr>
          <w:rFonts w:hint="eastAsia" w:ascii="宋体" w:hAnsi="宋体" w:cs="宋体"/>
          <w:b/>
          <w:bCs/>
          <w:color w:val="auto"/>
          <w:sz w:val="24"/>
          <w:highlight w:val="none"/>
          <w:lang w:val="zh-CN"/>
        </w:rPr>
        <w:t>6.信息发布</w:t>
      </w:r>
    </w:p>
    <w:p w14:paraId="37760E16">
      <w:pPr>
        <w:spacing w:line="276" w:lineRule="auto"/>
        <w:ind w:firstLine="472" w:firstLineChars="197"/>
        <w:rPr>
          <w:rFonts w:hint="eastAsia" w:ascii="宋体" w:hAnsi="宋体" w:eastAsia="宋体"/>
          <w:color w:val="auto"/>
          <w:sz w:val="24"/>
          <w:highlight w:val="none"/>
          <w:lang w:val="zh-CN" w:eastAsia="zh-CN"/>
        </w:rPr>
      </w:pPr>
      <w:r>
        <w:rPr>
          <w:rFonts w:hint="eastAsia" w:ascii="宋体" w:hAnsi="宋体" w:eastAsia="宋体"/>
          <w:color w:val="auto"/>
          <w:sz w:val="24"/>
          <w:highlight w:val="none"/>
          <w:lang w:val="en-US" w:eastAsia="zh-CN"/>
        </w:rPr>
        <w:t>1.6.1</w:t>
      </w:r>
      <w:r>
        <w:rPr>
          <w:rFonts w:hint="eastAsia" w:ascii="宋体" w:hAnsi="宋体" w:eastAsia="宋体"/>
          <w:color w:val="auto"/>
          <w:sz w:val="24"/>
          <w:highlight w:val="none"/>
          <w:lang w:val="zh-CN" w:eastAsia="zh-CN"/>
        </w:rPr>
        <w:t>本采购项目需要公开的有关信息，包括采购公告、</w:t>
      </w:r>
      <w:r>
        <w:rPr>
          <w:rFonts w:hint="eastAsia" w:ascii="宋体" w:hAnsi="宋体" w:eastAsia="宋体"/>
          <w:color w:val="auto"/>
          <w:sz w:val="24"/>
          <w:highlight w:val="none"/>
          <w:lang w:val="en-US" w:eastAsia="zh-CN"/>
        </w:rPr>
        <w:t>成交</w:t>
      </w:r>
      <w:r>
        <w:rPr>
          <w:rFonts w:hint="eastAsia" w:ascii="宋体" w:hAnsi="宋体" w:eastAsia="宋体"/>
          <w:color w:val="auto"/>
          <w:sz w:val="24"/>
          <w:highlight w:val="none"/>
          <w:lang w:val="zh-CN" w:eastAsia="zh-CN"/>
        </w:rPr>
        <w:t>公告、更正公告等与招标活动有关的通知，采购代理机构将通过</w:t>
      </w:r>
      <w:r>
        <w:rPr>
          <w:rFonts w:hint="eastAsia" w:ascii="宋体" w:hAnsi="宋体" w:eastAsia="宋体"/>
          <w:color w:val="auto"/>
          <w:sz w:val="24"/>
          <w:highlight w:val="none"/>
          <w:lang w:val="en-US" w:eastAsia="zh-CN"/>
        </w:rPr>
        <w:t>磋商公告告知的</w:t>
      </w:r>
      <w:r>
        <w:rPr>
          <w:rFonts w:hint="eastAsia" w:ascii="宋体" w:hAnsi="宋体" w:eastAsia="宋体"/>
          <w:color w:val="auto"/>
          <w:sz w:val="24"/>
          <w:highlight w:val="none"/>
          <w:lang w:val="zh-CN" w:eastAsia="zh-CN"/>
        </w:rPr>
        <w:t>政府采购信息发布媒体公开发布。供应商在参与本采购项目招投标活动期间，请及时关注以上媒体上的相关信息，供应商因没有及时关注而未能如期获取相关信息，是供应商的风险，采购代理机构对此不承担任何责任。</w:t>
      </w:r>
    </w:p>
    <w:p w14:paraId="1D0E34BC">
      <w:pPr>
        <w:shd w:val="clear"/>
        <w:adjustRightInd w:val="0"/>
        <w:snapToGrid w:val="0"/>
        <w:ind w:firstLine="473" w:firstLineChars="197"/>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1.</w:t>
      </w:r>
      <w:r>
        <w:rPr>
          <w:rFonts w:hint="eastAsia" w:ascii="宋体" w:hAnsi="宋体" w:eastAsia="宋体" w:cs="宋体"/>
          <w:b/>
          <w:bCs/>
          <w:color w:val="auto"/>
          <w:sz w:val="24"/>
          <w:highlight w:val="none"/>
          <w:lang w:val="en-US" w:eastAsia="zh-CN"/>
        </w:rPr>
        <w:t>7</w:t>
      </w:r>
      <w:r>
        <w:rPr>
          <w:rFonts w:hint="eastAsia" w:ascii="宋体" w:hAnsi="宋体" w:cs="宋体"/>
          <w:b/>
          <w:bCs/>
          <w:color w:val="auto"/>
          <w:sz w:val="24"/>
          <w:highlight w:val="none"/>
          <w:lang w:val="zh-CN"/>
        </w:rPr>
        <w:t>保密</w:t>
      </w:r>
    </w:p>
    <w:p w14:paraId="029DC68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参与磋商活动的各方应对磋商文件和响应文件中的商业和技术等秘密保密， 违者应对由此造成的后果承担法律责任。</w:t>
      </w:r>
    </w:p>
    <w:p w14:paraId="35E8D1C5">
      <w:pPr>
        <w:shd w:val="clear"/>
        <w:adjustRightInd w:val="0"/>
        <w:snapToGrid w:val="0"/>
        <w:ind w:firstLine="475" w:firstLineChars="197"/>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eastAsia="zh-CN"/>
        </w:rPr>
        <w:t>1.</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val="zh-CN" w:eastAsia="zh-CN"/>
        </w:rPr>
        <w:t>语言文字</w:t>
      </w:r>
    </w:p>
    <w:p w14:paraId="1FBEB98C">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响应文件使用的语言文字为中文。专用术语使用外文的，应附有中文注释。</w:t>
      </w:r>
    </w:p>
    <w:p w14:paraId="075CA31D">
      <w:pPr>
        <w:shd w:val="clear"/>
        <w:adjustRightInd w:val="0"/>
        <w:snapToGrid w:val="0"/>
        <w:ind w:firstLine="475" w:firstLineChars="197"/>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eastAsia="zh-CN"/>
        </w:rPr>
        <w:t>1.</w:t>
      </w:r>
      <w:r>
        <w:rPr>
          <w:rFonts w:hint="eastAsia" w:ascii="宋体" w:hAnsi="宋体" w:eastAsia="宋体" w:cs="宋体"/>
          <w:b/>
          <w:bCs/>
          <w:color w:val="auto"/>
          <w:sz w:val="24"/>
          <w:highlight w:val="none"/>
          <w:lang w:val="en-US" w:eastAsia="zh-CN"/>
        </w:rPr>
        <w:t>9</w:t>
      </w:r>
      <w:r>
        <w:rPr>
          <w:rFonts w:hint="eastAsia" w:ascii="宋体" w:hAnsi="宋体" w:eastAsia="宋体" w:cs="宋体"/>
          <w:b/>
          <w:bCs/>
          <w:color w:val="auto"/>
          <w:sz w:val="24"/>
          <w:highlight w:val="none"/>
          <w:lang w:val="zh-CN" w:eastAsia="zh-CN"/>
        </w:rPr>
        <w:t>计量单位</w:t>
      </w:r>
    </w:p>
    <w:p w14:paraId="4F64EC26">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所有计量均采用中华人民共和国法定计量单位。</w:t>
      </w:r>
    </w:p>
    <w:p w14:paraId="3A9268B4">
      <w:pPr>
        <w:shd w:val="clear"/>
        <w:adjustRightInd w:val="0"/>
        <w:snapToGrid w:val="0"/>
        <w:ind w:firstLine="475" w:firstLineChars="197"/>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eastAsia="zh-CN"/>
        </w:rPr>
        <w:t>1.</w:t>
      </w:r>
      <w:r>
        <w:rPr>
          <w:rFonts w:hint="eastAsia" w:ascii="宋体" w:hAnsi="宋体" w:eastAsia="宋体" w:cs="宋体"/>
          <w:b/>
          <w:bCs/>
          <w:color w:val="auto"/>
          <w:sz w:val="24"/>
          <w:highlight w:val="none"/>
          <w:lang w:val="en-US" w:eastAsia="zh-CN"/>
        </w:rPr>
        <w:t>10</w:t>
      </w:r>
      <w:r>
        <w:rPr>
          <w:rFonts w:hint="eastAsia" w:ascii="宋体" w:hAnsi="宋体" w:eastAsia="宋体" w:cs="宋体"/>
          <w:b/>
          <w:bCs/>
          <w:color w:val="auto"/>
          <w:sz w:val="24"/>
          <w:highlight w:val="none"/>
          <w:lang w:val="zh-CN" w:eastAsia="zh-CN"/>
        </w:rPr>
        <w:t>磋商预备会</w:t>
      </w:r>
    </w:p>
    <w:p w14:paraId="4FB92BE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w:t>
      </w:r>
      <w:r>
        <w:rPr>
          <w:rFonts w:hint="eastAsia" w:ascii="宋体" w:hAnsi="宋体" w:eastAsia="宋体"/>
          <w:bCs/>
          <w:color w:val="auto"/>
          <w:sz w:val="24"/>
          <w:szCs w:val="24"/>
          <w:lang w:val="en-US" w:eastAsia="zh-CN"/>
        </w:rPr>
        <w:t>10</w:t>
      </w:r>
      <w:r>
        <w:rPr>
          <w:rFonts w:hint="eastAsia" w:ascii="宋体" w:hAnsi="宋体"/>
          <w:bCs/>
          <w:color w:val="auto"/>
          <w:sz w:val="24"/>
          <w:szCs w:val="24"/>
          <w:lang w:val="zh-CN"/>
        </w:rPr>
        <w:t>.1供应商须知前附表规定召开磋商预备会的，采购人按供应商须知前附表规定的时间和地点召开磋商预备会，澄清供应商提出的问题。</w:t>
      </w:r>
    </w:p>
    <w:p w14:paraId="24A44E2F">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w:t>
      </w:r>
      <w:r>
        <w:rPr>
          <w:rFonts w:hint="eastAsia" w:ascii="宋体" w:hAnsi="宋体" w:eastAsia="宋体"/>
          <w:bCs/>
          <w:color w:val="auto"/>
          <w:sz w:val="24"/>
          <w:szCs w:val="24"/>
          <w:lang w:val="en-US" w:eastAsia="zh-CN"/>
        </w:rPr>
        <w:t>10</w:t>
      </w:r>
      <w:r>
        <w:rPr>
          <w:rFonts w:hint="eastAsia" w:ascii="宋体" w:hAnsi="宋体"/>
          <w:bCs/>
          <w:color w:val="auto"/>
          <w:sz w:val="24"/>
          <w:szCs w:val="24"/>
          <w:lang w:val="zh-CN"/>
        </w:rPr>
        <w:t>.2供应商应在供应商须知前附表规定的时间前，以书面形式将提出的问题送达采购人，以便采购人在会议期间澄清。</w:t>
      </w:r>
    </w:p>
    <w:p w14:paraId="2FB4C9F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w:t>
      </w:r>
      <w:r>
        <w:rPr>
          <w:rFonts w:hint="eastAsia" w:ascii="宋体" w:hAnsi="宋体" w:eastAsia="宋体"/>
          <w:bCs/>
          <w:color w:val="auto"/>
          <w:sz w:val="24"/>
          <w:szCs w:val="24"/>
          <w:lang w:val="en-US" w:eastAsia="zh-CN"/>
        </w:rPr>
        <w:t>10</w:t>
      </w:r>
      <w:r>
        <w:rPr>
          <w:rFonts w:hint="eastAsia" w:ascii="宋体" w:hAnsi="宋体"/>
          <w:bCs/>
          <w:color w:val="auto"/>
          <w:sz w:val="24"/>
          <w:szCs w:val="24"/>
          <w:lang w:val="zh-CN"/>
        </w:rPr>
        <w:t>.3磋商预备会后，采购人在供应商须知前附表规定的时间内，将对供应商所提问题的澄清，以书面形式通知所有购买磋商文件的供应商。该澄清内容为磋商文件的组成部分。</w:t>
      </w:r>
    </w:p>
    <w:p w14:paraId="14203B68">
      <w:pPr>
        <w:shd w:val="clear"/>
        <w:adjustRightInd w:val="0"/>
        <w:snapToGrid w:val="0"/>
        <w:ind w:firstLine="475" w:firstLineChars="197"/>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eastAsia="zh-CN"/>
        </w:rPr>
        <w:t>1.1</w:t>
      </w: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lang w:val="zh-CN" w:eastAsia="zh-CN"/>
        </w:rPr>
        <w:t>分包、转包不允许。</w:t>
      </w:r>
    </w:p>
    <w:p w14:paraId="51E820F3">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2.磋商文件</w:t>
      </w:r>
    </w:p>
    <w:p w14:paraId="2CB9B20C">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2.1磋商文件的组成</w:t>
      </w:r>
    </w:p>
    <w:p w14:paraId="7233A479">
      <w:pPr>
        <w:numPr>
          <w:ilvl w:val="0"/>
          <w:numId w:val="7"/>
        </w:num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竞争性磋商公告</w:t>
      </w:r>
    </w:p>
    <w:p w14:paraId="3717BD77">
      <w:pPr>
        <w:numPr>
          <w:ilvl w:val="0"/>
          <w:numId w:val="7"/>
        </w:num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供应商须知</w:t>
      </w:r>
    </w:p>
    <w:p w14:paraId="544232F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第三章 评标办法</w:t>
      </w:r>
    </w:p>
    <w:p w14:paraId="136E2B9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第四章 合同条款及格式</w:t>
      </w:r>
    </w:p>
    <w:p w14:paraId="68A45A49">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bCs/>
          <w:color w:val="auto"/>
          <w:sz w:val="24"/>
          <w:szCs w:val="24"/>
          <w:lang w:val="zh-CN"/>
        </w:rPr>
        <w:t xml:space="preserve">第五章 </w:t>
      </w:r>
      <w:r>
        <w:rPr>
          <w:rFonts w:hint="eastAsia" w:ascii="宋体" w:hAnsi="宋体" w:eastAsia="宋体"/>
          <w:bCs/>
          <w:color w:val="auto"/>
          <w:sz w:val="24"/>
          <w:szCs w:val="24"/>
          <w:lang w:val="en-US" w:eastAsia="zh-CN"/>
        </w:rPr>
        <w:t>采购需求</w:t>
      </w:r>
    </w:p>
    <w:p w14:paraId="1862788A">
      <w:pPr>
        <w:autoSpaceDE w:val="0"/>
        <w:autoSpaceDN w:val="0"/>
        <w:adjustRightInd w:val="0"/>
        <w:ind w:firstLine="420"/>
        <w:rPr>
          <w:rFonts w:ascii="宋体" w:hAnsi="宋体"/>
          <w:bCs/>
          <w:color w:val="auto"/>
          <w:sz w:val="24"/>
          <w:szCs w:val="24"/>
          <w:lang w:val="zh-CN"/>
        </w:rPr>
      </w:pPr>
      <w:r>
        <w:rPr>
          <w:rFonts w:hint="eastAsia" w:ascii="宋体" w:hAnsi="宋体" w:eastAsia="宋体"/>
          <w:bCs/>
          <w:color w:val="auto"/>
          <w:sz w:val="24"/>
          <w:szCs w:val="24"/>
          <w:lang w:val="en-US" w:eastAsia="zh-CN"/>
        </w:rPr>
        <w:t xml:space="preserve">第六章 </w:t>
      </w:r>
      <w:r>
        <w:rPr>
          <w:rFonts w:hint="eastAsia" w:ascii="宋体" w:hAnsi="宋体"/>
          <w:bCs/>
          <w:color w:val="auto"/>
          <w:sz w:val="24"/>
          <w:szCs w:val="24"/>
          <w:lang w:val="zh-CN"/>
        </w:rPr>
        <w:t>响应文件格式</w:t>
      </w:r>
    </w:p>
    <w:p w14:paraId="0FE9E5E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2.2磋商文件的澄清</w:t>
      </w:r>
    </w:p>
    <w:p w14:paraId="21D844DA">
      <w:pPr>
        <w:autoSpaceDE w:val="0"/>
        <w:autoSpaceDN w:val="0"/>
        <w:adjustRightInd w:val="0"/>
        <w:ind w:firstLine="420"/>
        <w:rPr>
          <w:rFonts w:hint="eastAsia" w:ascii="宋体" w:hAnsi="宋体"/>
          <w:bCs/>
          <w:color w:val="auto"/>
          <w:sz w:val="24"/>
          <w:szCs w:val="24"/>
          <w:lang w:val="zh-CN"/>
        </w:rPr>
      </w:pPr>
      <w:r>
        <w:rPr>
          <w:rFonts w:hint="eastAsia" w:ascii="宋体" w:hAnsi="宋体"/>
          <w:bCs/>
          <w:color w:val="auto"/>
          <w:sz w:val="24"/>
          <w:szCs w:val="24"/>
          <w:lang w:val="zh-CN"/>
        </w:rPr>
        <w:t>2.2.1供应商应仔细阅读和检查磋商文件的全部内容。如发现缺页或附件不全， 应于磋商文件发出之日起 2 日内向采购人提出，以便补齐。如有疑问，应在供应商须知前附表规定的时间前以书面形式（包括信函、电报、传真等可以有形地表现所载内容的形式， 下同），要求采购人对磋商文件予以澄清。</w:t>
      </w:r>
    </w:p>
    <w:p w14:paraId="0768FF91">
      <w:pPr>
        <w:autoSpaceDE w:val="0"/>
        <w:autoSpaceDN w:val="0"/>
        <w:adjustRightInd w:val="0"/>
        <w:ind w:firstLine="420"/>
        <w:rPr>
          <w:rFonts w:hint="default"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2.2.2</w:t>
      </w:r>
      <w:r>
        <w:rPr>
          <w:rFonts w:hint="eastAsia" w:ascii="宋体" w:hAnsi="宋体" w:cs="宋体"/>
          <w:color w:val="auto"/>
          <w:kern w:val="0"/>
          <w:sz w:val="24"/>
          <w:szCs w:val="24"/>
          <w:highlight w:val="none"/>
        </w:rPr>
        <w:t xml:space="preserve"> 供应商对磋商文件条款或技术、商务参数有异议的，应当在磋商前通过澄清或修改程序提出。</w:t>
      </w:r>
    </w:p>
    <w:p w14:paraId="0E5E5808">
      <w:pPr>
        <w:keepNext w:val="0"/>
        <w:keepLines w:val="0"/>
        <w:pageBreakBefore w:val="0"/>
        <w:widowControl w:val="0"/>
        <w:kinsoku/>
        <w:wordWrap/>
        <w:overflowPunct/>
        <w:topLinePunct w:val="0"/>
        <w:autoSpaceDE w:val="0"/>
        <w:autoSpaceDN w:val="0"/>
        <w:bidi w:val="0"/>
        <w:adjustRightInd w:val="0"/>
        <w:snapToGrid/>
        <w:ind w:firstLine="420"/>
        <w:textAlignment w:val="auto"/>
        <w:rPr>
          <w:rFonts w:ascii="宋体" w:hAnsi="宋体"/>
          <w:bCs/>
          <w:color w:val="auto"/>
          <w:sz w:val="24"/>
          <w:szCs w:val="24"/>
          <w:lang w:val="zh-CN"/>
        </w:rPr>
      </w:pPr>
      <w:r>
        <w:rPr>
          <w:rFonts w:hint="eastAsia" w:ascii="宋体" w:hAnsi="宋体"/>
          <w:bCs/>
          <w:color w:val="auto"/>
          <w:sz w:val="24"/>
          <w:szCs w:val="24"/>
          <w:lang w:val="zh-CN"/>
        </w:rPr>
        <w:t>2.2.</w:t>
      </w:r>
      <w:r>
        <w:rPr>
          <w:rFonts w:hint="eastAsia" w:ascii="宋体" w:hAnsi="宋体" w:eastAsia="宋体"/>
          <w:bCs/>
          <w:color w:val="auto"/>
          <w:sz w:val="24"/>
          <w:szCs w:val="24"/>
          <w:lang w:val="en-US" w:eastAsia="zh-CN"/>
        </w:rPr>
        <w:t>3</w:t>
      </w:r>
      <w:r>
        <w:rPr>
          <w:rFonts w:hint="eastAsia" w:ascii="宋体" w:hAnsi="宋体"/>
          <w:bCs/>
          <w:color w:val="auto"/>
          <w:sz w:val="24"/>
          <w:szCs w:val="24"/>
          <w:lang w:val="zh-CN"/>
        </w:rPr>
        <w:t>磋商文件的澄清将以书面形式发给所有购买磋商文件的供应商，但不指明澄清问题的来源。如果澄清发出的时间距供应商须知前附表规定的磋商截止时间不足 5 天，并且澄清内容影响响应文件编制的，将相应延长磋商截止时间。</w:t>
      </w:r>
    </w:p>
    <w:p w14:paraId="15431FE9">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2.2.</w:t>
      </w:r>
      <w:r>
        <w:rPr>
          <w:rFonts w:hint="eastAsia" w:ascii="宋体" w:hAnsi="宋体" w:eastAsia="宋体"/>
          <w:bCs/>
          <w:color w:val="auto"/>
          <w:sz w:val="24"/>
          <w:szCs w:val="24"/>
          <w:lang w:val="en-US" w:eastAsia="zh-CN"/>
        </w:rPr>
        <w:t>4</w:t>
      </w:r>
      <w:r>
        <w:rPr>
          <w:rFonts w:hint="eastAsia" w:ascii="宋体" w:hAnsi="宋体"/>
          <w:bCs/>
          <w:color w:val="auto"/>
          <w:sz w:val="24"/>
          <w:szCs w:val="24"/>
          <w:lang w:val="zh-CN"/>
        </w:rPr>
        <w:t>供应商在收到澄清后，应在供应商须知前附表规定的时间内以书面形式通知采购人，确认已收到该澄清。</w:t>
      </w:r>
    </w:p>
    <w:p w14:paraId="78E38728">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2.</w:t>
      </w:r>
      <w:r>
        <w:rPr>
          <w:rFonts w:hint="eastAsia" w:ascii="宋体" w:hAnsi="宋体" w:eastAsia="宋体"/>
          <w:b/>
          <w:bCs w:val="0"/>
          <w:color w:val="auto"/>
          <w:sz w:val="24"/>
          <w:szCs w:val="24"/>
          <w:lang w:val="en-US" w:eastAsia="zh-CN"/>
        </w:rPr>
        <w:t>3</w:t>
      </w:r>
      <w:r>
        <w:rPr>
          <w:rFonts w:hint="eastAsia" w:ascii="宋体" w:hAnsi="宋体"/>
          <w:b/>
          <w:bCs w:val="0"/>
          <w:color w:val="auto"/>
          <w:sz w:val="24"/>
          <w:szCs w:val="24"/>
          <w:lang w:val="zh-CN"/>
        </w:rPr>
        <w:t>磋商文件的修改</w:t>
      </w:r>
    </w:p>
    <w:p w14:paraId="0AD30084">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w:t>
      </w:r>
      <w:r>
        <w:rPr>
          <w:rFonts w:hint="eastAsia" w:ascii="宋体" w:hAnsi="宋体" w:eastAsia="宋体"/>
          <w:bCs/>
          <w:color w:val="auto"/>
          <w:sz w:val="24"/>
          <w:szCs w:val="24"/>
          <w:lang w:val="en-US" w:eastAsia="zh-CN"/>
        </w:rPr>
        <w:t>3</w:t>
      </w:r>
      <w:r>
        <w:rPr>
          <w:rFonts w:hint="eastAsia" w:ascii="宋体" w:hAnsi="宋体"/>
          <w:bCs/>
          <w:color w:val="auto"/>
          <w:sz w:val="24"/>
          <w:szCs w:val="24"/>
          <w:lang w:val="zh-CN"/>
        </w:rPr>
        <w:t>.1采购人可以书面形式修改磋商文件，并通知所有已购买磋商文件的供应商。但如果修改磋商文件的时间距磋商截止时间不足5天，并且修改内容影响响应文件编制的，将相应延长磋商截止时间。</w:t>
      </w:r>
    </w:p>
    <w:p w14:paraId="71FA9F3F">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w:t>
      </w:r>
      <w:r>
        <w:rPr>
          <w:rFonts w:hint="eastAsia" w:ascii="宋体" w:hAnsi="宋体" w:eastAsia="宋体"/>
          <w:bCs/>
          <w:color w:val="auto"/>
          <w:sz w:val="24"/>
          <w:szCs w:val="24"/>
          <w:lang w:val="en-US" w:eastAsia="zh-CN"/>
        </w:rPr>
        <w:t>3</w:t>
      </w:r>
      <w:r>
        <w:rPr>
          <w:rFonts w:hint="eastAsia" w:ascii="宋体" w:hAnsi="宋体"/>
          <w:bCs/>
          <w:color w:val="auto"/>
          <w:sz w:val="24"/>
          <w:szCs w:val="24"/>
          <w:lang w:val="zh-CN"/>
        </w:rPr>
        <w:t>.2供应商收到修改内容后，应在供应商须知前附表规定的时间内以书面形式通知采购人，确认已收到该修改。</w:t>
      </w:r>
    </w:p>
    <w:p w14:paraId="642A70EA">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3.响应文件</w:t>
      </w:r>
    </w:p>
    <w:p w14:paraId="38B01547">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3.1响应文件的组成</w:t>
      </w:r>
    </w:p>
    <w:p w14:paraId="21B2F540">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响应文件应包括下列内容：</w:t>
      </w:r>
    </w:p>
    <w:p w14:paraId="7B34AFFC">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一、投标函</w:t>
      </w:r>
    </w:p>
    <w:p w14:paraId="01973651">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二、法定代表人身份证明</w:t>
      </w:r>
    </w:p>
    <w:p w14:paraId="777D4119">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三、授权委托书</w:t>
      </w:r>
    </w:p>
    <w:p w14:paraId="080D8F1A">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四、</w:t>
      </w:r>
      <w:r>
        <w:rPr>
          <w:rFonts w:hint="eastAsia" w:ascii="宋体" w:hAnsi="宋体"/>
          <w:bCs/>
          <w:color w:val="auto"/>
          <w:sz w:val="24"/>
          <w:szCs w:val="24"/>
          <w:highlight w:val="none"/>
          <w:lang w:val="zh-CN" w:eastAsia="zh-CN"/>
        </w:rPr>
        <w:t>磋商</w:t>
      </w:r>
      <w:r>
        <w:rPr>
          <w:rFonts w:hint="eastAsia" w:ascii="宋体" w:hAnsi="宋体"/>
          <w:bCs/>
          <w:color w:val="auto"/>
          <w:sz w:val="24"/>
          <w:szCs w:val="24"/>
          <w:highlight w:val="none"/>
          <w:lang w:val="zh-CN"/>
        </w:rPr>
        <w:t>一览表</w:t>
      </w:r>
    </w:p>
    <w:p w14:paraId="3723B111">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五、磋商保证金</w:t>
      </w:r>
    </w:p>
    <w:p w14:paraId="27E09DCE">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六、偏离表</w:t>
      </w:r>
    </w:p>
    <w:p w14:paraId="2EFC2B11">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eastAsia="zh-CN"/>
        </w:rPr>
        <w:t>七</w:t>
      </w:r>
      <w:r>
        <w:rPr>
          <w:rFonts w:hint="eastAsia" w:ascii="宋体" w:hAnsi="宋体"/>
          <w:bCs/>
          <w:color w:val="auto"/>
          <w:sz w:val="24"/>
          <w:szCs w:val="24"/>
          <w:highlight w:val="none"/>
          <w:lang w:val="zh-CN"/>
        </w:rPr>
        <w:t>、资格审查资料</w:t>
      </w:r>
    </w:p>
    <w:p w14:paraId="078D14B4">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eastAsia="zh-CN"/>
        </w:rPr>
        <w:t>八</w:t>
      </w:r>
      <w:r>
        <w:rPr>
          <w:rFonts w:hint="eastAsia" w:ascii="宋体" w:hAnsi="宋体"/>
          <w:bCs/>
          <w:color w:val="auto"/>
          <w:sz w:val="24"/>
          <w:szCs w:val="24"/>
          <w:highlight w:val="none"/>
          <w:lang w:val="zh-CN"/>
        </w:rPr>
        <w:t>、投标设备技术性能指标的详细描述</w:t>
      </w:r>
    </w:p>
    <w:p w14:paraId="4919D260">
      <w:pPr>
        <w:ind w:firstLine="480" w:firstLineChars="200"/>
        <w:jc w:val="both"/>
        <w:rPr>
          <w:rFonts w:hint="eastAsia" w:ascii="宋体" w:hAnsi="宋体"/>
          <w:bCs/>
          <w:color w:val="auto"/>
          <w:sz w:val="24"/>
          <w:szCs w:val="24"/>
          <w:highlight w:val="none"/>
          <w:lang w:val="zh-CN" w:eastAsia="zh-CN"/>
        </w:rPr>
      </w:pPr>
      <w:r>
        <w:rPr>
          <w:rFonts w:hint="eastAsia" w:ascii="宋体" w:hAnsi="宋体"/>
          <w:bCs/>
          <w:color w:val="auto"/>
          <w:sz w:val="24"/>
          <w:szCs w:val="24"/>
          <w:highlight w:val="none"/>
          <w:lang w:val="zh-CN" w:eastAsia="zh-CN"/>
        </w:rPr>
        <w:t>九、技术支持资料</w:t>
      </w:r>
    </w:p>
    <w:p w14:paraId="128A6358">
      <w:pPr>
        <w:ind w:firstLine="480" w:firstLineChars="200"/>
        <w:jc w:val="both"/>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eastAsia="zh-CN"/>
        </w:rPr>
        <w:t>十、技术服务和质保期服务计划</w:t>
      </w:r>
    </w:p>
    <w:p w14:paraId="3DEE1D24">
      <w:pPr>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eastAsia="zh-CN"/>
        </w:rPr>
        <w:t>十一、</w:t>
      </w:r>
      <w:r>
        <w:rPr>
          <w:rFonts w:hint="eastAsia" w:ascii="宋体" w:hAnsi="宋体"/>
          <w:bCs/>
          <w:color w:val="auto"/>
          <w:sz w:val="24"/>
          <w:szCs w:val="24"/>
          <w:highlight w:val="none"/>
          <w:lang w:val="zh-CN"/>
        </w:rPr>
        <w:t>其他材料</w:t>
      </w:r>
    </w:p>
    <w:p w14:paraId="02D1716E">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3.2磋商报价</w:t>
      </w:r>
    </w:p>
    <w:p w14:paraId="5D818031">
      <w:pPr>
        <w:pStyle w:val="99"/>
        <w:numPr>
          <w:ilvl w:val="0"/>
          <w:numId w:val="0"/>
        </w:numPr>
        <w:shd w:val="clear"/>
        <w:tabs>
          <w:tab w:val="left" w:pos="900"/>
        </w:tabs>
        <w:snapToGrid w:val="0"/>
        <w:ind w:firstLine="480" w:firstLineChars="200"/>
        <w:rPr>
          <w:rFonts w:cs="宋体"/>
          <w:bCs/>
          <w:color w:val="auto"/>
          <w:sz w:val="24"/>
          <w:szCs w:val="24"/>
          <w:highlight w:val="none"/>
        </w:rPr>
      </w:pPr>
      <w:r>
        <w:rPr>
          <w:rFonts w:hint="eastAsia" w:cs="宋体"/>
          <w:bCs/>
          <w:color w:val="auto"/>
          <w:sz w:val="24"/>
          <w:szCs w:val="24"/>
          <w:highlight w:val="none"/>
        </w:rPr>
        <w:t>3.</w:t>
      </w:r>
      <w:r>
        <w:rPr>
          <w:rFonts w:hint="eastAsia" w:eastAsia="宋体" w:cs="宋体"/>
          <w:bCs/>
          <w:color w:val="auto"/>
          <w:sz w:val="24"/>
          <w:szCs w:val="24"/>
          <w:highlight w:val="none"/>
          <w:lang w:val="en-US" w:eastAsia="zh-CN"/>
        </w:rPr>
        <w:t>2</w:t>
      </w:r>
      <w:r>
        <w:rPr>
          <w:rFonts w:hint="eastAsia" w:cs="宋体"/>
          <w:bCs/>
          <w:color w:val="auto"/>
          <w:sz w:val="24"/>
          <w:szCs w:val="24"/>
          <w:highlight w:val="none"/>
        </w:rPr>
        <w:t>.1 所有</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报价均以</w:t>
      </w:r>
      <w:r>
        <w:rPr>
          <w:rFonts w:hint="eastAsia" w:cs="宋体"/>
          <w:b/>
          <w:color w:val="auto"/>
          <w:sz w:val="24"/>
          <w:szCs w:val="24"/>
          <w:highlight w:val="none"/>
        </w:rPr>
        <w:t>人民币元</w:t>
      </w:r>
      <w:r>
        <w:rPr>
          <w:rFonts w:hint="eastAsia" w:cs="宋体"/>
          <w:bCs/>
          <w:color w:val="auto"/>
          <w:sz w:val="24"/>
          <w:szCs w:val="24"/>
          <w:highlight w:val="none"/>
        </w:rPr>
        <w:t>为计算单位。</w:t>
      </w:r>
      <w:r>
        <w:rPr>
          <w:rFonts w:hint="eastAsia" w:cs="宋体"/>
          <w:bCs/>
          <w:color w:val="auto"/>
          <w:sz w:val="24"/>
          <w:szCs w:val="24"/>
          <w:highlight w:val="none"/>
          <w:lang w:eastAsia="zh-CN"/>
        </w:rPr>
        <w:t>供应商</w:t>
      </w:r>
      <w:r>
        <w:rPr>
          <w:rFonts w:hint="eastAsia" w:cs="宋体"/>
          <w:bCs/>
          <w:color w:val="auto"/>
          <w:sz w:val="24"/>
          <w:szCs w:val="24"/>
          <w:highlight w:val="none"/>
        </w:rPr>
        <w:t>的报价应遵守《中华人民共和国价格法》。</w:t>
      </w:r>
      <w:r>
        <w:rPr>
          <w:rFonts w:hint="eastAsia" w:cs="宋体"/>
          <w:bCs/>
          <w:color w:val="auto"/>
          <w:sz w:val="24"/>
          <w:szCs w:val="24"/>
          <w:highlight w:val="none"/>
          <w:lang w:eastAsia="zh-CN"/>
        </w:rPr>
        <w:t>供应商</w:t>
      </w:r>
      <w:r>
        <w:rPr>
          <w:rFonts w:hint="eastAsia" w:cs="宋体"/>
          <w:bCs/>
          <w:color w:val="auto"/>
          <w:sz w:val="24"/>
          <w:szCs w:val="24"/>
          <w:highlight w:val="none"/>
        </w:rPr>
        <w:t>应充分了解本项目的总体情况以及影响</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报价的其他因素，</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报价是履行合同的最终价格，应包含本招标内容全部工作所需的一切费用，包括各项成本、利润、税金等。对在合同实施过程中可能发生的其它费用（如：增加耗材、材料涨价、人工、运输成本增加等因素），采购人不予支付。</w:t>
      </w:r>
    </w:p>
    <w:p w14:paraId="4E7D9A63">
      <w:pPr>
        <w:pStyle w:val="99"/>
        <w:numPr>
          <w:ilvl w:val="0"/>
          <w:numId w:val="0"/>
        </w:numPr>
        <w:shd w:val="clear"/>
        <w:tabs>
          <w:tab w:val="left" w:pos="900"/>
        </w:tabs>
        <w:snapToGrid w:val="0"/>
        <w:ind w:firstLine="480" w:firstLineChars="200"/>
        <w:rPr>
          <w:rFonts w:cs="宋体"/>
          <w:bCs/>
          <w:color w:val="auto"/>
          <w:sz w:val="24"/>
          <w:szCs w:val="24"/>
          <w:highlight w:val="none"/>
        </w:rPr>
      </w:pPr>
      <w:r>
        <w:rPr>
          <w:rFonts w:hint="eastAsia" w:cs="宋体"/>
          <w:bCs/>
          <w:color w:val="auto"/>
          <w:sz w:val="24"/>
          <w:szCs w:val="24"/>
          <w:highlight w:val="none"/>
        </w:rPr>
        <w:t>3.</w:t>
      </w:r>
      <w:r>
        <w:rPr>
          <w:rFonts w:hint="eastAsia" w:eastAsia="宋体" w:cs="宋体"/>
          <w:bCs/>
          <w:color w:val="auto"/>
          <w:sz w:val="24"/>
          <w:szCs w:val="24"/>
          <w:highlight w:val="none"/>
          <w:lang w:val="en-US" w:eastAsia="zh-CN"/>
        </w:rPr>
        <w:t>2</w:t>
      </w:r>
      <w:r>
        <w:rPr>
          <w:rFonts w:hint="eastAsia" w:cs="宋体"/>
          <w:bCs/>
          <w:color w:val="auto"/>
          <w:sz w:val="24"/>
          <w:szCs w:val="24"/>
          <w:highlight w:val="none"/>
        </w:rPr>
        <w:t xml:space="preserve">.2 </w:t>
      </w:r>
      <w:r>
        <w:rPr>
          <w:rFonts w:hint="eastAsia" w:cs="宋体"/>
          <w:bCs/>
          <w:color w:val="auto"/>
          <w:sz w:val="24"/>
          <w:szCs w:val="24"/>
          <w:highlight w:val="none"/>
          <w:lang w:eastAsia="zh-CN"/>
        </w:rPr>
        <w:t>供应商</w:t>
      </w:r>
      <w:r>
        <w:rPr>
          <w:rFonts w:hint="eastAsia" w:cs="宋体"/>
          <w:bCs/>
          <w:color w:val="auto"/>
          <w:sz w:val="24"/>
          <w:szCs w:val="24"/>
          <w:highlight w:val="none"/>
        </w:rPr>
        <w:t>应按照《</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一览表》和《</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报价明细表》的格式进行报价。报价上的优惠应体现在《</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报价明细表》各分项报价中，</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总价应为优惠后的最终报价。如分项报价中存在缺漏项，则视为缺漏项价格已包含在其他分项报价之中。</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总价中不得包含</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文件要求以外的内容，否则，在评标时不予核减。</w:t>
      </w:r>
    </w:p>
    <w:p w14:paraId="57A51787">
      <w:pPr>
        <w:autoSpaceDE w:val="0"/>
        <w:autoSpaceDN w:val="0"/>
        <w:adjustRightInd w:val="0"/>
        <w:ind w:firstLine="420"/>
        <w:rPr>
          <w:rFonts w:ascii="宋体" w:hAnsi="宋体"/>
          <w:bCs/>
          <w:color w:val="auto"/>
          <w:sz w:val="24"/>
          <w:szCs w:val="24"/>
          <w:lang w:val="zh-CN"/>
        </w:rPr>
      </w:pPr>
      <w:r>
        <w:rPr>
          <w:rFonts w:hint="eastAsia" w:cs="宋体"/>
          <w:bCs/>
          <w:color w:val="auto"/>
          <w:sz w:val="24"/>
          <w:szCs w:val="24"/>
          <w:highlight w:val="none"/>
        </w:rPr>
        <w:t>3.</w:t>
      </w:r>
      <w:r>
        <w:rPr>
          <w:rFonts w:hint="eastAsia" w:eastAsia="宋体" w:cs="宋体"/>
          <w:bCs/>
          <w:color w:val="auto"/>
          <w:sz w:val="24"/>
          <w:szCs w:val="24"/>
          <w:highlight w:val="none"/>
          <w:lang w:val="en-US" w:eastAsia="zh-CN"/>
        </w:rPr>
        <w:t>2</w:t>
      </w:r>
      <w:r>
        <w:rPr>
          <w:rFonts w:hint="eastAsia" w:cs="宋体"/>
          <w:bCs/>
          <w:color w:val="auto"/>
          <w:sz w:val="24"/>
          <w:szCs w:val="24"/>
          <w:highlight w:val="none"/>
        </w:rPr>
        <w:t>.3 如果</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文件《</w:t>
      </w:r>
      <w:r>
        <w:rPr>
          <w:rFonts w:hint="eastAsia" w:cs="宋体"/>
          <w:bCs/>
          <w:color w:val="auto"/>
          <w:sz w:val="24"/>
          <w:szCs w:val="24"/>
          <w:highlight w:val="none"/>
          <w:lang w:eastAsia="zh-CN"/>
        </w:rPr>
        <w:t>供货要求</w:t>
      </w:r>
      <w:r>
        <w:rPr>
          <w:rFonts w:hint="eastAsia" w:cs="宋体"/>
          <w:bCs/>
          <w:color w:val="auto"/>
          <w:sz w:val="24"/>
          <w:szCs w:val="24"/>
          <w:highlight w:val="none"/>
        </w:rPr>
        <w:t>》中没有特殊说明，本次</w:t>
      </w:r>
      <w:r>
        <w:rPr>
          <w:rFonts w:hint="eastAsia" w:eastAsia="宋体" w:cs="宋体"/>
          <w:bCs/>
          <w:color w:val="auto"/>
          <w:sz w:val="24"/>
          <w:szCs w:val="24"/>
          <w:highlight w:val="none"/>
          <w:lang w:val="en-US" w:eastAsia="zh-CN"/>
        </w:rPr>
        <w:t>磋商</w:t>
      </w:r>
      <w:r>
        <w:rPr>
          <w:rFonts w:hint="eastAsia" w:cs="宋体"/>
          <w:bCs/>
          <w:color w:val="auto"/>
          <w:sz w:val="24"/>
          <w:szCs w:val="24"/>
          <w:highlight w:val="none"/>
        </w:rPr>
        <w:t>将不接受可选择或可调整的投标和报价，任何有选择的或可调整的投标方案和报价将被视为非响应性投标，其投标无效。</w:t>
      </w:r>
    </w:p>
    <w:p w14:paraId="08C88C5B">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3.2.4磋商文件报价出现前后不一致的，按照下列规定修正：</w:t>
      </w:r>
    </w:p>
    <w:p w14:paraId="55E79C8B">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（一）政采云平台中供应商填报的报价内容与磋商文件中磋商一览表（</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"https://baike.baidu.com/item/%E6%8A%A5%E4%BB%B7%E8%A1%A8/8623057?fromModule=lemma_inlink"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报价表</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）内容不一致的，以政采云平台报价内容为准；</w:t>
      </w:r>
    </w:p>
    <w:p w14:paraId="70E160C7">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（二）磋商文件中磋商一览表（</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"https://baike.baidu.com/item/%E6%8A%A5%E4%BB%B7%E8%A1%A8/8623057?fromModule=lemma_inlink"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报价表</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）内容与磋商文件中相应内容不一致的，以磋商一览表（报价表）为准；</w:t>
      </w:r>
    </w:p>
    <w:p w14:paraId="2606A1C1">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（二）</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"https://baike.baidu.com/item/%E5%A4%A7%E5%86%99%E9%87%91%E9%A2%9D/12787267?fromModule=lemma_inlink"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大写金额</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和</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"https://baike.baidu.com/item/%E5%B0%8F%E5%86%99/1769537?fromModule=lemma_inlink"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小写</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金额不一致的，以大写金额为准；</w:t>
      </w:r>
    </w:p>
    <w:p w14:paraId="04523CAE">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（三）单价金额</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"https://baike.baidu.com/item/%E5%B0%8F%E6%95%B0%E7%82%B9/1215589?fromModule=lemma_inlink"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小数点</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或者</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"https://baike.baidu.com/item/%E7%99%BE%E5%88%86%E6%AF%94/1303052?fromModule=lemma_inlink"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百分比</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有明显错位的，以磋商一览表的总价为准，并修改单价；</w:t>
      </w:r>
    </w:p>
    <w:p w14:paraId="23C9902B">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（四）总价金额与按单价汇总金额不一致的，以单价金额计算结果为准。</w:t>
      </w:r>
    </w:p>
    <w:p w14:paraId="7A9F6449">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同时出现两种以上不一致的，按照前款规定的顺序修正。修正后的报价经供应商确认后产生</w:t>
      </w:r>
      <w:r>
        <w:rPr>
          <w:rFonts w:hint="eastAsia" w:ascii="宋体" w:hAnsi="宋体" w:eastAsia="宋体"/>
          <w:bCs/>
          <w:color w:val="auto"/>
          <w:sz w:val="24"/>
          <w:szCs w:val="24"/>
          <w:lang w:val="en-US" w:eastAsia="zh-CN"/>
        </w:rPr>
        <w:fldChar w:fldCharType="begin"/>
      </w:r>
      <w:r>
        <w:rPr>
          <w:rFonts w:hint="eastAsia" w:ascii="宋体" w:hAnsi="宋体" w:eastAsia="宋体"/>
          <w:bCs/>
          <w:color w:val="auto"/>
          <w:sz w:val="24"/>
          <w:szCs w:val="24"/>
          <w:lang w:val="en-US" w:eastAsia="zh-CN"/>
        </w:rPr>
        <w:instrText xml:space="preserve"> HYPERLINK "https://baike.baidu.com/item/%E7%BA%A6%E6%9D%9F%E5%8A%9B/321666?fromModule=lemma_inlink" \t "https://baike.baidu.com/item/%E6%94%BF%E5%BA%9C%E9%87%87%E8%B4%AD%E8%B4%A7%E7%89%A9%E5%92%8C%E6%9C%8D%E5%8A%A1%E6%8B%9B%E6%A0%87%E6%8A%95%E6%A0%87%E7%AE%A1%E7%90%86%E5%8A%9E%E6%B3%95/_blank" </w:instrText>
      </w:r>
      <w:r>
        <w:rPr>
          <w:rFonts w:hint="eastAsia" w:ascii="宋体" w:hAnsi="宋体" w:eastAsia="宋体"/>
          <w:bCs/>
          <w:color w:val="auto"/>
          <w:sz w:val="24"/>
          <w:szCs w:val="24"/>
          <w:lang w:val="en-US" w:eastAsia="zh-CN"/>
        </w:rPr>
        <w:fldChar w:fldCharType="separate"/>
      </w:r>
      <w:r>
        <w:rPr>
          <w:rFonts w:hint="eastAsia" w:ascii="宋体" w:hAnsi="宋体" w:eastAsia="宋体"/>
          <w:bCs/>
          <w:color w:val="auto"/>
          <w:sz w:val="24"/>
          <w:szCs w:val="24"/>
          <w:lang w:val="en-US" w:eastAsia="zh-CN"/>
        </w:rPr>
        <w:t>约束力</w:t>
      </w:r>
      <w:r>
        <w:rPr>
          <w:rFonts w:hint="eastAsia" w:ascii="宋体" w:hAnsi="宋体" w:eastAsia="宋体"/>
          <w:bCs/>
          <w:color w:val="auto"/>
          <w:sz w:val="24"/>
          <w:szCs w:val="24"/>
          <w:lang w:val="en-US" w:eastAsia="zh-CN"/>
        </w:rPr>
        <w:fldChar w:fldCharType="end"/>
      </w:r>
      <w:r>
        <w:rPr>
          <w:rFonts w:hint="eastAsia" w:ascii="宋体" w:hAnsi="宋体" w:eastAsia="宋体"/>
          <w:bCs/>
          <w:color w:val="auto"/>
          <w:sz w:val="24"/>
          <w:szCs w:val="24"/>
          <w:lang w:val="en-US" w:eastAsia="zh-CN"/>
        </w:rPr>
        <w:t>，供应商不确认的，其投标无效。</w:t>
      </w:r>
    </w:p>
    <w:p w14:paraId="440E92CC">
      <w:pPr>
        <w:autoSpaceDE w:val="0"/>
        <w:autoSpaceDN w:val="0"/>
        <w:adjustRightInd w:val="0"/>
        <w:ind w:firstLine="420"/>
        <w:rPr>
          <w:rFonts w:hint="default"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供应商的澄清、说明或者补正应当采用书面形式，并加盖公章，或者由法定代表人或其授权的代表签字。供应商的澄清、说明或者补正不得超出响应文件的范围或者改变响应文件的实质性内容。</w:t>
      </w:r>
    </w:p>
    <w:p w14:paraId="6D2DC03C">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3.3磋商有效期</w:t>
      </w:r>
    </w:p>
    <w:p w14:paraId="63C70420">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3.3.1除供应商须知前附表另有规定外，磋商有效期为 60 天。</w:t>
      </w:r>
    </w:p>
    <w:p w14:paraId="19FB0F86">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3.3.2在磋商有效期内，供应商撤销或修改其响应文件的，应承担磋商文件和法律规定的责任。</w:t>
      </w:r>
    </w:p>
    <w:p w14:paraId="3A533322">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3.3.3出现特殊情况需要延长磋商有效期的，采购人以书面形式通知所有供应商延长磋商有效期。供应商同意延长的，应相应延长其磋商保证金的有效期， 但不得要求或被允许修改或撤销其响应文件；供应商拒绝延长的，其磋商失效， 但供应商有权收回其磋商保证金。</w:t>
      </w:r>
    </w:p>
    <w:p w14:paraId="651564F7">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3.4磋商保证金（如有）</w:t>
      </w:r>
    </w:p>
    <w:p w14:paraId="596F2CE0">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3.4.1供应商须知前附表规定递交磋商保证金的，供应商在递交响应文件的同时，应按供应商须知前附表规定的金额、担保形式和第五章“响应文件格式” 规定的或者事先经过采购人认可的磋商保证金格式递交磋商保证金，并作为其响应文件的组成部分。</w:t>
      </w:r>
    </w:p>
    <w:p w14:paraId="4220C65E">
      <w:pPr>
        <w:keepNext w:val="0"/>
        <w:keepLines w:val="0"/>
        <w:pageBreakBefore w:val="0"/>
        <w:widowControl w:val="0"/>
        <w:kinsoku/>
        <w:wordWrap/>
        <w:overflowPunct/>
        <w:topLinePunct w:val="0"/>
        <w:autoSpaceDE w:val="0"/>
        <w:autoSpaceDN w:val="0"/>
        <w:bidi w:val="0"/>
        <w:adjustRightInd w:val="0"/>
        <w:snapToGrid/>
        <w:ind w:firstLine="420"/>
        <w:textAlignment w:val="auto"/>
        <w:rPr>
          <w:rFonts w:ascii="宋体" w:hAnsi="宋体"/>
          <w:bCs/>
          <w:color w:val="auto"/>
          <w:sz w:val="24"/>
          <w:szCs w:val="24"/>
          <w:lang w:val="zh-CN"/>
        </w:rPr>
      </w:pPr>
      <w:r>
        <w:rPr>
          <w:rFonts w:hint="eastAsia" w:ascii="宋体" w:hAnsi="宋体"/>
          <w:bCs/>
          <w:color w:val="auto"/>
          <w:sz w:val="24"/>
          <w:szCs w:val="24"/>
          <w:lang w:val="zh-CN"/>
        </w:rPr>
        <w:t>3.4.2供应商不按本章第 3.4.1 项要求提交磋商保证金的，磋商小组将作废标处理。</w:t>
      </w:r>
    </w:p>
    <w:p w14:paraId="5433E04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3.4.3采购人向成交供应商发放成交通知书后五个工作日内，退还未成交供应商的磋商保证金，采购人与成交供应商签订合同后五个工作日内，退还成交供应商的磋商保证金。</w:t>
      </w:r>
    </w:p>
    <w:p w14:paraId="32734A28">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3.4.4有下列情形之一的，磋商保证金将不予退还：</w:t>
      </w:r>
    </w:p>
    <w:p w14:paraId="02FBDC3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（1）供应商在规定的磋商有效期内撤销或修改其响应文件；</w:t>
      </w:r>
    </w:p>
    <w:p w14:paraId="7840733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（2）成交供应商在收到成交通知书后，无正当理由拒签合同。</w:t>
      </w:r>
    </w:p>
    <w:p w14:paraId="7E981DA8">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3.5响应文件的编制</w:t>
      </w:r>
    </w:p>
    <w:p w14:paraId="72C18AEE">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3.5.1响应文件应按第五章“响应文件格式”进行编写，如有必要，可以增加附页，作为响应文件的组成部分。其中，磋商函附录在满足磋商文件实质性要求的基础上，可以提出比磋商文件要求更有利于采购人的承诺。</w:t>
      </w:r>
    </w:p>
    <w:p w14:paraId="18D18688">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3.5.2响应文件应当对磋商文件有关供货期、磋商有效期、质量要求、服务需求、磋商范围等实质性内容作出响应。</w:t>
      </w:r>
    </w:p>
    <w:p w14:paraId="63224A8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3.5.3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20DC12E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3.5.4响应文件正本一份, 副本份数见供应商须知前附表。正本和副本的封面上应清楚地标记“正本”或“副本”的字样。当副本和正本不一致时，以正本为准。</w:t>
      </w:r>
    </w:p>
    <w:p w14:paraId="1D7AAF3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3.5.5响应文件的正本与副本应分别装订成册，具体装订要求见供应商须知前附表规定。</w:t>
      </w:r>
    </w:p>
    <w:p w14:paraId="5A1364AA">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4.磋商文件的密封</w:t>
      </w:r>
    </w:p>
    <w:p w14:paraId="4E964B8E">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4.1响应文件的密封和标记</w:t>
      </w:r>
    </w:p>
    <w:p w14:paraId="36ED5998">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4.1.1响应文件应进行包装、正副本应分别密封，磋商一览表与电子版文件单独用小信封密封，加贴封条，外封套须在封口处加盖供应商单位章。</w:t>
      </w:r>
    </w:p>
    <w:p w14:paraId="5692231D">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4.1.2响应文件封套上应写明的内容见供应商须知前附表。</w:t>
      </w:r>
    </w:p>
    <w:p w14:paraId="7F61216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4.1.3未按本章第 4.1.1 项、第 4.1.2 项要求密封和加写标记的响应文件， 采购人应予拒收。</w:t>
      </w:r>
    </w:p>
    <w:p w14:paraId="30C32441">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4.2响应文件的递交</w:t>
      </w:r>
    </w:p>
    <w:p w14:paraId="0E2DC07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4.2.1供应商应在本章第 2.2.2 项规定的磋商截止时间前递交响应文件。</w:t>
      </w:r>
    </w:p>
    <w:p w14:paraId="6960008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4.2.2供应商递交响应文件的地点：见供应商须知前附表。</w:t>
      </w:r>
    </w:p>
    <w:p w14:paraId="6D2D544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4.2.3除供应商须知前附表另有规定外，供应商所递交的响应文件不予退还。</w:t>
      </w:r>
    </w:p>
    <w:p w14:paraId="14B31516">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4.2.4采购人收到响应文件后，向供应商出具签收凭证。</w:t>
      </w:r>
    </w:p>
    <w:p w14:paraId="6C20E56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4.2.5逾期送达的或者未送达指定地点的响应文件，采购人不予受理。</w:t>
      </w:r>
    </w:p>
    <w:p w14:paraId="1B636139">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4.3响应文件的修改与撤回</w:t>
      </w:r>
    </w:p>
    <w:p w14:paraId="714FE2FC">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4.3.1在本章第 2.2.2 项规定的磋商截止时间前，供应商可以修改或撤回已递交的响应文件，但应以书面形式通知采购人。</w:t>
      </w:r>
    </w:p>
    <w:p w14:paraId="554AA3B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4.3.2供应商修改或撤回已递交响应文件的书面通知应按照本章第 3.6.3 项的要求签字或盖章。采购人收到书面通知后，向供应商出具签收凭证。</w:t>
      </w:r>
    </w:p>
    <w:p w14:paraId="3DC4455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4.3.3供应商撤回响应文件的，采购人自收到供应商书面撤回通知之日起 5 日内退还已收取的磋商保证金。</w:t>
      </w:r>
    </w:p>
    <w:p w14:paraId="2817312C">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4.3.4修改的内容为响应文件的组成部分。修改的响应文件应按照本章第 3 条、第 4 条规定进行编制、密封、标记和递交，并标明“修改”字样。</w:t>
      </w:r>
    </w:p>
    <w:p w14:paraId="21ECE0BA">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5.磋商</w:t>
      </w:r>
    </w:p>
    <w:p w14:paraId="4CB6BF65">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5.1磋商时间和地点</w:t>
      </w:r>
    </w:p>
    <w:p w14:paraId="6453B72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采购人在本章第 2.2.2 项规定的磋商截止时间（磋商时间）和供应商须知前附表规定的地点公开磋商，并邀请所有供应商的法定代表人或其委托代理人准时参加。</w:t>
      </w:r>
    </w:p>
    <w:p w14:paraId="6E7F8507">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5.2磋商程序</w:t>
      </w:r>
    </w:p>
    <w:p w14:paraId="126D7942">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主持人按下列程序进行磋商：</w:t>
      </w:r>
    </w:p>
    <w:p w14:paraId="2A816C68">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（1）宣布磋商纪律；</w:t>
      </w:r>
    </w:p>
    <w:p w14:paraId="3AFEE66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（2）公布在磋商截止时间前递交响应文件的供应商名称，并点名确认供应商是否派人到场；</w:t>
      </w:r>
    </w:p>
    <w:p w14:paraId="65BF826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（3）宣布采购人、唱标人、记录人、监督人等有关人员姓名；</w:t>
      </w:r>
    </w:p>
    <w:p w14:paraId="2D0FD02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（4）按照供应商须知前附表规定检查响应文件的密封情况；</w:t>
      </w:r>
    </w:p>
    <w:p w14:paraId="092206FC">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（5）按照供应商须知前附表的规定确定并宣布响应文件磋商顺序；</w:t>
      </w:r>
    </w:p>
    <w:p w14:paraId="48BA1DED">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w:t>
      </w:r>
      <w:r>
        <w:rPr>
          <w:rFonts w:hint="eastAsia" w:ascii="宋体" w:hAnsi="宋体" w:eastAsia="宋体"/>
          <w:bCs/>
          <w:color w:val="auto"/>
          <w:sz w:val="24"/>
          <w:szCs w:val="24"/>
          <w:lang w:val="en-US" w:eastAsia="zh-CN"/>
        </w:rPr>
        <w:t>6</w:t>
      </w:r>
      <w:r>
        <w:rPr>
          <w:rFonts w:hint="eastAsia" w:ascii="宋体" w:hAnsi="宋体"/>
          <w:bCs/>
          <w:color w:val="auto"/>
          <w:sz w:val="24"/>
          <w:szCs w:val="24"/>
          <w:lang w:val="zh-CN"/>
        </w:rPr>
        <w:t>）供应商若有异议应当当场提出；</w:t>
      </w:r>
    </w:p>
    <w:p w14:paraId="08648E6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w:t>
      </w:r>
      <w:r>
        <w:rPr>
          <w:rFonts w:hint="eastAsia" w:ascii="宋体" w:hAnsi="宋体" w:eastAsia="宋体"/>
          <w:bCs/>
          <w:color w:val="auto"/>
          <w:sz w:val="24"/>
          <w:szCs w:val="24"/>
          <w:lang w:val="en-US" w:eastAsia="zh-CN"/>
        </w:rPr>
        <w:t>7</w:t>
      </w:r>
      <w:r>
        <w:rPr>
          <w:rFonts w:hint="eastAsia" w:ascii="宋体" w:hAnsi="宋体"/>
          <w:bCs/>
          <w:color w:val="auto"/>
          <w:sz w:val="24"/>
          <w:szCs w:val="24"/>
          <w:lang w:val="zh-CN"/>
        </w:rPr>
        <w:t>）磋商结束。</w:t>
      </w:r>
    </w:p>
    <w:p w14:paraId="2C8BF7EB">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6.磋商</w:t>
      </w:r>
    </w:p>
    <w:p w14:paraId="110B60B9">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6.1磋商小组</w:t>
      </w:r>
    </w:p>
    <w:p w14:paraId="57046276">
      <w:pPr>
        <w:autoSpaceDE w:val="0"/>
        <w:autoSpaceDN w:val="0"/>
        <w:adjustRightInd w:val="0"/>
        <w:ind w:firstLine="420"/>
        <w:rPr>
          <w:rFonts w:hint="eastAsia" w:ascii="宋体" w:hAnsi="宋体"/>
          <w:bCs/>
          <w:color w:val="auto"/>
          <w:sz w:val="24"/>
          <w:szCs w:val="24"/>
          <w:lang w:val="zh-CN"/>
        </w:rPr>
      </w:pPr>
      <w:r>
        <w:rPr>
          <w:rFonts w:hint="eastAsia" w:ascii="宋体" w:hAnsi="宋体"/>
          <w:bCs/>
          <w:color w:val="auto"/>
          <w:sz w:val="24"/>
          <w:szCs w:val="24"/>
          <w:lang w:val="zh-CN"/>
        </w:rPr>
        <w:t>6.1.1磋商由采购人依法组建的磋商小组负责。</w:t>
      </w:r>
    </w:p>
    <w:p w14:paraId="77B89889">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6.1.2磋商小组成员有下列情形之一的，应当回避：</w:t>
      </w:r>
    </w:p>
    <w:p w14:paraId="454B12C8">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（1）供应商或供应商主要负责人的</w:t>
      </w:r>
      <w:r>
        <w:rPr>
          <w:rFonts w:hint="eastAsia" w:ascii="宋体" w:hAnsi="宋体" w:eastAsia="宋体"/>
          <w:bCs/>
          <w:color w:val="auto"/>
          <w:sz w:val="24"/>
          <w:szCs w:val="24"/>
          <w:lang w:val="en-US" w:eastAsia="zh-CN"/>
        </w:rPr>
        <w:t>直</w:t>
      </w:r>
      <w:r>
        <w:rPr>
          <w:rFonts w:hint="eastAsia" w:ascii="宋体" w:hAnsi="宋体"/>
          <w:bCs/>
          <w:color w:val="auto"/>
          <w:sz w:val="24"/>
          <w:szCs w:val="24"/>
          <w:lang w:val="zh-CN"/>
        </w:rPr>
        <w:t>近亲属；</w:t>
      </w:r>
    </w:p>
    <w:p w14:paraId="309DA35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（2）项目主管部门或者行政监督部门的人员；</w:t>
      </w:r>
    </w:p>
    <w:p w14:paraId="7D4634CA">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（3）与供应商有经济利益关系；</w:t>
      </w:r>
    </w:p>
    <w:p w14:paraId="616945F3">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（4）曾因在磋商以及其他与磋商有关活动中从事违法行为而受过行政处罚或刑事处罚的；</w:t>
      </w:r>
    </w:p>
    <w:p w14:paraId="63DC3B25">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（5）与供应商有其他利害关系。</w:t>
      </w:r>
    </w:p>
    <w:p w14:paraId="0EC61F41">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6.2磋商原则</w:t>
      </w:r>
    </w:p>
    <w:p w14:paraId="287AB4EF">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磋商活动遵循公平、公正、科学和择优的原则。</w:t>
      </w:r>
    </w:p>
    <w:p w14:paraId="5C9770BF">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6.3磋商</w:t>
      </w:r>
    </w:p>
    <w:p w14:paraId="1FFC94BD">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磋商小组按照第六章“磋商办法”规定的方法、评审因素、标准和程序对响应文件进行评审。</w:t>
      </w:r>
    </w:p>
    <w:p w14:paraId="2A6B5B9F">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7.合同授予</w:t>
      </w:r>
    </w:p>
    <w:p w14:paraId="23FB0D98">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7.1确定成交供应商方式</w:t>
      </w:r>
    </w:p>
    <w:p w14:paraId="767E5D0D">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磋商小组直接确定成交供应商</w:t>
      </w:r>
    </w:p>
    <w:p w14:paraId="335AD982">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7.2成交结果公告</w:t>
      </w:r>
    </w:p>
    <w:p w14:paraId="0F601C4B">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详见供应商须知前附表。</w:t>
      </w:r>
    </w:p>
    <w:p w14:paraId="2170722F">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7.3成交通知</w:t>
      </w:r>
    </w:p>
    <w:p w14:paraId="72BF6A11">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在本章第 3.3 款规定的磋商有效期内，采购人以书面形式向成交供应商发出成交通知书，同时将成交结果通知未成交的供应商。</w:t>
      </w:r>
    </w:p>
    <w:p w14:paraId="3476EFAE">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7.4签订合同</w:t>
      </w:r>
    </w:p>
    <w:p w14:paraId="2A2AA8DE">
      <w:pPr>
        <w:keepNext w:val="0"/>
        <w:keepLines w:val="0"/>
        <w:pageBreakBefore w:val="0"/>
        <w:widowControl w:val="0"/>
        <w:kinsoku/>
        <w:wordWrap/>
        <w:overflowPunct/>
        <w:topLinePunct w:val="0"/>
        <w:autoSpaceDE w:val="0"/>
        <w:autoSpaceDN w:val="0"/>
        <w:bidi w:val="0"/>
        <w:adjustRightInd w:val="0"/>
        <w:snapToGrid/>
        <w:ind w:firstLine="420"/>
        <w:textAlignment w:val="auto"/>
        <w:rPr>
          <w:rFonts w:ascii="宋体" w:hAnsi="宋体"/>
          <w:bCs/>
          <w:color w:val="auto"/>
          <w:sz w:val="24"/>
          <w:szCs w:val="24"/>
          <w:lang w:val="zh-CN"/>
        </w:rPr>
      </w:pPr>
      <w:r>
        <w:rPr>
          <w:rFonts w:hint="eastAsia" w:ascii="宋体" w:hAnsi="宋体"/>
          <w:bCs/>
          <w:color w:val="auto"/>
          <w:sz w:val="24"/>
          <w:szCs w:val="24"/>
          <w:lang w:val="zh-CN"/>
        </w:rPr>
        <w:t>采购人和成交供应商应当自成交通知书发出之日起 30 天内，根据磋商文件和成交供应商的响应文件订立书面合同。成交供应商无正当理由拒签合同的，采购人取消其成交资格，其磋商保证金不予退还；给采购人造成的损失超过磋商保证金数额的，成交供应商还应当对超过部分予以赔偿。</w:t>
      </w:r>
    </w:p>
    <w:p w14:paraId="1BA50691">
      <w:pPr>
        <w:keepNext w:val="0"/>
        <w:keepLines w:val="0"/>
        <w:pageBreakBefore w:val="0"/>
        <w:widowControl w:val="0"/>
        <w:kinsoku/>
        <w:wordWrap/>
        <w:overflowPunct/>
        <w:topLinePunct w:val="0"/>
        <w:autoSpaceDE w:val="0"/>
        <w:autoSpaceDN w:val="0"/>
        <w:bidi w:val="0"/>
        <w:adjustRightInd w:val="0"/>
        <w:snapToGrid/>
        <w:ind w:firstLine="420"/>
        <w:textAlignment w:val="auto"/>
        <w:rPr>
          <w:rFonts w:ascii="宋体" w:hAnsi="宋体"/>
          <w:bCs/>
          <w:color w:val="auto"/>
          <w:sz w:val="24"/>
          <w:szCs w:val="24"/>
          <w:lang w:val="zh-CN"/>
        </w:rPr>
      </w:pPr>
      <w:r>
        <w:rPr>
          <w:rFonts w:hint="eastAsia" w:ascii="宋体" w:hAnsi="宋体"/>
          <w:bCs/>
          <w:color w:val="auto"/>
          <w:sz w:val="24"/>
          <w:szCs w:val="24"/>
          <w:lang w:val="zh-CN"/>
        </w:rPr>
        <w:t>7.4.1发出成交通知书后，采购人无正当理由拒签合同的，采购人向成交供应商退还磋商保证金；给成交供应商造成损失的，还应当赔偿损失。</w:t>
      </w:r>
    </w:p>
    <w:p w14:paraId="0A2EE5D2">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8.纪律和监督</w:t>
      </w:r>
    </w:p>
    <w:p w14:paraId="497F273F">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8.1对采购人的纪律要求</w:t>
      </w:r>
    </w:p>
    <w:p w14:paraId="4BC52747">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采购人不得泄漏磋商活动中应当保密的情况和资料，不得与供应商串通损害国家利益、社会公共利益或者他人合法权益。</w:t>
      </w:r>
    </w:p>
    <w:p w14:paraId="0C59155C">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8.2对供应商的纪律要求</w:t>
      </w:r>
    </w:p>
    <w:p w14:paraId="1787BE7A">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供应商不得相互串通磋商或者与采购人串通磋商，不得向采购人或者磋商小组成员行贿谋取成交，不得以他人名义磋商或者以其他方式弄虚作假骗取成交； 供应商不得以任何方式干扰、影响磋商工作。</w:t>
      </w:r>
    </w:p>
    <w:p w14:paraId="52A96C1B">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8.3对磋商小组成员的纪律要求</w:t>
      </w:r>
    </w:p>
    <w:p w14:paraId="41CBB56A">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磋商小组成员不得收受他人的财物或者其他好处，不得向他人透漏对响应文件的评审和比较、成交候选人的推荐情况以及磋商有关的其他情况。在磋商活动中，磋商小组成员应当客观、公正地履行职责，遵守职业道德，不得擅离职守， 影响磋商程序正常进行，不得使用第六章“磋商办法”没有规定的评审因素和标准进行磋商。</w:t>
      </w:r>
    </w:p>
    <w:p w14:paraId="77B80066">
      <w:pPr>
        <w:autoSpaceDE w:val="0"/>
        <w:autoSpaceDN w:val="0"/>
        <w:adjustRightInd w:val="0"/>
        <w:ind w:firstLine="420"/>
        <w:rPr>
          <w:rFonts w:ascii="宋体" w:hAnsi="宋体"/>
          <w:b/>
          <w:bCs w:val="0"/>
          <w:color w:val="auto"/>
          <w:sz w:val="24"/>
          <w:szCs w:val="24"/>
          <w:lang w:val="zh-CN"/>
        </w:rPr>
      </w:pPr>
      <w:r>
        <w:rPr>
          <w:rFonts w:hint="eastAsia" w:ascii="宋体" w:hAnsi="宋体"/>
          <w:b/>
          <w:bCs w:val="0"/>
          <w:color w:val="auto"/>
          <w:sz w:val="24"/>
          <w:szCs w:val="24"/>
          <w:lang w:val="zh-CN"/>
        </w:rPr>
        <w:t>8.4对与磋商活动有关的工作人员的纪律要求</w:t>
      </w:r>
    </w:p>
    <w:p w14:paraId="716FD9F6">
      <w:pPr>
        <w:autoSpaceDE w:val="0"/>
        <w:autoSpaceDN w:val="0"/>
        <w:adjustRightInd w:val="0"/>
        <w:ind w:firstLine="420"/>
        <w:rPr>
          <w:rFonts w:ascii="宋体" w:hAnsi="宋体"/>
          <w:bCs/>
          <w:color w:val="auto"/>
          <w:sz w:val="24"/>
          <w:szCs w:val="24"/>
          <w:lang w:val="zh-CN"/>
        </w:rPr>
      </w:pPr>
      <w:r>
        <w:rPr>
          <w:rFonts w:hint="eastAsia" w:ascii="宋体" w:hAnsi="宋体"/>
          <w:bCs/>
          <w:color w:val="auto"/>
          <w:sz w:val="24"/>
          <w:szCs w:val="24"/>
          <w:lang w:val="zh-CN"/>
        </w:rPr>
        <w:t>与磋商活动有关的工作人员不得收受他人的财物或者其他好处，不得向他人透漏对响应文件的评审和比较、成交候选人的推荐情况以及磋商有关的其他情况。在磋商活动中，与磋商活动有关的工作人员不得擅离职守，影响磋商程序正常进行。</w:t>
      </w:r>
    </w:p>
    <w:p w14:paraId="698A98BE">
      <w:pPr>
        <w:autoSpaceDE w:val="0"/>
        <w:autoSpaceDN w:val="0"/>
        <w:adjustRightInd w:val="0"/>
        <w:ind w:firstLine="420"/>
        <w:rPr>
          <w:rFonts w:hint="default" w:ascii="宋体" w:hAnsi="宋体" w:eastAsia="宋体"/>
          <w:b/>
          <w:bCs w:val="0"/>
          <w:color w:val="auto"/>
          <w:sz w:val="24"/>
          <w:szCs w:val="24"/>
          <w:lang w:val="en-US" w:eastAsia="zh-CN"/>
        </w:rPr>
      </w:pPr>
      <w:r>
        <w:rPr>
          <w:rFonts w:hint="eastAsia" w:ascii="宋体" w:hAnsi="宋体" w:eastAsia="宋体"/>
          <w:b/>
          <w:bCs w:val="0"/>
          <w:color w:val="auto"/>
          <w:sz w:val="24"/>
          <w:szCs w:val="24"/>
          <w:lang w:val="en-US" w:eastAsia="zh-CN"/>
        </w:rPr>
        <w:t>9.质疑和投诉</w:t>
      </w:r>
    </w:p>
    <w:p w14:paraId="64D5F254">
      <w:pPr>
        <w:autoSpaceDE w:val="0"/>
        <w:autoSpaceDN w:val="0"/>
        <w:adjustRightInd w:val="0"/>
        <w:ind w:firstLine="420"/>
        <w:rPr>
          <w:rFonts w:hint="eastAsia" w:ascii="宋体" w:hAnsi="宋体" w:eastAsia="宋体"/>
          <w:b/>
          <w:bCs w:val="0"/>
          <w:color w:val="auto"/>
          <w:sz w:val="24"/>
          <w:szCs w:val="24"/>
          <w:lang w:val="en-US" w:eastAsia="zh-CN"/>
        </w:rPr>
      </w:pPr>
      <w:r>
        <w:rPr>
          <w:rFonts w:hint="eastAsia" w:ascii="宋体" w:hAnsi="宋体" w:eastAsia="宋体"/>
          <w:b/>
          <w:bCs w:val="0"/>
          <w:color w:val="auto"/>
          <w:sz w:val="24"/>
          <w:szCs w:val="24"/>
          <w:lang w:val="en-US" w:eastAsia="zh-CN"/>
        </w:rPr>
        <w:t>9.1质疑</w:t>
      </w:r>
    </w:p>
    <w:p w14:paraId="7F982C0E">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9.1.1 供应商认为采购文件、采购过程、中标结果使自己的权益受到损害的，可以在知道或者应知其权益受到损害之日起7个工作日内，以书面形式向采购人、采购代理机构提出质疑。</w:t>
      </w:r>
    </w:p>
    <w:p w14:paraId="13B21601">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供应商应在法定质疑期内一次性提出针对同一采购程序环节的质疑。</w:t>
      </w:r>
    </w:p>
    <w:p w14:paraId="2BD88596">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9.1.2 提出质疑的供应商（以下简称质疑供应商）应当是参与所质疑项目采购活动的供应商。</w:t>
      </w:r>
    </w:p>
    <w:p w14:paraId="1FC8B03C">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潜在供应商已依法获取其可质疑的采购文件的，可以对该文件提出质疑。对采购文件提出质疑的，应当在获取采购文件或者采购文件公告期限届满之日起7个工作日内提出。</w:t>
      </w:r>
    </w:p>
    <w:p w14:paraId="2C2E0CE5">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9.1.3 供应商提出质疑应当提交质疑函和必要的证明材料。质疑函应当包括下列内容：</w:t>
      </w:r>
    </w:p>
    <w:p w14:paraId="6539215B">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（1）供应商的姓名或者名称、地址、邮编、联系人及联系电话；</w:t>
      </w:r>
    </w:p>
    <w:p w14:paraId="16875554">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（2）质疑项目的名称、编号；</w:t>
      </w:r>
    </w:p>
    <w:p w14:paraId="521F3E69">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（3）具体、明确的质疑事项和与质疑事项相关的请求；</w:t>
      </w:r>
    </w:p>
    <w:p w14:paraId="6E7CA764">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（4）事实依据；</w:t>
      </w:r>
    </w:p>
    <w:p w14:paraId="5282F435">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（5）必要的法律依据；</w:t>
      </w:r>
    </w:p>
    <w:p w14:paraId="6A5750E6">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（6）提出质疑的日期。</w:t>
      </w:r>
    </w:p>
    <w:p w14:paraId="0818C84A">
      <w:pPr>
        <w:autoSpaceDE w:val="0"/>
        <w:autoSpaceDN w:val="0"/>
        <w:adjustRightInd w:val="0"/>
        <w:ind w:firstLine="42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供应商为自然人的，应当由本人签字；供应商为法人或者其他组织的，应当由法定代表人、主要负责人，或者其授权代表签字或者盖章，并加盖公章。</w:t>
      </w:r>
    </w:p>
    <w:p w14:paraId="302A9A7F">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9.1.4</w:t>
      </w:r>
      <w:r>
        <w:rPr>
          <w:rFonts w:hint="eastAsia" w:ascii="宋体" w:hAnsi="宋体" w:eastAsia="宋体" w:cs="宋体"/>
          <w:color w:val="auto"/>
          <w:kern w:val="0"/>
          <w:sz w:val="24"/>
          <w:szCs w:val="24"/>
          <w:highlight w:val="none"/>
        </w:rPr>
        <w:t>质疑应按照“谁主张、谁举证”的原则，质疑书应当附相关证明材料。质疑材料应为简体中文，一式二份。</w:t>
      </w:r>
    </w:p>
    <w:p w14:paraId="0261752A">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9.1.5</w:t>
      </w:r>
      <w:r>
        <w:rPr>
          <w:rFonts w:hint="eastAsia" w:ascii="宋体" w:hAnsi="宋体" w:eastAsia="宋体" w:cs="宋体"/>
          <w:color w:val="auto"/>
          <w:kern w:val="0"/>
          <w:sz w:val="24"/>
          <w:szCs w:val="24"/>
          <w:highlight w:val="none"/>
        </w:rPr>
        <w:t xml:space="preserve"> 有下列情形之一的，属于无效质疑，采购人或采购代理机构可不予受理：</w:t>
      </w:r>
    </w:p>
    <w:p w14:paraId="11A9B719">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（1）未在有效期限内提出质疑的；</w:t>
      </w:r>
    </w:p>
    <w:p w14:paraId="4738C5ED">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（2）质疑未以书面形式提出的；</w:t>
      </w:r>
    </w:p>
    <w:p w14:paraId="788AB08E">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（3）所提交材料未明示属于质疑材料的；</w:t>
      </w:r>
    </w:p>
    <w:p w14:paraId="5EA1149F">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（4）质疑</w:t>
      </w:r>
      <w:r>
        <w:rPr>
          <w:rFonts w:hint="eastAsia" w:ascii="宋体" w:hAnsi="宋体" w:eastAsia="宋体" w:cs="宋体"/>
          <w:color w:val="auto"/>
          <w:kern w:val="0"/>
          <w:sz w:val="24"/>
          <w:szCs w:val="24"/>
          <w:highlight w:val="none"/>
          <w:lang w:eastAsia="zh-CN"/>
        </w:rPr>
        <w:t>函</w:t>
      </w:r>
      <w:r>
        <w:rPr>
          <w:rFonts w:hint="eastAsia" w:ascii="宋体" w:hAnsi="宋体" w:eastAsia="宋体" w:cs="宋体"/>
          <w:color w:val="auto"/>
          <w:kern w:val="0"/>
          <w:sz w:val="24"/>
          <w:szCs w:val="24"/>
          <w:highlight w:val="none"/>
        </w:rPr>
        <w:t>没有法定代表人签署本人姓名或印盖本人姓名章并加盖单位公章的；质疑</w:t>
      </w:r>
      <w:r>
        <w:rPr>
          <w:rFonts w:hint="eastAsia" w:ascii="宋体" w:hAnsi="宋体" w:eastAsia="宋体" w:cs="宋体"/>
          <w:color w:val="auto"/>
          <w:kern w:val="0"/>
          <w:sz w:val="24"/>
          <w:szCs w:val="24"/>
          <w:highlight w:val="none"/>
          <w:lang w:eastAsia="zh-CN"/>
        </w:rPr>
        <w:t>函</w:t>
      </w:r>
      <w:r>
        <w:rPr>
          <w:rFonts w:hint="eastAsia" w:ascii="宋体" w:hAnsi="宋体" w:eastAsia="宋体" w:cs="宋体"/>
          <w:color w:val="auto"/>
          <w:kern w:val="0"/>
          <w:sz w:val="24"/>
          <w:szCs w:val="24"/>
          <w:highlight w:val="none"/>
        </w:rPr>
        <w:t>由参加采购项目的授权代表签署本人姓名或印盖本人姓名章，但没有法定代表人特别授权的；</w:t>
      </w:r>
    </w:p>
    <w:p w14:paraId="53C29749">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（5）质疑书未提供有效联系人或联系方式的；</w:t>
      </w:r>
    </w:p>
    <w:p w14:paraId="7C793B1A">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（6）质疑事项已经进入投诉或者诉讼程序的；</w:t>
      </w:r>
    </w:p>
    <w:p w14:paraId="2AA9B13B">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（7）质疑书未附相关证明材料，被视为无有效证据支持的。</w:t>
      </w:r>
    </w:p>
    <w:p w14:paraId="1983B76A">
      <w:pPr>
        <w:widowControl/>
        <w:snapToGrid w:val="0"/>
        <w:spacing w:line="500" w:lineRule="exact"/>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（8）供应商对磋商文件条款或技术参数有异议，未在磋商前通过澄清或修改程序提出，并且供应商已经参与磋商，而于磋商后对磋商文件提出质疑的；</w:t>
      </w:r>
    </w:p>
    <w:p w14:paraId="5B077961">
      <w:pPr>
        <w:widowControl/>
        <w:snapToGrid w:val="0"/>
        <w:spacing w:line="500" w:lineRule="exact"/>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）其它不符合受理条件的情形。</w:t>
      </w:r>
    </w:p>
    <w:p w14:paraId="1B8F46F4">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9.1.6采购人、采购代理机构在收到质疑函后7个工作日内作出答复，并以书面形式通知质疑供应商和其他有关供应商。</w:t>
      </w:r>
    </w:p>
    <w:p w14:paraId="51A964DF">
      <w:pPr>
        <w:keepNext w:val="0"/>
        <w:keepLines w:val="0"/>
        <w:pageBreakBefore w:val="0"/>
        <w:widowControl w:val="0"/>
        <w:kinsoku/>
        <w:wordWrap/>
        <w:overflowPunct/>
        <w:topLinePunct w:val="0"/>
        <w:autoSpaceDE w:val="0"/>
        <w:autoSpaceDN w:val="0"/>
        <w:bidi w:val="0"/>
        <w:adjustRightInd w:val="0"/>
        <w:snapToGrid/>
        <w:ind w:firstLine="420"/>
        <w:textAlignment w:val="auto"/>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 xml:space="preserve">9.1.7政府采购评审专家应当配合采购人或者采购代理机构答复供应商的询问和质疑。        </w:t>
      </w:r>
    </w:p>
    <w:p w14:paraId="04679303">
      <w:pPr>
        <w:autoSpaceDE w:val="0"/>
        <w:autoSpaceDN w:val="0"/>
        <w:adjustRightInd w:val="0"/>
        <w:ind w:firstLine="420"/>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9.1.8询问或者质疑事项可能影响中标结果的，采购人应当暂停签订合同，已经签订合同的，应当中止履行合同。</w:t>
      </w:r>
    </w:p>
    <w:p w14:paraId="7EA94013">
      <w:pPr>
        <w:autoSpaceDE w:val="0"/>
        <w:autoSpaceDN w:val="0"/>
        <w:adjustRightInd w:val="0"/>
        <w:ind w:firstLine="420"/>
        <w:rPr>
          <w:rFonts w:hint="eastAsia" w:ascii="宋体" w:hAnsi="宋体" w:eastAsia="宋体"/>
          <w:b/>
          <w:bCs w:val="0"/>
          <w:color w:val="auto"/>
          <w:sz w:val="24"/>
          <w:szCs w:val="24"/>
          <w:lang w:val="en-US" w:eastAsia="zh-CN"/>
        </w:rPr>
      </w:pPr>
      <w:r>
        <w:rPr>
          <w:rFonts w:hint="eastAsia" w:ascii="宋体" w:hAnsi="宋体" w:eastAsia="宋体"/>
          <w:b/>
          <w:bCs w:val="0"/>
          <w:color w:val="auto"/>
          <w:sz w:val="24"/>
          <w:szCs w:val="24"/>
          <w:lang w:val="en-US" w:eastAsia="zh-CN"/>
        </w:rPr>
        <w:t>9.2投诉</w:t>
      </w:r>
    </w:p>
    <w:p w14:paraId="0ED334DB">
      <w:pPr>
        <w:keepNext w:val="0"/>
        <w:keepLines w:val="0"/>
        <w:pageBreakBefore w:val="0"/>
        <w:widowControl w:val="0"/>
        <w:kinsoku/>
        <w:wordWrap/>
        <w:overflowPunct/>
        <w:topLinePunct w:val="0"/>
        <w:autoSpaceDE w:val="0"/>
        <w:autoSpaceDN w:val="0"/>
        <w:bidi w:val="0"/>
        <w:adjustRightInd w:val="0"/>
        <w:snapToGrid/>
        <w:ind w:firstLine="420"/>
        <w:textAlignment w:val="auto"/>
        <w:rPr>
          <w:rFonts w:hint="eastAsia" w:ascii="宋体" w:hAnsi="宋体" w:eastAsia="宋体"/>
          <w:bCs/>
          <w:color w:val="auto"/>
          <w:sz w:val="24"/>
          <w:szCs w:val="24"/>
          <w:lang w:val="en-US" w:eastAsia="zh-CN"/>
        </w:rPr>
      </w:pPr>
      <w:r>
        <w:rPr>
          <w:rFonts w:hint="eastAsia" w:ascii="宋体" w:hAnsi="宋体" w:eastAsia="宋体"/>
          <w:bCs/>
          <w:color w:val="auto"/>
          <w:sz w:val="24"/>
          <w:szCs w:val="24"/>
          <w:lang w:val="en-US" w:eastAsia="zh-CN"/>
        </w:rPr>
        <w:t>9.2.1质疑供应商对采购人、采购代理机构的答复不满意，或者采购人、采购代理机构未在规定时间内作出答复的，可以在答复期满后15个工作日内向项目所在地市（或区）财政局提起投诉。</w:t>
      </w:r>
    </w:p>
    <w:p w14:paraId="16089A8D">
      <w:pPr>
        <w:pStyle w:val="46"/>
        <w:rPr>
          <w:rFonts w:hint="eastAsia" w:ascii="宋体" w:hAnsi="宋体"/>
          <w:bCs/>
          <w:color w:val="auto"/>
          <w:sz w:val="24"/>
          <w:szCs w:val="24"/>
          <w:lang w:val="en-US" w:eastAsia="zh-CN"/>
        </w:rPr>
      </w:pPr>
      <w:r>
        <w:rPr>
          <w:rFonts w:hint="eastAsia" w:ascii="宋体" w:hAnsi="宋体" w:eastAsia="宋体"/>
          <w:bCs/>
          <w:color w:val="auto"/>
          <w:sz w:val="24"/>
          <w:szCs w:val="24"/>
          <w:lang w:val="en-US" w:eastAsia="zh-CN"/>
        </w:rPr>
        <w:t>9.2.2供应商投诉的事项不得超出已质疑事项的范围，但基于质疑答复内容提出的投诉事项除外。</w:t>
      </w:r>
    </w:p>
    <w:p w14:paraId="6C60F88D">
      <w:pPr>
        <w:pStyle w:val="46"/>
        <w:rPr>
          <w:rFonts w:ascii="宋体" w:hAnsi="宋体"/>
          <w:b/>
          <w:bCs w:val="0"/>
          <w:color w:val="auto"/>
          <w:sz w:val="24"/>
          <w:szCs w:val="24"/>
        </w:rPr>
      </w:pPr>
      <w:r>
        <w:rPr>
          <w:rFonts w:hint="eastAsia" w:ascii="宋体" w:hAnsi="宋体"/>
          <w:b/>
          <w:bCs w:val="0"/>
          <w:color w:val="auto"/>
          <w:sz w:val="24"/>
          <w:szCs w:val="24"/>
          <w:lang w:val="en-US" w:eastAsia="zh-CN"/>
        </w:rPr>
        <w:t>10</w:t>
      </w:r>
      <w:r>
        <w:rPr>
          <w:rFonts w:hint="eastAsia" w:ascii="宋体" w:hAnsi="宋体"/>
          <w:b/>
          <w:bCs w:val="0"/>
          <w:color w:val="auto"/>
          <w:sz w:val="24"/>
          <w:szCs w:val="24"/>
        </w:rPr>
        <w:t>政府采购相关政策要求</w:t>
      </w:r>
    </w:p>
    <w:p w14:paraId="1401B6B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本项目需要落实的政府采购政策包括：</w:t>
      </w:r>
    </w:p>
    <w:p w14:paraId="2D9C3A1E">
      <w:pPr>
        <w:autoSpaceDE w:val="0"/>
        <w:autoSpaceDN w:val="0"/>
        <w:adjustRightInd w:val="0"/>
        <w:ind w:firstLine="420"/>
        <w:rPr>
          <w:rFonts w:hint="eastAsia" w:ascii="宋体" w:hAnsi="宋体" w:eastAsia="宋体" w:cs="宋体"/>
          <w:b/>
          <w:bCs w:val="0"/>
          <w:color w:val="auto"/>
          <w:sz w:val="24"/>
          <w:szCs w:val="24"/>
          <w:lang w:val="zh-CN"/>
        </w:rPr>
      </w:pPr>
      <w:r>
        <w:rPr>
          <w:rFonts w:hint="eastAsia" w:ascii="宋体" w:hAnsi="宋体" w:eastAsia="宋体" w:cs="宋体"/>
          <w:b/>
          <w:bCs w:val="0"/>
          <w:color w:val="auto"/>
          <w:sz w:val="24"/>
          <w:szCs w:val="24"/>
          <w:lang w:val="en-US" w:eastAsia="zh-CN"/>
        </w:rPr>
        <w:t>10.1</w:t>
      </w:r>
      <w:r>
        <w:rPr>
          <w:rFonts w:hint="eastAsia" w:ascii="宋体" w:hAnsi="宋体" w:eastAsia="宋体" w:cs="宋体"/>
          <w:b/>
          <w:bCs w:val="0"/>
          <w:color w:val="auto"/>
          <w:sz w:val="24"/>
          <w:szCs w:val="24"/>
          <w:lang w:val="zh-CN"/>
        </w:rPr>
        <w:t>促进中小企业发展政策</w:t>
      </w:r>
    </w:p>
    <w:p w14:paraId="0CF2132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（一）政策依据</w:t>
      </w:r>
    </w:p>
    <w:p w14:paraId="6E2023E8">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财政部 工业和信息化部《政府采购促进中小企业发展管理办法》（财库﹝2020﹞46号）、财政部《关于进一步加大政府采购支持中小企业力度的通知》（财库﹝2021﹞19号）。</w:t>
      </w:r>
    </w:p>
    <w:p w14:paraId="70AB2C5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（二）中小企业的认定</w:t>
      </w:r>
    </w:p>
    <w:p w14:paraId="43A15317">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1、在中华人民共和国境内依法设立，依据国务院批准的中小企业划分标准确定的中型企业、小型企业和微型企业，但与大企业的负责人为同一人，或者与大企业存在直接控股、管理关系的除外。</w:t>
      </w:r>
    </w:p>
    <w:p w14:paraId="5B8E133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2、符合中小企业划分标准的个体工商户，在政府采购活动中视同中小企业。</w:t>
      </w:r>
    </w:p>
    <w:p w14:paraId="3AD44ACC">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3、以联合体形式参加政府采购活动，联合体各方均为中小企业的，联合体视同中小企业。其中，联合体各方均为小微企业的，联合体视同小微企业。</w:t>
      </w:r>
    </w:p>
    <w:p w14:paraId="671FAC7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（三）中小企业需提供的证明材料</w:t>
      </w:r>
    </w:p>
    <w:p w14:paraId="1FE62EC3">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中小企业参加政府采购活动，应当出具本采购文件规定的《中小企业声明函》，</w:t>
      </w:r>
    </w:p>
    <w:p w14:paraId="52DB2ED0">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否则不得享受相关中小企业扶持政策。任何单位和个人不得要求</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提供《中小企业声明函》之外的中小企业身份证明文件。</w:t>
      </w:r>
    </w:p>
    <w:p w14:paraId="6F36410C">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（四）中小企业扶持政策享受情形</w:t>
      </w:r>
    </w:p>
    <w:p w14:paraId="4EBD942C">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在政府采购活动中，</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提供的货物、工程或者服务符合下列情形的，享受相</w:t>
      </w:r>
    </w:p>
    <w:p w14:paraId="6FA01B4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关中小企业扶持政策：</w:t>
      </w:r>
    </w:p>
    <w:p w14:paraId="580EF4F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在货物采购项目中，货物由中小企业制造，即货物由中小企业生产且使用该</w:t>
      </w:r>
    </w:p>
    <w:p w14:paraId="1C1C787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中小企业商号或者注册商标；</w:t>
      </w:r>
    </w:p>
    <w:p w14:paraId="159BCA57">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2、在工程采购项目中，工程由中小企业承建，即工程施工单位为中小企业；</w:t>
      </w:r>
    </w:p>
    <w:p w14:paraId="5CF4F88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3、在服务采购项目中，服务由中小企业承接，即提供服务的人员为中小企业依</w:t>
      </w:r>
    </w:p>
    <w:p w14:paraId="6B39AD8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照《中华人民共和国劳动合同法》订立劳动合同的从业人员。</w:t>
      </w:r>
    </w:p>
    <w:p w14:paraId="57A77578">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在货物采购项目中，</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提供的货物既有中小企业制造货物，也有大型企业制</w:t>
      </w:r>
    </w:p>
    <w:p w14:paraId="3D067123">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造货物的，不享受中小企业扶持政策。</w:t>
      </w:r>
    </w:p>
    <w:p w14:paraId="0334A7E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（五）中小企业扶持政策</w:t>
      </w:r>
    </w:p>
    <w:p w14:paraId="505870C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对于非专门面向中小企业采购的采购包，应当对符合本章规定的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4F8F042D">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B6E2C76">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3、价格扣除比例或者价格分加分比例对小型企业和微型企业同等对待，不作区分。</w:t>
      </w:r>
    </w:p>
    <w:p w14:paraId="613B51D5">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（六）合同分包要求</w:t>
      </w:r>
    </w:p>
    <w:p w14:paraId="711C92E0">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1、享受扶持政策获得政府采购合同的，小微企业不得将合同分包给大中型企业，中型企业不得将合同分包给大型企业。</w:t>
      </w:r>
    </w:p>
    <w:p w14:paraId="4AD7BB27">
      <w:pPr>
        <w:keepNext w:val="0"/>
        <w:keepLines w:val="0"/>
        <w:pageBreakBefore w:val="0"/>
        <w:widowControl w:val="0"/>
        <w:kinsoku/>
        <w:wordWrap/>
        <w:overflowPunct/>
        <w:topLinePunct w:val="0"/>
        <w:autoSpaceDE w:val="0"/>
        <w:autoSpaceDN w:val="0"/>
        <w:bidi w:val="0"/>
        <w:adjustRightInd w:val="0"/>
        <w:snapToGrid/>
        <w:ind w:firstLine="420"/>
        <w:textAlignment w:val="auto"/>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76BBFB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（七）法律责任</w:t>
      </w:r>
    </w:p>
    <w:p w14:paraId="7F1F9F2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按照本采购文件规定提供声明函内容不实的，属于提供虚假材料谋取中标、成交，依照《中华人民共和国政府采购法》等国家有关规定追究相应责任。</w:t>
      </w:r>
    </w:p>
    <w:p w14:paraId="08C368F1">
      <w:pPr>
        <w:autoSpaceDE w:val="0"/>
        <w:autoSpaceDN w:val="0"/>
        <w:adjustRightInd w:val="0"/>
        <w:ind w:firstLine="420"/>
        <w:rPr>
          <w:rFonts w:hint="eastAsia" w:ascii="宋体" w:hAnsi="宋体" w:eastAsia="宋体" w:cs="宋体"/>
          <w:b/>
          <w:bCs w:val="0"/>
          <w:color w:val="auto"/>
          <w:sz w:val="24"/>
          <w:szCs w:val="24"/>
          <w:lang w:val="zh-CN"/>
        </w:rPr>
      </w:pPr>
      <w:r>
        <w:rPr>
          <w:rFonts w:hint="eastAsia" w:ascii="宋体" w:hAnsi="宋体" w:eastAsia="宋体" w:cs="宋体"/>
          <w:b/>
          <w:bCs w:val="0"/>
          <w:color w:val="auto"/>
          <w:sz w:val="24"/>
          <w:szCs w:val="24"/>
          <w:lang w:val="en-US" w:eastAsia="zh-CN"/>
        </w:rPr>
        <w:t>10.2</w:t>
      </w:r>
      <w:r>
        <w:rPr>
          <w:rFonts w:hint="eastAsia" w:ascii="宋体" w:hAnsi="宋体" w:eastAsia="宋体" w:cs="宋体"/>
          <w:b/>
          <w:bCs w:val="0"/>
          <w:color w:val="auto"/>
          <w:sz w:val="24"/>
          <w:szCs w:val="24"/>
          <w:lang w:val="zh-CN"/>
        </w:rPr>
        <w:t>支持监狱企业发展政策</w:t>
      </w:r>
    </w:p>
    <w:p w14:paraId="5FF5E137">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（一）政策依据</w:t>
      </w:r>
    </w:p>
    <w:p w14:paraId="6825BED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财政部 司法部《关于政府采购支持监狱企业发展有关问题的通知》（财库〔2014〕68号）。</w:t>
      </w:r>
    </w:p>
    <w:p w14:paraId="3140A57F">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（二）监狱企业的认定</w:t>
      </w:r>
    </w:p>
    <w:p w14:paraId="2C25C91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9C58E4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（三）监狱企业需提供的证明材料</w:t>
      </w:r>
    </w:p>
    <w:p w14:paraId="1B51FCF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监狱企业参加政府采购活动时，应当提供由省级以上监狱管理局、戒毒管理局（含新疆生产建设兵团）出具的属于监狱企业的证明文件。</w:t>
      </w:r>
    </w:p>
    <w:p w14:paraId="2A72C05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（四）监狱企业支持政策</w:t>
      </w:r>
    </w:p>
    <w:p w14:paraId="142F70E1">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34154CA0">
      <w:pPr>
        <w:autoSpaceDE w:val="0"/>
        <w:autoSpaceDN w:val="0"/>
        <w:adjustRightInd w:val="0"/>
        <w:ind w:firstLine="420"/>
        <w:rPr>
          <w:rFonts w:hint="eastAsia" w:ascii="宋体" w:hAnsi="宋体" w:eastAsia="宋体" w:cs="宋体"/>
          <w:b/>
          <w:bCs w:val="0"/>
          <w:color w:val="auto"/>
          <w:sz w:val="24"/>
          <w:szCs w:val="24"/>
          <w:lang w:val="zh-CN"/>
        </w:rPr>
      </w:pPr>
      <w:r>
        <w:rPr>
          <w:rFonts w:hint="eastAsia" w:ascii="宋体" w:hAnsi="宋体" w:eastAsia="宋体" w:cs="宋体"/>
          <w:b/>
          <w:bCs w:val="0"/>
          <w:color w:val="auto"/>
          <w:sz w:val="24"/>
          <w:szCs w:val="24"/>
          <w:lang w:val="en-US" w:eastAsia="zh-CN"/>
        </w:rPr>
        <w:t>10.3</w:t>
      </w:r>
      <w:r>
        <w:rPr>
          <w:rFonts w:hint="eastAsia" w:ascii="宋体" w:hAnsi="宋体" w:eastAsia="宋体" w:cs="宋体"/>
          <w:b/>
          <w:bCs w:val="0"/>
          <w:color w:val="auto"/>
          <w:sz w:val="24"/>
          <w:szCs w:val="24"/>
          <w:lang w:val="zh-CN"/>
        </w:rPr>
        <w:t>支持残疾人福利性单位发展政策</w:t>
      </w:r>
    </w:p>
    <w:p w14:paraId="3BF4D75C">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（一）政策依据</w:t>
      </w:r>
    </w:p>
    <w:p w14:paraId="6F7E16AF">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财政部 民政部 中国残疾人联合会《关于促进残疾人就业政府采购政策的通知》（财库[2017]141号）。</w:t>
      </w:r>
    </w:p>
    <w:p w14:paraId="51D66AE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（二）残疾人福利性单位的认定</w:t>
      </w:r>
    </w:p>
    <w:p w14:paraId="60E96645">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享受政府采购支持政策的残疾人福利性单位应当同时满足以下条件：</w:t>
      </w:r>
    </w:p>
    <w:p w14:paraId="3C5154A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1、安置的残疾人占本单位在职职工人数的比例不低于25%(含25%)，并且安置的残疾人人数不少于10人(含10人)；</w:t>
      </w:r>
    </w:p>
    <w:p w14:paraId="1B34CF2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2、依法与安置的每位残疾人签订了一年以上(含一年)的劳动合同或服务协议；</w:t>
      </w:r>
    </w:p>
    <w:p w14:paraId="432067B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3、为安置的每位残疾人按月足额缴纳了基本养老保险、基本医疗保险、失业保险、工伤保险和生育保险等社会保险费；</w:t>
      </w:r>
    </w:p>
    <w:p w14:paraId="238DD4CD">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4、通过银行等金融机构向安置的每位残疾人，按月支付了不低于单位所在区县适用的经省级人民政府批准的月最低工资标准的工资；</w:t>
      </w:r>
    </w:p>
    <w:p w14:paraId="1129CD9C">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5、提供本单位制造的货物、承担的工程或者服务(以下简称产品)，或者提供其他残疾人福利性单位制造的货物(不包括使用非残疾人福利性单位注册商标的货物)。</w:t>
      </w:r>
    </w:p>
    <w:p w14:paraId="1D3FFD6D">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D208CC7">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（三）残疾人福利性单位需提供的证明材料</w:t>
      </w:r>
    </w:p>
    <w:p w14:paraId="0B43BC78">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符合条件的残疾人福利性单位在参加政府采购活动时，应当出具本采购文件规定的《残疾人福利性单位声明函》，并对声明的真实性负责。</w:t>
      </w:r>
    </w:p>
    <w:p w14:paraId="0A7C7F2D">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（四）残疾人福利性单位支持政策</w:t>
      </w:r>
    </w:p>
    <w:p w14:paraId="33A914FB">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55F7EF60">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（五）法律责任</w:t>
      </w:r>
    </w:p>
    <w:p w14:paraId="4AD0E75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按照本采购文件规定提供声明函内容不实的，属于提供虚假材料谋取中标、成交，依照《中华人民共和国政府采购法》等国家有关规定追究相应责任。</w:t>
      </w:r>
    </w:p>
    <w:p w14:paraId="034F300F">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en-US" w:eastAsia="zh-CN"/>
        </w:rPr>
        <w:t>10.4</w:t>
      </w:r>
      <w:r>
        <w:rPr>
          <w:rFonts w:hint="eastAsia" w:ascii="宋体" w:hAnsi="宋体" w:eastAsia="宋体" w:cs="宋体"/>
          <w:bCs/>
          <w:color w:val="auto"/>
          <w:sz w:val="24"/>
          <w:szCs w:val="24"/>
          <w:lang w:val="zh-CN"/>
        </w:rPr>
        <w:t>强制、优先采购节能产品、环境标志产品政策</w:t>
      </w:r>
    </w:p>
    <w:p w14:paraId="74FE87F7">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（一）政策依据</w:t>
      </w:r>
    </w:p>
    <w:p w14:paraId="4ADC3C6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1、财政部 发展改革委 生态环境部 市场监管总局《关于调整优化节能产品、环境标志产品政府采购执行机制的通知》（财库〔2019〕9号）。</w:t>
      </w:r>
    </w:p>
    <w:p w14:paraId="245EFF2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2、财政部 生态环境部《关于印发环境标志产品政府采购品目清单的通知》（财库〔2019〕18号）。</w:t>
      </w:r>
    </w:p>
    <w:p w14:paraId="268C08B0">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3、财政部 发展改革委《关于印发节能产品政府采购品目清单的通知》（财库〔2019〕19号）。</w:t>
      </w:r>
    </w:p>
    <w:p w14:paraId="1E1EC660">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（二）节能产品、环境标志产品的品目</w:t>
      </w:r>
    </w:p>
    <w:p w14:paraId="35AD2E04">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政府采购节能产品、环境标志产品实施品目清单管理，详见《节能产品政府采购品目清单》、《环境标志产品政府采购品目清单》。</w:t>
      </w:r>
    </w:p>
    <w:p w14:paraId="397A8668">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（三）节能产品、环境标志产品需提供的证明材料</w:t>
      </w:r>
    </w:p>
    <w:p w14:paraId="7D52511D">
      <w:pPr>
        <w:keepNext w:val="0"/>
        <w:keepLines w:val="0"/>
        <w:pageBreakBefore w:val="0"/>
        <w:widowControl w:val="0"/>
        <w:kinsoku/>
        <w:wordWrap/>
        <w:overflowPunct/>
        <w:topLinePunct w:val="0"/>
        <w:autoSpaceDE w:val="0"/>
        <w:autoSpaceDN w:val="0"/>
        <w:bidi w:val="0"/>
        <w:adjustRightInd w:val="0"/>
        <w:snapToGrid/>
        <w:ind w:firstLine="420"/>
        <w:textAlignment w:val="auto"/>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采购人拟采购的产品属于品目清单范围的，</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认证证书扫描件。</w:t>
      </w:r>
    </w:p>
    <w:p w14:paraId="1BCD0239">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（四）节能产品、环境标志产品采购政策</w:t>
      </w:r>
    </w:p>
    <w:p w14:paraId="2114D6E2">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采购人拟采购的产品属于品目清单范围，且属于强制采购品目的，实行强制采购。本采购文件第</w:t>
      </w:r>
      <w:r>
        <w:rPr>
          <w:rFonts w:hint="eastAsia" w:ascii="宋体" w:hAnsi="宋体" w:eastAsia="宋体" w:cs="宋体"/>
          <w:bCs/>
          <w:color w:val="auto"/>
          <w:sz w:val="24"/>
          <w:szCs w:val="24"/>
          <w:lang w:val="en-US" w:eastAsia="zh-CN"/>
        </w:rPr>
        <w:t>五</w:t>
      </w:r>
      <w:r>
        <w:rPr>
          <w:rFonts w:hint="eastAsia" w:ascii="宋体" w:hAnsi="宋体" w:eastAsia="宋体" w:cs="宋体"/>
          <w:bCs/>
          <w:color w:val="auto"/>
          <w:sz w:val="24"/>
          <w:szCs w:val="24"/>
          <w:lang w:val="zh-CN"/>
        </w:rPr>
        <w:t>章要求具有强制采购认证证书的产品，</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必须在《节能产品、环境标志产品强制采购认证证书一览表》中，填写所投产品获得的、有效的认证证书相关信息，并提供对应的认证证书扫描件，否则投标、响应无效。</w:t>
      </w:r>
    </w:p>
    <w:p w14:paraId="5B64D798">
      <w:pPr>
        <w:autoSpaceDE w:val="0"/>
        <w:autoSpaceDN w:val="0"/>
        <w:adjustRightInd w:val="0"/>
        <w:ind w:firstLine="420"/>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采购人拟采购的产品属于品目清单范围，但不属于强制采购品目的，实行优先采购。</w:t>
      </w:r>
      <w:r>
        <w:rPr>
          <w:rFonts w:hint="eastAsia" w:ascii="宋体" w:hAnsi="宋体" w:eastAsia="宋体" w:cs="宋体"/>
          <w:bCs/>
          <w:color w:val="auto"/>
          <w:sz w:val="24"/>
          <w:szCs w:val="24"/>
          <w:lang w:val="zh-CN" w:eastAsia="zh-CN"/>
        </w:rPr>
        <w:t>供应商</w:t>
      </w:r>
      <w:r>
        <w:rPr>
          <w:rFonts w:hint="eastAsia" w:ascii="宋体" w:hAnsi="宋体" w:eastAsia="宋体" w:cs="宋体"/>
          <w:bCs/>
          <w:color w:val="auto"/>
          <w:sz w:val="24"/>
          <w:szCs w:val="24"/>
          <w:lang w:val="zh-CN"/>
        </w:rPr>
        <w:t>应当在《节能产品、环境标志产品优先采购认证证书一览表》中，填写所投产品获得的、有效的认证证书相关信息并提供对应的认证证书扫描件，优先采购的具体办法详见本采购文件第</w:t>
      </w:r>
      <w:r>
        <w:rPr>
          <w:rFonts w:hint="eastAsia" w:ascii="宋体" w:hAnsi="宋体" w:eastAsia="宋体" w:cs="宋体"/>
          <w:bCs/>
          <w:color w:val="auto"/>
          <w:sz w:val="24"/>
          <w:szCs w:val="24"/>
          <w:lang w:val="en-US" w:eastAsia="zh-CN"/>
        </w:rPr>
        <w:t>三</w:t>
      </w:r>
      <w:r>
        <w:rPr>
          <w:rFonts w:hint="eastAsia" w:ascii="宋体" w:hAnsi="宋体" w:eastAsia="宋体" w:cs="宋体"/>
          <w:bCs/>
          <w:color w:val="auto"/>
          <w:sz w:val="24"/>
          <w:szCs w:val="24"/>
          <w:lang w:val="zh-CN"/>
        </w:rPr>
        <w:t>章。</w:t>
      </w:r>
    </w:p>
    <w:p w14:paraId="4E3AAF04">
      <w:pPr>
        <w:pStyle w:val="43"/>
        <w:spacing w:beforeLines="50" w:line="360" w:lineRule="exact"/>
        <w:ind w:firstLine="482" w:firstLineChars="200"/>
        <w:jc w:val="both"/>
        <w:rPr>
          <w:rFonts w:ascii="宋体" w:hAnsi="宋体"/>
          <w:b/>
          <w:color w:val="auto"/>
          <w:sz w:val="24"/>
          <w:szCs w:val="24"/>
          <w:lang w:val="zh-CN" w:eastAsia="zh-CN"/>
        </w:rPr>
      </w:pPr>
      <w:r>
        <w:rPr>
          <w:rFonts w:hint="eastAsia" w:ascii="宋体" w:hAnsi="宋体"/>
          <w:b/>
          <w:color w:val="auto"/>
          <w:sz w:val="24"/>
          <w:szCs w:val="24"/>
          <w:lang w:val="en-US" w:eastAsia="zh-CN"/>
        </w:rPr>
        <w:t>11</w:t>
      </w:r>
      <w:r>
        <w:rPr>
          <w:rFonts w:ascii="宋体" w:hAnsi="宋体"/>
          <w:b/>
          <w:color w:val="auto"/>
          <w:sz w:val="24"/>
          <w:szCs w:val="24"/>
          <w:lang w:val="zh-CN" w:eastAsia="zh-CN"/>
        </w:rPr>
        <w:t>.</w:t>
      </w:r>
      <w:r>
        <w:rPr>
          <w:rFonts w:hint="eastAsia" w:ascii="宋体" w:hAnsi="宋体"/>
          <w:b/>
          <w:color w:val="auto"/>
          <w:sz w:val="24"/>
          <w:szCs w:val="24"/>
          <w:lang w:val="zh-CN" w:eastAsia="zh-CN"/>
        </w:rPr>
        <w:t>需要补充的其他内容</w:t>
      </w:r>
    </w:p>
    <w:p w14:paraId="5CC6EC62">
      <w:pPr>
        <w:autoSpaceDE w:val="0"/>
        <w:autoSpaceDN w:val="0"/>
        <w:adjustRightInd w:val="0"/>
        <w:spacing w:line="360" w:lineRule="exact"/>
        <w:ind w:firstLine="480" w:firstLineChars="200"/>
        <w:rPr>
          <w:rFonts w:ascii="宋体" w:hAnsi="宋体" w:cs="宋体"/>
          <w:bCs/>
          <w:color w:val="auto"/>
          <w:sz w:val="21"/>
          <w:szCs w:val="21"/>
          <w:lang w:val="zh-CN"/>
        </w:rPr>
      </w:pPr>
      <w:r>
        <w:rPr>
          <w:rFonts w:hint="eastAsia" w:ascii="宋体" w:hAnsi="宋体" w:cs="宋体"/>
          <w:bCs/>
          <w:color w:val="auto"/>
          <w:sz w:val="24"/>
          <w:szCs w:val="24"/>
          <w:lang w:val="zh-CN"/>
        </w:rPr>
        <w:t>需要补充的其他内容</w:t>
      </w:r>
      <w:r>
        <w:rPr>
          <w:rFonts w:ascii="宋体" w:hAnsi="宋体" w:cs="宋体"/>
          <w:bCs/>
          <w:color w:val="auto"/>
          <w:sz w:val="24"/>
          <w:szCs w:val="24"/>
          <w:lang w:val="zh-CN"/>
        </w:rPr>
        <w:t>：</w:t>
      </w:r>
      <w:r>
        <w:rPr>
          <w:rFonts w:hint="eastAsia" w:ascii="宋体" w:hAnsi="宋体" w:cs="宋体"/>
          <w:bCs/>
          <w:color w:val="auto"/>
          <w:sz w:val="24"/>
          <w:szCs w:val="24"/>
          <w:lang w:val="zh-CN"/>
        </w:rPr>
        <w:t>见供应商须知前附表</w:t>
      </w:r>
      <w:r>
        <w:rPr>
          <w:rFonts w:hint="eastAsia" w:ascii="宋体" w:hAnsi="宋体" w:eastAsia="宋体" w:cs="宋体"/>
          <w:bCs/>
          <w:color w:val="auto"/>
          <w:sz w:val="24"/>
          <w:szCs w:val="24"/>
          <w:lang w:val="en-US" w:eastAsia="zh-CN"/>
        </w:rPr>
        <w:t>11</w:t>
      </w:r>
      <w:r>
        <w:rPr>
          <w:rFonts w:hint="eastAsia" w:ascii="宋体" w:hAnsi="宋体" w:cs="宋体"/>
          <w:bCs/>
          <w:color w:val="auto"/>
          <w:sz w:val="24"/>
          <w:szCs w:val="24"/>
          <w:lang w:val="zh-CN"/>
        </w:rPr>
        <w:t>项内容。</w:t>
      </w:r>
    </w:p>
    <w:p w14:paraId="6C0BA17B">
      <w:pPr>
        <w:widowControl/>
        <w:spacing w:line="376" w:lineRule="atLeast"/>
        <w:jc w:val="left"/>
        <w:outlineLvl w:val="2"/>
        <w:rPr>
          <w:rFonts w:ascii="宋体" w:hAnsi="宋体"/>
          <w:color w:val="auto"/>
          <w:szCs w:val="21"/>
        </w:rPr>
      </w:pPr>
      <w:r>
        <w:rPr>
          <w:rFonts w:ascii="宋体" w:hAnsi="宋体" w:cs="宋体"/>
          <w:snapToGrid w:val="0"/>
          <w:color w:val="auto"/>
          <w:kern w:val="0"/>
          <w:szCs w:val="21"/>
        </w:rPr>
        <w:br w:type="page"/>
      </w:r>
      <w:r>
        <w:rPr>
          <w:rFonts w:hint="eastAsia" w:ascii="宋体" w:hAnsi="宋体"/>
          <w:color w:val="auto"/>
          <w:szCs w:val="21"/>
        </w:rPr>
        <w:t>附件1：</w:t>
      </w:r>
    </w:p>
    <w:p w14:paraId="63CCAE01">
      <w:pPr>
        <w:pStyle w:val="41"/>
        <w:spacing w:line="432" w:lineRule="auto"/>
        <w:jc w:val="center"/>
        <w:rPr>
          <w:rStyle w:val="50"/>
          <w:rFonts w:hint="default"/>
          <w:color w:val="auto"/>
          <w:sz w:val="28"/>
          <w:szCs w:val="28"/>
        </w:rPr>
      </w:pPr>
      <w:r>
        <w:rPr>
          <w:rStyle w:val="50"/>
          <w:color w:val="auto"/>
          <w:sz w:val="28"/>
          <w:szCs w:val="28"/>
        </w:rPr>
        <w:t>关于印发中小企业划型标准规定的通知</w:t>
      </w:r>
    </w:p>
    <w:p w14:paraId="765FCA30">
      <w:pPr>
        <w:pStyle w:val="41"/>
        <w:spacing w:line="432" w:lineRule="auto"/>
        <w:jc w:val="center"/>
        <w:rPr>
          <w:rFonts w:hint="default"/>
          <w:color w:val="auto"/>
          <w:sz w:val="21"/>
          <w:szCs w:val="21"/>
        </w:rPr>
      </w:pPr>
      <w:r>
        <w:rPr>
          <w:color w:val="auto"/>
          <w:sz w:val="21"/>
          <w:szCs w:val="21"/>
        </w:rPr>
        <w:t>工信部联企业〔2011〕300号</w:t>
      </w:r>
    </w:p>
    <w:p w14:paraId="6BDF8484">
      <w:pPr>
        <w:pStyle w:val="41"/>
        <w:spacing w:line="432" w:lineRule="auto"/>
        <w:rPr>
          <w:rFonts w:hint="default"/>
          <w:color w:val="auto"/>
          <w:sz w:val="24"/>
          <w:szCs w:val="24"/>
        </w:rPr>
      </w:pPr>
      <w:r>
        <w:rPr>
          <w:color w:val="auto"/>
          <w:sz w:val="24"/>
          <w:szCs w:val="24"/>
        </w:rPr>
        <w:t>各省、自治区、直辖市人民政府，国务院各部委、各直属机构及有关单位：</w:t>
      </w:r>
    </w:p>
    <w:p w14:paraId="73B91E88">
      <w:pPr>
        <w:pStyle w:val="41"/>
        <w:spacing w:line="432" w:lineRule="auto"/>
        <w:rPr>
          <w:rFonts w:hint="default"/>
          <w:color w:val="auto"/>
          <w:sz w:val="24"/>
          <w:szCs w:val="24"/>
        </w:rPr>
      </w:pPr>
      <w:r>
        <w:rPr>
          <w:color w:val="auto"/>
          <w:sz w:val="24"/>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64597DE8">
      <w:pPr>
        <w:snapToGrid w:val="0"/>
        <w:spacing w:before="100" w:beforeAutospacing="1" w:after="100" w:afterAutospacing="1"/>
        <w:jc w:val="right"/>
        <w:rPr>
          <w:rFonts w:ascii="宋体" w:hAnsi="宋体" w:cs="宋体"/>
          <w:color w:val="auto"/>
          <w:kern w:val="0"/>
          <w:sz w:val="24"/>
          <w:szCs w:val="24"/>
        </w:rPr>
      </w:pPr>
      <w:r>
        <w:rPr>
          <w:rFonts w:hint="eastAsia" w:ascii="宋体" w:hAnsi="宋体"/>
          <w:color w:val="auto"/>
          <w:sz w:val="24"/>
          <w:szCs w:val="24"/>
        </w:rPr>
        <w:t>　　　　　　　</w:t>
      </w:r>
      <w:r>
        <w:rPr>
          <w:rFonts w:ascii="宋体" w:hAnsi="宋体" w:cs="宋体"/>
          <w:color w:val="auto"/>
          <w:kern w:val="0"/>
          <w:sz w:val="24"/>
          <w:szCs w:val="24"/>
        </w:rPr>
        <w:t> </w:t>
      </w:r>
      <w:r>
        <w:rPr>
          <w:rFonts w:hint="eastAsia" w:ascii="宋体" w:hAnsi="宋体" w:cs="宋体"/>
          <w:color w:val="auto"/>
          <w:kern w:val="0"/>
          <w:sz w:val="24"/>
          <w:szCs w:val="24"/>
        </w:rPr>
        <w:t xml:space="preserve">        工业和信息化部</w:t>
      </w:r>
    </w:p>
    <w:p w14:paraId="7DF1C3EE">
      <w:pPr>
        <w:snapToGrid w:val="0"/>
        <w:spacing w:before="100" w:beforeAutospacing="1" w:after="100" w:afterAutospacing="1"/>
        <w:jc w:val="right"/>
        <w:rPr>
          <w:rFonts w:ascii="宋体" w:hAnsi="宋体" w:cs="宋体"/>
          <w:color w:val="auto"/>
          <w:kern w:val="0"/>
          <w:sz w:val="24"/>
          <w:szCs w:val="24"/>
        </w:rPr>
      </w:pPr>
      <w:r>
        <w:rPr>
          <w:rFonts w:hint="eastAsia" w:ascii="宋体" w:hAnsi="宋体" w:cs="宋体"/>
          <w:color w:val="auto"/>
          <w:kern w:val="0"/>
          <w:sz w:val="24"/>
          <w:szCs w:val="24"/>
        </w:rPr>
        <w:t>国家统计局</w:t>
      </w:r>
    </w:p>
    <w:p w14:paraId="3871C3CB">
      <w:pPr>
        <w:widowControl/>
        <w:snapToGrid w:val="0"/>
        <w:spacing w:before="100" w:beforeAutospacing="1" w:after="100" w:afterAutospacing="1"/>
        <w:jc w:val="right"/>
        <w:rPr>
          <w:rFonts w:ascii="宋体" w:hAnsi="宋体" w:cs="宋体"/>
          <w:color w:val="auto"/>
          <w:kern w:val="0"/>
          <w:sz w:val="24"/>
          <w:szCs w:val="24"/>
        </w:rPr>
      </w:pPr>
      <w:r>
        <w:rPr>
          <w:rFonts w:hint="eastAsia" w:ascii="宋体" w:hAnsi="宋体" w:cs="宋体"/>
          <w:color w:val="auto"/>
          <w:kern w:val="0"/>
          <w:sz w:val="24"/>
          <w:szCs w:val="24"/>
        </w:rPr>
        <w:t>　　</w:t>
      </w:r>
      <w:r>
        <w:rPr>
          <w:rFonts w:ascii="宋体" w:hAnsi="宋体" w:cs="宋体"/>
          <w:color w:val="auto"/>
          <w:kern w:val="0"/>
          <w:sz w:val="24"/>
          <w:szCs w:val="24"/>
        </w:rPr>
        <w:t>      </w:t>
      </w:r>
      <w:r>
        <w:rPr>
          <w:rFonts w:hint="eastAsia" w:ascii="宋体" w:hAnsi="宋体" w:cs="宋体"/>
          <w:color w:val="auto"/>
          <w:kern w:val="0"/>
          <w:sz w:val="24"/>
          <w:szCs w:val="24"/>
        </w:rPr>
        <w:t>国家发展和改革委员会</w:t>
      </w:r>
    </w:p>
    <w:p w14:paraId="2E131662">
      <w:pPr>
        <w:widowControl/>
        <w:snapToGrid w:val="0"/>
        <w:spacing w:before="100" w:beforeAutospacing="1" w:after="100" w:afterAutospacing="1"/>
        <w:jc w:val="right"/>
        <w:rPr>
          <w:rFonts w:ascii="宋体" w:hAnsi="宋体" w:cs="宋体"/>
          <w:color w:val="auto"/>
          <w:kern w:val="0"/>
          <w:sz w:val="24"/>
          <w:szCs w:val="24"/>
        </w:rPr>
      </w:pPr>
      <w:r>
        <w:rPr>
          <w:rFonts w:hint="eastAsia" w:ascii="宋体" w:hAnsi="宋体" w:cs="宋体"/>
          <w:color w:val="auto"/>
          <w:kern w:val="0"/>
          <w:sz w:val="24"/>
          <w:szCs w:val="24"/>
        </w:rPr>
        <w:t>财政部</w:t>
      </w:r>
    </w:p>
    <w:p w14:paraId="72373345">
      <w:pPr>
        <w:widowControl/>
        <w:wordWrap w:val="0"/>
        <w:snapToGrid w:val="0"/>
        <w:spacing w:before="100" w:beforeAutospacing="1" w:after="100" w:afterAutospacing="1"/>
        <w:jc w:val="right"/>
        <w:rPr>
          <w:rFonts w:ascii="宋体" w:hAnsi="宋体" w:cs="宋体"/>
          <w:color w:val="auto"/>
          <w:kern w:val="0"/>
          <w:szCs w:val="21"/>
        </w:rPr>
      </w:pPr>
      <w:r>
        <w:rPr>
          <w:rFonts w:hint="eastAsia" w:ascii="宋体" w:hAnsi="宋体" w:cs="宋体"/>
          <w:color w:val="auto"/>
          <w:kern w:val="0"/>
          <w:sz w:val="24"/>
          <w:szCs w:val="24"/>
        </w:rPr>
        <w:t>　　</w:t>
      </w:r>
      <w:r>
        <w:rPr>
          <w:rFonts w:ascii="宋体" w:hAnsi="宋体" w:cs="宋体"/>
          <w:color w:val="auto"/>
          <w:kern w:val="0"/>
          <w:sz w:val="24"/>
          <w:szCs w:val="24"/>
        </w:rPr>
        <w:t>                                                              </w:t>
      </w:r>
      <w:r>
        <w:rPr>
          <w:rFonts w:hint="eastAsia" w:ascii="宋体" w:hAnsi="宋体" w:cs="宋体"/>
          <w:color w:val="auto"/>
          <w:kern w:val="0"/>
          <w:sz w:val="24"/>
          <w:szCs w:val="24"/>
        </w:rPr>
        <w:t>二○一一年六月十八日</w:t>
      </w:r>
    </w:p>
    <w:p w14:paraId="1C94C64D">
      <w:pPr>
        <w:pStyle w:val="41"/>
        <w:spacing w:line="432" w:lineRule="auto"/>
        <w:rPr>
          <w:rFonts w:hint="default"/>
          <w:color w:val="auto"/>
          <w:sz w:val="21"/>
          <w:szCs w:val="21"/>
        </w:rPr>
      </w:pPr>
      <w:r>
        <w:rPr>
          <w:color w:val="auto"/>
          <w:sz w:val="21"/>
          <w:szCs w:val="21"/>
        </w:rPr>
        <w:t>　　　　</w:t>
      </w:r>
    </w:p>
    <w:p w14:paraId="7F55EC54">
      <w:pPr>
        <w:pStyle w:val="41"/>
        <w:spacing w:line="432" w:lineRule="auto"/>
        <w:jc w:val="center"/>
        <w:rPr>
          <w:rFonts w:hint="default"/>
          <w:color w:val="auto"/>
          <w:sz w:val="28"/>
          <w:szCs w:val="28"/>
        </w:rPr>
      </w:pPr>
      <w:r>
        <w:rPr>
          <w:rStyle w:val="50"/>
          <w:color w:val="auto"/>
          <w:sz w:val="21"/>
          <w:szCs w:val="21"/>
        </w:rPr>
        <w:br w:type="page"/>
      </w:r>
      <w:r>
        <w:rPr>
          <w:rStyle w:val="50"/>
          <w:color w:val="auto"/>
          <w:sz w:val="28"/>
          <w:szCs w:val="28"/>
        </w:rPr>
        <w:t>中小企业划型标准规定</w:t>
      </w:r>
    </w:p>
    <w:p w14:paraId="2D82DC22">
      <w:pPr>
        <w:autoSpaceDE w:val="0"/>
        <w:autoSpaceDN w:val="0"/>
        <w:adjustRightInd w:val="0"/>
        <w:rPr>
          <w:color w:val="auto"/>
          <w:sz w:val="24"/>
          <w:szCs w:val="24"/>
        </w:rPr>
      </w:pPr>
      <w:r>
        <w:rPr>
          <w:rFonts w:hint="eastAsia"/>
          <w:color w:val="auto"/>
          <w:szCs w:val="21"/>
        </w:rPr>
        <w:t>　　</w:t>
      </w:r>
      <w:r>
        <w:rPr>
          <w:rFonts w:hint="eastAsia"/>
          <w:color w:val="auto"/>
          <w:sz w:val="24"/>
          <w:szCs w:val="24"/>
        </w:rPr>
        <w:t>一、根据《中华人民共和国中小企业促进法》和《国务院关于进一步促进中小企业发展的若干意见》(国发〔2009〕36号)，制定本规定。</w:t>
      </w:r>
    </w:p>
    <w:p w14:paraId="66E9C72F">
      <w:pPr>
        <w:autoSpaceDE w:val="0"/>
        <w:autoSpaceDN w:val="0"/>
        <w:adjustRightInd w:val="0"/>
        <w:rPr>
          <w:color w:val="auto"/>
          <w:sz w:val="24"/>
          <w:szCs w:val="24"/>
        </w:rPr>
      </w:pPr>
      <w:r>
        <w:rPr>
          <w:rFonts w:hint="eastAsia"/>
          <w:color w:val="auto"/>
          <w:sz w:val="24"/>
          <w:szCs w:val="24"/>
        </w:rPr>
        <w:t>　　二、中小企业划分为中型、小型、微型三种类型，具体标准根据企业从业人员、营业收入、资产总额等指标，结合行业特点制定。</w:t>
      </w:r>
    </w:p>
    <w:p w14:paraId="60A36B55">
      <w:pPr>
        <w:autoSpaceDE w:val="0"/>
        <w:autoSpaceDN w:val="0"/>
        <w:adjustRightInd w:val="0"/>
        <w:rPr>
          <w:color w:val="auto"/>
          <w:sz w:val="24"/>
          <w:szCs w:val="24"/>
        </w:rPr>
      </w:pPr>
      <w:r>
        <w:rPr>
          <w:rFonts w:hint="eastAsia"/>
          <w:color w:val="auto"/>
          <w:sz w:val="24"/>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728773">
      <w:pPr>
        <w:autoSpaceDE w:val="0"/>
        <w:autoSpaceDN w:val="0"/>
        <w:adjustRightInd w:val="0"/>
        <w:rPr>
          <w:color w:val="auto"/>
          <w:sz w:val="24"/>
          <w:szCs w:val="24"/>
        </w:rPr>
      </w:pPr>
      <w:r>
        <w:rPr>
          <w:rFonts w:hint="eastAsia"/>
          <w:color w:val="auto"/>
          <w:sz w:val="24"/>
          <w:szCs w:val="24"/>
        </w:rPr>
        <w:t>　　四、各行业划型标准为：</w:t>
      </w:r>
    </w:p>
    <w:p w14:paraId="405090AB">
      <w:pPr>
        <w:autoSpaceDE w:val="0"/>
        <w:autoSpaceDN w:val="0"/>
        <w:adjustRightInd w:val="0"/>
        <w:rPr>
          <w:color w:val="auto"/>
          <w:sz w:val="24"/>
          <w:szCs w:val="24"/>
        </w:rPr>
      </w:pPr>
      <w:r>
        <w:rPr>
          <w:rFonts w:hint="eastAsia"/>
          <w:color w:val="auto"/>
          <w:sz w:val="24"/>
          <w:szCs w:val="24"/>
        </w:rPr>
        <w:t>　　（一）农、林、牧、渔业。营业收入20000万元以下的为中小微型企业。其中，营业收入500万元及以上的为中型企业，营业收入50万元及以上的为小型企业，营业收入50万元以下的为微型企业。</w:t>
      </w:r>
    </w:p>
    <w:p w14:paraId="47CBBBE4">
      <w:pPr>
        <w:autoSpaceDE w:val="0"/>
        <w:autoSpaceDN w:val="0"/>
        <w:adjustRightInd w:val="0"/>
        <w:rPr>
          <w:color w:val="auto"/>
          <w:sz w:val="24"/>
          <w:szCs w:val="24"/>
        </w:rPr>
      </w:pPr>
      <w:r>
        <w:rPr>
          <w:rFonts w:hint="eastAsia"/>
          <w:color w:val="auto"/>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934917F">
      <w:pPr>
        <w:autoSpaceDE w:val="0"/>
        <w:autoSpaceDN w:val="0"/>
        <w:adjustRightInd w:val="0"/>
        <w:rPr>
          <w:color w:val="auto"/>
          <w:sz w:val="24"/>
          <w:szCs w:val="24"/>
        </w:rPr>
      </w:pPr>
      <w:r>
        <w:rPr>
          <w:rFonts w:hint="eastAsia"/>
          <w:color w:val="auto"/>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F752BAB">
      <w:pPr>
        <w:autoSpaceDE w:val="0"/>
        <w:autoSpaceDN w:val="0"/>
        <w:adjustRightInd w:val="0"/>
        <w:rPr>
          <w:color w:val="auto"/>
          <w:sz w:val="24"/>
          <w:szCs w:val="24"/>
        </w:rPr>
      </w:pPr>
      <w:r>
        <w:rPr>
          <w:rFonts w:hint="eastAsia"/>
          <w:color w:val="auto"/>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262DAB">
      <w:pPr>
        <w:autoSpaceDE w:val="0"/>
        <w:autoSpaceDN w:val="0"/>
        <w:adjustRightInd w:val="0"/>
        <w:rPr>
          <w:color w:val="auto"/>
          <w:sz w:val="24"/>
          <w:szCs w:val="24"/>
        </w:rPr>
      </w:pPr>
      <w:r>
        <w:rPr>
          <w:rFonts w:hint="eastAsia"/>
          <w:color w:val="auto"/>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B82407">
      <w:pPr>
        <w:autoSpaceDE w:val="0"/>
        <w:autoSpaceDN w:val="0"/>
        <w:adjustRightInd w:val="0"/>
        <w:rPr>
          <w:color w:val="auto"/>
          <w:sz w:val="24"/>
          <w:szCs w:val="24"/>
        </w:rPr>
      </w:pPr>
      <w:r>
        <w:rPr>
          <w:rFonts w:hint="eastAsia"/>
          <w:color w:val="auto"/>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3516E3C">
      <w:pPr>
        <w:autoSpaceDE w:val="0"/>
        <w:autoSpaceDN w:val="0"/>
        <w:adjustRightInd w:val="0"/>
        <w:rPr>
          <w:color w:val="auto"/>
          <w:sz w:val="24"/>
          <w:szCs w:val="24"/>
        </w:rPr>
      </w:pPr>
      <w:r>
        <w:rPr>
          <w:rFonts w:hint="eastAsia"/>
          <w:color w:val="auto"/>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020EE87">
      <w:pPr>
        <w:autoSpaceDE w:val="0"/>
        <w:autoSpaceDN w:val="0"/>
        <w:adjustRightInd w:val="0"/>
        <w:rPr>
          <w:color w:val="auto"/>
          <w:sz w:val="24"/>
          <w:szCs w:val="24"/>
        </w:rPr>
      </w:pPr>
      <w:r>
        <w:rPr>
          <w:rFonts w:hint="eastAsia"/>
          <w:color w:val="auto"/>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3D2B146">
      <w:pPr>
        <w:autoSpaceDE w:val="0"/>
        <w:autoSpaceDN w:val="0"/>
        <w:adjustRightInd w:val="0"/>
        <w:rPr>
          <w:color w:val="auto"/>
          <w:sz w:val="24"/>
          <w:szCs w:val="24"/>
        </w:rPr>
      </w:pPr>
      <w:r>
        <w:rPr>
          <w:rFonts w:hint="eastAsia"/>
          <w:color w:val="auto"/>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2E2DD75">
      <w:pPr>
        <w:autoSpaceDE w:val="0"/>
        <w:autoSpaceDN w:val="0"/>
        <w:adjustRightInd w:val="0"/>
        <w:rPr>
          <w:color w:val="auto"/>
          <w:sz w:val="24"/>
          <w:szCs w:val="24"/>
        </w:rPr>
      </w:pPr>
      <w:r>
        <w:rPr>
          <w:rFonts w:hint="eastAsia"/>
          <w:color w:val="auto"/>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42047DA">
      <w:pPr>
        <w:autoSpaceDE w:val="0"/>
        <w:autoSpaceDN w:val="0"/>
        <w:adjustRightInd w:val="0"/>
        <w:rPr>
          <w:color w:val="auto"/>
          <w:sz w:val="24"/>
          <w:szCs w:val="24"/>
        </w:rPr>
      </w:pPr>
      <w:r>
        <w:rPr>
          <w:rFonts w:hint="eastAsia"/>
          <w:color w:val="auto"/>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755CA37">
      <w:pPr>
        <w:autoSpaceDE w:val="0"/>
        <w:autoSpaceDN w:val="0"/>
        <w:adjustRightInd w:val="0"/>
        <w:rPr>
          <w:color w:val="auto"/>
          <w:sz w:val="24"/>
          <w:szCs w:val="24"/>
        </w:rPr>
      </w:pPr>
      <w:r>
        <w:rPr>
          <w:rFonts w:hint="eastAsia"/>
          <w:color w:val="auto"/>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9420732">
      <w:pPr>
        <w:autoSpaceDE w:val="0"/>
        <w:autoSpaceDN w:val="0"/>
        <w:adjustRightInd w:val="0"/>
        <w:rPr>
          <w:color w:val="auto"/>
          <w:sz w:val="24"/>
          <w:szCs w:val="24"/>
        </w:rPr>
      </w:pPr>
      <w:r>
        <w:rPr>
          <w:rFonts w:hint="eastAsia"/>
          <w:color w:val="auto"/>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02710EB">
      <w:pPr>
        <w:autoSpaceDE w:val="0"/>
        <w:autoSpaceDN w:val="0"/>
        <w:adjustRightInd w:val="0"/>
        <w:rPr>
          <w:color w:val="auto"/>
          <w:sz w:val="24"/>
          <w:szCs w:val="24"/>
        </w:rPr>
      </w:pPr>
      <w:r>
        <w:rPr>
          <w:rFonts w:hint="eastAsia"/>
          <w:color w:val="auto"/>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0ECDA80">
      <w:pPr>
        <w:autoSpaceDE w:val="0"/>
        <w:autoSpaceDN w:val="0"/>
        <w:adjustRightInd w:val="0"/>
        <w:rPr>
          <w:color w:val="auto"/>
          <w:sz w:val="24"/>
          <w:szCs w:val="24"/>
        </w:rPr>
      </w:pPr>
      <w:r>
        <w:rPr>
          <w:rFonts w:hint="eastAsia"/>
          <w:color w:val="auto"/>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2370552">
      <w:pPr>
        <w:autoSpaceDE w:val="0"/>
        <w:autoSpaceDN w:val="0"/>
        <w:adjustRightInd w:val="0"/>
        <w:rPr>
          <w:color w:val="auto"/>
          <w:sz w:val="24"/>
          <w:szCs w:val="24"/>
        </w:rPr>
      </w:pPr>
      <w:r>
        <w:rPr>
          <w:rFonts w:hint="eastAsia"/>
          <w:color w:val="auto"/>
          <w:sz w:val="24"/>
          <w:szCs w:val="24"/>
        </w:rPr>
        <w:t>　　（十六）其他未列明行业。从业人员300人以下的为中小微型企业。其中，从业人员100人及以上的为中型企业；从业人员10人及以上的为小型企业；从业人员10人以下的为微型企业。</w:t>
      </w:r>
    </w:p>
    <w:p w14:paraId="0DEDE36D">
      <w:pPr>
        <w:autoSpaceDE w:val="0"/>
        <w:autoSpaceDN w:val="0"/>
        <w:adjustRightInd w:val="0"/>
        <w:rPr>
          <w:color w:val="auto"/>
          <w:sz w:val="24"/>
          <w:szCs w:val="24"/>
        </w:rPr>
      </w:pPr>
      <w:r>
        <w:rPr>
          <w:rFonts w:hint="eastAsia"/>
          <w:color w:val="auto"/>
          <w:sz w:val="24"/>
          <w:szCs w:val="24"/>
        </w:rPr>
        <w:t>　　五、企业类型的划分以统计部门的统计数据为依据。</w:t>
      </w:r>
    </w:p>
    <w:p w14:paraId="0DDAAE84">
      <w:pPr>
        <w:autoSpaceDE w:val="0"/>
        <w:autoSpaceDN w:val="0"/>
        <w:adjustRightInd w:val="0"/>
        <w:rPr>
          <w:color w:val="auto"/>
          <w:sz w:val="24"/>
          <w:szCs w:val="24"/>
        </w:rPr>
      </w:pPr>
      <w:r>
        <w:rPr>
          <w:rFonts w:hint="eastAsia"/>
          <w:color w:val="auto"/>
          <w:sz w:val="24"/>
          <w:szCs w:val="24"/>
        </w:rPr>
        <w:t>　　六、本规定适用于在中华人民共和国境内依法设立的各类所有制和各种组织形式的企业。个体工商户和本规定以外的行业，参照本规定进行划型。</w:t>
      </w:r>
    </w:p>
    <w:p w14:paraId="04C81D8F">
      <w:pPr>
        <w:autoSpaceDE w:val="0"/>
        <w:autoSpaceDN w:val="0"/>
        <w:adjustRightInd w:val="0"/>
        <w:rPr>
          <w:color w:val="auto"/>
          <w:sz w:val="24"/>
          <w:szCs w:val="24"/>
        </w:rPr>
      </w:pPr>
      <w:r>
        <w:rPr>
          <w:rFonts w:hint="eastAsia"/>
          <w:color w:val="auto"/>
          <w:sz w:val="24"/>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61360D50">
      <w:pPr>
        <w:autoSpaceDE w:val="0"/>
        <w:autoSpaceDN w:val="0"/>
        <w:adjustRightInd w:val="0"/>
        <w:rPr>
          <w:color w:val="auto"/>
          <w:sz w:val="24"/>
          <w:szCs w:val="24"/>
        </w:rPr>
      </w:pPr>
      <w:r>
        <w:rPr>
          <w:rFonts w:hint="eastAsia"/>
          <w:color w:val="auto"/>
          <w:sz w:val="24"/>
          <w:szCs w:val="24"/>
        </w:rPr>
        <w:t>　　八、本规定由工业和信息化部、国家统计局会同有关部门根据《国民经济行业分类》修订情况和企业发展变化情况适时修订。</w:t>
      </w:r>
    </w:p>
    <w:p w14:paraId="5D97AB75">
      <w:pPr>
        <w:autoSpaceDE w:val="0"/>
        <w:autoSpaceDN w:val="0"/>
        <w:adjustRightInd w:val="0"/>
        <w:rPr>
          <w:color w:val="auto"/>
          <w:sz w:val="24"/>
          <w:szCs w:val="24"/>
        </w:rPr>
      </w:pPr>
      <w:r>
        <w:rPr>
          <w:rFonts w:hint="eastAsia"/>
          <w:color w:val="auto"/>
          <w:sz w:val="24"/>
          <w:szCs w:val="24"/>
        </w:rPr>
        <w:t>　　九、本规定由工业和信息化部、国家统计局会同有关部门负责解释。</w:t>
      </w:r>
    </w:p>
    <w:p w14:paraId="0149B1DC">
      <w:pPr>
        <w:autoSpaceDE w:val="0"/>
        <w:autoSpaceDN w:val="0"/>
        <w:adjustRightInd w:val="0"/>
        <w:rPr>
          <w:rFonts w:ascii="宋体" w:hAnsi="宋体" w:cs="宋体"/>
          <w:b/>
          <w:color w:val="auto"/>
          <w:kern w:val="0"/>
          <w:sz w:val="28"/>
          <w:szCs w:val="28"/>
        </w:rPr>
      </w:pPr>
      <w:r>
        <w:rPr>
          <w:rFonts w:hint="eastAsia"/>
          <w:color w:val="auto"/>
          <w:sz w:val="24"/>
          <w:szCs w:val="24"/>
        </w:rPr>
        <w:t>　　十、本规定自发布之日起执行，原国家经贸委、原国家计委、财政部和国家统计局2003年颁布的《中小企业标准暂行规定》同时废止。</w:t>
      </w:r>
    </w:p>
    <w:p w14:paraId="2C1D75FA">
      <w:pPr>
        <w:autoSpaceDE w:val="0"/>
        <w:autoSpaceDN w:val="0"/>
        <w:adjustRightInd w:val="0"/>
        <w:spacing w:line="360" w:lineRule="exact"/>
        <w:ind w:firstLine="480" w:firstLineChars="200"/>
        <w:rPr>
          <w:rFonts w:ascii="宋体" w:hAnsi="宋体" w:cs="宋体"/>
          <w:bCs/>
          <w:color w:val="auto"/>
          <w:sz w:val="24"/>
          <w:lang w:val="zh-CN"/>
        </w:rPr>
      </w:pPr>
    </w:p>
    <w:p w14:paraId="7354E7D8">
      <w:pPr>
        <w:autoSpaceDE w:val="0"/>
        <w:autoSpaceDN w:val="0"/>
        <w:adjustRightInd w:val="0"/>
        <w:rPr>
          <w:rFonts w:ascii="宋体" w:hAnsi="宋体" w:cs="宋体"/>
          <w:snapToGrid w:val="0"/>
          <w:color w:val="auto"/>
          <w:kern w:val="0"/>
          <w:szCs w:val="21"/>
        </w:rPr>
      </w:pPr>
      <w:r>
        <w:rPr>
          <w:rFonts w:ascii="宋体" w:hAnsi="宋体" w:cs="宋体"/>
          <w:snapToGrid w:val="0"/>
          <w:color w:val="auto"/>
          <w:kern w:val="0"/>
          <w:szCs w:val="21"/>
        </w:rPr>
        <w:br w:type="page"/>
      </w:r>
    </w:p>
    <w:p w14:paraId="65B043FF">
      <w:pPr>
        <w:pStyle w:val="2"/>
        <w:rPr>
          <w:color w:val="auto"/>
        </w:rPr>
      </w:pPr>
    </w:p>
    <w:p w14:paraId="7A15CADC">
      <w:pPr>
        <w:autoSpaceDE w:val="0"/>
        <w:autoSpaceDN w:val="0"/>
        <w:adjustRightInd w:val="0"/>
        <w:spacing w:line="240" w:lineRule="auto"/>
        <w:rPr>
          <w:rFonts w:ascii="宋体" w:hAnsi="宋体" w:cs="宋体"/>
          <w:b/>
          <w:color w:val="auto"/>
          <w:kern w:val="0"/>
          <w:sz w:val="44"/>
          <w:szCs w:val="44"/>
        </w:rPr>
      </w:pPr>
    </w:p>
    <w:p w14:paraId="0F19E84B">
      <w:pPr>
        <w:autoSpaceDE w:val="0"/>
        <w:autoSpaceDN w:val="0"/>
        <w:adjustRightInd w:val="0"/>
        <w:spacing w:line="240" w:lineRule="auto"/>
        <w:rPr>
          <w:rFonts w:ascii="宋体" w:hAnsi="宋体" w:cs="宋体"/>
          <w:b/>
          <w:color w:val="auto"/>
          <w:kern w:val="0"/>
          <w:sz w:val="44"/>
          <w:szCs w:val="44"/>
        </w:rPr>
      </w:pPr>
    </w:p>
    <w:p w14:paraId="33215D8B">
      <w:pPr>
        <w:autoSpaceDE w:val="0"/>
        <w:autoSpaceDN w:val="0"/>
        <w:adjustRightInd w:val="0"/>
        <w:spacing w:line="240" w:lineRule="auto"/>
        <w:rPr>
          <w:rFonts w:ascii="宋体" w:hAnsi="宋体" w:cs="宋体"/>
          <w:b/>
          <w:color w:val="auto"/>
          <w:kern w:val="0"/>
          <w:sz w:val="44"/>
          <w:szCs w:val="44"/>
        </w:rPr>
      </w:pPr>
    </w:p>
    <w:p w14:paraId="28558033">
      <w:pPr>
        <w:autoSpaceDE w:val="0"/>
        <w:autoSpaceDN w:val="0"/>
        <w:adjustRightInd w:val="0"/>
        <w:spacing w:line="240" w:lineRule="auto"/>
        <w:rPr>
          <w:rFonts w:ascii="宋体" w:hAnsi="宋体" w:cs="宋体"/>
          <w:b/>
          <w:color w:val="auto"/>
          <w:kern w:val="0"/>
          <w:sz w:val="44"/>
          <w:szCs w:val="44"/>
        </w:rPr>
      </w:pPr>
    </w:p>
    <w:p w14:paraId="075E7E1E">
      <w:pPr>
        <w:autoSpaceDE w:val="0"/>
        <w:autoSpaceDN w:val="0"/>
        <w:adjustRightInd w:val="0"/>
        <w:spacing w:line="240" w:lineRule="auto"/>
        <w:rPr>
          <w:rFonts w:ascii="宋体" w:hAnsi="宋体" w:cs="宋体"/>
          <w:b/>
          <w:color w:val="auto"/>
          <w:kern w:val="0"/>
          <w:sz w:val="44"/>
          <w:szCs w:val="44"/>
        </w:rPr>
      </w:pPr>
    </w:p>
    <w:p w14:paraId="655D174A">
      <w:pPr>
        <w:autoSpaceDE w:val="0"/>
        <w:autoSpaceDN w:val="0"/>
        <w:adjustRightInd w:val="0"/>
        <w:spacing w:line="240" w:lineRule="auto"/>
        <w:rPr>
          <w:rFonts w:ascii="宋体" w:hAnsi="宋体" w:cs="宋体"/>
          <w:b/>
          <w:color w:val="auto"/>
          <w:kern w:val="0"/>
          <w:sz w:val="44"/>
          <w:szCs w:val="44"/>
        </w:rPr>
      </w:pPr>
    </w:p>
    <w:p w14:paraId="1E9D9E5C">
      <w:pPr>
        <w:pStyle w:val="2"/>
        <w:spacing w:line="240" w:lineRule="auto"/>
        <w:jc w:val="center"/>
        <w:rPr>
          <w:rFonts w:ascii="楷体_GB2312" w:eastAsia="楷体_GB2312"/>
          <w:snapToGrid w:val="0"/>
          <w:color w:val="auto"/>
          <w:sz w:val="52"/>
          <w:szCs w:val="52"/>
        </w:rPr>
      </w:pPr>
      <w:r>
        <w:rPr>
          <w:rFonts w:hint="eastAsia" w:ascii="楷体_GB2312" w:eastAsia="楷体_GB2312"/>
          <w:snapToGrid w:val="0"/>
          <w:color w:val="auto"/>
          <w:sz w:val="52"/>
          <w:szCs w:val="52"/>
        </w:rPr>
        <w:t>第三章 评标办法</w:t>
      </w:r>
      <w:r>
        <w:rPr>
          <w:rFonts w:hint="eastAsia" w:ascii="楷体_GB2312" w:eastAsia="楷体_GB2312"/>
          <w:snapToGrid w:val="0"/>
          <w:color w:val="auto"/>
        </w:rPr>
        <w:t>（综合评估法）</w:t>
      </w:r>
    </w:p>
    <w:p w14:paraId="3D478EFD">
      <w:pPr>
        <w:rPr>
          <w:rFonts w:ascii="宋体" w:hAnsi="宋体" w:cs="宋体"/>
          <w:color w:val="auto"/>
          <w:szCs w:val="21"/>
        </w:rPr>
      </w:pPr>
    </w:p>
    <w:p w14:paraId="427EAD9C">
      <w:pPr>
        <w:rPr>
          <w:rFonts w:ascii="宋体" w:hAnsi="宋体" w:eastAsia="宋体" w:cs="宋体"/>
          <w:b/>
          <w:color w:val="auto"/>
          <w:kern w:val="0"/>
          <w:szCs w:val="21"/>
        </w:rPr>
      </w:pPr>
      <w:r>
        <w:rPr>
          <w:rFonts w:hint="eastAsia" w:ascii="宋体" w:hAnsi="宋体" w:cs="宋体"/>
          <w:color w:val="auto"/>
          <w:szCs w:val="21"/>
        </w:rPr>
        <w:br w:type="page"/>
      </w:r>
    </w:p>
    <w:p w14:paraId="22192DBC">
      <w:pPr>
        <w:numPr>
          <w:ilvl w:val="0"/>
          <w:numId w:val="8"/>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形式、资格及响应性审查</w:t>
      </w:r>
    </w:p>
    <w:tbl>
      <w:tblPr>
        <w:tblStyle w:val="47"/>
        <w:tblW w:w="8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980"/>
        <w:gridCol w:w="5811"/>
      </w:tblGrid>
      <w:tr w14:paraId="5650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2941" w:type="dxa"/>
            <w:gridSpan w:val="2"/>
            <w:vAlign w:val="center"/>
          </w:tcPr>
          <w:p w14:paraId="7099616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评审因素</w:t>
            </w:r>
          </w:p>
        </w:tc>
        <w:tc>
          <w:tcPr>
            <w:tcW w:w="5811" w:type="dxa"/>
            <w:vAlign w:val="center"/>
          </w:tcPr>
          <w:p w14:paraId="3129482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评审标准</w:t>
            </w:r>
          </w:p>
        </w:tc>
      </w:tr>
      <w:tr w14:paraId="1D17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961" w:type="dxa"/>
            <w:vMerge w:val="restart"/>
            <w:vAlign w:val="center"/>
          </w:tcPr>
          <w:p w14:paraId="60F2D32B">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形</w:t>
            </w:r>
          </w:p>
          <w:p w14:paraId="594B88B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式</w:t>
            </w:r>
          </w:p>
          <w:p w14:paraId="0A738B8D">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w:t>
            </w:r>
          </w:p>
          <w:p w14:paraId="6FF3A75B">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审</w:t>
            </w:r>
          </w:p>
          <w:p w14:paraId="3AD10D53">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标</w:t>
            </w:r>
          </w:p>
          <w:p w14:paraId="2798F5BA">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准</w:t>
            </w:r>
          </w:p>
        </w:tc>
        <w:tc>
          <w:tcPr>
            <w:tcW w:w="1980" w:type="dxa"/>
            <w:vAlign w:val="center"/>
          </w:tcPr>
          <w:p w14:paraId="2338CE69">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供应商名称</w:t>
            </w:r>
          </w:p>
        </w:tc>
        <w:tc>
          <w:tcPr>
            <w:tcW w:w="5811" w:type="dxa"/>
            <w:vAlign w:val="center"/>
          </w:tcPr>
          <w:p w14:paraId="10244ED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与营业执照一致。</w:t>
            </w:r>
          </w:p>
        </w:tc>
      </w:tr>
      <w:tr w14:paraId="5C44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vAlign w:val="center"/>
          </w:tcPr>
          <w:p w14:paraId="36397C5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37B472D3">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首次报价函</w:t>
            </w:r>
          </w:p>
          <w:p w14:paraId="51E10335">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签字盖章</w:t>
            </w:r>
          </w:p>
        </w:tc>
        <w:tc>
          <w:tcPr>
            <w:tcW w:w="5811" w:type="dxa"/>
            <w:vAlign w:val="center"/>
          </w:tcPr>
          <w:p w14:paraId="0B52EEE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报价函均应加盖供应商印章并经法定代表人或其委托代理人签字或盖章。</w:t>
            </w:r>
          </w:p>
        </w:tc>
      </w:tr>
      <w:tr w14:paraId="302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961" w:type="dxa"/>
            <w:vMerge w:val="continue"/>
            <w:vAlign w:val="center"/>
          </w:tcPr>
          <w:p w14:paraId="712A84F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56A4E45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响应文件格式</w:t>
            </w:r>
          </w:p>
        </w:tc>
        <w:tc>
          <w:tcPr>
            <w:tcW w:w="5811" w:type="dxa"/>
            <w:vAlign w:val="center"/>
          </w:tcPr>
          <w:p w14:paraId="125D27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符合磋商文件中 “响应文件格式”的要求，按磋商文件的要求盖章、签署。</w:t>
            </w:r>
          </w:p>
        </w:tc>
      </w:tr>
      <w:tr w14:paraId="743B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961" w:type="dxa"/>
            <w:vMerge w:val="continue"/>
            <w:vAlign w:val="center"/>
          </w:tcPr>
          <w:p w14:paraId="5FA1B8C7">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21AED28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报价唯一</w:t>
            </w:r>
          </w:p>
        </w:tc>
        <w:tc>
          <w:tcPr>
            <w:tcW w:w="5811" w:type="dxa"/>
            <w:vAlign w:val="center"/>
          </w:tcPr>
          <w:p w14:paraId="400C730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只能有一个有效报价。</w:t>
            </w:r>
          </w:p>
        </w:tc>
      </w:tr>
      <w:tr w14:paraId="1AB7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961" w:type="dxa"/>
            <w:vMerge w:val="restart"/>
            <w:vAlign w:val="center"/>
          </w:tcPr>
          <w:p w14:paraId="47CDAFF7">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资</w:t>
            </w:r>
          </w:p>
          <w:p w14:paraId="28993D36">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格</w:t>
            </w:r>
          </w:p>
          <w:p w14:paraId="462921C5">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w:t>
            </w:r>
          </w:p>
          <w:p w14:paraId="70E34D6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审</w:t>
            </w:r>
          </w:p>
          <w:p w14:paraId="22466B17">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标</w:t>
            </w:r>
          </w:p>
          <w:p w14:paraId="0BD87AF7">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准</w:t>
            </w:r>
          </w:p>
          <w:p w14:paraId="55555907">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077EA80B">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zh-CN"/>
              </w:rPr>
              <w:t>营业执照</w:t>
            </w:r>
          </w:p>
        </w:tc>
        <w:tc>
          <w:tcPr>
            <w:tcW w:w="5811" w:type="dxa"/>
            <w:vAlign w:val="center"/>
          </w:tcPr>
          <w:p w14:paraId="677A37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具有效营业执照副本，标书内附复印件并加盖公章。</w:t>
            </w:r>
          </w:p>
        </w:tc>
      </w:tr>
      <w:tr w14:paraId="2DE8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vAlign w:val="center"/>
          </w:tcPr>
          <w:p w14:paraId="0C0D5EF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6624B53A">
            <w:pPr>
              <w:keepNext w:val="0"/>
              <w:keepLines w:val="0"/>
              <w:pageBreakBefore w:val="0"/>
              <w:kinsoku/>
              <w:wordWrap/>
              <w:overflowPunct/>
              <w:topLinePunct w:val="0"/>
              <w:autoSpaceDE w:val="0"/>
              <w:autoSpaceDN w:val="0"/>
              <w:bidi w:val="0"/>
              <w:adjustRightInd w:val="0"/>
              <w:snapToGrid/>
              <w:spacing w:line="240" w:lineRule="auto"/>
              <w:ind w:right="0" w:right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财务要求、缴纳税收、社会保障资金</w:t>
            </w:r>
          </w:p>
        </w:tc>
        <w:tc>
          <w:tcPr>
            <w:tcW w:w="5811" w:type="dxa"/>
            <w:vAlign w:val="center"/>
          </w:tcPr>
          <w:p w14:paraId="782EE61C">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供应商参加投标活动应当提交反映其财务状况、依法缴纳税收和社保保障资金情况的资格条件承诺函（《长春市财政局关于加强政府采购信用体系建设简化供应商资格条件有关事项的通知》（长财采购〔2022〕2066号））</w:t>
            </w:r>
          </w:p>
          <w:p w14:paraId="1FDA32AD">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响应文件</w:t>
            </w:r>
            <w:r>
              <w:rPr>
                <w:rFonts w:hint="eastAsia" w:ascii="宋体" w:hAnsi="宋体" w:eastAsia="宋体" w:cs="宋体"/>
                <w:bCs/>
                <w:color w:val="auto"/>
                <w:sz w:val="24"/>
                <w:szCs w:val="24"/>
                <w:highlight w:val="none"/>
                <w:lang w:val="zh-CN" w:eastAsia="zh-CN"/>
              </w:rPr>
              <w:t>内按</w:t>
            </w:r>
            <w:r>
              <w:rPr>
                <w:rFonts w:hint="eastAsia" w:ascii="宋体" w:hAnsi="宋体" w:eastAsia="宋体" w:cs="宋体"/>
                <w:bCs/>
                <w:color w:val="auto"/>
                <w:sz w:val="24"/>
                <w:szCs w:val="24"/>
                <w:highlight w:val="none"/>
                <w:lang w:val="en-US" w:eastAsia="zh-CN"/>
              </w:rPr>
              <w:t>竞争性磋商文件</w:t>
            </w:r>
            <w:r>
              <w:rPr>
                <w:rFonts w:hint="eastAsia" w:ascii="宋体" w:hAnsi="宋体" w:eastAsia="宋体" w:cs="宋体"/>
                <w:bCs/>
                <w:color w:val="auto"/>
                <w:sz w:val="24"/>
                <w:szCs w:val="24"/>
                <w:highlight w:val="none"/>
                <w:lang w:val="zh-CN" w:eastAsia="zh-CN"/>
              </w:rPr>
              <w:t>格式要求提供反映其财务状况、依法缴纳税收和社会保障资金情况的资格条件承诺函。</w:t>
            </w:r>
          </w:p>
        </w:tc>
      </w:tr>
      <w:tr w14:paraId="37B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vAlign w:val="center"/>
          </w:tcPr>
          <w:p w14:paraId="65614FC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1D3C9D55">
            <w:pPr>
              <w:keepNext w:val="0"/>
              <w:keepLines w:val="0"/>
              <w:pageBreakBefore w:val="0"/>
              <w:kinsoku/>
              <w:wordWrap/>
              <w:overflowPunct/>
              <w:topLinePunct w:val="0"/>
              <w:autoSpaceDE w:val="0"/>
              <w:autoSpaceDN w:val="0"/>
              <w:bidi w:val="0"/>
              <w:adjustRightInd w:val="0"/>
              <w:snapToGrid/>
              <w:spacing w:line="240" w:lineRule="auto"/>
              <w:ind w:right="0" w:rightChars="0"/>
              <w:jc w:val="center"/>
              <w:textAlignment w:val="auto"/>
              <w:outlineLvl w:val="9"/>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同类业绩</w:t>
            </w:r>
          </w:p>
        </w:tc>
        <w:tc>
          <w:tcPr>
            <w:tcW w:w="5811" w:type="dxa"/>
            <w:vAlign w:val="center"/>
          </w:tcPr>
          <w:p w14:paraId="3E3DEF28">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供应商近三年（2021年至今）须具有与本项目采购内容相关的同类项目业绩至少一项，</w:t>
            </w:r>
            <w:r>
              <w:rPr>
                <w:rFonts w:hint="eastAsia" w:ascii="宋体" w:hAnsi="宋体" w:eastAsia="宋体" w:cs="宋体"/>
                <w:bCs/>
                <w:color w:val="auto"/>
                <w:sz w:val="24"/>
                <w:szCs w:val="24"/>
                <w:highlight w:val="none"/>
                <w:lang w:val="zh-CN" w:eastAsia="zh-CN"/>
              </w:rPr>
              <w:t>标书内附</w:t>
            </w:r>
            <w:r>
              <w:rPr>
                <w:rFonts w:hint="eastAsia" w:ascii="宋体" w:hAnsi="宋体" w:eastAsia="宋体" w:cs="宋体"/>
                <w:bCs/>
                <w:color w:val="auto"/>
                <w:sz w:val="24"/>
                <w:szCs w:val="24"/>
                <w:highlight w:val="none"/>
                <w:lang w:val="en-US" w:eastAsia="zh-CN"/>
              </w:rPr>
              <w:t>供货合同或中标通知书</w:t>
            </w:r>
            <w:r>
              <w:rPr>
                <w:rFonts w:hint="eastAsia" w:ascii="宋体" w:hAnsi="宋体" w:eastAsia="宋体" w:cs="宋体"/>
                <w:bCs/>
                <w:color w:val="auto"/>
                <w:sz w:val="24"/>
                <w:szCs w:val="24"/>
                <w:highlight w:val="none"/>
                <w:lang w:val="zh-CN" w:eastAsia="zh-CN"/>
              </w:rPr>
              <w:t>复印件并加盖公章。</w:t>
            </w:r>
          </w:p>
        </w:tc>
      </w:tr>
      <w:tr w14:paraId="2A12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vAlign w:val="center"/>
          </w:tcPr>
          <w:p w14:paraId="283B26A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5100A519">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信誉要求</w:t>
            </w:r>
          </w:p>
        </w:tc>
        <w:tc>
          <w:tcPr>
            <w:tcW w:w="5811" w:type="dxa"/>
            <w:vAlign w:val="center"/>
          </w:tcPr>
          <w:p w14:paraId="02B6BCCE">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1.供应商参加政府采购活动近3年内（2021年至今）在经营活动中没有重大违法记录，提供法定代表人或授权委托人签字并加盖公章的承诺书。</w:t>
            </w:r>
          </w:p>
          <w:p w14:paraId="04B12F14">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2.拒绝列入政府取消投标资格记录期间的企业或个人投标，提供法定代表人或授权委托人签字并加盖公章的承诺书。</w:t>
            </w:r>
          </w:p>
          <w:p w14:paraId="76F7FC7D">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3.不能是被列入“信用中国”网站(www.creditchina.gov.cn)、失信被执行人、企业经营异常名录、重大税收违法失信主体；被工商行政管理机关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szCs w:val="24"/>
                <w:highlight w:val="none"/>
              </w:rPr>
              <w:t>企业及法定代表人无行贿犯罪记录证明</w:t>
            </w:r>
            <w:r>
              <w:rPr>
                <w:rFonts w:hint="eastAsia" w:ascii="宋体" w:hAnsi="宋体" w:eastAsia="宋体" w:cs="宋体"/>
                <w:bCs/>
                <w:color w:val="auto"/>
                <w:sz w:val="24"/>
                <w:szCs w:val="24"/>
                <w:highlight w:val="none"/>
                <w:lang w:val="en-US" w:eastAsia="zh-CN"/>
              </w:rPr>
              <w:t>。提供以上内容相关证明材料。</w:t>
            </w:r>
          </w:p>
        </w:tc>
      </w:tr>
      <w:tr w14:paraId="4FB9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1" w:type="dxa"/>
            <w:vMerge w:val="continue"/>
            <w:vAlign w:val="center"/>
          </w:tcPr>
          <w:p w14:paraId="2FA3E549">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7CEDC616">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 xml:space="preserve">不存在禁止投标 </w:t>
            </w:r>
          </w:p>
          <w:p w14:paraId="4CB9689A">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的情形</w:t>
            </w:r>
          </w:p>
        </w:tc>
        <w:tc>
          <w:tcPr>
            <w:tcW w:w="5811" w:type="dxa"/>
            <w:vAlign w:val="center"/>
          </w:tcPr>
          <w:p w14:paraId="402A6E3B">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不存在第二章“供应商须知”第1.4.2项规定的任何一种情形。</w:t>
            </w:r>
          </w:p>
          <w:p w14:paraId="1D4C9986">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响应文件中提供由法定代表人或其授权委托人签字并加盖公章的承诺书。</w:t>
            </w:r>
          </w:p>
        </w:tc>
      </w:tr>
      <w:tr w14:paraId="21ED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61" w:type="dxa"/>
            <w:vMerge w:val="restart"/>
            <w:vAlign w:val="center"/>
          </w:tcPr>
          <w:p w14:paraId="4893A7A6">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响</w:t>
            </w:r>
          </w:p>
          <w:p w14:paraId="0E3E8FFA">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应</w:t>
            </w:r>
          </w:p>
          <w:p w14:paraId="1910CA41">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性</w:t>
            </w:r>
          </w:p>
          <w:p w14:paraId="7B2B123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w:t>
            </w:r>
          </w:p>
          <w:p w14:paraId="12573C34">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审</w:t>
            </w:r>
          </w:p>
          <w:p w14:paraId="05056C49">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标</w:t>
            </w:r>
          </w:p>
          <w:p w14:paraId="3D44ACED">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准</w:t>
            </w:r>
          </w:p>
        </w:tc>
        <w:tc>
          <w:tcPr>
            <w:tcW w:w="1980" w:type="dxa"/>
            <w:vAlign w:val="center"/>
          </w:tcPr>
          <w:p w14:paraId="298BFFF1">
            <w:pPr>
              <w:pStyle w:val="28"/>
              <w:keepNext w:val="0"/>
              <w:keepLines w:val="0"/>
              <w:pageBreakBefore w:val="0"/>
              <w:widowControl/>
              <w:tabs>
                <w:tab w:val="clear" w:pos="4153"/>
                <w:tab w:val="clear" w:pos="8306"/>
              </w:tabs>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zh-CN"/>
              </w:rPr>
              <w:t>合同履行期限</w:t>
            </w:r>
          </w:p>
        </w:tc>
        <w:tc>
          <w:tcPr>
            <w:tcW w:w="5811" w:type="dxa"/>
            <w:vAlign w:val="center"/>
          </w:tcPr>
          <w:p w14:paraId="22899719">
            <w:pPr>
              <w:keepNext w:val="0"/>
              <w:keepLines w:val="0"/>
              <w:pageBreakBefore w:val="0"/>
              <w:widowControl/>
              <w:kinsoku/>
              <w:wordWrap w:val="0"/>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lang w:val="zh-CN"/>
              </w:rPr>
              <w:t>自合同签订之日起90日内安装调试完毕交付使用并验收合格（具</w:t>
            </w:r>
            <w:r>
              <w:rPr>
                <w:rFonts w:hint="eastAsia" w:asciiTheme="minorEastAsia" w:hAnsiTheme="minorEastAsia" w:cstheme="minorEastAsia"/>
                <w:bCs/>
                <w:color w:val="auto"/>
                <w:sz w:val="24"/>
                <w:highlight w:val="none"/>
                <w:lang w:val="zh-CN"/>
              </w:rPr>
              <w:t>体时间以实际合同为准）</w:t>
            </w:r>
          </w:p>
        </w:tc>
      </w:tr>
      <w:tr w14:paraId="318D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961" w:type="dxa"/>
            <w:vMerge w:val="continue"/>
          </w:tcPr>
          <w:p w14:paraId="44780FB4">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54AE9616">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磋商有效期</w:t>
            </w:r>
          </w:p>
        </w:tc>
        <w:tc>
          <w:tcPr>
            <w:tcW w:w="5811" w:type="dxa"/>
            <w:vAlign w:val="center"/>
          </w:tcPr>
          <w:p w14:paraId="66B43D7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响应文件递交截止之日后</w:t>
            </w:r>
            <w:r>
              <w:rPr>
                <w:rFonts w:hint="eastAsia" w:ascii="宋体" w:hAnsi="宋体" w:eastAsia="宋体" w:cs="宋体"/>
                <w:bCs/>
                <w:color w:val="auto"/>
                <w:sz w:val="24"/>
                <w:szCs w:val="24"/>
                <w:highlight w:val="none"/>
              </w:rPr>
              <w:t>60</w:t>
            </w:r>
            <w:r>
              <w:rPr>
                <w:rFonts w:hint="eastAsia" w:ascii="宋体" w:hAnsi="宋体" w:eastAsia="宋体" w:cs="宋体"/>
                <w:bCs/>
                <w:color w:val="auto"/>
                <w:sz w:val="24"/>
                <w:szCs w:val="24"/>
                <w:highlight w:val="none"/>
                <w:lang w:val="zh-CN"/>
              </w:rPr>
              <w:t>天（日历天）</w:t>
            </w:r>
          </w:p>
        </w:tc>
      </w:tr>
      <w:tr w14:paraId="1BAF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tcPr>
          <w:p w14:paraId="0186EFA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11BCD781">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磋商保证金</w:t>
            </w:r>
          </w:p>
        </w:tc>
        <w:tc>
          <w:tcPr>
            <w:tcW w:w="5811" w:type="dxa"/>
            <w:vAlign w:val="center"/>
          </w:tcPr>
          <w:p w14:paraId="2B6E118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default" w:ascii="宋体" w:hAnsi="宋体" w:eastAsia="宋体" w:cs="宋体"/>
                <w:bCs/>
                <w:color w:val="auto"/>
                <w:sz w:val="24"/>
                <w:szCs w:val="24"/>
                <w:highlight w:val="none"/>
                <w:lang w:val="en-US"/>
              </w:rPr>
            </w:pPr>
            <w:r>
              <w:rPr>
                <w:rFonts w:hint="eastAsia" w:ascii="宋体" w:hAnsi="宋体" w:eastAsia="宋体" w:cs="宋体"/>
                <w:bCs/>
                <w:color w:val="auto"/>
                <w:sz w:val="24"/>
                <w:szCs w:val="24"/>
                <w:highlight w:val="none"/>
                <w:lang w:val="en-US" w:eastAsia="zh-CN"/>
              </w:rPr>
              <w:t>按磋商文件要求提供。</w:t>
            </w:r>
          </w:p>
        </w:tc>
      </w:tr>
      <w:tr w14:paraId="29D4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tcPr>
          <w:p w14:paraId="39408AB4">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3BB665C9">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响应报价</w:t>
            </w:r>
          </w:p>
        </w:tc>
        <w:tc>
          <w:tcPr>
            <w:tcW w:w="5811" w:type="dxa"/>
            <w:vAlign w:val="center"/>
          </w:tcPr>
          <w:p w14:paraId="229EEEB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不超过采购预算（超出此采购预算的响应报价其响应文件将被否决）</w:t>
            </w:r>
          </w:p>
        </w:tc>
      </w:tr>
      <w:tr w14:paraId="3FA8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61" w:type="dxa"/>
            <w:vMerge w:val="continue"/>
          </w:tcPr>
          <w:p w14:paraId="0577376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p>
        </w:tc>
        <w:tc>
          <w:tcPr>
            <w:tcW w:w="1980" w:type="dxa"/>
            <w:vAlign w:val="center"/>
          </w:tcPr>
          <w:p w14:paraId="179E1FB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其他要求</w:t>
            </w:r>
          </w:p>
        </w:tc>
        <w:tc>
          <w:tcPr>
            <w:tcW w:w="5811" w:type="dxa"/>
            <w:vAlign w:val="center"/>
          </w:tcPr>
          <w:p w14:paraId="60521C66">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满足磋商文件第二章“供应商须知”各项规定</w:t>
            </w:r>
          </w:p>
        </w:tc>
      </w:tr>
      <w:tr w14:paraId="4377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8752" w:type="dxa"/>
            <w:gridSpan w:val="3"/>
            <w:tcBorders>
              <w:bottom w:val="single" w:color="auto" w:sz="4" w:space="0"/>
            </w:tcBorders>
          </w:tcPr>
          <w:p w14:paraId="0DE8E613">
            <w:pPr>
              <w:autoSpaceDE w:val="0"/>
              <w:autoSpaceDN w:val="0"/>
              <w:adjustRightInd w:val="0"/>
              <w:spacing w:line="360"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注：供应商有一项不满足响应性评审标准的，其</w:t>
            </w:r>
            <w:r>
              <w:rPr>
                <w:rFonts w:hint="eastAsia" w:ascii="宋体" w:hAnsi="宋体" w:eastAsia="宋体" w:cs="宋体"/>
                <w:color w:val="auto"/>
                <w:sz w:val="24"/>
                <w:szCs w:val="24"/>
                <w:highlight w:val="none"/>
              </w:rPr>
              <w:t>响应文件</w:t>
            </w:r>
            <w:r>
              <w:rPr>
                <w:rFonts w:hint="eastAsia" w:ascii="宋体" w:hAnsi="宋体" w:eastAsia="宋体" w:cs="宋体"/>
                <w:bCs/>
                <w:color w:val="auto"/>
                <w:sz w:val="24"/>
                <w:szCs w:val="24"/>
                <w:highlight w:val="none"/>
              </w:rPr>
              <w:t>将被否决，不再进入后续详细评审。</w:t>
            </w:r>
          </w:p>
        </w:tc>
      </w:tr>
    </w:tbl>
    <w:p w14:paraId="6D19CCBB">
      <w:pPr>
        <w:rPr>
          <w:rFonts w:hint="eastAsia" w:ascii="宋体" w:hAnsi="宋体"/>
          <w:color w:val="auto"/>
          <w:sz w:val="28"/>
          <w:szCs w:val="28"/>
          <w:highlight w:val="none"/>
        </w:rPr>
      </w:pPr>
    </w:p>
    <w:p w14:paraId="49B10AB6">
      <w:pPr>
        <w:rPr>
          <w:rFonts w:hint="eastAsia" w:ascii="宋体" w:hAnsi="宋体"/>
          <w:color w:val="auto"/>
          <w:sz w:val="28"/>
          <w:szCs w:val="28"/>
          <w:highlight w:val="none"/>
        </w:rPr>
      </w:pPr>
      <w:r>
        <w:rPr>
          <w:rFonts w:hint="eastAsia" w:ascii="宋体" w:hAnsi="宋体"/>
          <w:color w:val="auto"/>
          <w:sz w:val="28"/>
          <w:szCs w:val="28"/>
          <w:highlight w:val="none"/>
        </w:rPr>
        <w:br w:type="page"/>
      </w:r>
    </w:p>
    <w:p w14:paraId="38264CCA">
      <w:pPr>
        <w:spacing w:line="300" w:lineRule="exact"/>
        <w:jc w:val="center"/>
        <w:rPr>
          <w:rFonts w:ascii="宋体" w:hAnsi="宋体"/>
          <w:color w:val="auto"/>
          <w:sz w:val="28"/>
          <w:szCs w:val="28"/>
          <w:highlight w:val="none"/>
        </w:rPr>
      </w:pPr>
      <w:r>
        <w:rPr>
          <w:rFonts w:hint="eastAsia" w:ascii="宋体" w:hAnsi="宋体"/>
          <w:color w:val="auto"/>
          <w:sz w:val="28"/>
          <w:szCs w:val="28"/>
          <w:highlight w:val="none"/>
        </w:rPr>
        <w:t>（二）详细评审</w:t>
      </w:r>
    </w:p>
    <w:tbl>
      <w:tblPr>
        <w:tblStyle w:val="4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680"/>
        <w:gridCol w:w="5183"/>
        <w:gridCol w:w="727"/>
      </w:tblGrid>
      <w:tr w14:paraId="7714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7" w:type="dxa"/>
            <w:vAlign w:val="center"/>
          </w:tcPr>
          <w:p w14:paraId="3CDBBCAE">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序号</w:t>
            </w:r>
          </w:p>
        </w:tc>
        <w:tc>
          <w:tcPr>
            <w:tcW w:w="1680" w:type="dxa"/>
            <w:vAlign w:val="center"/>
          </w:tcPr>
          <w:p w14:paraId="6A5CA5D8">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评审因素</w:t>
            </w:r>
          </w:p>
        </w:tc>
        <w:tc>
          <w:tcPr>
            <w:tcW w:w="5910" w:type="dxa"/>
            <w:gridSpan w:val="2"/>
            <w:vAlign w:val="center"/>
          </w:tcPr>
          <w:p w14:paraId="7D102498">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评审标准</w:t>
            </w:r>
          </w:p>
        </w:tc>
      </w:tr>
      <w:tr w14:paraId="6EFC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107" w:type="dxa"/>
            <w:vAlign w:val="center"/>
          </w:tcPr>
          <w:p w14:paraId="1FBE8B9C">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w:t>
            </w:r>
          </w:p>
          <w:p w14:paraId="03BFC37D">
            <w:pPr>
              <w:autoSpaceDE w:val="0"/>
              <w:autoSpaceDN w:val="0"/>
              <w:adjustRightInd w:val="0"/>
              <w:spacing w:line="300" w:lineRule="exact"/>
              <w:ind w:leftChars="-135" w:hanging="324" w:hangingChars="135"/>
              <w:jc w:val="center"/>
              <w:rPr>
                <w:rFonts w:hint="eastAsia" w:ascii="宋体" w:hAnsi="宋体" w:eastAsia="宋体" w:cs="宋体"/>
                <w:bCs/>
                <w:color w:val="auto"/>
                <w:sz w:val="24"/>
                <w:szCs w:val="24"/>
                <w:highlight w:val="none"/>
                <w:lang w:val="zh-CN"/>
              </w:rPr>
            </w:pPr>
          </w:p>
        </w:tc>
        <w:tc>
          <w:tcPr>
            <w:tcW w:w="1680" w:type="dxa"/>
            <w:vAlign w:val="center"/>
          </w:tcPr>
          <w:p w14:paraId="1FB0EB25">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分值构成</w:t>
            </w:r>
          </w:p>
          <w:p w14:paraId="350C835B">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(总分100分)</w:t>
            </w:r>
          </w:p>
        </w:tc>
        <w:tc>
          <w:tcPr>
            <w:tcW w:w="5910" w:type="dxa"/>
            <w:gridSpan w:val="2"/>
            <w:vAlign w:val="center"/>
          </w:tcPr>
          <w:p w14:paraId="3047231F">
            <w:pPr>
              <w:autoSpaceDE w:val="0"/>
              <w:autoSpaceDN w:val="0"/>
              <w:adjustRightInd w:val="0"/>
              <w:spacing w:line="300" w:lineRule="exact"/>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价格部分：30分</w:t>
            </w:r>
          </w:p>
          <w:p w14:paraId="13FA79A1">
            <w:pPr>
              <w:autoSpaceDE w:val="0"/>
              <w:autoSpaceDN w:val="0"/>
              <w:adjustRightInd w:val="0"/>
              <w:spacing w:line="300" w:lineRule="exact"/>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商务部分：5分</w:t>
            </w:r>
          </w:p>
          <w:p w14:paraId="34161578">
            <w:pPr>
              <w:autoSpaceDE w:val="0"/>
              <w:autoSpaceDN w:val="0"/>
              <w:adjustRightInd w:val="0"/>
              <w:spacing w:line="300" w:lineRule="exact"/>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技术部分：63分</w:t>
            </w:r>
          </w:p>
          <w:p w14:paraId="035DBE46">
            <w:pPr>
              <w:autoSpaceDE w:val="0"/>
              <w:autoSpaceDN w:val="0"/>
              <w:adjustRightInd w:val="0"/>
              <w:spacing w:line="300" w:lineRule="exact"/>
              <w:jc w:val="left"/>
              <w:rPr>
                <w:rFonts w:hint="eastAsia"/>
                <w:color w:val="auto"/>
                <w:highlight w:val="none"/>
                <w:lang w:val="zh-CN"/>
              </w:rPr>
            </w:pPr>
            <w:r>
              <w:rPr>
                <w:rFonts w:hint="eastAsia" w:ascii="宋体" w:hAnsi="宋体" w:eastAsia="宋体" w:cs="宋体"/>
                <w:bCs/>
                <w:color w:val="auto"/>
                <w:sz w:val="24"/>
                <w:szCs w:val="24"/>
                <w:highlight w:val="none"/>
                <w:lang w:val="en-US" w:eastAsia="zh-CN"/>
              </w:rPr>
              <w:t>其他因素：2分</w:t>
            </w:r>
          </w:p>
        </w:tc>
      </w:tr>
      <w:tr w14:paraId="7B05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1107" w:type="dxa"/>
            <w:vAlign w:val="center"/>
          </w:tcPr>
          <w:p w14:paraId="6C22ECED">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条款</w:t>
            </w:r>
          </w:p>
        </w:tc>
        <w:tc>
          <w:tcPr>
            <w:tcW w:w="1680" w:type="dxa"/>
            <w:vAlign w:val="center"/>
          </w:tcPr>
          <w:p w14:paraId="118B5437">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评分因素</w:t>
            </w:r>
          </w:p>
        </w:tc>
        <w:tc>
          <w:tcPr>
            <w:tcW w:w="5183" w:type="dxa"/>
            <w:vAlign w:val="center"/>
          </w:tcPr>
          <w:p w14:paraId="12347CF1">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评分标准</w:t>
            </w:r>
          </w:p>
        </w:tc>
        <w:tc>
          <w:tcPr>
            <w:tcW w:w="727" w:type="dxa"/>
            <w:tcBorders>
              <w:bottom w:val="single" w:color="auto" w:sz="4" w:space="0"/>
            </w:tcBorders>
            <w:vAlign w:val="center"/>
          </w:tcPr>
          <w:p w14:paraId="4944D8F7">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分值</w:t>
            </w:r>
          </w:p>
        </w:tc>
      </w:tr>
      <w:tr w14:paraId="24DE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Align w:val="center"/>
          </w:tcPr>
          <w:p w14:paraId="557ACA24">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价格</w:t>
            </w:r>
          </w:p>
          <w:p w14:paraId="7690DFFB">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部分</w:t>
            </w:r>
          </w:p>
          <w:p w14:paraId="105EDB23">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（30分）</w:t>
            </w:r>
          </w:p>
        </w:tc>
        <w:tc>
          <w:tcPr>
            <w:tcW w:w="1680" w:type="dxa"/>
            <w:vAlign w:val="center"/>
          </w:tcPr>
          <w:p w14:paraId="34BDC411">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投标报价得分</w:t>
            </w:r>
          </w:p>
          <w:p w14:paraId="38C7EAD3">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val="zh-CN"/>
              </w:rPr>
              <w:t>分）</w:t>
            </w:r>
          </w:p>
        </w:tc>
        <w:tc>
          <w:tcPr>
            <w:tcW w:w="5183" w:type="dxa"/>
            <w:vAlign w:val="center"/>
          </w:tcPr>
          <w:p w14:paraId="46E2DE1C">
            <w:pPr>
              <w:autoSpaceDE w:val="0"/>
              <w:autoSpaceDN w:val="0"/>
              <w:adjustRightInd w:val="0"/>
              <w:spacing w:line="300" w:lineRule="exac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价格分统一采用低价优先法计算，即满足磋商文件要求且最后报价最低的供应商的价格为磋商基准价，其价格分为满分。其他供应商的价格分统一按照下列公式计算：</w:t>
            </w:r>
          </w:p>
          <w:p w14:paraId="68331A93">
            <w:pPr>
              <w:autoSpaceDE w:val="0"/>
              <w:autoSpaceDN w:val="0"/>
              <w:adjustRightInd w:val="0"/>
              <w:spacing w:line="3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zh-CN"/>
              </w:rPr>
              <w:t>磋商报价得分=（磋商基准价/最后磋商报价）×价格权值</w:t>
            </w:r>
            <w:r>
              <w:rPr>
                <w:rFonts w:hint="eastAsia" w:ascii="宋体" w:hAnsi="宋体" w:eastAsia="宋体" w:cs="宋体"/>
                <w:bCs/>
                <w:color w:val="auto"/>
                <w:sz w:val="24"/>
                <w:szCs w:val="24"/>
                <w:highlight w:val="none"/>
                <w:lang w:val="en-US" w:eastAsia="zh-CN"/>
              </w:rPr>
              <w:t>30</w:t>
            </w:r>
            <w:r>
              <w:rPr>
                <w:rFonts w:hint="eastAsia" w:ascii="宋体" w:hAnsi="宋体" w:eastAsia="宋体" w:cs="宋体"/>
                <w:bCs/>
                <w:color w:val="auto"/>
                <w:sz w:val="24"/>
                <w:szCs w:val="24"/>
                <w:highlight w:val="none"/>
                <w:lang w:val="zh-CN"/>
              </w:rPr>
              <w:t>%×100</w:t>
            </w:r>
            <w:r>
              <w:rPr>
                <w:rFonts w:hint="eastAsia" w:ascii="宋体" w:hAnsi="宋体" w:eastAsia="宋体" w:cs="宋体"/>
                <w:bCs/>
                <w:color w:val="auto"/>
                <w:sz w:val="24"/>
                <w:szCs w:val="24"/>
                <w:highlight w:val="none"/>
              </w:rPr>
              <w:t>。</w:t>
            </w:r>
          </w:p>
        </w:tc>
        <w:tc>
          <w:tcPr>
            <w:tcW w:w="727" w:type="dxa"/>
            <w:tcBorders>
              <w:bottom w:val="single" w:color="auto" w:sz="4" w:space="0"/>
            </w:tcBorders>
            <w:vAlign w:val="center"/>
          </w:tcPr>
          <w:p w14:paraId="0B8BE1F2">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30</w:t>
            </w:r>
          </w:p>
        </w:tc>
      </w:tr>
      <w:tr w14:paraId="74F9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restart"/>
            <w:vAlign w:val="center"/>
          </w:tcPr>
          <w:p w14:paraId="703F32A0">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w:t>
            </w:r>
          </w:p>
          <w:p w14:paraId="5F5016FC">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部分</w:t>
            </w:r>
          </w:p>
          <w:p w14:paraId="27827567">
            <w:pPr>
              <w:pStyle w:val="46"/>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en-US" w:eastAsia="zh-CN"/>
              </w:rPr>
              <w:t>分）</w:t>
            </w:r>
          </w:p>
        </w:tc>
        <w:tc>
          <w:tcPr>
            <w:tcW w:w="1680" w:type="dxa"/>
            <w:vAlign w:val="center"/>
          </w:tcPr>
          <w:p w14:paraId="4681BBDF">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业绩案例</w:t>
            </w:r>
          </w:p>
          <w:p w14:paraId="46883FBD">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（2分）</w:t>
            </w:r>
          </w:p>
        </w:tc>
        <w:tc>
          <w:tcPr>
            <w:tcW w:w="5183" w:type="dxa"/>
            <w:vAlign w:val="center"/>
          </w:tcPr>
          <w:p w14:paraId="695917C5">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自2021年</w:t>
            </w:r>
            <w:r>
              <w:rPr>
                <w:rFonts w:hint="default"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lang w:val="en-US" w:eastAsia="zh-CN"/>
              </w:rPr>
              <w:t>月</w:t>
            </w: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日以来（以合同签订时间为准），投标人具有同类项目业绩，在一个基础上，每提供一项业绩得1分，最高得2分。</w:t>
            </w:r>
          </w:p>
          <w:p w14:paraId="696F192A">
            <w:pPr>
              <w:autoSpaceDE w:val="0"/>
              <w:autoSpaceDN w:val="0"/>
              <w:adjustRightInd w:val="0"/>
              <w:spacing w:line="300" w:lineRule="exac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注：投标文件中提供业绩合同复印件或扫描件或影印件，并加盖投标人公章。</w:t>
            </w:r>
          </w:p>
        </w:tc>
        <w:tc>
          <w:tcPr>
            <w:tcW w:w="727" w:type="dxa"/>
            <w:vAlign w:val="center"/>
          </w:tcPr>
          <w:p w14:paraId="10981009">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r>
      <w:tr w14:paraId="13E4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continue"/>
            <w:vAlign w:val="center"/>
          </w:tcPr>
          <w:p w14:paraId="5E5FFDAB">
            <w:pPr>
              <w:pStyle w:val="46"/>
              <w:ind w:left="0" w:leftChars="0" w:firstLine="0" w:firstLineChars="0"/>
              <w:rPr>
                <w:rFonts w:hint="eastAsia" w:ascii="宋体" w:hAnsi="宋体" w:eastAsia="宋体" w:cs="宋体"/>
                <w:bCs/>
                <w:color w:val="auto"/>
                <w:sz w:val="24"/>
                <w:szCs w:val="24"/>
                <w:highlight w:val="none"/>
                <w:lang w:val="en-US" w:eastAsia="zh-CN"/>
              </w:rPr>
            </w:pPr>
          </w:p>
        </w:tc>
        <w:tc>
          <w:tcPr>
            <w:tcW w:w="1680" w:type="dxa"/>
            <w:shd w:val="clear" w:color="auto" w:fill="auto"/>
            <w:vAlign w:val="center"/>
          </w:tcPr>
          <w:p w14:paraId="5757294B">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企业实力</w:t>
            </w:r>
          </w:p>
          <w:p w14:paraId="1A4F78F6">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（3分）</w:t>
            </w:r>
          </w:p>
        </w:tc>
        <w:tc>
          <w:tcPr>
            <w:tcW w:w="5183" w:type="dxa"/>
            <w:shd w:val="clear" w:color="auto" w:fill="auto"/>
            <w:vAlign w:val="top"/>
          </w:tcPr>
          <w:p w14:paraId="1AEFF6B7">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核心产品制造商具有经中国国家认证认可监督管理委员会认证机构颁发有效的： 1.信息技术服务管理体系认证证书；</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信息安全管理体系认证证书。每提供一个认证证书得1.5分，最高得3分。</w:t>
            </w:r>
          </w:p>
        </w:tc>
        <w:tc>
          <w:tcPr>
            <w:tcW w:w="727" w:type="dxa"/>
            <w:vAlign w:val="center"/>
          </w:tcPr>
          <w:p w14:paraId="151DC331">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r>
      <w:tr w14:paraId="172D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7" w:type="dxa"/>
            <w:vMerge w:val="restart"/>
            <w:vAlign w:val="center"/>
          </w:tcPr>
          <w:p w14:paraId="66D18B0E">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w:t>
            </w:r>
          </w:p>
          <w:p w14:paraId="5872DCA7">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部分</w:t>
            </w:r>
          </w:p>
          <w:p w14:paraId="56B2FBF1">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63</w:t>
            </w:r>
            <w:r>
              <w:rPr>
                <w:rFonts w:hint="eastAsia" w:ascii="宋体" w:hAnsi="宋体" w:eastAsia="宋体" w:cs="宋体"/>
                <w:bCs/>
                <w:color w:val="auto"/>
                <w:sz w:val="24"/>
                <w:szCs w:val="24"/>
                <w:highlight w:val="none"/>
                <w:lang w:val="en-US" w:eastAsia="zh-CN"/>
              </w:rPr>
              <w:t>分）</w:t>
            </w:r>
          </w:p>
        </w:tc>
        <w:tc>
          <w:tcPr>
            <w:tcW w:w="1680" w:type="dxa"/>
            <w:vAlign w:val="center"/>
          </w:tcPr>
          <w:p w14:paraId="7CEEA2F1">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技术参数响应（43分）</w:t>
            </w:r>
          </w:p>
        </w:tc>
        <w:tc>
          <w:tcPr>
            <w:tcW w:w="5183" w:type="dxa"/>
            <w:vAlign w:val="center"/>
          </w:tcPr>
          <w:p w14:paraId="23FC1230">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产品参数中带“▲”号项为重要参数，投标人应提供符合要求的证明文件，并且证明文件中需呈现相应的参数功能，全部满足或优于得35分。每有一项不满足扣1分,若不能提供符合要求的证明材料，将被视为负偏离并扣分，扣完为止。</w:t>
            </w:r>
          </w:p>
          <w:p w14:paraId="4DCA86AD">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产品参数中非带“▲”号项为一般参数，投标人应提供技术参数响应表，全部满足或优于得8分，每有一项不满足扣0.5分，扣完为止。</w:t>
            </w:r>
          </w:p>
          <w:p w14:paraId="167B5DCD">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注释：有具体数值范围的参数，等于是无偏离、优于是正偏离，否则为负偏离；技术参数要求提供证明材料的需提供相应的证明材料，未提供或提供证明材料与技术参数要求内容不一致的视为不满足技术参数要求为负偏离；技术参数未做要求的只需响应即可。） </w:t>
            </w:r>
          </w:p>
        </w:tc>
        <w:tc>
          <w:tcPr>
            <w:tcW w:w="727" w:type="dxa"/>
            <w:vAlign w:val="center"/>
          </w:tcPr>
          <w:p w14:paraId="11DDDED0">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43</w:t>
            </w:r>
          </w:p>
        </w:tc>
      </w:tr>
      <w:tr w14:paraId="1CEF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107" w:type="dxa"/>
            <w:vMerge w:val="continue"/>
            <w:vAlign w:val="center"/>
          </w:tcPr>
          <w:p w14:paraId="7FCB366E">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p>
        </w:tc>
        <w:tc>
          <w:tcPr>
            <w:tcW w:w="1680" w:type="dxa"/>
            <w:vAlign w:val="center"/>
          </w:tcPr>
          <w:p w14:paraId="19EED44A">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供货维护方案（10分）</w:t>
            </w:r>
          </w:p>
        </w:tc>
        <w:tc>
          <w:tcPr>
            <w:tcW w:w="5183" w:type="dxa"/>
            <w:vAlign w:val="top"/>
          </w:tcPr>
          <w:p w14:paraId="4C279F05">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根据供应商提供的方案，从以下方面进行综合评审:针对本项目特点提供供货方案</w:t>
            </w:r>
          </w:p>
          <w:p w14:paraId="49B07C19">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供货计划（</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0D2D9510">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供货流程安排（</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61231A45">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供货时间安排（</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43FFCD1E">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供货渠道（</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40542ED3">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en-US" w:eastAsia="zh-CN"/>
              </w:rPr>
              <w:t>供货方式（</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p w14:paraId="2C78FD06">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方案包含以上全部内容，无少项、漏项，得</w:t>
            </w:r>
            <w:r>
              <w:rPr>
                <w:rFonts w:hint="default"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lang w:val="en-US" w:eastAsia="zh-CN"/>
              </w:rPr>
              <w:t>分，每缺一项扣</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分；未提供不得分。所提供的方案措施中每有一处具有缺陷的扣</w:t>
            </w: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分，扣完为止。（缺陷是指</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凭空编造、内容前后不一致、前后逻辑错误、涉及的规范及标准错误、地点区域错误、只有标题没有实际内容、不符合采购需求）</w:t>
            </w:r>
          </w:p>
        </w:tc>
        <w:tc>
          <w:tcPr>
            <w:tcW w:w="727" w:type="dxa"/>
            <w:vAlign w:val="center"/>
          </w:tcPr>
          <w:p w14:paraId="711A7742">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w:t>
            </w:r>
          </w:p>
        </w:tc>
      </w:tr>
      <w:tr w14:paraId="4DF5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107" w:type="dxa"/>
            <w:vMerge w:val="continue"/>
            <w:vAlign w:val="center"/>
          </w:tcPr>
          <w:p w14:paraId="517D9564">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p>
        </w:tc>
        <w:tc>
          <w:tcPr>
            <w:tcW w:w="1680" w:type="dxa"/>
            <w:vAlign w:val="center"/>
          </w:tcPr>
          <w:p w14:paraId="58BAD3EA">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售后服务方案（10分）</w:t>
            </w:r>
          </w:p>
        </w:tc>
        <w:tc>
          <w:tcPr>
            <w:tcW w:w="5183" w:type="dxa"/>
            <w:vAlign w:val="top"/>
          </w:tcPr>
          <w:p w14:paraId="24B178EA">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根据供应商提供的方案，从以下方面进行综合评审:针对本项目特点提供售后服务方案</w:t>
            </w:r>
          </w:p>
          <w:p w14:paraId="330BFB5A">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货物运输、配送、安装、调试、验收</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w:t>
            </w:r>
          </w:p>
          <w:p w14:paraId="4FF79D53">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售后服务流程</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w:t>
            </w:r>
          </w:p>
          <w:p w14:paraId="38CB9B68">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售后服务联系方式</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w:t>
            </w:r>
          </w:p>
          <w:p w14:paraId="689DAAFF">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售后服务人员安排、售后服务响应时间</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w:t>
            </w:r>
          </w:p>
          <w:p w14:paraId="1466EE3A">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en-US" w:eastAsia="zh-CN"/>
              </w:rPr>
              <w:t>质量保修期内的免费维修维护</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包括响应时间、修复时间、对采购人造成损失的补偿措施等内容</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w:t>
            </w:r>
          </w:p>
          <w:p w14:paraId="609A8480">
            <w:pPr>
              <w:autoSpaceDE w:val="0"/>
              <w:autoSpaceDN w:val="0"/>
              <w:adjustRightInd w:val="0"/>
              <w:spacing w:line="3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方案包含以上全部内容，无少项、漏项，得</w:t>
            </w:r>
            <w:r>
              <w:rPr>
                <w:rFonts w:hint="default"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lang w:val="en-US" w:eastAsia="zh-CN"/>
              </w:rPr>
              <w:t>分，每缺一项扣</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分；未提供不得分。所提供的方案措施中每有一处具有缺陷的扣</w:t>
            </w:r>
            <w:r>
              <w:rPr>
                <w:rFonts w:hint="default"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分，扣完为止。</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缺陷是指</w:t>
            </w:r>
            <w:r>
              <w:rPr>
                <w:rFonts w:hint="default"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lang w:val="en-US" w:eastAsia="zh-CN"/>
              </w:rPr>
              <w:t>凭空编造、内容前后不一致、前后逻辑错误、涉及的规范及标准错误、地点区域错误、只有标题没有实际内容、不符合采购需求</w:t>
            </w:r>
            <w:r>
              <w:rPr>
                <w:rFonts w:hint="default" w:ascii="宋体" w:hAnsi="宋体" w:eastAsia="宋体" w:cs="宋体"/>
                <w:bCs/>
                <w:color w:val="auto"/>
                <w:sz w:val="24"/>
                <w:szCs w:val="24"/>
                <w:highlight w:val="none"/>
                <w:lang w:val="en-US" w:eastAsia="zh-CN"/>
              </w:rPr>
              <w:t>)</w:t>
            </w:r>
          </w:p>
        </w:tc>
        <w:tc>
          <w:tcPr>
            <w:tcW w:w="727" w:type="dxa"/>
            <w:vAlign w:val="center"/>
          </w:tcPr>
          <w:p w14:paraId="07CEDA96">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w:t>
            </w:r>
          </w:p>
        </w:tc>
      </w:tr>
      <w:tr w14:paraId="2BA1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107" w:type="dxa"/>
            <w:vAlign w:val="center"/>
          </w:tcPr>
          <w:p w14:paraId="6B555933">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w:t>
            </w:r>
          </w:p>
          <w:p w14:paraId="148E11A3">
            <w:pPr>
              <w:autoSpaceDE w:val="0"/>
              <w:autoSpaceDN w:val="0"/>
              <w:adjustRightIn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因素</w:t>
            </w:r>
          </w:p>
          <w:p w14:paraId="6EB3A529">
            <w:pPr>
              <w:autoSpaceDE w:val="0"/>
              <w:autoSpaceDN w:val="0"/>
              <w:adjustRightInd w:val="0"/>
              <w:spacing w:line="300" w:lineRule="exac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分）</w:t>
            </w:r>
          </w:p>
        </w:tc>
        <w:tc>
          <w:tcPr>
            <w:tcW w:w="1680" w:type="dxa"/>
            <w:shd w:val="clear" w:color="auto" w:fill="auto"/>
            <w:vAlign w:val="center"/>
          </w:tcPr>
          <w:p w14:paraId="5048CC86">
            <w:pPr>
              <w:autoSpaceDE w:val="0"/>
              <w:autoSpaceDN w:val="0"/>
              <w:adjustRightInd w:val="0"/>
              <w:spacing w:line="30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服务承诺</w:t>
            </w:r>
          </w:p>
          <w:p w14:paraId="19D27E5C">
            <w:pPr>
              <w:autoSpaceDE w:val="0"/>
              <w:autoSpaceDN w:val="0"/>
              <w:adjustRightInd w:val="0"/>
              <w:spacing w:line="300" w:lineRule="exact"/>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（2分）</w:t>
            </w:r>
          </w:p>
        </w:tc>
        <w:tc>
          <w:tcPr>
            <w:tcW w:w="5183" w:type="dxa"/>
            <w:shd w:val="clear" w:color="auto" w:fill="auto"/>
            <w:vAlign w:val="center"/>
          </w:tcPr>
          <w:p w14:paraId="489CBDC5">
            <w:pPr>
              <w:autoSpaceDE w:val="0"/>
              <w:autoSpaceDN w:val="0"/>
              <w:adjustRightInd w:val="0"/>
              <w:spacing w:line="300" w:lineRule="exac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对供应商提出的采购人可以接受的合理服务承诺进行打分，科学合理可行，针对性强，有利于本项目的实施得2分，服务承诺不合理或与本项目的采购需求关联性不大得1分，无此项不得分。</w:t>
            </w:r>
          </w:p>
        </w:tc>
        <w:tc>
          <w:tcPr>
            <w:tcW w:w="727" w:type="dxa"/>
            <w:vAlign w:val="center"/>
          </w:tcPr>
          <w:p w14:paraId="1060B8EC">
            <w:pPr>
              <w:autoSpaceDE w:val="0"/>
              <w:autoSpaceDN w:val="0"/>
              <w:adjustRightInd w:val="0"/>
              <w:spacing w:line="300" w:lineRule="exact"/>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r>
    </w:tbl>
    <w:p w14:paraId="4218234C">
      <w:pPr>
        <w:rPr>
          <w:rFonts w:hint="eastAsia" w:ascii="宋体" w:hAnsi="宋体" w:eastAsia="宋体" w:cs="宋体"/>
          <w:b/>
          <w:color w:val="auto"/>
          <w:kern w:val="0"/>
          <w:szCs w:val="21"/>
          <w:highlight w:val="yellow"/>
        </w:rPr>
      </w:pPr>
      <w:r>
        <w:rPr>
          <w:rFonts w:hint="eastAsia" w:ascii="宋体" w:hAnsi="宋体" w:eastAsia="宋体" w:cs="宋体"/>
          <w:b/>
          <w:color w:val="auto"/>
          <w:kern w:val="0"/>
          <w:szCs w:val="21"/>
          <w:highlight w:val="yellow"/>
        </w:rPr>
        <w:br w:type="page"/>
      </w:r>
    </w:p>
    <w:p w14:paraId="7BEAF83E">
      <w:pPr>
        <w:autoSpaceDE w:val="0"/>
        <w:autoSpaceDN w:val="0"/>
        <w:adjustRightInd w:val="0"/>
        <w:spacing w:line="44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1.评标方法</w:t>
      </w:r>
    </w:p>
    <w:p w14:paraId="203F3AE1">
      <w:pPr>
        <w:autoSpaceDE w:val="0"/>
        <w:autoSpaceDN w:val="0"/>
        <w:adjustRightInd w:val="0"/>
        <w:spacing w:line="3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本次评标采用综合评分法。评标委员会对满足磋商文件实质性要求的响应文件，按照本章评标办法前附表规定的评分标准进行打分，</w:t>
      </w:r>
      <w:r>
        <w:rPr>
          <w:rFonts w:hint="eastAsia" w:ascii="宋体" w:hAnsi="宋体" w:eastAsia="宋体" w:cs="宋体"/>
          <w:color w:val="auto"/>
          <w:sz w:val="24"/>
          <w:szCs w:val="24"/>
        </w:rPr>
        <w:t>对各项评分进行汇总，将所有评委的打分进行汇总后，各投标单位的得分的算术平均值为投标单位的最后得分，拟定“综合评分排序表”，按评分从高到低进行排序。评标委员会</w:t>
      </w:r>
      <w:r>
        <w:rPr>
          <w:rFonts w:hint="eastAsia" w:ascii="宋体" w:hAnsi="宋体" w:eastAsia="宋体" w:cs="宋体"/>
          <w:color w:val="auto"/>
          <w:kern w:val="0"/>
          <w:sz w:val="24"/>
          <w:szCs w:val="24"/>
        </w:rPr>
        <w:t>按得分由高至低顺序排序推荐</w:t>
      </w:r>
      <w:r>
        <w:rPr>
          <w:rFonts w:hint="eastAsia" w:ascii="宋体" w:hAnsi="宋体" w:cs="宋体"/>
          <w:color w:val="auto"/>
          <w:kern w:val="0"/>
          <w:sz w:val="24"/>
          <w:szCs w:val="24"/>
        </w:rPr>
        <w:t>前3名</w:t>
      </w:r>
      <w:r>
        <w:rPr>
          <w:rFonts w:hint="eastAsia" w:ascii="宋体" w:hAnsi="宋体" w:eastAsia="宋体" w:cs="宋体"/>
          <w:color w:val="auto"/>
          <w:kern w:val="0"/>
          <w:sz w:val="24"/>
          <w:szCs w:val="24"/>
        </w:rPr>
        <w:t>中标候选人。</w:t>
      </w:r>
    </w:p>
    <w:p w14:paraId="337DA968">
      <w:pPr>
        <w:autoSpaceDE w:val="0"/>
        <w:autoSpaceDN w:val="0"/>
        <w:adjustRightInd w:val="0"/>
        <w:spacing w:line="360" w:lineRule="exact"/>
        <w:ind w:firstLine="480" w:firstLineChars="200"/>
        <w:rPr>
          <w:rFonts w:ascii="宋体" w:hAnsi="宋体" w:eastAsia="宋体" w:cs="宋体"/>
          <w:color w:val="auto"/>
          <w:kern w:val="0"/>
          <w:sz w:val="24"/>
          <w:szCs w:val="24"/>
        </w:rPr>
      </w:pPr>
      <w:r>
        <w:rPr>
          <w:rFonts w:hint="eastAsia" w:ascii="宋体" w:hAnsi="宋体" w:eastAsia="宋体" w:cs="宋体"/>
          <w:color w:val="auto"/>
          <w:kern w:val="0"/>
          <w:sz w:val="24"/>
          <w:szCs w:val="24"/>
          <w:lang w:val="zh-CN"/>
        </w:rPr>
        <w:t>得分相同的，按</w:t>
      </w:r>
      <w:r>
        <w:rPr>
          <w:rFonts w:hint="eastAsia" w:ascii="宋体" w:hAnsi="宋体" w:eastAsia="宋体" w:cs="宋体"/>
          <w:color w:val="auto"/>
          <w:kern w:val="0"/>
          <w:sz w:val="24"/>
          <w:szCs w:val="24"/>
          <w:lang w:val="en-US" w:eastAsia="zh-CN"/>
        </w:rPr>
        <w:t>最后磋商报价</w:t>
      </w:r>
      <w:r>
        <w:rPr>
          <w:rFonts w:hint="eastAsia" w:ascii="宋体" w:hAnsi="宋体" w:eastAsia="宋体" w:cs="宋体"/>
          <w:color w:val="auto"/>
          <w:kern w:val="0"/>
          <w:sz w:val="24"/>
          <w:szCs w:val="24"/>
          <w:lang w:val="zh-CN"/>
        </w:rPr>
        <w:t>（指</w:t>
      </w:r>
      <w:r>
        <w:rPr>
          <w:rFonts w:hint="eastAsia" w:ascii="宋体" w:hAnsi="宋体" w:eastAsia="宋体" w:cs="宋体"/>
          <w:color w:val="auto"/>
          <w:kern w:val="0"/>
          <w:sz w:val="24"/>
          <w:szCs w:val="24"/>
          <w:lang w:val="en-US" w:eastAsia="zh-CN"/>
        </w:rPr>
        <w:t>最后磋商</w:t>
      </w:r>
      <w:r>
        <w:rPr>
          <w:rFonts w:hint="eastAsia" w:ascii="宋体" w:hAnsi="宋体" w:eastAsia="宋体" w:cs="宋体"/>
          <w:color w:val="auto"/>
          <w:kern w:val="0"/>
          <w:sz w:val="24"/>
          <w:szCs w:val="24"/>
          <w:lang w:val="zh-CN"/>
        </w:rPr>
        <w:t>报价经算术修正和落实政府采购政策需进行的价格扣除后的投标价格）由低到高顺序排列；得分且</w:t>
      </w:r>
      <w:r>
        <w:rPr>
          <w:rFonts w:hint="eastAsia" w:ascii="宋体" w:hAnsi="宋体" w:eastAsia="宋体" w:cs="宋体"/>
          <w:color w:val="auto"/>
          <w:kern w:val="0"/>
          <w:sz w:val="24"/>
          <w:szCs w:val="24"/>
          <w:lang w:val="en-US" w:eastAsia="zh-CN"/>
        </w:rPr>
        <w:t>最后磋商报价</w:t>
      </w:r>
      <w:r>
        <w:rPr>
          <w:rFonts w:hint="eastAsia" w:ascii="宋体" w:hAnsi="宋体" w:eastAsia="宋体" w:cs="宋体"/>
          <w:color w:val="auto"/>
          <w:kern w:val="0"/>
          <w:sz w:val="24"/>
          <w:szCs w:val="24"/>
          <w:lang w:val="zh-CN"/>
        </w:rPr>
        <w:t>（指</w:t>
      </w:r>
      <w:r>
        <w:rPr>
          <w:rFonts w:hint="eastAsia" w:ascii="宋体" w:hAnsi="宋体" w:eastAsia="宋体" w:cs="宋体"/>
          <w:color w:val="auto"/>
          <w:kern w:val="0"/>
          <w:sz w:val="24"/>
          <w:szCs w:val="24"/>
          <w:lang w:val="en-US" w:eastAsia="zh-CN"/>
        </w:rPr>
        <w:t>最后磋商报价</w:t>
      </w:r>
      <w:r>
        <w:rPr>
          <w:rFonts w:hint="eastAsia" w:ascii="宋体" w:hAnsi="宋体" w:eastAsia="宋体" w:cs="宋体"/>
          <w:color w:val="auto"/>
          <w:kern w:val="0"/>
          <w:sz w:val="24"/>
          <w:szCs w:val="24"/>
          <w:lang w:val="zh-CN"/>
        </w:rPr>
        <w:t>经算术修正和落实政府采购政策需进行的价格扣除后的投标价格）相同的，按技术服务评分由高到低顺序排列；得分、</w:t>
      </w:r>
      <w:r>
        <w:rPr>
          <w:rFonts w:hint="eastAsia" w:ascii="宋体" w:hAnsi="宋体" w:eastAsia="宋体" w:cs="宋体"/>
          <w:color w:val="auto"/>
          <w:kern w:val="0"/>
          <w:sz w:val="24"/>
          <w:szCs w:val="24"/>
          <w:lang w:val="en-US" w:eastAsia="zh-CN"/>
        </w:rPr>
        <w:t>最后磋商报价</w:t>
      </w:r>
      <w:r>
        <w:rPr>
          <w:rFonts w:hint="eastAsia" w:ascii="宋体" w:hAnsi="宋体" w:eastAsia="宋体" w:cs="宋体"/>
          <w:color w:val="auto"/>
          <w:kern w:val="0"/>
          <w:sz w:val="24"/>
          <w:szCs w:val="24"/>
          <w:lang w:val="zh-CN"/>
        </w:rPr>
        <w:t>（指</w:t>
      </w:r>
      <w:r>
        <w:rPr>
          <w:rFonts w:hint="eastAsia" w:ascii="宋体" w:hAnsi="宋体" w:eastAsia="宋体" w:cs="宋体"/>
          <w:color w:val="auto"/>
          <w:kern w:val="0"/>
          <w:sz w:val="24"/>
          <w:szCs w:val="24"/>
          <w:lang w:val="en-US" w:eastAsia="zh-CN"/>
        </w:rPr>
        <w:t>最后磋商报价</w:t>
      </w:r>
      <w:r>
        <w:rPr>
          <w:rFonts w:hint="eastAsia" w:ascii="宋体" w:hAnsi="宋体" w:eastAsia="宋体" w:cs="宋体"/>
          <w:color w:val="auto"/>
          <w:kern w:val="0"/>
          <w:sz w:val="24"/>
          <w:szCs w:val="24"/>
          <w:lang w:val="zh-CN"/>
        </w:rPr>
        <w:t>经算术修正和落实政府采购政策需进行的价格扣除后的投标价格）且技术服务评分相同的，按所投产品列入政府优先采购产品类别认证证书多少顺序排列；以上均相同的，</w:t>
      </w:r>
      <w:r>
        <w:rPr>
          <w:rFonts w:hint="eastAsia" w:ascii="宋体" w:hAnsi="宋体" w:eastAsia="宋体" w:cs="宋体"/>
          <w:color w:val="auto"/>
          <w:kern w:val="0"/>
          <w:sz w:val="24"/>
          <w:szCs w:val="24"/>
        </w:rPr>
        <w:t>由</w:t>
      </w:r>
      <w:r>
        <w:rPr>
          <w:rFonts w:hint="eastAsia" w:ascii="宋体" w:hAnsi="宋体" w:cs="宋体"/>
          <w:color w:val="auto"/>
          <w:kern w:val="0"/>
          <w:sz w:val="24"/>
          <w:szCs w:val="24"/>
        </w:rPr>
        <w:t>采购人</w:t>
      </w:r>
      <w:r>
        <w:rPr>
          <w:rFonts w:hint="eastAsia" w:ascii="宋体" w:hAnsi="宋体" w:eastAsia="宋体" w:cs="宋体"/>
          <w:color w:val="auto"/>
          <w:kern w:val="0"/>
          <w:sz w:val="24"/>
          <w:szCs w:val="24"/>
        </w:rPr>
        <w:t>代表随机抽取确定。</w:t>
      </w:r>
      <w:r>
        <w:rPr>
          <w:rFonts w:hint="eastAsia" w:ascii="宋体" w:hAnsi="宋体" w:eastAsia="宋体" w:cs="宋体"/>
          <w:color w:val="auto"/>
          <w:kern w:val="0"/>
          <w:sz w:val="24"/>
          <w:szCs w:val="24"/>
          <w:lang w:val="zh-CN"/>
        </w:rPr>
        <w:t>分包采购的，每包评标结果按上述规则排列。</w:t>
      </w:r>
    </w:p>
    <w:p w14:paraId="0C81FE62">
      <w:pPr>
        <w:autoSpaceDE w:val="0"/>
        <w:autoSpaceDN w:val="0"/>
        <w:adjustRightInd w:val="0"/>
        <w:spacing w:line="300" w:lineRule="auto"/>
        <w:ind w:firstLine="480" w:firstLineChars="200"/>
        <w:rPr>
          <w:rFonts w:ascii="宋体" w:hAnsi="宋体" w:eastAsia="宋体" w:cs="宋体"/>
          <w:color w:val="auto"/>
          <w:kern w:val="0"/>
          <w:sz w:val="24"/>
          <w:szCs w:val="24"/>
        </w:rPr>
      </w:pPr>
    </w:p>
    <w:p w14:paraId="7C1DAF80">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2.评审标准及分值构成</w:t>
      </w:r>
    </w:p>
    <w:p w14:paraId="78FE0171">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2.1初步评审标准</w:t>
      </w:r>
    </w:p>
    <w:p w14:paraId="3B59B015">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2.1.1形式评审标准：见评标办法前附表（一）。</w:t>
      </w:r>
    </w:p>
    <w:p w14:paraId="5627A018">
      <w:pPr>
        <w:autoSpaceDE w:val="0"/>
        <w:autoSpaceDN w:val="0"/>
        <w:adjustRightInd w:val="0"/>
        <w:spacing w:line="360" w:lineRule="exact"/>
        <w:ind w:firstLine="410" w:firstLineChars="171"/>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2.1.2</w:t>
      </w:r>
      <w:r>
        <w:rPr>
          <w:rFonts w:hint="eastAsia" w:ascii="宋体" w:hAnsi="宋体" w:eastAsia="宋体" w:cs="宋体"/>
          <w:color w:val="auto"/>
          <w:kern w:val="0"/>
          <w:sz w:val="24"/>
          <w:szCs w:val="24"/>
          <w:lang w:val="en-US" w:eastAsia="zh-CN"/>
        </w:rPr>
        <w:t>资格</w:t>
      </w:r>
      <w:r>
        <w:rPr>
          <w:rFonts w:hint="eastAsia" w:ascii="宋体" w:hAnsi="宋体" w:eastAsia="宋体" w:cs="宋体"/>
          <w:color w:val="auto"/>
          <w:kern w:val="0"/>
          <w:sz w:val="24"/>
          <w:szCs w:val="24"/>
        </w:rPr>
        <w:t>性评审标准：见评标办法前附表（一）</w:t>
      </w:r>
      <w:r>
        <w:rPr>
          <w:rFonts w:hint="eastAsia" w:ascii="宋体" w:hAnsi="宋体" w:eastAsia="宋体" w:cs="宋体"/>
          <w:color w:val="auto"/>
          <w:kern w:val="0"/>
          <w:sz w:val="24"/>
          <w:szCs w:val="24"/>
          <w:lang w:eastAsia="zh-CN"/>
        </w:rPr>
        <w:t>。</w:t>
      </w:r>
    </w:p>
    <w:p w14:paraId="51F8D4B5">
      <w:pPr>
        <w:autoSpaceDE w:val="0"/>
        <w:autoSpaceDN w:val="0"/>
        <w:adjustRightInd w:val="0"/>
        <w:spacing w:line="360" w:lineRule="exact"/>
        <w:ind w:firstLine="410" w:firstLineChars="171"/>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2.1.3</w:t>
      </w:r>
      <w:r>
        <w:rPr>
          <w:rFonts w:hint="eastAsia" w:ascii="宋体" w:hAnsi="宋体" w:eastAsia="宋体" w:cs="宋体"/>
          <w:color w:val="auto"/>
          <w:kern w:val="0"/>
          <w:sz w:val="24"/>
          <w:szCs w:val="24"/>
        </w:rPr>
        <w:t>响应性评审标准：见评标办法前附表（一）</w:t>
      </w:r>
      <w:r>
        <w:rPr>
          <w:rFonts w:hint="eastAsia" w:ascii="宋体" w:hAnsi="宋体" w:eastAsia="宋体" w:cs="宋体"/>
          <w:color w:val="auto"/>
          <w:kern w:val="0"/>
          <w:sz w:val="24"/>
          <w:szCs w:val="24"/>
          <w:lang w:eastAsia="zh-CN"/>
        </w:rPr>
        <w:t>。</w:t>
      </w:r>
    </w:p>
    <w:p w14:paraId="21098440">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2.2 详细评审标准：见评标办法前附表（二）。</w:t>
      </w:r>
    </w:p>
    <w:p w14:paraId="32A25C81">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3.评标程序</w:t>
      </w:r>
    </w:p>
    <w:p w14:paraId="0509F94F">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3.1初步评审</w:t>
      </w:r>
    </w:p>
    <w:p w14:paraId="2AE7958C">
      <w:pPr>
        <w:autoSpaceDE w:val="0"/>
        <w:autoSpaceDN w:val="0"/>
        <w:adjustRightInd w:val="0"/>
        <w:snapToGrid w:val="0"/>
        <w:spacing w:line="348" w:lineRule="auto"/>
        <w:ind w:firstLine="480" w:firstLineChars="200"/>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3.1.1 </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可以要求</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提交磋商文件规定的有关证明，以便核验。</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依据本章评标办法前附表（一）规定的标准对响应文件进行初步评审。有一项不符合评审标准的，</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应当否决其投标，只有当通过初步评审的投标单位超过3家（包含3家），此次招标才能进入后续评审，否则视为具有竞争性的投标单位不足3家，应重新组织招标。</w:t>
      </w:r>
    </w:p>
    <w:p w14:paraId="05A3DC55">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3.1.2 </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有以下情形之一的，其投标将被否决：</w:t>
      </w:r>
    </w:p>
    <w:p w14:paraId="1CCAF4BB">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 (1)串通投标或弄虚作假或有其他违法行为的；</w:t>
      </w:r>
    </w:p>
    <w:p w14:paraId="4CDE7011">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 (2)不按</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要求澄清、说明或补正的。</w:t>
      </w:r>
    </w:p>
    <w:p w14:paraId="10A1D6AE">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3.2 详细评审</w:t>
      </w:r>
    </w:p>
    <w:p w14:paraId="08E14DD3">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按本章规定的评审因素和分值进行打分，并计算出综合评估得分。</w:t>
      </w:r>
    </w:p>
    <w:p w14:paraId="1E4D2A21">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3.2.2 </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发现</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的投标报价下降幅度超出行业普遍的取费标准，可以要求</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进行澄清并承诺不因此降低</w:t>
      </w:r>
      <w:r>
        <w:rPr>
          <w:rFonts w:hint="eastAsia" w:ascii="宋体" w:hAnsi="宋体" w:eastAsia="宋体" w:cs="宋体"/>
          <w:color w:val="auto"/>
          <w:kern w:val="0"/>
          <w:sz w:val="24"/>
          <w:szCs w:val="24"/>
          <w:lang w:val="en-US" w:eastAsia="zh-CN"/>
        </w:rPr>
        <w:t>货物</w:t>
      </w:r>
      <w:r>
        <w:rPr>
          <w:rFonts w:hint="eastAsia" w:ascii="宋体" w:hAnsi="宋体" w:eastAsia="宋体" w:cs="宋体"/>
          <w:color w:val="auto"/>
          <w:kern w:val="0"/>
          <w:sz w:val="24"/>
          <w:szCs w:val="24"/>
        </w:rPr>
        <w:t>质量，</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不能说明合理理由的将否决其投标。</w:t>
      </w:r>
    </w:p>
    <w:p w14:paraId="45A0B247">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3.2.3 投标报价有算术错误的，</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按以下原则对投标报价进行修正，修正的价格经</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书面确认后具有约束力。</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不接受修正价格的，其投标将被否决。</w:t>
      </w:r>
    </w:p>
    <w:p w14:paraId="51A3BCB7">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(1)响应文件中的大写金额与小写金额不一致的，以大写金额为准；</w:t>
      </w:r>
    </w:p>
    <w:p w14:paraId="2B64E5B6">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(2)总价金额与依据单价计算出的结果不一致的，以单价金额为准修正总价，但单价金额小数点有明显错误的除外。</w:t>
      </w:r>
    </w:p>
    <w:p w14:paraId="4C9D0089">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3.3 响应文件的澄清和补正</w:t>
      </w:r>
    </w:p>
    <w:p w14:paraId="15E76E1D">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3.3.1 在评标过程中，</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可以书面形式要求</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对所提交响应文件中不明确的内容进行书面澄清或说明，或者对细微偏差进行补正。</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不接受</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主动提出的澄清、说明或补正。</w:t>
      </w:r>
    </w:p>
    <w:p w14:paraId="63049A10">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3.3.2 澄清、说明和补正不得改变响应文件的实质性内容(算术性错误修正的除外)。</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的书面澄清、说明和补正属于响应文件的组成部分。</w:t>
      </w:r>
    </w:p>
    <w:p w14:paraId="52E3E680">
      <w:pPr>
        <w:autoSpaceDE w:val="0"/>
        <w:autoSpaceDN w:val="0"/>
        <w:adjustRightInd w:val="0"/>
        <w:spacing w:line="36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 xml:space="preserve">3.3.3 </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对</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提交的澄清、说明或补正有疑问的，可以要求</w:t>
      </w:r>
      <w:r>
        <w:rPr>
          <w:rFonts w:hint="eastAsia" w:ascii="宋体" w:hAnsi="宋体" w:cs="宋体"/>
          <w:color w:val="auto"/>
          <w:kern w:val="0"/>
          <w:sz w:val="24"/>
          <w:szCs w:val="24"/>
        </w:rPr>
        <w:t>供应商</w:t>
      </w:r>
      <w:r>
        <w:rPr>
          <w:rFonts w:hint="eastAsia" w:ascii="宋体" w:hAnsi="宋体" w:eastAsia="宋体" w:cs="宋体"/>
          <w:color w:val="auto"/>
          <w:kern w:val="0"/>
          <w:sz w:val="24"/>
          <w:szCs w:val="24"/>
        </w:rPr>
        <w:t>进一步澄清、说明或补正，直至满足</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的要求。</w:t>
      </w:r>
    </w:p>
    <w:p w14:paraId="7F57DD1A">
      <w:pPr>
        <w:autoSpaceDE w:val="0"/>
        <w:autoSpaceDN w:val="0"/>
        <w:adjustRightInd w:val="0"/>
        <w:spacing w:line="360" w:lineRule="exact"/>
        <w:rPr>
          <w:rFonts w:ascii="宋体" w:hAnsi="宋体" w:eastAsia="宋体" w:cs="宋体"/>
          <w:b/>
          <w:color w:val="auto"/>
          <w:kern w:val="0"/>
          <w:sz w:val="24"/>
          <w:szCs w:val="24"/>
        </w:rPr>
      </w:pPr>
      <w:r>
        <w:rPr>
          <w:rFonts w:hint="eastAsia" w:ascii="宋体" w:hAnsi="宋体" w:eastAsia="宋体" w:cs="宋体"/>
          <w:b/>
          <w:color w:val="auto"/>
          <w:kern w:val="0"/>
          <w:sz w:val="24"/>
          <w:szCs w:val="24"/>
        </w:rPr>
        <w:t>3.4 评标结果</w:t>
      </w:r>
    </w:p>
    <w:p w14:paraId="35D4A056">
      <w:pPr>
        <w:autoSpaceDE w:val="0"/>
        <w:autoSpaceDN w:val="0"/>
        <w:adjustRightInd w:val="0"/>
        <w:spacing w:line="42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3.4.1</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按照得分由高至低的顺序推荐</w:t>
      </w:r>
      <w:r>
        <w:rPr>
          <w:rFonts w:hint="eastAsia" w:ascii="宋体" w:hAnsi="宋体" w:eastAsia="宋体" w:cs="宋体"/>
          <w:color w:val="auto"/>
          <w:kern w:val="0"/>
          <w:sz w:val="24"/>
          <w:szCs w:val="24"/>
          <w:lang w:eastAsia="zh-CN"/>
        </w:rPr>
        <w:t>成交</w:t>
      </w:r>
      <w:r>
        <w:rPr>
          <w:rFonts w:hint="eastAsia" w:ascii="宋体" w:hAnsi="宋体" w:eastAsia="宋体" w:cs="宋体"/>
          <w:color w:val="auto"/>
          <w:kern w:val="0"/>
          <w:sz w:val="24"/>
          <w:szCs w:val="24"/>
        </w:rPr>
        <w:t>候选人。</w:t>
      </w:r>
    </w:p>
    <w:p w14:paraId="5FA1512F">
      <w:pPr>
        <w:autoSpaceDE w:val="0"/>
        <w:autoSpaceDN w:val="0"/>
        <w:adjustRightInd w:val="0"/>
        <w:spacing w:line="420" w:lineRule="exact"/>
        <w:ind w:firstLine="410" w:firstLineChars="171"/>
        <w:rPr>
          <w:rFonts w:ascii="宋体" w:hAnsi="宋体" w:eastAsia="宋体" w:cs="宋体"/>
          <w:color w:val="auto"/>
          <w:kern w:val="0"/>
          <w:sz w:val="24"/>
          <w:szCs w:val="24"/>
        </w:rPr>
      </w:pPr>
      <w:r>
        <w:rPr>
          <w:rFonts w:hint="eastAsia" w:ascii="宋体" w:hAnsi="宋体" w:eastAsia="宋体" w:cs="宋体"/>
          <w:color w:val="auto"/>
          <w:kern w:val="0"/>
          <w:sz w:val="24"/>
          <w:szCs w:val="24"/>
        </w:rPr>
        <w:t>3.4.2根据评审结果，评委会按照综合得分由高到低的顺序推荐</w:t>
      </w:r>
      <w:r>
        <w:rPr>
          <w:rFonts w:hint="eastAsia" w:ascii="宋体" w:hAnsi="宋体" w:cs="宋体"/>
          <w:color w:val="auto"/>
          <w:kern w:val="0"/>
          <w:sz w:val="24"/>
          <w:szCs w:val="24"/>
        </w:rPr>
        <w:t>前3</w:t>
      </w:r>
      <w:r>
        <w:rPr>
          <w:rFonts w:hint="eastAsia" w:ascii="宋体" w:hAnsi="宋体" w:eastAsia="宋体" w:cs="宋体"/>
          <w:color w:val="auto"/>
          <w:kern w:val="0"/>
          <w:sz w:val="24"/>
          <w:szCs w:val="24"/>
        </w:rPr>
        <w:t>名中标候选人，由</w:t>
      </w:r>
      <w:r>
        <w:rPr>
          <w:rFonts w:hint="eastAsia" w:ascii="宋体" w:hAnsi="宋体" w:cs="宋体"/>
          <w:color w:val="auto"/>
          <w:kern w:val="0"/>
          <w:sz w:val="24"/>
          <w:szCs w:val="24"/>
        </w:rPr>
        <w:t>采购人</w:t>
      </w:r>
      <w:r>
        <w:rPr>
          <w:rFonts w:hint="eastAsia" w:ascii="宋体" w:hAnsi="宋体" w:eastAsia="宋体" w:cs="宋体"/>
          <w:color w:val="auto"/>
          <w:kern w:val="0"/>
          <w:sz w:val="24"/>
          <w:szCs w:val="24"/>
        </w:rPr>
        <w:t>确定中标人。已经确定</w:t>
      </w:r>
      <w:r>
        <w:rPr>
          <w:rFonts w:hint="eastAsia" w:ascii="宋体" w:hAnsi="宋体" w:cs="宋体"/>
          <w:color w:val="auto"/>
          <w:kern w:val="0"/>
          <w:sz w:val="24"/>
          <w:szCs w:val="24"/>
        </w:rPr>
        <w:t>中标</w:t>
      </w:r>
      <w:r>
        <w:rPr>
          <w:rFonts w:hint="eastAsia" w:ascii="宋体" w:hAnsi="宋体" w:eastAsia="宋体" w:cs="宋体"/>
          <w:color w:val="auto"/>
          <w:kern w:val="0"/>
          <w:sz w:val="24"/>
          <w:szCs w:val="24"/>
        </w:rPr>
        <w:t>的中标候选人放弃中标、因不可抗力提出不能履行合同、响应文件提供虚假信息，不配合</w:t>
      </w:r>
      <w:r>
        <w:rPr>
          <w:rFonts w:hint="eastAsia" w:ascii="宋体" w:hAnsi="宋体" w:cs="宋体"/>
          <w:color w:val="auto"/>
          <w:kern w:val="0"/>
          <w:sz w:val="24"/>
          <w:szCs w:val="24"/>
        </w:rPr>
        <w:t>采购人</w:t>
      </w:r>
      <w:r>
        <w:rPr>
          <w:rFonts w:hint="eastAsia" w:ascii="宋体" w:hAnsi="宋体" w:eastAsia="宋体" w:cs="宋体"/>
          <w:color w:val="auto"/>
          <w:kern w:val="0"/>
          <w:sz w:val="24"/>
          <w:szCs w:val="24"/>
        </w:rPr>
        <w:t>最终审查，或者被查实存在影响中标结果的违法行为等情形，不符合中标条件的，</w:t>
      </w:r>
      <w:r>
        <w:rPr>
          <w:rFonts w:hint="eastAsia" w:ascii="宋体" w:hAnsi="宋体" w:cs="宋体"/>
          <w:color w:val="auto"/>
          <w:kern w:val="0"/>
          <w:sz w:val="24"/>
          <w:szCs w:val="24"/>
        </w:rPr>
        <w:t>采购人</w:t>
      </w:r>
      <w:r>
        <w:rPr>
          <w:rFonts w:hint="eastAsia" w:ascii="宋体" w:hAnsi="宋体" w:eastAsia="宋体" w:cs="宋体"/>
          <w:color w:val="auto"/>
          <w:kern w:val="0"/>
          <w:sz w:val="24"/>
          <w:szCs w:val="24"/>
        </w:rPr>
        <w:t>可以按照</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提出的中标候选人名单排序依次确定其他中标候选人为中标人，也可以重新招标。</w:t>
      </w:r>
    </w:p>
    <w:p w14:paraId="453E4476">
      <w:pPr>
        <w:autoSpaceDE w:val="0"/>
        <w:autoSpaceDN w:val="0"/>
        <w:adjustRightInd w:val="0"/>
        <w:spacing w:line="400" w:lineRule="exact"/>
        <w:rPr>
          <w:rFonts w:ascii="宋体" w:hAnsi="宋体" w:cs="宋体"/>
          <w:color w:val="auto"/>
          <w:szCs w:val="18"/>
          <w:lang w:val="zh-CN"/>
        </w:rPr>
      </w:pPr>
      <w:r>
        <w:rPr>
          <w:rFonts w:hint="eastAsia" w:ascii="宋体" w:hAnsi="宋体" w:eastAsia="宋体" w:cs="宋体"/>
          <w:color w:val="auto"/>
          <w:kern w:val="0"/>
          <w:sz w:val="24"/>
          <w:szCs w:val="24"/>
        </w:rPr>
        <w:t>3.4.3</w:t>
      </w:r>
      <w:r>
        <w:rPr>
          <w:rFonts w:hint="eastAsia" w:ascii="宋体" w:hAnsi="宋体" w:eastAsia="宋体" w:cs="宋体"/>
          <w:color w:val="auto"/>
          <w:kern w:val="0"/>
          <w:sz w:val="24"/>
          <w:szCs w:val="24"/>
          <w:lang w:eastAsia="zh-CN"/>
        </w:rPr>
        <w:t>磋商小组</w:t>
      </w:r>
      <w:r>
        <w:rPr>
          <w:rFonts w:hint="eastAsia" w:ascii="宋体" w:hAnsi="宋体" w:eastAsia="宋体" w:cs="宋体"/>
          <w:color w:val="auto"/>
          <w:kern w:val="0"/>
          <w:sz w:val="24"/>
          <w:szCs w:val="24"/>
        </w:rPr>
        <w:t>完成评标后，应当向</w:t>
      </w:r>
      <w:r>
        <w:rPr>
          <w:rFonts w:hint="eastAsia" w:ascii="宋体" w:hAnsi="宋体" w:cs="宋体"/>
          <w:color w:val="auto"/>
          <w:kern w:val="0"/>
          <w:sz w:val="24"/>
          <w:szCs w:val="24"/>
        </w:rPr>
        <w:t>采购人</w:t>
      </w:r>
      <w:r>
        <w:rPr>
          <w:rFonts w:hint="eastAsia" w:ascii="宋体" w:hAnsi="宋体" w:eastAsia="宋体" w:cs="宋体"/>
          <w:color w:val="auto"/>
          <w:kern w:val="0"/>
          <w:sz w:val="24"/>
          <w:szCs w:val="24"/>
        </w:rPr>
        <w:t>提交书面评标报告。</w:t>
      </w:r>
    </w:p>
    <w:p w14:paraId="7115E740">
      <w:pPr>
        <w:autoSpaceDE w:val="0"/>
        <w:autoSpaceDN w:val="0"/>
        <w:adjustRightInd w:val="0"/>
        <w:spacing w:line="400" w:lineRule="exact"/>
        <w:rPr>
          <w:rFonts w:ascii="宋体" w:hAnsi="宋体" w:cs="宋体"/>
          <w:color w:val="auto"/>
          <w:szCs w:val="18"/>
          <w:lang w:val="zh-CN"/>
        </w:rPr>
      </w:pPr>
    </w:p>
    <w:p w14:paraId="6D40CAA5">
      <w:pPr>
        <w:autoSpaceDE w:val="0"/>
        <w:autoSpaceDN w:val="0"/>
        <w:adjustRightInd w:val="0"/>
        <w:spacing w:line="400" w:lineRule="exact"/>
        <w:rPr>
          <w:rFonts w:ascii="宋体" w:hAnsi="宋体" w:cs="宋体"/>
          <w:color w:val="auto"/>
          <w:szCs w:val="18"/>
          <w:lang w:val="zh-CN"/>
        </w:rPr>
      </w:pPr>
    </w:p>
    <w:p w14:paraId="24B2DCA4">
      <w:pPr>
        <w:autoSpaceDE w:val="0"/>
        <w:autoSpaceDN w:val="0"/>
        <w:adjustRightInd w:val="0"/>
        <w:spacing w:line="380" w:lineRule="exact"/>
        <w:ind w:firstLine="420"/>
        <w:rPr>
          <w:rFonts w:ascii="宋体" w:hAnsi="宋体" w:cs="宋体"/>
          <w:color w:val="auto"/>
          <w:szCs w:val="21"/>
        </w:rPr>
      </w:pPr>
      <w:r>
        <w:rPr>
          <w:rFonts w:ascii="宋体" w:hAnsi="宋体" w:cs="宋体"/>
          <w:color w:val="auto"/>
          <w:szCs w:val="21"/>
          <w:lang w:val="zh-CN"/>
        </w:rPr>
        <w:br w:type="page"/>
      </w:r>
    </w:p>
    <w:p w14:paraId="2A89BFBE">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57DF6062">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18D6E9FF">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65F2B44A">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41F7A5E6">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1923F79E">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4982EDFD">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364FCF67">
      <w:pPr>
        <w:autoSpaceDE w:val="0"/>
        <w:autoSpaceDN w:val="0"/>
        <w:adjustRightInd w:val="0"/>
        <w:snapToGrid w:val="0"/>
        <w:spacing w:line="240" w:lineRule="auto"/>
        <w:ind w:firstLine="880" w:firstLineChars="200"/>
        <w:rPr>
          <w:rFonts w:ascii="宋体" w:hAnsi="宋体" w:cs="宋体"/>
          <w:color w:val="auto"/>
          <w:kern w:val="0"/>
          <w:sz w:val="44"/>
          <w:szCs w:val="44"/>
        </w:rPr>
      </w:pPr>
    </w:p>
    <w:p w14:paraId="27C48014">
      <w:pPr>
        <w:pStyle w:val="2"/>
        <w:spacing w:line="360" w:lineRule="auto"/>
        <w:jc w:val="center"/>
        <w:rPr>
          <w:rFonts w:ascii="楷体_GB2312" w:hAnsi="宋体" w:eastAsia="楷体_GB2312" w:cs="宋体"/>
          <w:snapToGrid w:val="0"/>
          <w:color w:val="auto"/>
          <w:sz w:val="52"/>
          <w:szCs w:val="52"/>
        </w:rPr>
      </w:pPr>
      <w:r>
        <w:rPr>
          <w:rFonts w:hint="eastAsia" w:ascii="楷体_GB2312" w:hAnsi="宋体" w:eastAsia="楷体_GB2312" w:cs="宋体"/>
          <w:snapToGrid w:val="0"/>
          <w:color w:val="auto"/>
          <w:sz w:val="52"/>
          <w:szCs w:val="52"/>
        </w:rPr>
        <w:t>第四章  合同条款</w:t>
      </w:r>
    </w:p>
    <w:p w14:paraId="4A1756BE">
      <w:pPr>
        <w:pStyle w:val="43"/>
        <w:jc w:val="center"/>
        <w:rPr>
          <w:rFonts w:hint="eastAsia" w:ascii="宋体" w:hAnsi="宋体" w:eastAsia="宋体" w:cs="宋体"/>
          <w:b/>
          <w:bCs/>
          <w:color w:val="auto"/>
          <w:sz w:val="28"/>
          <w:szCs w:val="28"/>
          <w:highlight w:val="none"/>
          <w:lang w:eastAsia="zh-CN"/>
        </w:rPr>
      </w:pPr>
    </w:p>
    <w:p w14:paraId="248C3FDA">
      <w:pP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br w:type="page"/>
      </w:r>
    </w:p>
    <w:p w14:paraId="5AE374F5">
      <w:pPr>
        <w:spacing w:line="400" w:lineRule="exact"/>
        <w:jc w:val="center"/>
        <w:rPr>
          <w:rFonts w:ascii="宋体" w:hAnsi="宋体" w:cs="宋体"/>
          <w:b/>
          <w:color w:val="auto"/>
          <w:sz w:val="24"/>
        </w:rPr>
      </w:pPr>
      <w:r>
        <w:rPr>
          <w:rFonts w:hint="eastAsia" w:ascii="宋体" w:hAnsi="宋体" w:cs="宋体"/>
          <w:b/>
          <w:color w:val="auto"/>
          <w:sz w:val="24"/>
        </w:rPr>
        <w:t>（仅供参考，以甲乙双方实际合同为准）</w:t>
      </w:r>
    </w:p>
    <w:p w14:paraId="5612059C">
      <w:pPr>
        <w:pStyle w:val="17"/>
        <w:rPr>
          <w:color w:val="auto"/>
        </w:rPr>
      </w:pPr>
    </w:p>
    <w:p w14:paraId="79C0B8BA">
      <w:pPr>
        <w:pStyle w:val="17"/>
        <w:rPr>
          <w:color w:val="auto"/>
        </w:rPr>
      </w:pPr>
    </w:p>
    <w:p w14:paraId="19FA6057">
      <w:pPr>
        <w:pStyle w:val="17"/>
        <w:rPr>
          <w:color w:val="auto"/>
        </w:rPr>
      </w:pPr>
    </w:p>
    <w:p w14:paraId="1A077463">
      <w:pPr>
        <w:pStyle w:val="17"/>
        <w:rPr>
          <w:color w:val="auto"/>
        </w:rPr>
      </w:pPr>
    </w:p>
    <w:p w14:paraId="00856700">
      <w:pPr>
        <w:pStyle w:val="17"/>
        <w:rPr>
          <w:color w:val="auto"/>
        </w:rPr>
      </w:pPr>
    </w:p>
    <w:p w14:paraId="7625E763">
      <w:pPr>
        <w:pStyle w:val="17"/>
        <w:jc w:val="center"/>
        <w:rPr>
          <w:color w:val="auto"/>
          <w:sz w:val="52"/>
          <w:szCs w:val="60"/>
        </w:rPr>
      </w:pPr>
      <w:r>
        <w:rPr>
          <w:rFonts w:hint="eastAsia"/>
          <w:color w:val="auto"/>
          <w:sz w:val="52"/>
          <w:szCs w:val="60"/>
        </w:rPr>
        <w:t>政府采购货物买卖合同</w:t>
      </w:r>
    </w:p>
    <w:p w14:paraId="6991F59F">
      <w:pPr>
        <w:pStyle w:val="17"/>
        <w:jc w:val="center"/>
        <w:rPr>
          <w:color w:val="auto"/>
        </w:rPr>
      </w:pPr>
      <w:r>
        <w:rPr>
          <w:rFonts w:hint="eastAsia"/>
          <w:color w:val="auto"/>
          <w:sz w:val="52"/>
          <w:szCs w:val="60"/>
        </w:rPr>
        <w:t>（试行）</w:t>
      </w:r>
    </w:p>
    <w:p w14:paraId="118EB34D">
      <w:pPr>
        <w:rPr>
          <w:rFonts w:ascii="宋体" w:hAnsi="宋体" w:cs="宋体"/>
          <w:b/>
          <w:bCs/>
          <w:color w:val="auto"/>
          <w:spacing w:val="-20"/>
          <w:kern w:val="44"/>
          <w:sz w:val="40"/>
          <w:szCs w:val="40"/>
        </w:rPr>
      </w:pPr>
    </w:p>
    <w:p w14:paraId="7D031649">
      <w:pPr>
        <w:rPr>
          <w:rFonts w:ascii="宋体" w:hAnsi="宋体" w:cs="宋体"/>
          <w:b/>
          <w:bCs/>
          <w:color w:val="auto"/>
          <w:spacing w:val="-20"/>
          <w:kern w:val="44"/>
          <w:sz w:val="40"/>
          <w:szCs w:val="40"/>
        </w:rPr>
      </w:pPr>
    </w:p>
    <w:p w14:paraId="53508ADE">
      <w:pPr>
        <w:rPr>
          <w:rFonts w:ascii="宋体" w:hAnsi="宋体" w:cs="宋体"/>
          <w:b/>
          <w:bCs/>
          <w:color w:val="auto"/>
          <w:spacing w:val="-20"/>
          <w:kern w:val="44"/>
          <w:sz w:val="40"/>
          <w:szCs w:val="40"/>
        </w:rPr>
      </w:pPr>
    </w:p>
    <w:p w14:paraId="6AA1E418">
      <w:pPr>
        <w:spacing w:line="360" w:lineRule="auto"/>
        <w:ind w:left="420" w:leftChars="200"/>
        <w:rPr>
          <w:color w:val="auto"/>
          <w:sz w:val="32"/>
          <w:szCs w:val="32"/>
        </w:rPr>
      </w:pPr>
      <w:r>
        <w:rPr>
          <w:rFonts w:hint="eastAsia" w:ascii="宋体" w:hAnsi="宋体" w:cs="宋体"/>
          <w:color w:val="auto"/>
          <w:kern w:val="0"/>
          <w:sz w:val="32"/>
          <w:szCs w:val="32"/>
        </w:rPr>
        <w:t>项目名称：</w:t>
      </w:r>
      <w:r>
        <w:rPr>
          <w:rFonts w:hint="eastAsia"/>
          <w:color w:val="auto"/>
          <w:sz w:val="32"/>
          <w:szCs w:val="32"/>
          <w:u w:val="single"/>
        </w:rPr>
        <w:t xml:space="preserve">                             </w:t>
      </w:r>
    </w:p>
    <w:p w14:paraId="7ACBD290">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24B386F2">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29094466">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68E7FDD4">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2379EF77">
      <w:pPr>
        <w:rPr>
          <w:color w:val="auto"/>
        </w:rPr>
      </w:pPr>
    </w:p>
    <w:p w14:paraId="2E178FC2">
      <w:pPr>
        <w:rPr>
          <w:rFonts w:eastAsia="黑体"/>
          <w:color w:val="auto"/>
          <w:sz w:val="44"/>
          <w:szCs w:val="44"/>
        </w:rPr>
      </w:pPr>
      <w:r>
        <w:rPr>
          <w:rFonts w:eastAsia="黑体"/>
          <w:color w:val="auto"/>
          <w:sz w:val="44"/>
          <w:szCs w:val="44"/>
        </w:rPr>
        <w:br w:type="page"/>
      </w:r>
    </w:p>
    <w:p w14:paraId="68262B18">
      <w:pPr>
        <w:rPr>
          <w:rFonts w:eastAsia="黑体"/>
          <w:color w:val="auto"/>
          <w:sz w:val="44"/>
          <w:szCs w:val="44"/>
        </w:rPr>
      </w:pPr>
    </w:p>
    <w:p w14:paraId="4F3E476E">
      <w:pPr>
        <w:rPr>
          <w:rFonts w:eastAsia="黑体"/>
          <w:color w:val="auto"/>
          <w:sz w:val="44"/>
          <w:szCs w:val="44"/>
        </w:rPr>
      </w:pPr>
    </w:p>
    <w:p w14:paraId="36486030">
      <w:pPr>
        <w:jc w:val="center"/>
        <w:rPr>
          <w:rFonts w:eastAsia="黑体"/>
          <w:color w:val="auto"/>
          <w:sz w:val="44"/>
          <w:szCs w:val="44"/>
        </w:rPr>
      </w:pPr>
      <w:r>
        <w:rPr>
          <w:rFonts w:hint="eastAsia" w:eastAsia="黑体"/>
          <w:color w:val="auto"/>
          <w:sz w:val="44"/>
          <w:szCs w:val="44"/>
        </w:rPr>
        <w:t>使 用 说 明</w:t>
      </w:r>
    </w:p>
    <w:p w14:paraId="7C215075">
      <w:pPr>
        <w:ind w:firstLine="640" w:firstLineChars="200"/>
        <w:rPr>
          <w:rFonts w:ascii="仿宋_GB2312" w:hAnsi="仿宋_GB2312" w:eastAsia="仿宋_GB2312" w:cs="仿宋_GB2312"/>
          <w:color w:val="auto"/>
          <w:sz w:val="32"/>
          <w:szCs w:val="32"/>
        </w:rPr>
      </w:pPr>
    </w:p>
    <w:p w14:paraId="2A11294B">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1.本合同标准文本适用于购买现成货物的采购项目，不包括需要供应商定制开发、创新研发的货物采购项目。</w:t>
      </w:r>
    </w:p>
    <w:p w14:paraId="5A14F228">
      <w:pPr>
        <w:rPr>
          <w:rFonts w:eastAsia="黑体"/>
          <w:color w:val="auto"/>
          <w:sz w:val="44"/>
          <w:szCs w:val="44"/>
        </w:rPr>
      </w:pPr>
      <w:r>
        <w:rPr>
          <w:rFonts w:hint="eastAsia" w:eastAsia="黑体"/>
          <w:color w:val="auto"/>
          <w:sz w:val="44"/>
          <w:szCs w:val="44"/>
        </w:rPr>
        <w:t xml:space="preserve">   </w:t>
      </w:r>
      <w:r>
        <w:rPr>
          <w:rFonts w:hint="eastAsia" w:ascii="仿宋_GB2312" w:hAnsi="仿宋_GB2312" w:eastAsia="仿宋_GB2312" w:cs="仿宋_GB2312"/>
          <w:color w:val="auto"/>
          <w:sz w:val="32"/>
          <w:szCs w:val="32"/>
        </w:rPr>
        <w:t>2.本合同标准文本为政府采购货物买卖合同编制提供参考，可以结合采购项目具体情况，对文本作必要的调整修订后使用。</w:t>
      </w:r>
    </w:p>
    <w:p w14:paraId="46572AE9">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3.本合同标准文本各条款中，如涉及填写多家供应商、制造商，多种采购标的、分包主要内容等信息的，可根据采购项目具体情况添加信息项。</w:t>
      </w:r>
    </w:p>
    <w:p w14:paraId="7BFFC218">
      <w:pPr>
        <w:rPr>
          <w:rFonts w:ascii="黑体" w:hAnsi="黑体" w:eastAsia="黑体"/>
          <w:color w:val="auto"/>
          <w:sz w:val="28"/>
          <w:szCs w:val="28"/>
        </w:rPr>
      </w:pPr>
      <w:r>
        <w:rPr>
          <w:rFonts w:hint="eastAsia" w:ascii="黑体" w:hAnsi="黑体" w:eastAsia="黑体"/>
          <w:color w:val="auto"/>
          <w:sz w:val="28"/>
          <w:szCs w:val="28"/>
        </w:rPr>
        <w:br w:type="page"/>
      </w:r>
    </w:p>
    <w:p w14:paraId="625A4A5E">
      <w:pPr>
        <w:rPr>
          <w:color w:val="auto"/>
        </w:rPr>
      </w:pPr>
    </w:p>
    <w:p w14:paraId="3AFF38B6">
      <w:pPr>
        <w:pStyle w:val="3"/>
        <w:adjustRightInd w:val="0"/>
        <w:snapToGrid w:val="0"/>
        <w:spacing w:line="400" w:lineRule="exact"/>
        <w:jc w:val="center"/>
        <w:rPr>
          <w:rFonts w:ascii="黑体" w:hAnsi="华文中宋"/>
          <w:b w:val="0"/>
          <w:bCs w:val="0"/>
          <w:color w:val="auto"/>
          <w:sz w:val="28"/>
          <w:szCs w:val="28"/>
        </w:rPr>
      </w:pPr>
      <w:r>
        <w:rPr>
          <w:rFonts w:hint="eastAsia" w:ascii="黑体" w:hAnsi="黑体"/>
          <w:b w:val="0"/>
          <w:bCs w:val="0"/>
          <w:color w:val="auto"/>
          <w:sz w:val="28"/>
          <w:szCs w:val="28"/>
        </w:rPr>
        <w:t xml:space="preserve">第一节 </w:t>
      </w:r>
      <w:r>
        <w:rPr>
          <w:rFonts w:hint="eastAsia" w:ascii="黑体" w:hAnsi="华文中宋"/>
          <w:b w:val="0"/>
          <w:bCs w:val="0"/>
          <w:color w:val="auto"/>
          <w:sz w:val="28"/>
          <w:szCs w:val="28"/>
        </w:rPr>
        <w:t>政府采购合同协议书</w:t>
      </w:r>
    </w:p>
    <w:p w14:paraId="2E87ED35">
      <w:pPr>
        <w:pStyle w:val="3"/>
        <w:adjustRightInd w:val="0"/>
        <w:snapToGrid w:val="0"/>
        <w:spacing w:line="400" w:lineRule="exact"/>
        <w:jc w:val="center"/>
        <w:rPr>
          <w:rFonts w:ascii="黑体" w:hAnsi="华文中宋"/>
          <w:b w:val="0"/>
          <w:bCs w:val="0"/>
          <w:color w:val="auto"/>
          <w:sz w:val="28"/>
          <w:szCs w:val="28"/>
        </w:rPr>
      </w:pPr>
    </w:p>
    <w:p w14:paraId="18D83021">
      <w:pPr>
        <w:adjustRightInd w:val="0"/>
        <w:snapToGrid w:val="0"/>
        <w:spacing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（采购人、受采购人委托签订合同的单位或采购</w:t>
      </w:r>
      <w:r>
        <w:rPr>
          <w:rFonts w:hint="eastAsia" w:ascii="宋体" w:hAnsi="宋体"/>
          <w:color w:val="auto"/>
          <w:szCs w:val="21"/>
        </w:rPr>
        <w:tab/>
      </w:r>
      <w:r>
        <w:rPr>
          <w:rFonts w:hint="eastAsia" w:ascii="宋体" w:hAnsi="宋体"/>
          <w:color w:val="auto"/>
          <w:szCs w:val="21"/>
        </w:rPr>
        <w:t xml:space="preserve">                                   文件约定的合同甲方）</w:t>
      </w:r>
    </w:p>
    <w:p w14:paraId="1B3C13F7">
      <w:pPr>
        <w:adjustRightInd w:val="0"/>
        <w:snapToGrid w:val="0"/>
        <w:spacing w:line="400" w:lineRule="exact"/>
        <w:rPr>
          <w:rFonts w:ascii="宋体" w:hAnsi="宋体"/>
          <w:color w:val="auto"/>
          <w:szCs w:val="21"/>
        </w:rPr>
      </w:pPr>
      <w:r>
        <w:rPr>
          <w:rFonts w:hint="eastAsia" w:ascii="宋体" w:hAnsi="宋体"/>
          <w:color w:val="auto"/>
          <w:szCs w:val="21"/>
        </w:rPr>
        <w:t>乙方1（全称）：</w:t>
      </w:r>
      <w:r>
        <w:rPr>
          <w:rFonts w:hint="eastAsia" w:ascii="宋体" w:hAnsi="宋体"/>
          <w:color w:val="auto"/>
          <w:szCs w:val="21"/>
          <w:u w:val="single"/>
        </w:rPr>
        <w:t xml:space="preserve">                       </w:t>
      </w:r>
      <w:r>
        <w:rPr>
          <w:rFonts w:hint="eastAsia" w:ascii="宋体" w:hAnsi="宋体"/>
          <w:color w:val="auto"/>
          <w:szCs w:val="21"/>
        </w:rPr>
        <w:t>（供应商）</w:t>
      </w:r>
    </w:p>
    <w:p w14:paraId="412E0DBB">
      <w:pPr>
        <w:adjustRightInd w:val="0"/>
        <w:snapToGrid w:val="0"/>
        <w:spacing w:line="400" w:lineRule="exact"/>
        <w:rPr>
          <w:rFonts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09654E4E">
      <w:pPr>
        <w:adjustRightInd w:val="0"/>
        <w:snapToGrid w:val="0"/>
        <w:spacing w:line="400" w:lineRule="exact"/>
        <w:rPr>
          <w:rFonts w:ascii="宋体" w:hAnsi="宋体"/>
          <w:color w:val="auto"/>
          <w:szCs w:val="21"/>
        </w:rPr>
      </w:pPr>
      <w:r>
        <w:rPr>
          <w:rFonts w:hint="eastAsia"/>
          <w:color w:val="auto"/>
        </w:rPr>
        <w:t>乙方</w:t>
      </w:r>
      <w:r>
        <w:rPr>
          <w:rFonts w:hint="eastAsia" w:ascii="宋体" w:hAnsi="宋体"/>
          <w:color w:val="auto"/>
          <w:szCs w:val="21"/>
        </w:rPr>
        <w:t>3</w:t>
      </w:r>
      <w:r>
        <w:rPr>
          <w:rFonts w:hint="eastAsia"/>
          <w:color w:val="auto"/>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82A6501">
      <w:pPr>
        <w:spacing w:line="400" w:lineRule="exact"/>
        <w:rPr>
          <w:color w:val="auto"/>
        </w:rPr>
      </w:pPr>
    </w:p>
    <w:p w14:paraId="011EBB24">
      <w:pPr>
        <w:pStyle w:val="18"/>
        <w:snapToGrid w:val="0"/>
        <w:spacing w:line="400" w:lineRule="exact"/>
        <w:ind w:left="0" w:firstLine="420" w:firstLineChars="200"/>
        <w:rPr>
          <w:rFonts w:ascii="宋体" w:hAnsi="宋体"/>
          <w:color w:val="auto"/>
          <w:szCs w:val="21"/>
        </w:rPr>
      </w:pPr>
      <w:r>
        <w:rPr>
          <w:rFonts w:hint="eastAsia" w:ascii="宋体" w:hAnsi="宋体"/>
          <w:color w:val="auto"/>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1345C9D">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项目信息</w:t>
      </w:r>
    </w:p>
    <w:p w14:paraId="74718483">
      <w:pPr>
        <w:pStyle w:val="18"/>
        <w:numPr>
          <w:ilvl w:val="0"/>
          <w:numId w:val="10"/>
        </w:numPr>
        <w:snapToGrid w:val="0"/>
        <w:spacing w:line="400" w:lineRule="exact"/>
        <w:ind w:left="0" w:firstLine="420" w:firstLineChars="200"/>
        <w:rPr>
          <w:rFonts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w:t>
      </w:r>
    </w:p>
    <w:p w14:paraId="4848FCCD">
      <w:pPr>
        <w:pStyle w:val="18"/>
        <w:numPr>
          <w:ilvl w:val="255"/>
          <w:numId w:val="0"/>
        </w:numPr>
        <w:tabs>
          <w:tab w:val="left" w:pos="999"/>
        </w:tabs>
        <w:snapToGrid w:val="0"/>
        <w:spacing w:line="400" w:lineRule="exact"/>
        <w:rPr>
          <w:rFonts w:ascii="宋体" w:hAnsi="宋体" w:eastAsia="宋体"/>
          <w:color w:val="auto"/>
          <w:szCs w:val="21"/>
        </w:rPr>
      </w:pPr>
      <w:r>
        <w:rPr>
          <w:rFonts w:hint="eastAsia" w:ascii="宋体" w:hAnsi="宋体"/>
          <w:color w:val="auto"/>
          <w:szCs w:val="21"/>
        </w:rPr>
        <w:t xml:space="preserve">         采购项目编号：</w:t>
      </w:r>
      <w:r>
        <w:rPr>
          <w:rFonts w:ascii="宋体" w:hAnsi="宋体"/>
          <w:color w:val="auto"/>
          <w:szCs w:val="21"/>
          <w:u w:val="single"/>
        </w:rPr>
        <w:t xml:space="preserve">                                          </w:t>
      </w:r>
    </w:p>
    <w:p w14:paraId="147F9061">
      <w:pPr>
        <w:pStyle w:val="18"/>
        <w:snapToGrid w:val="0"/>
        <w:spacing w:line="400" w:lineRule="exact"/>
        <w:ind w:left="0" w:firstLine="42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14:paraId="7D3EA866">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（3）项目内容：</w:t>
      </w:r>
    </w:p>
    <w:p w14:paraId="3BA5970F">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 xml:space="preserve">     采购标的及数量（台/套</w:t>
      </w:r>
      <w:r>
        <w:rPr>
          <w:rFonts w:ascii="宋体" w:hAnsi="宋体"/>
          <w:color w:val="auto"/>
          <w:szCs w:val="21"/>
          <w:lang w:val="en"/>
        </w:rPr>
        <w:t>/</w:t>
      </w:r>
      <w:r>
        <w:rPr>
          <w:rFonts w:hint="eastAsia" w:ascii="宋体" w:hAnsi="宋体"/>
          <w:color w:val="auto"/>
          <w:szCs w:val="21"/>
          <w:lang w:val="en"/>
        </w:rPr>
        <w:t>个</w:t>
      </w:r>
      <w:r>
        <w:rPr>
          <w:rFonts w:ascii="宋体" w:hAnsi="宋体"/>
          <w:color w:val="auto"/>
          <w:szCs w:val="21"/>
          <w:lang w:val="en"/>
        </w:rPr>
        <w:t>/</w:t>
      </w:r>
      <w:r>
        <w:rPr>
          <w:rFonts w:hint="eastAsia" w:ascii="宋体" w:hAnsi="宋体"/>
          <w:color w:val="auto"/>
          <w:szCs w:val="21"/>
          <w:lang w:val="en"/>
        </w:rPr>
        <w:t>架</w:t>
      </w:r>
      <w:r>
        <w:rPr>
          <w:rFonts w:ascii="宋体" w:hAnsi="宋体"/>
          <w:color w:val="auto"/>
          <w:szCs w:val="21"/>
          <w:lang w:val="en"/>
        </w:rPr>
        <w:t>/</w:t>
      </w:r>
      <w:r>
        <w:rPr>
          <w:rFonts w:hint="eastAsia" w:ascii="宋体" w:hAnsi="宋体"/>
          <w:color w:val="auto"/>
          <w:szCs w:val="21"/>
          <w:lang w:val="en"/>
        </w:rPr>
        <w:t>组等</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 xml:space="preserve"> </w:t>
      </w:r>
    </w:p>
    <w:p w14:paraId="421A10A6">
      <w:pPr>
        <w:numPr>
          <w:ilvl w:val="255"/>
          <w:numId w:val="0"/>
        </w:numPr>
        <w:adjustRightInd w:val="0"/>
        <w:snapToGrid w:val="0"/>
        <w:spacing w:line="400" w:lineRule="exact"/>
        <w:ind w:firstLine="420" w:firstLineChars="200"/>
        <w:rPr>
          <w:rFonts w:ascii="宋体" w:hAnsi="宋体" w:cs="宋体"/>
          <w:color w:val="auto"/>
          <w:szCs w:val="21"/>
          <w:lang w:val="en"/>
        </w:rPr>
      </w:pPr>
      <w:r>
        <w:rPr>
          <w:rFonts w:hint="eastAsia" w:ascii="宋体" w:hAnsi="宋体"/>
          <w:color w:val="auto"/>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lang w:val="en"/>
        </w:rPr>
        <w:t xml:space="preserve">     </w:t>
      </w:r>
      <w:r>
        <w:rPr>
          <w:rFonts w:hint="eastAsia" w:ascii="宋体" w:hAnsi="宋体" w:cs="宋体"/>
          <w:color w:val="auto"/>
          <w:szCs w:val="21"/>
        </w:rPr>
        <w:t>规格型号：</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p>
    <w:p w14:paraId="63D965E8">
      <w:pPr>
        <w:adjustRightInd w:val="0"/>
        <w:snapToGrid w:val="0"/>
        <w:spacing w:line="400" w:lineRule="exact"/>
        <w:ind w:firstLine="945" w:firstLineChars="450"/>
        <w:rPr>
          <w:rFonts w:ascii="宋体" w:hAnsi="宋体"/>
          <w:color w:val="auto"/>
          <w:szCs w:val="21"/>
          <w:u w:val="single"/>
        </w:rPr>
      </w:pPr>
      <w:r>
        <w:rPr>
          <w:rFonts w:hint="eastAsia" w:ascii="宋体" w:hAnsi="宋体"/>
          <w:color w:val="auto"/>
          <w:szCs w:val="21"/>
        </w:rPr>
        <w:t>采购标的的技术要求、商务要求具体见附件。</w:t>
      </w:r>
    </w:p>
    <w:p w14:paraId="5D9CFFFF">
      <w:pPr>
        <w:numPr>
          <w:ilvl w:val="255"/>
          <w:numId w:val="0"/>
        </w:numPr>
        <w:adjustRightInd w:val="0"/>
        <w:snapToGrid w:val="0"/>
        <w:spacing w:line="400" w:lineRule="exact"/>
        <w:ind w:firstLine="945" w:firstLineChars="450"/>
        <w:rPr>
          <w:rFonts w:ascii="宋体" w:hAnsi="宋体" w:cs="宋体"/>
          <w:color w:val="auto"/>
          <w:szCs w:val="21"/>
        </w:rPr>
      </w:pPr>
      <w:r>
        <w:rPr>
          <w:rFonts w:hint="eastAsia" w:ascii="汉仪书宋二S" w:hAnsi="汉仪书宋二S" w:eastAsia="汉仪书宋二S" w:cs="汉仪书宋二S"/>
          <w:color w:val="auto"/>
          <w:szCs w:val="21"/>
        </w:rPr>
        <w:t>①</w:t>
      </w:r>
      <w:r>
        <w:rPr>
          <w:rFonts w:hint="eastAsia" w:ascii="宋体" w:hAnsi="宋体" w:cs="宋体"/>
          <w:color w:val="auto"/>
          <w:szCs w:val="21"/>
        </w:rPr>
        <w:t>涉及信息类产品，请填写该产品关键部件的品牌、型号：</w:t>
      </w:r>
    </w:p>
    <w:p w14:paraId="617A6C82">
      <w:pPr>
        <w:numPr>
          <w:ilvl w:val="255"/>
          <w:numId w:val="0"/>
        </w:numPr>
        <w:adjustRightInd w:val="0"/>
        <w:snapToGrid w:val="0"/>
        <w:spacing w:line="400" w:lineRule="exact"/>
        <w:ind w:firstLine="420" w:firstLineChars="200"/>
        <w:rPr>
          <w:rFonts w:ascii="宋体" w:hAnsi="宋体" w:cs="宋体"/>
          <w:color w:val="auto"/>
          <w:kern w:val="0"/>
          <w:szCs w:val="21"/>
          <w:u w:val="single"/>
        </w:rPr>
      </w:pPr>
      <w:r>
        <w:rPr>
          <w:rFonts w:hint="eastAsia" w:ascii="宋体" w:hAnsi="宋体" w:cs="宋体"/>
          <w:color w:val="auto"/>
          <w:szCs w:val="21"/>
        </w:rPr>
        <w:t xml:space="preserve">     标的名称：</w:t>
      </w:r>
      <w:r>
        <w:rPr>
          <w:rFonts w:hint="eastAsia" w:ascii="宋体" w:hAnsi="宋体" w:cs="宋体"/>
          <w:color w:val="auto"/>
          <w:kern w:val="0"/>
          <w:szCs w:val="21"/>
          <w:u w:val="single"/>
        </w:rPr>
        <w:t xml:space="preserve">      </w:t>
      </w:r>
      <w:r>
        <w:rPr>
          <w:rFonts w:ascii="宋体" w:hAnsi="宋体" w:cs="宋体"/>
          <w:color w:val="auto"/>
          <w:kern w:val="0"/>
          <w:szCs w:val="21"/>
          <w:u w:val="single"/>
          <w:lang w:val="en"/>
        </w:rPr>
        <w:t xml:space="preserve">               </w:t>
      </w:r>
      <w:r>
        <w:rPr>
          <w:rFonts w:hint="eastAsia" w:ascii="宋体" w:hAnsi="宋体" w:cs="宋体"/>
          <w:color w:val="auto"/>
          <w:kern w:val="0"/>
          <w:szCs w:val="21"/>
          <w:u w:val="single"/>
        </w:rPr>
        <w:t xml:space="preserve">    </w:t>
      </w:r>
    </w:p>
    <w:p w14:paraId="67359A09">
      <w:pPr>
        <w:numPr>
          <w:ilvl w:val="255"/>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034B6622">
      <w:pPr>
        <w:pStyle w:val="219"/>
        <w:ind w:firstLine="420"/>
        <w:rPr>
          <w:rFonts w:ascii="宋体" w:hAnsi="宋体" w:eastAsia="宋体" w:cs="宋体"/>
          <w:color w:val="auto"/>
          <w:sz w:val="21"/>
        </w:rPr>
      </w:pPr>
      <w:r>
        <w:rPr>
          <w:rFonts w:hint="eastAsia" w:ascii="宋体" w:hAnsi="宋体" w:eastAsia="宋体" w:cs="宋体"/>
          <w:color w:val="auto"/>
          <w:sz w:val="21"/>
        </w:rPr>
        <w:t xml:space="preserve">     </w:t>
      </w:r>
      <w:r>
        <w:rPr>
          <w:rFonts w:hint="eastAsia" w:ascii="宋体" w:hAnsi="宋体" w:eastAsia="宋体" w:cs="宋体"/>
          <w:color w:val="auto"/>
          <w:kern w:val="2"/>
          <w:sz w:val="21"/>
        </w:rPr>
        <w:t>关键部件</w:t>
      </w:r>
      <w:r>
        <w:rPr>
          <w:rFonts w:hint="eastAsia" w:ascii="宋体" w:hAnsi="宋体" w:eastAsia="宋体" w:cs="宋体"/>
          <w:color w:val="auto"/>
          <w:sz w:val="21"/>
        </w:rPr>
        <w:t>：</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品牌：</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型号：</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w:t>
      </w:r>
    </w:p>
    <w:p w14:paraId="22DAD2BD">
      <w:pPr>
        <w:pStyle w:val="219"/>
        <w:ind w:firstLine="420"/>
        <w:rPr>
          <w:rFonts w:ascii="宋体" w:hAnsi="宋体" w:eastAsia="宋体" w:cs="宋体"/>
          <w:color w:val="auto"/>
          <w:sz w:val="21"/>
        </w:rPr>
      </w:pPr>
      <w:r>
        <w:rPr>
          <w:rFonts w:hint="eastAsia" w:ascii="宋体" w:hAnsi="宋体" w:eastAsia="宋体" w:cs="宋体"/>
          <w:color w:val="auto"/>
          <w:sz w:val="21"/>
        </w:rPr>
        <w:t xml:space="preserve">     关键部件：</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品牌：</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型号：</w:t>
      </w:r>
      <w:r>
        <w:rPr>
          <w:rFonts w:hint="eastAsia" w:ascii="宋体" w:hAnsi="宋体" w:eastAsia="宋体" w:cs="宋体"/>
          <w:color w:val="auto"/>
          <w:sz w:val="21"/>
          <w:u w:val="single"/>
        </w:rPr>
        <w:t xml:space="preserve">       </w:t>
      </w:r>
    </w:p>
    <w:p w14:paraId="7FF561B6">
      <w:pPr>
        <w:pStyle w:val="219"/>
        <w:numPr>
          <w:ilvl w:val="255"/>
          <w:numId w:val="0"/>
        </w:numPr>
        <w:snapToGrid w:val="0"/>
        <w:rPr>
          <w:rFonts w:ascii="宋体" w:hAnsi="宋体" w:eastAsia="宋体" w:cs="宋体"/>
          <w:color w:val="auto"/>
          <w:sz w:val="21"/>
        </w:rPr>
      </w:pPr>
      <w:r>
        <w:rPr>
          <w:rFonts w:hint="eastAsia" w:ascii="宋体" w:hAnsi="宋体" w:eastAsia="宋体" w:cs="宋体"/>
          <w:color w:val="auto"/>
          <w:sz w:val="21"/>
        </w:rPr>
        <w:t xml:space="preserve">   （注：关键部件是指财政部会同有关部门发布的政府采购需求标准规定的需要通过国家有关部门指定的测评机构开展的安全可靠测评的软硬件，如CPU芯片、操作系统、数据库等。）</w:t>
      </w:r>
    </w:p>
    <w:p w14:paraId="76C26632">
      <w:pPr>
        <w:pStyle w:val="219"/>
        <w:numPr>
          <w:ilvl w:val="255"/>
          <w:numId w:val="0"/>
        </w:numPr>
        <w:snapToGrid w:val="0"/>
        <w:rPr>
          <w:rFonts w:ascii="宋体" w:hAnsi="宋体" w:eastAsia="宋体" w:cs="宋体"/>
          <w:color w:val="auto"/>
          <w:sz w:val="21"/>
        </w:rPr>
      </w:pPr>
      <w:r>
        <w:rPr>
          <w:rFonts w:hint="eastAsia" w:ascii="宋体" w:hAnsi="宋体" w:eastAsia="宋体" w:cs="宋体"/>
          <w:color w:val="auto"/>
          <w:sz w:val="21"/>
        </w:rPr>
        <w:t xml:space="preserve">         </w:t>
      </w:r>
      <w:r>
        <w:rPr>
          <w:rFonts w:hint="eastAsia" w:ascii="汉仪书宋二S" w:hAnsi="汉仪书宋二S" w:eastAsia="汉仪书宋二S" w:cs="汉仪书宋二S"/>
          <w:color w:val="auto"/>
          <w:sz w:val="21"/>
        </w:rPr>
        <w:t>②</w:t>
      </w:r>
      <w:r>
        <w:rPr>
          <w:rFonts w:hint="eastAsia" w:ascii="宋体" w:hAnsi="宋体" w:eastAsia="宋体" w:cs="宋体"/>
          <w:color w:val="auto"/>
          <w:sz w:val="21"/>
        </w:rPr>
        <w:t>涉及车辆采购，请填写是否属于新能源汽车：</w:t>
      </w:r>
    </w:p>
    <w:p w14:paraId="6782AE20">
      <w:pPr>
        <w:pStyle w:val="219"/>
        <w:numPr>
          <w:ilvl w:val="255"/>
          <w:numId w:val="0"/>
        </w:numPr>
        <w:snapToGrid w:val="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 xml:space="preserve">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是，《政府采购品目分类目录》底级品目名称：</w:t>
      </w:r>
      <w:r>
        <w:rPr>
          <w:rFonts w:hint="eastAsia" w:ascii="宋体" w:hAnsi="宋体" w:eastAsia="宋体" w:cs="宋体"/>
          <w:color w:val="auto"/>
          <w:sz w:val="21"/>
          <w:u w:val="single"/>
        </w:rPr>
        <w:t xml:space="preserve">     </w:t>
      </w:r>
      <w:r>
        <w:rPr>
          <w:rFonts w:hint="eastAsia" w:asciiTheme="minorEastAsia" w:hAnsiTheme="minorEastAsia" w:eastAsiaTheme="minorEastAsia" w:cstheme="minorEastAsia"/>
          <w:color w:val="auto"/>
          <w:sz w:val="21"/>
        </w:rPr>
        <w:t xml:space="preserve"> 数量：</w:t>
      </w:r>
      <w:r>
        <w:rPr>
          <w:rFonts w:hint="eastAsia" w:asciiTheme="minorEastAsia" w:hAnsiTheme="minorEastAsia" w:eastAsiaTheme="minorEastAsia" w:cstheme="minorEastAsia"/>
          <w:color w:val="auto"/>
          <w:sz w:val="21"/>
          <w:u w:val="single"/>
        </w:rPr>
        <w:t xml:space="preserve"> </w:t>
      </w:r>
      <w:r>
        <w:rPr>
          <w:rFonts w:hint="eastAsia" w:ascii="宋体" w:hAnsi="宋体" w:eastAsia="宋体" w:cs="宋体"/>
          <w:color w:val="auto"/>
          <w:sz w:val="21"/>
          <w:u w:val="single"/>
        </w:rPr>
        <w:t xml:space="preserve">   </w:t>
      </w:r>
      <w:r>
        <w:rPr>
          <w:rFonts w:hint="eastAsia" w:asciiTheme="minorEastAsia" w:hAnsiTheme="minorEastAsia" w:eastAsiaTheme="minorEastAsia" w:cstheme="minorEastAsia"/>
          <w:color w:val="auto"/>
          <w:sz w:val="21"/>
        </w:rPr>
        <w:t xml:space="preserve"> 金额：</w:t>
      </w:r>
      <w:r>
        <w:rPr>
          <w:rFonts w:hint="eastAsia" w:ascii="宋体" w:hAnsi="宋体" w:eastAsia="宋体" w:cs="宋体"/>
          <w:color w:val="auto"/>
          <w:sz w:val="21"/>
          <w:u w:val="single"/>
        </w:rPr>
        <w:t xml:space="preserve">     </w:t>
      </w:r>
      <w:r>
        <w:rPr>
          <w:rFonts w:hint="eastAsia" w:asciiTheme="minorEastAsia" w:hAnsiTheme="minorEastAsia" w:eastAsiaTheme="minorEastAsia" w:cstheme="minorEastAsia"/>
          <w:color w:val="auto"/>
          <w:sz w:val="21"/>
        </w:rPr>
        <w:t xml:space="preserve"> </w:t>
      </w:r>
    </w:p>
    <w:p w14:paraId="663AD3FE">
      <w:pPr>
        <w:pStyle w:val="219"/>
        <w:numPr>
          <w:ilvl w:val="255"/>
          <w:numId w:val="0"/>
        </w:numPr>
        <w:snapToGrid w:val="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 xml:space="preserve">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否</w:t>
      </w:r>
    </w:p>
    <w:p w14:paraId="0C07C62F">
      <w:pPr>
        <w:pStyle w:val="219"/>
        <w:numPr>
          <w:ilvl w:val="255"/>
          <w:numId w:val="0"/>
        </w:numPr>
        <w:snapToGrid w:val="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 xml:space="preserve">    （</w:t>
      </w:r>
      <w:r>
        <w:rPr>
          <w:rFonts w:asciiTheme="minorEastAsia" w:hAnsiTheme="minorEastAsia" w:eastAsiaTheme="minorEastAsia" w:cstheme="minorEastAsia"/>
          <w:color w:val="auto"/>
          <w:sz w:val="21"/>
          <w:lang w:val="en"/>
        </w:rPr>
        <w:t>4</w:t>
      </w:r>
      <w:r>
        <w:rPr>
          <w:rFonts w:hint="eastAsia" w:asciiTheme="minorEastAsia" w:hAnsiTheme="minorEastAsia" w:eastAsiaTheme="minorEastAsia" w:cstheme="minorEastAsia"/>
          <w:color w:val="auto"/>
          <w:sz w:val="21"/>
        </w:rPr>
        <w:t>）政府采购组织形式：</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政府集中采购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部门集中采购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分散采购</w:t>
      </w:r>
    </w:p>
    <w:p w14:paraId="0A96CCA2">
      <w:pPr>
        <w:pStyle w:val="219"/>
        <w:numPr>
          <w:ilvl w:val="255"/>
          <w:numId w:val="0"/>
        </w:numPr>
        <w:snapToGrid w:val="0"/>
        <w:ind w:firstLine="420"/>
        <w:rPr>
          <w:rFonts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z w:val="21"/>
        </w:rPr>
        <w:t>（</w:t>
      </w:r>
      <w:r>
        <w:rPr>
          <w:rFonts w:asciiTheme="minorEastAsia" w:hAnsiTheme="minorEastAsia" w:eastAsiaTheme="minorEastAsia" w:cstheme="minorEastAsia"/>
          <w:color w:val="auto"/>
          <w:sz w:val="21"/>
          <w:lang w:val="en"/>
        </w:rPr>
        <w:t>5</w:t>
      </w:r>
      <w:r>
        <w:rPr>
          <w:rFonts w:hint="eastAsia" w:asciiTheme="minorEastAsia" w:hAnsiTheme="minorEastAsia" w:eastAsiaTheme="minorEastAsia" w:cstheme="minorEastAsia"/>
          <w:color w:val="auto"/>
          <w:sz w:val="21"/>
        </w:rPr>
        <w:t>）政府采购方式：</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公开招标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邀请招标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竞争性谈判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竞争性磋商</w:t>
      </w:r>
    </w:p>
    <w:p w14:paraId="15D45225">
      <w:pPr>
        <w:pStyle w:val="219"/>
        <w:numPr>
          <w:ilvl w:val="255"/>
          <w:numId w:val="0"/>
        </w:numPr>
        <w:snapToGrid w:val="0"/>
        <w:ind w:firstLine="420"/>
        <w:rPr>
          <w:rFonts w:ascii="宋体" w:hAnsi="宋体" w:eastAsia="宋体" w:cs="宋体"/>
          <w:color w:val="auto"/>
          <w:sz w:val="21"/>
          <w:u w:val="single"/>
        </w:rPr>
      </w:pPr>
      <w:r>
        <w:rPr>
          <w:rFonts w:hint="eastAsia" w:ascii="宋体" w:hAnsi="宋体" w:cs="宋体"/>
          <w:color w:val="auto"/>
        </w:rPr>
        <w:t xml:space="preserve">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询价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单一来源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 xml:space="preserve">框架协议 </w:t>
      </w:r>
      <w:r>
        <w:rPr>
          <w:rFonts w:hint="eastAsia" w:asciiTheme="minorEastAsia" w:hAnsiTheme="minorEastAsia" w:eastAsiaTheme="minorEastAsia" w:cstheme="minorEastAsia"/>
          <w:color w:val="auto"/>
          <w:sz w:val="21"/>
        </w:rPr>
        <w:sym w:font="Wingdings" w:char="00A8"/>
      </w:r>
      <w:r>
        <w:rPr>
          <w:rFonts w:hint="eastAsia" w:asciiTheme="minorEastAsia" w:hAnsiTheme="minorEastAsia" w:eastAsiaTheme="minorEastAsia" w:cstheme="minorEastAsia"/>
          <w:color w:val="auto"/>
          <w:sz w:val="21"/>
        </w:rPr>
        <w:t>其他：</w:t>
      </w:r>
      <w:r>
        <w:rPr>
          <w:rFonts w:hint="eastAsia" w:ascii="宋体" w:hAnsi="宋体" w:eastAsia="宋体" w:cs="宋体"/>
          <w:color w:val="auto"/>
          <w:sz w:val="21"/>
          <w:u w:val="single"/>
        </w:rPr>
        <w:t xml:space="preserve">          </w:t>
      </w:r>
    </w:p>
    <w:p w14:paraId="7A146B08">
      <w:pPr>
        <w:pStyle w:val="219"/>
        <w:numPr>
          <w:ilvl w:val="255"/>
          <w:numId w:val="0"/>
        </w:numPr>
        <w:snapToGrid w:val="0"/>
        <w:ind w:firstLine="420"/>
        <w:rPr>
          <w:rFonts w:ascii="宋体" w:hAnsi="宋体" w:eastAsia="宋体" w:cs="宋体"/>
          <w:color w:val="auto"/>
          <w:sz w:val="21"/>
        </w:rPr>
      </w:pPr>
      <w:r>
        <w:rPr>
          <w:rFonts w:hint="eastAsia" w:ascii="宋体" w:hAnsi="宋体" w:eastAsia="宋体" w:cs="宋体"/>
          <w:color w:val="auto"/>
          <w:sz w:val="21"/>
        </w:rPr>
        <w:t>（注：在框架协议采购的第二阶段，可选择使用该合同文本）</w:t>
      </w:r>
    </w:p>
    <w:p w14:paraId="3D01C6C9">
      <w:pPr>
        <w:pStyle w:val="219"/>
        <w:numPr>
          <w:ilvl w:val="255"/>
          <w:numId w:val="0"/>
        </w:numPr>
        <w:snapToGrid w:val="0"/>
        <w:ind w:firstLine="220" w:firstLineChars="100"/>
        <w:rPr>
          <w:rFonts w:ascii="宋体" w:hAnsi="宋体" w:eastAsia="宋体" w:cs="Times New Roman"/>
          <w:color w:val="auto"/>
          <w:kern w:val="2"/>
          <w:sz w:val="21"/>
        </w:rPr>
      </w:pPr>
      <w:r>
        <w:rPr>
          <w:rFonts w:hint="eastAsia" w:ascii="宋体" w:hAnsi="宋体"/>
          <w:color w:val="auto"/>
        </w:rPr>
        <w:t xml:space="preserve"> （</w:t>
      </w:r>
      <w:r>
        <w:rPr>
          <w:rFonts w:ascii="宋体" w:hAnsi="宋体"/>
          <w:color w:val="auto"/>
          <w:lang w:val="en"/>
        </w:rPr>
        <w:t>6</w:t>
      </w:r>
      <w:r>
        <w:rPr>
          <w:rFonts w:hint="eastAsia" w:ascii="宋体" w:hAnsi="宋体"/>
          <w:color w:val="auto"/>
        </w:rPr>
        <w:t>）</w:t>
      </w:r>
      <w:r>
        <w:rPr>
          <w:rFonts w:hint="eastAsia" w:ascii="宋体" w:hAnsi="宋体" w:eastAsia="宋体" w:cs="Times New Roman"/>
          <w:color w:val="auto"/>
          <w:kern w:val="2"/>
          <w:sz w:val="21"/>
        </w:rPr>
        <w:t>中标（成交）采购标的制造商是否为中小企业：</w:t>
      </w:r>
      <w:r>
        <w:rPr>
          <w:rFonts w:hint="eastAsia" w:ascii="宋体" w:hAnsi="宋体" w:eastAsia="宋体" w:cs="Times New Roman"/>
          <w:color w:val="auto"/>
          <w:kern w:val="2"/>
          <w:sz w:val="21"/>
        </w:rPr>
        <w:sym w:font="Wingdings" w:char="00A8"/>
      </w:r>
      <w:r>
        <w:rPr>
          <w:rFonts w:hint="eastAsia" w:ascii="宋体" w:hAnsi="宋体" w:eastAsia="宋体" w:cs="Times New Roman"/>
          <w:color w:val="auto"/>
          <w:kern w:val="2"/>
          <w:sz w:val="21"/>
        </w:rPr>
        <w:t xml:space="preserve">是      </w:t>
      </w:r>
      <w:r>
        <w:rPr>
          <w:rFonts w:hint="eastAsia" w:ascii="宋体" w:hAnsi="宋体" w:eastAsia="宋体" w:cs="Times New Roman"/>
          <w:color w:val="auto"/>
          <w:kern w:val="2"/>
          <w:sz w:val="21"/>
        </w:rPr>
        <w:sym w:font="Wingdings" w:char="00A8"/>
      </w:r>
      <w:r>
        <w:rPr>
          <w:rFonts w:hint="eastAsia" w:ascii="宋体" w:hAnsi="宋体" w:eastAsia="宋体" w:cs="Times New Roman"/>
          <w:color w:val="auto"/>
          <w:kern w:val="2"/>
          <w:sz w:val="21"/>
        </w:rPr>
        <w:t>否</w:t>
      </w:r>
    </w:p>
    <w:p w14:paraId="5DAEDED5">
      <w:pPr>
        <w:numPr>
          <w:ilvl w:val="255"/>
          <w:numId w:val="0"/>
        </w:numPr>
        <w:adjustRightInd w:val="0"/>
        <w:snapToGrid w:val="0"/>
        <w:spacing w:line="400" w:lineRule="exact"/>
        <w:rPr>
          <w:rFonts w:ascii="宋体" w:hAnsi="宋体"/>
          <w:iCs/>
          <w:color w:val="auto"/>
          <w:szCs w:val="21"/>
        </w:rPr>
      </w:pPr>
      <w:r>
        <w:rPr>
          <w:rFonts w:hint="eastAsia" w:ascii="宋体" w:hAnsi="宋体"/>
          <w:color w:val="auto"/>
          <w:szCs w:val="21"/>
        </w:rPr>
        <w:t xml:space="preserve">         本合同是否为专门面向中小企业的采购合同（中小企业预留合同）：</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6FDB1E97">
      <w:pPr>
        <w:numPr>
          <w:ilvl w:val="255"/>
          <w:numId w:val="0"/>
        </w:numPr>
        <w:adjustRightInd w:val="0"/>
        <w:snapToGrid w:val="0"/>
        <w:spacing w:line="400" w:lineRule="exact"/>
        <w:rPr>
          <w:rFonts w:ascii="宋体" w:hAnsi="宋体"/>
          <w:iCs/>
          <w:color w:val="auto"/>
          <w:szCs w:val="21"/>
        </w:rPr>
      </w:pPr>
      <w:r>
        <w:rPr>
          <w:rFonts w:hint="eastAsia"/>
          <w:color w:val="auto"/>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A1C4E85">
      <w:pPr>
        <w:numPr>
          <w:ilvl w:val="255"/>
          <w:numId w:val="0"/>
        </w:numPr>
        <w:adjustRightInd w:val="0"/>
        <w:snapToGrid w:val="0"/>
        <w:spacing w:line="400" w:lineRule="exact"/>
        <w:rPr>
          <w:rFonts w:ascii="宋体" w:hAnsi="宋体"/>
          <w:iCs/>
          <w:color w:val="auto"/>
          <w:szCs w:val="21"/>
        </w:rPr>
      </w:pPr>
      <w:r>
        <w:rPr>
          <w:rFonts w:hint="eastAsia"/>
          <w:color w:val="auto"/>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41096561">
      <w:pPr>
        <w:snapToGrid w:val="0"/>
        <w:spacing w:line="400" w:lineRule="exact"/>
        <w:rPr>
          <w:color w:val="auto"/>
        </w:rPr>
      </w:pPr>
      <w:r>
        <w:rPr>
          <w:rFonts w:hint="eastAsia"/>
          <w:color w:val="auto"/>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74D13C9C">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lang w:val="en"/>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6171E30A">
      <w:pPr>
        <w:adjustRightInd w:val="0"/>
        <w:snapToGrid w:val="0"/>
        <w:spacing w:line="400" w:lineRule="exact"/>
        <w:ind w:firstLine="840" w:firstLineChars="400"/>
        <w:rPr>
          <w:rFonts w:ascii="宋体" w:hAnsi="宋体"/>
          <w:color w:val="auto"/>
          <w:szCs w:val="21"/>
          <w:u w:val="single"/>
        </w:rPr>
      </w:pPr>
      <w:r>
        <w:rPr>
          <w:rFonts w:hint="eastAsia" w:ascii="宋体" w:hAnsi="宋体"/>
          <w:color w:val="auto"/>
          <w:szCs w:val="21"/>
        </w:rPr>
        <w:t xml:space="preserve"> 分包主要内容：</w:t>
      </w:r>
      <w:r>
        <w:rPr>
          <w:rFonts w:hint="eastAsia" w:ascii="宋体" w:hAnsi="宋体"/>
          <w:color w:val="auto"/>
          <w:szCs w:val="21"/>
          <w:u w:val="single"/>
        </w:rPr>
        <w:t xml:space="preserve">                                            </w:t>
      </w:r>
    </w:p>
    <w:p w14:paraId="710DA48D">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分包供应商/制造商名称（如供应商和制造商不同，请分别填写）：</w:t>
      </w:r>
    </w:p>
    <w:p w14:paraId="7E046485">
      <w:pPr>
        <w:adjustRightInd w:val="0"/>
        <w:snapToGrid w:val="0"/>
        <w:spacing w:line="400" w:lineRule="exact"/>
        <w:ind w:firstLine="840" w:firstLineChars="400"/>
        <w:rPr>
          <w:rFonts w:ascii="宋体" w:hAnsi="宋体"/>
          <w:color w:val="auto"/>
          <w:szCs w:val="21"/>
          <w:u w:val="single"/>
        </w:rPr>
      </w:pPr>
      <w:r>
        <w:rPr>
          <w:rFonts w:hint="eastAsia" w:ascii="宋体" w:hAnsi="宋体"/>
          <w:color w:val="auto"/>
          <w:szCs w:val="21"/>
        </w:rPr>
        <w:t xml:space="preserve"> </w:t>
      </w:r>
      <w:r>
        <w:rPr>
          <w:rFonts w:hint="eastAsia" w:ascii="宋体" w:hAnsi="宋体"/>
          <w:color w:val="auto"/>
          <w:szCs w:val="21"/>
          <w:u w:val="single"/>
        </w:rPr>
        <w:t xml:space="preserve">                                                          </w:t>
      </w:r>
    </w:p>
    <w:p w14:paraId="759E2554">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分包供应商/制造商类型（如果供应商和制造商不同，只填写制造商类型）：</w:t>
      </w:r>
    </w:p>
    <w:p w14:paraId="0864D939">
      <w:pPr>
        <w:adjustRightInd w:val="0"/>
        <w:snapToGrid w:val="0"/>
        <w:spacing w:line="400" w:lineRule="exact"/>
        <w:ind w:firstLine="840" w:firstLineChars="400"/>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 xml:space="preserve">小微型企业  </w:t>
      </w:r>
    </w:p>
    <w:p w14:paraId="129509DB">
      <w:pPr>
        <w:adjustRightInd w:val="0"/>
        <w:snapToGrid w:val="0"/>
        <w:spacing w:line="400" w:lineRule="exact"/>
        <w:ind w:firstLine="840" w:firstLineChars="400"/>
        <w:rPr>
          <w:rFonts w:eastAsia="华文楷体"/>
          <w:color w:val="auto"/>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残疾人福利性单位 </w:t>
      </w:r>
      <w:r>
        <w:rPr>
          <w:rFonts w:hint="eastAsia" w:ascii="宋体" w:hAnsi="宋体"/>
          <w:iCs/>
          <w:color w:val="auto"/>
          <w:szCs w:val="21"/>
        </w:rPr>
        <w:sym w:font="Wingdings" w:char="00A8"/>
      </w:r>
      <w:r>
        <w:rPr>
          <w:rFonts w:hint="eastAsia" w:ascii="宋体" w:hAnsi="宋体"/>
          <w:iCs/>
          <w:color w:val="auto"/>
          <w:szCs w:val="21"/>
        </w:rPr>
        <w:t xml:space="preserve">监狱企业 </w:t>
      </w:r>
      <w:r>
        <w:rPr>
          <w:rFonts w:hint="eastAsia" w:ascii="宋体" w:hAnsi="宋体"/>
          <w:iCs/>
          <w:color w:val="auto"/>
          <w:szCs w:val="21"/>
        </w:rPr>
        <w:sym w:font="Wingdings" w:char="00A8"/>
      </w:r>
      <w:r>
        <w:rPr>
          <w:rFonts w:hint="eastAsia" w:ascii="宋体" w:hAnsi="宋体"/>
          <w:iCs/>
          <w:color w:val="auto"/>
          <w:szCs w:val="21"/>
        </w:rPr>
        <w:t>其他</w:t>
      </w:r>
    </w:p>
    <w:p w14:paraId="10AC2424">
      <w:pPr>
        <w:numPr>
          <w:ilvl w:val="255"/>
          <w:numId w:val="0"/>
        </w:numPr>
        <w:adjustRightInd w:val="0"/>
        <w:snapToGrid w:val="0"/>
        <w:spacing w:line="400" w:lineRule="exact"/>
        <w:rPr>
          <w:rFonts w:ascii="宋体" w:hAnsi="宋体" w:cs="宋体"/>
          <w:iCs/>
          <w:color w:val="auto"/>
          <w:szCs w:val="21"/>
        </w:rPr>
      </w:pPr>
      <w:r>
        <w:rPr>
          <w:rFonts w:hint="eastAsia" w:ascii="宋体" w:hAnsi="宋体"/>
          <w:color w:val="auto"/>
          <w:szCs w:val="21"/>
        </w:rPr>
        <w:t xml:space="preserve">    </w:t>
      </w:r>
      <w:r>
        <w:rPr>
          <w:rFonts w:hint="eastAsia" w:ascii="宋体" w:hAnsi="宋体" w:cs="宋体"/>
          <w:color w:val="auto"/>
          <w:szCs w:val="21"/>
        </w:rPr>
        <w:t>（</w:t>
      </w:r>
      <w:r>
        <w:rPr>
          <w:rFonts w:ascii="宋体" w:hAnsi="宋体" w:cs="宋体"/>
          <w:color w:val="auto"/>
          <w:szCs w:val="21"/>
          <w:lang w:val="en"/>
        </w:rPr>
        <w:t>8</w:t>
      </w:r>
      <w:r>
        <w:rPr>
          <w:rFonts w:hint="eastAsia" w:ascii="宋体" w:hAnsi="宋体" w:cs="宋体"/>
          <w:color w:val="auto"/>
          <w:szCs w:val="21"/>
        </w:rPr>
        <w:t>）中标（成交）供应商是否为外商投资企业：</w:t>
      </w:r>
      <w:r>
        <w:rPr>
          <w:rFonts w:hint="eastAsia" w:ascii="宋体" w:hAnsi="宋体" w:cs="宋体"/>
          <w:iCs/>
          <w:color w:val="auto"/>
          <w:szCs w:val="21"/>
        </w:rPr>
        <w:sym w:font="Wingdings" w:char="00A8"/>
      </w:r>
      <w:r>
        <w:rPr>
          <w:rFonts w:hint="eastAsia" w:ascii="宋体" w:hAnsi="宋体" w:cs="宋体"/>
          <w:iCs/>
          <w:color w:val="auto"/>
          <w:szCs w:val="21"/>
        </w:rPr>
        <w:t xml:space="preserve">是       </w:t>
      </w:r>
      <w:r>
        <w:rPr>
          <w:rFonts w:hint="eastAsia" w:ascii="宋体" w:hAnsi="宋体" w:cs="宋体"/>
          <w:iCs/>
          <w:color w:val="auto"/>
          <w:szCs w:val="21"/>
        </w:rPr>
        <w:sym w:font="Wingdings" w:char="00A8"/>
      </w:r>
      <w:r>
        <w:rPr>
          <w:rFonts w:hint="eastAsia" w:ascii="宋体" w:hAnsi="宋体" w:cs="宋体"/>
          <w:iCs/>
          <w:color w:val="auto"/>
          <w:szCs w:val="21"/>
        </w:rPr>
        <w:t>否</w:t>
      </w:r>
    </w:p>
    <w:p w14:paraId="65684504">
      <w:pPr>
        <w:pStyle w:val="219"/>
        <w:tabs>
          <w:tab w:val="left" w:pos="1340"/>
        </w:tabs>
        <w:ind w:firstLine="420"/>
        <w:rPr>
          <w:rFonts w:ascii="宋体" w:hAnsi="宋体" w:eastAsia="宋体" w:cs="宋体"/>
          <w:color w:val="auto"/>
          <w:sz w:val="21"/>
          <w:u w:val="single"/>
        </w:rPr>
      </w:pPr>
      <w:r>
        <w:rPr>
          <w:rFonts w:hint="eastAsia" w:ascii="宋体" w:hAnsi="宋体" w:eastAsia="宋体" w:cs="宋体"/>
          <w:color w:val="auto"/>
          <w:sz w:val="21"/>
        </w:rPr>
        <w:t xml:space="preserve">     外商投资企业类型：</w:t>
      </w:r>
      <w:r>
        <w:rPr>
          <w:rFonts w:hint="eastAsia" w:ascii="宋体" w:hAnsi="宋体" w:eastAsia="宋体" w:cs="宋体"/>
          <w:iCs/>
          <w:color w:val="auto"/>
          <w:sz w:val="21"/>
        </w:rPr>
        <w:sym w:font="Wingdings" w:char="00A8"/>
      </w:r>
      <w:r>
        <w:rPr>
          <w:rFonts w:hint="eastAsia" w:ascii="宋体" w:hAnsi="宋体" w:eastAsia="宋体" w:cs="宋体"/>
          <w:color w:val="auto"/>
          <w:sz w:val="21"/>
        </w:rPr>
        <w:t xml:space="preserve">全部由外国投资者投资  </w:t>
      </w:r>
      <w:r>
        <w:rPr>
          <w:rFonts w:hint="eastAsia" w:ascii="宋体" w:hAnsi="宋体" w:eastAsia="宋体" w:cs="宋体"/>
          <w:iCs/>
          <w:color w:val="auto"/>
          <w:sz w:val="21"/>
        </w:rPr>
        <w:sym w:font="Wingdings" w:char="00A8"/>
      </w:r>
      <w:r>
        <w:rPr>
          <w:rFonts w:hint="eastAsia" w:ascii="宋体" w:hAnsi="宋体" w:eastAsia="宋体" w:cs="宋体"/>
          <w:iCs/>
          <w:color w:val="auto"/>
          <w:sz w:val="21"/>
        </w:rPr>
        <w:t>部分由外国投资者投资</w:t>
      </w:r>
    </w:p>
    <w:p w14:paraId="37386571">
      <w:pPr>
        <w:numPr>
          <w:ilvl w:val="255"/>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lang w:val="en"/>
        </w:rPr>
        <w:t>9</w:t>
      </w:r>
      <w:r>
        <w:rPr>
          <w:rFonts w:hint="eastAsia" w:ascii="宋体" w:hAnsi="宋体" w:cs="宋体"/>
          <w:color w:val="auto"/>
          <w:szCs w:val="21"/>
        </w:rPr>
        <w:t>）是否涉及进口产品：</w:t>
      </w:r>
    </w:p>
    <w:p w14:paraId="36D001CF">
      <w:pPr>
        <w:numPr>
          <w:ilvl w:val="255"/>
          <w:numId w:val="0"/>
        </w:numPr>
        <w:adjustRightInd w:val="0"/>
        <w:snapToGrid w:val="0"/>
        <w:spacing w:line="400" w:lineRule="exact"/>
        <w:ind w:firstLine="840" w:firstLineChars="400"/>
        <w:rPr>
          <w:rFonts w:ascii="宋体" w:hAnsi="宋体" w:cs="宋体"/>
          <w:color w:val="auto"/>
          <w:szCs w:val="21"/>
          <w:u w:val="single"/>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是，《政府采购品目分类目录》底级品目名称：</w:t>
      </w:r>
      <w:r>
        <w:rPr>
          <w:rFonts w:hint="eastAsia" w:ascii="宋体" w:hAnsi="宋体" w:cs="宋体"/>
          <w:color w:val="auto"/>
          <w:szCs w:val="21"/>
          <w:u w:val="single"/>
        </w:rPr>
        <w:t xml:space="preserve">         </w:t>
      </w:r>
      <w:r>
        <w:rPr>
          <w:rFonts w:hint="eastAsia" w:ascii="宋体" w:hAnsi="宋体" w:cs="宋体"/>
          <w:color w:val="auto"/>
          <w:szCs w:val="21"/>
        </w:rPr>
        <w:t xml:space="preserve"> 金额：</w:t>
      </w:r>
      <w:r>
        <w:rPr>
          <w:rFonts w:hint="eastAsia" w:ascii="宋体" w:hAnsi="宋体" w:cs="宋体"/>
          <w:color w:val="auto"/>
          <w:szCs w:val="21"/>
          <w:u w:val="single"/>
        </w:rPr>
        <w:t xml:space="preserve">        </w:t>
      </w:r>
    </w:p>
    <w:p w14:paraId="2A544797">
      <w:pPr>
        <w:numPr>
          <w:ilvl w:val="255"/>
          <w:numId w:val="0"/>
        </w:numPr>
        <w:adjustRightInd w:val="0"/>
        <w:snapToGrid w:val="0"/>
        <w:spacing w:line="400" w:lineRule="exact"/>
        <w:ind w:firstLine="840" w:firstLineChars="400"/>
        <w:rPr>
          <w:rFonts w:ascii="宋体" w:hAnsi="宋体"/>
          <w:color w:val="auto"/>
          <w:szCs w:val="21"/>
        </w:rPr>
      </w:pPr>
      <w:r>
        <w:rPr>
          <w:rFonts w:hint="eastAsia" w:ascii="宋体" w:hAnsi="宋体" w:cs="宋体"/>
          <w:color w:val="auto"/>
          <w:szCs w:val="21"/>
        </w:rPr>
        <w:t xml:space="preserve">        国别：</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规格型号：</w:t>
      </w:r>
      <w:r>
        <w:rPr>
          <w:rFonts w:hint="eastAsia" w:ascii="宋体" w:hAnsi="宋体" w:cs="宋体"/>
          <w:color w:val="auto"/>
          <w:szCs w:val="21"/>
          <w:u w:val="single"/>
        </w:rPr>
        <w:t xml:space="preserve">        </w:t>
      </w:r>
      <w:r>
        <w:rPr>
          <w:rFonts w:hint="eastAsia" w:ascii="宋体" w:hAnsi="宋体"/>
          <w:color w:val="auto"/>
          <w:szCs w:val="21"/>
        </w:rPr>
        <w:t xml:space="preserve">      </w:t>
      </w:r>
    </w:p>
    <w:p w14:paraId="7A4B2A05">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287CE6C8">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（1</w:t>
      </w:r>
      <w:r>
        <w:rPr>
          <w:rFonts w:ascii="宋体" w:hAnsi="宋体"/>
          <w:color w:val="auto"/>
          <w:szCs w:val="21"/>
          <w:lang w:val="en"/>
        </w:rPr>
        <w:t>0</w:t>
      </w:r>
      <w:r>
        <w:rPr>
          <w:rFonts w:hint="eastAsia" w:ascii="宋体" w:hAnsi="宋体"/>
          <w:color w:val="auto"/>
          <w:szCs w:val="21"/>
        </w:rPr>
        <w:t>）是否涉及节能产品：</w:t>
      </w:r>
    </w:p>
    <w:p w14:paraId="164DDCB9">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是，《节能产品政府采购品目清单》的底级品目名称：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7B4EFF62">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1ED7D359">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517E050B">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是否涉及环境标志产品：</w:t>
      </w:r>
    </w:p>
    <w:p w14:paraId="65DB5AE9">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是，《环境标志产品政府采购品目清单》的底级品目名称：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0DA41AC6">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551F59B4">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728FEE8E">
      <w:pPr>
        <w:pStyle w:val="219"/>
        <w:numPr>
          <w:ilvl w:val="255"/>
          <w:numId w:val="0"/>
        </w:numPr>
        <w:snapToGrid w:val="0"/>
        <w:rPr>
          <w:rFonts w:ascii="宋体" w:hAnsi="宋体" w:eastAsia="宋体" w:cs="Times New Roman"/>
          <w:color w:val="auto"/>
          <w:kern w:val="2"/>
          <w:sz w:val="21"/>
        </w:rPr>
      </w:pPr>
      <w:r>
        <w:rPr>
          <w:rFonts w:hint="eastAsia" w:ascii="宋体" w:hAnsi="宋体"/>
          <w:color w:val="auto"/>
          <w:sz w:val="21"/>
        </w:rPr>
        <w:t xml:space="preserve">          </w:t>
      </w:r>
      <w:r>
        <w:rPr>
          <w:rFonts w:hint="eastAsia" w:ascii="宋体" w:hAnsi="宋体" w:eastAsia="宋体" w:cs="Times New Roman"/>
          <w:color w:val="auto"/>
          <w:kern w:val="2"/>
          <w:sz w:val="21"/>
        </w:rPr>
        <w:t xml:space="preserve">是否涉及绿色产品： </w:t>
      </w:r>
    </w:p>
    <w:p w14:paraId="748AEA24">
      <w:pPr>
        <w:pStyle w:val="219"/>
        <w:ind w:firstLine="420" w:firstLineChars="0"/>
        <w:rPr>
          <w:rFonts w:ascii="宋体" w:hAnsi="宋体" w:eastAsia="宋体"/>
          <w:color w:val="auto"/>
          <w:u w:val="single"/>
        </w:rPr>
      </w:pPr>
      <w:r>
        <w:rPr>
          <w:rFonts w:hint="eastAsia" w:ascii="宋体" w:hAnsi="宋体" w:eastAsia="宋体" w:cs="Times New Roman"/>
          <w:color w:val="auto"/>
          <w:kern w:val="2"/>
          <w:sz w:val="21"/>
        </w:rPr>
        <w:t xml:space="preserve">     </w:t>
      </w:r>
      <w:r>
        <w:rPr>
          <w:rFonts w:hint="eastAsia" w:ascii="宋体" w:hAnsi="宋体" w:eastAsia="宋体" w:cs="Times New Roman"/>
          <w:color w:val="auto"/>
          <w:kern w:val="2"/>
          <w:sz w:val="21"/>
        </w:rPr>
        <w:sym w:font="Wingdings" w:char="00A8"/>
      </w:r>
      <w:r>
        <w:rPr>
          <w:rFonts w:hint="eastAsia" w:ascii="宋体" w:hAnsi="宋体" w:eastAsia="宋体" w:cs="Times New Roman"/>
          <w:color w:val="auto"/>
          <w:kern w:val="2"/>
          <w:sz w:val="21"/>
        </w:rPr>
        <w:t>是，绿色产品政府采购相关政策确定的底级品目名称：</w:t>
      </w:r>
      <w:r>
        <w:rPr>
          <w:rFonts w:hint="eastAsia" w:ascii="宋体" w:hAnsi="宋体" w:eastAsia="宋体"/>
          <w:color w:val="auto"/>
          <w:u w:val="single"/>
        </w:rPr>
        <w:t xml:space="preserve">         </w:t>
      </w:r>
    </w:p>
    <w:p w14:paraId="489ABA30">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33FA6EDF">
      <w:pPr>
        <w:pStyle w:val="219"/>
        <w:ind w:firstLine="420" w:firstLineChars="0"/>
        <w:rPr>
          <w:rFonts w:ascii="宋体" w:hAnsi="宋体"/>
          <w:color w:val="auto"/>
          <w:sz w:val="21"/>
        </w:rPr>
      </w:pPr>
      <w:r>
        <w:rPr>
          <w:rFonts w:hint="eastAsia" w:ascii="宋体" w:hAnsi="宋体" w:eastAsia="宋体" w:cs="Times New Roman"/>
          <w:color w:val="auto"/>
          <w:kern w:val="2"/>
          <w:sz w:val="21"/>
        </w:rPr>
        <w:t xml:space="preserve">     </w:t>
      </w:r>
      <w:r>
        <w:rPr>
          <w:rFonts w:hint="eastAsia" w:ascii="宋体" w:hAnsi="宋体" w:eastAsia="宋体" w:cs="Times New Roman"/>
          <w:color w:val="auto"/>
          <w:kern w:val="2"/>
          <w:sz w:val="21"/>
        </w:rPr>
        <w:sym w:font="Wingdings" w:char="00A8"/>
      </w:r>
      <w:r>
        <w:rPr>
          <w:rFonts w:hint="eastAsia" w:ascii="宋体" w:hAnsi="宋体" w:eastAsia="宋体" w:cs="Times New Roman"/>
          <w:color w:val="auto"/>
          <w:kern w:val="2"/>
          <w:sz w:val="21"/>
        </w:rPr>
        <w:t>否</w:t>
      </w:r>
    </w:p>
    <w:p w14:paraId="1A885F9F">
      <w:pPr>
        <w:numPr>
          <w:ilvl w:val="255"/>
          <w:numId w:val="0"/>
        </w:numPr>
        <w:adjustRightInd w:val="0"/>
        <w:snapToGrid w:val="0"/>
        <w:spacing w:line="400" w:lineRule="exact"/>
        <w:rPr>
          <w:rFonts w:ascii="宋体" w:hAnsi="宋体"/>
          <w:color w:val="auto"/>
          <w:szCs w:val="21"/>
        </w:rPr>
      </w:pPr>
      <w:r>
        <w:rPr>
          <w:rFonts w:hint="eastAsia" w:ascii="宋体" w:hAnsi="宋体"/>
          <w:color w:val="auto"/>
          <w:szCs w:val="21"/>
        </w:rPr>
        <w:t xml:space="preserve">    （1</w:t>
      </w:r>
      <w:r>
        <w:rPr>
          <w:rFonts w:ascii="宋体" w:hAnsi="宋体"/>
          <w:color w:val="auto"/>
          <w:szCs w:val="21"/>
          <w:lang w:val="en"/>
        </w:rPr>
        <w:t>1</w:t>
      </w:r>
      <w:r>
        <w:rPr>
          <w:rFonts w:hint="eastAsia" w:ascii="宋体" w:hAnsi="宋体"/>
          <w:color w:val="auto"/>
          <w:szCs w:val="21"/>
        </w:rPr>
        <w:t>）涉及商品包装和快递包装的，是否参考《商品包装政府采购需求标准（试行）》、《快递包装政府采购需求标准（试行）》明确产品及相关快递服务的具体包装要求：</w:t>
      </w:r>
    </w:p>
    <w:p w14:paraId="0CB4F57A">
      <w:pPr>
        <w:numPr>
          <w:ilvl w:val="255"/>
          <w:numId w:val="0"/>
        </w:num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 xml:space="preserve">否      </w:t>
      </w:r>
      <w:r>
        <w:rPr>
          <w:rFonts w:hint="eastAsia" w:ascii="宋体" w:hAnsi="宋体"/>
          <w:color w:val="auto"/>
          <w:szCs w:val="21"/>
        </w:rPr>
        <w:sym w:font="Wingdings" w:char="00A8"/>
      </w:r>
      <w:r>
        <w:rPr>
          <w:rFonts w:hint="eastAsia" w:ascii="宋体" w:hAnsi="宋体"/>
          <w:color w:val="auto"/>
          <w:szCs w:val="21"/>
        </w:rPr>
        <w:t>不涉及</w:t>
      </w:r>
    </w:p>
    <w:p w14:paraId="310D9742">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合同金额</w:t>
      </w:r>
    </w:p>
    <w:p w14:paraId="0838BACD">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p>
    <w:p w14:paraId="7C976AD5">
      <w:pPr>
        <w:adjustRightInd w:val="0"/>
        <w:snapToGrid w:val="0"/>
        <w:spacing w:line="400" w:lineRule="exact"/>
        <w:rPr>
          <w:rFonts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54CF8B92">
      <w:pPr>
        <w:adjustRightInd w:val="0"/>
        <w:snapToGrid w:val="0"/>
        <w:spacing w:line="400" w:lineRule="exact"/>
        <w:rPr>
          <w:rFonts w:ascii="宋体" w:hAnsi="宋体"/>
          <w:color w:val="auto"/>
          <w:szCs w:val="21"/>
        </w:rPr>
      </w:pPr>
      <w:r>
        <w:rPr>
          <w:rFonts w:hint="eastAsia" w:ascii="宋体" w:hAnsi="宋体"/>
          <w:color w:val="auto"/>
          <w:szCs w:val="21"/>
        </w:rPr>
        <w:t xml:space="preserve">         分包金额（如有）小写：</w:t>
      </w:r>
      <w:r>
        <w:rPr>
          <w:rFonts w:hint="eastAsia" w:ascii="宋体" w:hAnsi="宋体"/>
          <w:color w:val="auto"/>
          <w:szCs w:val="21"/>
          <w:u w:val="single"/>
        </w:rPr>
        <w:t xml:space="preserve">                   </w:t>
      </w:r>
    </w:p>
    <w:p w14:paraId="21C1FA85">
      <w:pPr>
        <w:adjustRightInd w:val="0"/>
        <w:snapToGrid w:val="0"/>
        <w:spacing w:line="400" w:lineRule="exact"/>
        <w:rPr>
          <w:rFonts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7C660F8D">
      <w:pPr>
        <w:adjustRightInd w:val="0"/>
        <w:snapToGrid w:val="0"/>
        <w:spacing w:line="400" w:lineRule="exact"/>
        <w:rPr>
          <w:rFonts w:ascii="宋体" w:hAnsi="宋体"/>
          <w:color w:val="auto"/>
          <w:szCs w:val="21"/>
        </w:rPr>
      </w:pPr>
      <w:r>
        <w:rPr>
          <w:rFonts w:hint="eastAsia" w:ascii="宋体" w:hAnsi="宋体"/>
          <w:color w:val="auto"/>
          <w:szCs w:val="21"/>
        </w:rPr>
        <w:t xml:space="preserve">    （注：固定单价合同应填写单价和最高限价）</w:t>
      </w:r>
    </w:p>
    <w:p w14:paraId="5DBCD2BE">
      <w:pPr>
        <w:numPr>
          <w:ilvl w:val="255"/>
          <w:numId w:val="0"/>
        </w:numPr>
        <w:adjustRightInd w:val="0"/>
        <w:snapToGrid w:val="0"/>
        <w:spacing w:line="400" w:lineRule="exact"/>
        <w:rPr>
          <w:rFonts w:ascii="宋体" w:hAnsi="宋体"/>
          <w:color w:val="auto"/>
          <w:szCs w:val="21"/>
        </w:rPr>
      </w:pPr>
      <w:r>
        <w:rPr>
          <w:rFonts w:hint="eastAsia" w:ascii="宋体" w:hAnsi="宋体"/>
          <w:color w:val="auto"/>
          <w:szCs w:val="21"/>
        </w:rPr>
        <w:t xml:space="preserve">    （2）合同定价方式（采用组合定价方式的，可以勾选多项）：</w:t>
      </w:r>
    </w:p>
    <w:p w14:paraId="53442E52">
      <w:pPr>
        <w:adjustRightInd w:val="0"/>
        <w:snapToGrid w:val="0"/>
        <w:spacing w:line="400" w:lineRule="exact"/>
        <w:ind w:firstLine="420" w:firstLineChars="200"/>
        <w:rPr>
          <w:rFonts w:ascii="宋体" w:hAnsi="宋体"/>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 xml:space="preserve">固定单价 </w:t>
      </w:r>
      <w:r>
        <w:rPr>
          <w:rFonts w:hint="eastAsia" w:ascii="宋体" w:hAnsi="宋体"/>
          <w:iCs/>
          <w:color w:val="auto"/>
          <w:szCs w:val="21"/>
        </w:rPr>
        <w:sym w:font="Wingdings" w:char="00A8"/>
      </w:r>
      <w:r>
        <w:rPr>
          <w:rFonts w:hint="eastAsia" w:ascii="宋体" w:hAnsi="宋体"/>
          <w:iCs/>
          <w:color w:val="auto"/>
          <w:szCs w:val="21"/>
        </w:rPr>
        <w:t xml:space="preserve">固定费率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 xml:space="preserve">绩效激励 </w:t>
      </w:r>
      <w:r>
        <w:rPr>
          <w:rFonts w:hint="eastAsia" w:ascii="宋体" w:hAnsi="宋体"/>
          <w:iCs/>
          <w:color w:val="auto"/>
          <w:szCs w:val="21"/>
        </w:rPr>
        <w:sym w:font="Wingdings" w:char="00A8"/>
      </w:r>
      <w:r>
        <w:rPr>
          <w:rFonts w:hint="eastAsia" w:ascii="宋体" w:hAnsi="宋体"/>
          <w:iCs/>
          <w:color w:val="auto"/>
          <w:szCs w:val="21"/>
        </w:rPr>
        <w:t>其他</w:t>
      </w:r>
      <w:r>
        <w:rPr>
          <w:rFonts w:hint="eastAsia" w:ascii="宋体" w:hAnsi="宋体"/>
          <w:color w:val="auto"/>
          <w:szCs w:val="21"/>
          <w:u w:val="single"/>
        </w:rPr>
        <w:t xml:space="preserve">       </w:t>
      </w:r>
    </w:p>
    <w:p w14:paraId="532F75D6">
      <w:pPr>
        <w:pStyle w:val="84"/>
        <w:spacing w:line="400" w:lineRule="exact"/>
        <w:rPr>
          <w:color w:val="auto"/>
        </w:rPr>
      </w:pPr>
      <w:r>
        <w:rPr>
          <w:rFonts w:hint="eastAsia" w:ascii="宋体" w:hAnsi="宋体"/>
          <w:color w:val="auto"/>
        </w:rPr>
        <w:t>（3）付款方式（按项目实际勾选填写）：</w:t>
      </w:r>
    </w:p>
    <w:p w14:paraId="631F0D3E">
      <w:pPr>
        <w:adjustRightInd w:val="0"/>
        <w:snapToGrid w:val="0"/>
        <w:spacing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（应明确一次性支付合同款项的条件）                    </w:t>
      </w:r>
    </w:p>
    <w:p w14:paraId="20BD3336">
      <w:pPr>
        <w:snapToGrid w:val="0"/>
        <w:spacing w:line="40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（应明确分期支付合同款项的各期比例和支付条件，各期支付条件应与分期履约验收情况挂钩） </w:t>
      </w:r>
      <w:r>
        <w:rPr>
          <w:rFonts w:hint="eastAsia" w:ascii="宋体" w:hAnsi="宋体"/>
          <w:color w:val="auto"/>
          <w:szCs w:val="21"/>
        </w:rPr>
        <w:t>，其中涉及预付款的：</w:t>
      </w:r>
      <w:r>
        <w:rPr>
          <w:rFonts w:hint="eastAsia" w:ascii="宋体" w:hAnsi="宋体"/>
          <w:color w:val="auto"/>
          <w:szCs w:val="21"/>
          <w:u w:val="single"/>
        </w:rPr>
        <w:t xml:space="preserve"> （应明确预付款的支付比例和支付条件） </w:t>
      </w:r>
    </w:p>
    <w:p w14:paraId="1A266A3E">
      <w:pPr>
        <w:adjustRightInd w:val="0"/>
        <w:snapToGrid w:val="0"/>
        <w:spacing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14:paraId="7AAA57A4">
      <w:pPr>
        <w:adjustRightInd w:val="0"/>
        <w:snapToGrid w:val="0"/>
        <w:spacing w:line="400" w:lineRule="exact"/>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14:paraId="2AF972DC">
      <w:pPr>
        <w:numPr>
          <w:ilvl w:val="0"/>
          <w:numId w:val="9"/>
        </w:numPr>
        <w:adjustRightInd w:val="0"/>
        <w:snapToGrid w:val="0"/>
        <w:spacing w:line="400" w:lineRule="exact"/>
        <w:ind w:firstLine="420" w:firstLineChars="200"/>
        <w:rPr>
          <w:rFonts w:ascii="宋体" w:hAnsi="宋体"/>
          <w:b/>
          <w:color w:val="auto"/>
          <w:szCs w:val="21"/>
          <w:u w:val="single"/>
        </w:rPr>
      </w:pPr>
      <w:r>
        <w:rPr>
          <w:rFonts w:hint="eastAsia" w:ascii="宋体" w:hAnsi="宋体"/>
          <w:b/>
          <w:color w:val="auto"/>
          <w:szCs w:val="21"/>
        </w:rPr>
        <w:t>合同履行</w:t>
      </w:r>
    </w:p>
    <w:p w14:paraId="787F2B58">
      <w:p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3E3B17B2">
      <w:pPr>
        <w:adjustRightInd w:val="0"/>
        <w:snapToGrid w:val="0"/>
        <w:spacing w:line="400" w:lineRule="exact"/>
        <w:ind w:firstLine="420" w:firstLineChars="200"/>
        <w:rPr>
          <w:rFonts w:ascii="宋体" w:hAnsi="宋体" w:cs="宋体"/>
          <w:color w:val="auto"/>
          <w:szCs w:val="21"/>
          <w:u w:val="single"/>
        </w:rPr>
      </w:pPr>
      <w:r>
        <w:rPr>
          <w:rFonts w:hint="eastAsia" w:ascii="宋体" w:hAnsi="宋体" w:cs="宋体"/>
          <w:color w:val="auto"/>
          <w:szCs w:val="21"/>
        </w:rPr>
        <w:t>（2）履约地点</w:t>
      </w:r>
      <w:r>
        <w:rPr>
          <w:rFonts w:hint="eastAsia" w:ascii="宋体" w:hAnsi="宋体" w:cs="宋体"/>
          <w:bCs/>
          <w:color w:val="auto"/>
          <w:szCs w:val="21"/>
        </w:rPr>
        <w:t>：</w:t>
      </w:r>
      <w:r>
        <w:rPr>
          <w:rFonts w:hint="eastAsia" w:ascii="宋体" w:hAnsi="宋体" w:cs="宋体"/>
          <w:color w:val="auto"/>
          <w:szCs w:val="21"/>
          <w:u w:val="single"/>
        </w:rPr>
        <w:t xml:space="preserve">                             </w:t>
      </w:r>
    </w:p>
    <w:p w14:paraId="1AA9F3F7">
      <w:pPr>
        <w:adjustRightInd w:val="0"/>
        <w:snapToGrid w:val="0"/>
        <w:spacing w:line="400" w:lineRule="exact"/>
        <w:ind w:firstLine="420" w:firstLineChars="200"/>
        <w:rPr>
          <w:rFonts w:ascii="宋体" w:hAnsi="宋体" w:cs="宋体"/>
          <w:color w:val="auto"/>
          <w:szCs w:val="21"/>
        </w:rPr>
      </w:pPr>
      <w:r>
        <w:rPr>
          <w:rFonts w:hint="eastAsia" w:ascii="宋体" w:hAnsi="宋体" w:cs="宋体"/>
          <w:bCs/>
          <w:color w:val="auto"/>
          <w:szCs w:val="21"/>
        </w:rPr>
        <w:t>（3）履约担保：</w:t>
      </w:r>
      <w:r>
        <w:rPr>
          <w:rFonts w:hint="eastAsia" w:ascii="宋体" w:hAnsi="宋体" w:cs="宋体"/>
          <w:color w:val="auto"/>
        </w:rPr>
        <w:t>是否收取履约保证金：</w:t>
      </w:r>
      <w:r>
        <w:rPr>
          <w:rFonts w:hint="eastAsia" w:ascii="宋体" w:hAnsi="宋体" w:cs="宋体"/>
          <w:color w:val="auto"/>
          <w:szCs w:val="21"/>
        </w:rPr>
        <w:sym w:font="Wingdings" w:char="00A8"/>
      </w:r>
      <w:r>
        <w:rPr>
          <w:rFonts w:hint="eastAsia" w:ascii="宋体" w:hAnsi="宋体" w:cs="宋体"/>
          <w:color w:val="auto"/>
          <w:szCs w:val="21"/>
        </w:rPr>
        <w:t xml:space="preserve">是    </w:t>
      </w:r>
      <w:r>
        <w:rPr>
          <w:rFonts w:hint="eastAsia" w:ascii="宋体" w:hAnsi="宋体" w:cs="宋体"/>
          <w:color w:val="auto"/>
          <w:szCs w:val="21"/>
        </w:rPr>
        <w:sym w:font="Wingdings" w:char="00A8"/>
      </w:r>
      <w:r>
        <w:rPr>
          <w:rFonts w:hint="eastAsia" w:ascii="宋体" w:hAnsi="宋体" w:cs="宋体"/>
          <w:color w:val="auto"/>
          <w:szCs w:val="21"/>
        </w:rPr>
        <w:t>否</w:t>
      </w:r>
    </w:p>
    <w:p w14:paraId="6F88DA8D">
      <w:pPr>
        <w:pStyle w:val="219"/>
        <w:rPr>
          <w:rFonts w:ascii="宋体" w:hAnsi="宋体" w:eastAsia="宋体" w:cs="宋体"/>
          <w:color w:val="auto"/>
          <w:sz w:val="21"/>
        </w:rPr>
      </w:pPr>
      <w:r>
        <w:rPr>
          <w:rFonts w:hint="eastAsia" w:ascii="宋体" w:hAnsi="宋体" w:cs="宋体"/>
          <w:bCs/>
          <w:color w:val="auto"/>
        </w:rPr>
        <w:t xml:space="preserve">  </w:t>
      </w:r>
      <w:r>
        <w:rPr>
          <w:rFonts w:hint="eastAsia" w:ascii="宋体" w:hAnsi="宋体" w:eastAsia="宋体" w:cs="宋体"/>
          <w:color w:val="auto"/>
          <w:sz w:val="21"/>
        </w:rPr>
        <w:t xml:space="preserve">  收取履约保证金形式：</w:t>
      </w:r>
      <w:r>
        <w:rPr>
          <w:rFonts w:hint="eastAsia" w:ascii="宋体" w:hAnsi="宋体" w:eastAsia="宋体" w:cs="宋体"/>
          <w:bCs/>
          <w:color w:val="auto"/>
          <w:sz w:val="21"/>
          <w:u w:val="single"/>
        </w:rPr>
        <w:t xml:space="preserve">                            </w:t>
      </w:r>
    </w:p>
    <w:p w14:paraId="66A50CEA">
      <w:pPr>
        <w:pStyle w:val="219"/>
        <w:ind w:firstLine="420"/>
        <w:rPr>
          <w:rFonts w:ascii="宋体" w:hAnsi="宋体" w:eastAsia="宋体" w:cs="宋体"/>
          <w:color w:val="auto"/>
          <w:sz w:val="21"/>
        </w:rPr>
      </w:pPr>
      <w:r>
        <w:rPr>
          <w:rFonts w:hint="eastAsia" w:ascii="宋体" w:hAnsi="宋体" w:eastAsia="宋体" w:cs="宋体"/>
          <w:color w:val="auto"/>
          <w:sz w:val="21"/>
        </w:rPr>
        <w:t xml:space="preserve">    收取履约保证金金额：</w:t>
      </w:r>
      <w:r>
        <w:rPr>
          <w:rFonts w:hint="eastAsia" w:ascii="宋体" w:hAnsi="宋体" w:eastAsia="宋体" w:cs="宋体"/>
          <w:bCs/>
          <w:color w:val="auto"/>
          <w:sz w:val="21"/>
          <w:u w:val="single"/>
        </w:rPr>
        <w:t xml:space="preserve">                            </w:t>
      </w:r>
    </w:p>
    <w:p w14:paraId="5751D7E6">
      <w:pPr>
        <w:snapToGrid w:val="0"/>
        <w:spacing w:line="400" w:lineRule="exact"/>
        <w:ind w:firstLine="420" w:firstLineChars="200"/>
        <w:rPr>
          <w:rFonts w:ascii="宋体" w:hAnsi="宋体" w:cs="宋体"/>
          <w:color w:val="auto"/>
        </w:rPr>
      </w:pPr>
      <w:r>
        <w:rPr>
          <w:rFonts w:hint="eastAsia" w:ascii="宋体" w:hAnsi="宋体" w:cs="宋体"/>
          <w:bCs/>
          <w:color w:val="auto"/>
          <w:szCs w:val="21"/>
        </w:rPr>
        <w:t xml:space="preserve">    履约担保期限：</w:t>
      </w:r>
      <w:r>
        <w:rPr>
          <w:rFonts w:hint="eastAsia" w:ascii="宋体" w:hAnsi="宋体" w:cs="宋体"/>
          <w:bCs/>
          <w:color w:val="auto"/>
          <w:szCs w:val="21"/>
          <w:u w:val="single"/>
        </w:rPr>
        <w:t xml:space="preserve">                                  </w:t>
      </w:r>
    </w:p>
    <w:p w14:paraId="7F7A3152">
      <w:pPr>
        <w:adjustRightInd w:val="0"/>
        <w:snapToGrid w:val="0"/>
        <w:spacing w:line="400" w:lineRule="exact"/>
        <w:ind w:firstLine="420" w:firstLineChars="200"/>
        <w:rPr>
          <w:rFonts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p>
    <w:p w14:paraId="2338E974">
      <w:pPr>
        <w:adjustRightInd w:val="0"/>
        <w:snapToGrid w:val="0"/>
        <w:spacing w:line="400" w:lineRule="exact"/>
        <w:ind w:firstLine="420" w:firstLineChars="200"/>
        <w:rPr>
          <w:rFonts w:ascii="宋体" w:hAnsi="宋体" w:cs="宋体"/>
          <w:color w:val="auto"/>
          <w:szCs w:val="21"/>
          <w:u w:val="single"/>
        </w:rPr>
      </w:pPr>
      <w:r>
        <w:rPr>
          <w:rFonts w:hint="eastAsia" w:ascii="宋体" w:hAnsi="宋体" w:cs="宋体"/>
          <w:bCs/>
          <w:color w:val="auto"/>
          <w:szCs w:val="21"/>
        </w:rPr>
        <w:t>（5）风险处置措施和替代方案：</w:t>
      </w:r>
      <w:r>
        <w:rPr>
          <w:rFonts w:hint="eastAsia" w:ascii="宋体" w:hAnsi="宋体" w:cs="宋体"/>
          <w:color w:val="auto"/>
          <w:szCs w:val="21"/>
          <w:u w:val="single"/>
        </w:rPr>
        <w:t xml:space="preserve">                                                               </w:t>
      </w:r>
    </w:p>
    <w:p w14:paraId="55DEB7D0">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合同验收</w:t>
      </w:r>
    </w:p>
    <w:p w14:paraId="45DA7370">
      <w:pPr>
        <w:numPr>
          <w:ilvl w:val="0"/>
          <w:numId w:val="11"/>
        </w:num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验收组织方式：</w:t>
      </w:r>
      <w:r>
        <w:rPr>
          <w:rFonts w:hint="eastAsia" w:ascii="宋体" w:hAnsi="宋体" w:cs="宋体"/>
          <w:color w:val="auto"/>
          <w:szCs w:val="21"/>
        </w:rPr>
        <w:sym w:font="Wingdings" w:char="00A8"/>
      </w:r>
      <w:r>
        <w:rPr>
          <w:rFonts w:hint="eastAsia" w:ascii="宋体" w:hAnsi="宋体"/>
          <w:bCs/>
          <w:color w:val="auto"/>
          <w:szCs w:val="21"/>
        </w:rPr>
        <w:t xml:space="preserve">自行组织 </w:t>
      </w:r>
      <w:r>
        <w:rPr>
          <w:rFonts w:hint="eastAsia" w:ascii="宋体" w:hAnsi="宋体" w:cs="宋体"/>
          <w:color w:val="auto"/>
          <w:szCs w:val="21"/>
        </w:rPr>
        <w:sym w:font="Wingdings" w:char="00A8"/>
      </w:r>
      <w:r>
        <w:rPr>
          <w:rFonts w:hint="eastAsia" w:ascii="宋体" w:hAnsi="宋体"/>
          <w:bCs/>
          <w:color w:val="auto"/>
          <w:szCs w:val="21"/>
        </w:rPr>
        <w:t>委托第三方组织</w:t>
      </w:r>
    </w:p>
    <w:p w14:paraId="70FD96FA">
      <w:pPr>
        <w:adjustRightInd w:val="0"/>
        <w:snapToGrid w:val="0"/>
        <w:spacing w:line="400" w:lineRule="exact"/>
        <w:rPr>
          <w:rFonts w:ascii="宋体" w:hAnsi="宋体"/>
          <w:bCs/>
          <w:color w:val="auto"/>
          <w:szCs w:val="21"/>
        </w:rPr>
      </w:pPr>
      <w:r>
        <w:rPr>
          <w:rFonts w:hint="eastAsia" w:ascii="宋体" w:hAnsi="宋体"/>
          <w:bCs/>
          <w:color w:val="auto"/>
          <w:szCs w:val="21"/>
        </w:rPr>
        <w:t xml:space="preserve">         验收主体：</w:t>
      </w:r>
      <w:r>
        <w:rPr>
          <w:rFonts w:hint="eastAsia" w:ascii="宋体" w:hAnsi="宋体"/>
          <w:bCs/>
          <w:color w:val="auto"/>
          <w:szCs w:val="21"/>
          <w:u w:val="single"/>
        </w:rPr>
        <w:t xml:space="preserve">                  </w:t>
      </w:r>
    </w:p>
    <w:p w14:paraId="61D75FF0">
      <w:pPr>
        <w:adjustRightInd w:val="0"/>
        <w:snapToGrid w:val="0"/>
        <w:spacing w:line="400" w:lineRule="exact"/>
        <w:rPr>
          <w:rFonts w:ascii="宋体" w:hAnsi="宋体"/>
          <w:bCs/>
          <w:color w:val="auto"/>
          <w:szCs w:val="21"/>
        </w:rPr>
      </w:pPr>
      <w:r>
        <w:rPr>
          <w:rFonts w:hint="eastAsia" w:ascii="宋体" w:hAnsi="宋体"/>
          <w:bCs/>
          <w:color w:val="auto"/>
          <w:szCs w:val="21"/>
        </w:rPr>
        <w:t xml:space="preserve">        是否邀请本项目的其他供应商参加验收：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3590D387">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是否邀请专家参加验收：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42DE52A3">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是否邀请服务对象参加验收：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3020C77E">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是否邀请第三方检测机构参加验收：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7C69D591">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是否进行抽查检测：</w:t>
      </w:r>
      <w:r>
        <w:rPr>
          <w:rFonts w:hint="eastAsia" w:ascii="宋体" w:hAnsi="宋体" w:cs="宋体"/>
          <w:color w:val="auto"/>
          <w:szCs w:val="21"/>
        </w:rPr>
        <w:sym w:font="Wingdings" w:char="00A8"/>
      </w:r>
      <w:r>
        <w:rPr>
          <w:rFonts w:hint="eastAsia" w:ascii="宋体" w:hAnsi="宋体"/>
          <w:bCs/>
          <w:color w:val="auto"/>
          <w:szCs w:val="21"/>
        </w:rPr>
        <w:t>是，抽查比例：</w:t>
      </w:r>
      <w:r>
        <w:rPr>
          <w:rFonts w:hint="eastAsia" w:ascii="宋体" w:hAnsi="宋体"/>
          <w:bCs/>
          <w:color w:val="auto"/>
          <w:szCs w:val="21"/>
          <w:u w:val="single"/>
        </w:rPr>
        <w:t xml:space="preserve">        </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2CC65070">
      <w:pPr>
        <w:adjustRightInd w:val="0"/>
        <w:snapToGrid w:val="0"/>
        <w:spacing w:line="400" w:lineRule="exact"/>
        <w:ind w:firstLine="840" w:firstLineChars="400"/>
        <w:rPr>
          <w:rFonts w:ascii="宋体" w:hAnsi="宋体"/>
          <w:bCs/>
          <w:color w:val="auto"/>
          <w:szCs w:val="21"/>
          <w:u w:val="single"/>
        </w:rPr>
      </w:pPr>
      <w:r>
        <w:rPr>
          <w:rFonts w:hint="eastAsia" w:ascii="宋体" w:hAnsi="宋体"/>
          <w:bCs/>
          <w:color w:val="auto"/>
          <w:szCs w:val="21"/>
        </w:rPr>
        <w:t>是否存在破坏性检测：</w:t>
      </w:r>
      <w:r>
        <w:rPr>
          <w:rFonts w:hint="eastAsia" w:ascii="宋体" w:hAnsi="宋体" w:cs="宋体"/>
          <w:color w:val="auto"/>
          <w:szCs w:val="21"/>
        </w:rPr>
        <w:sym w:font="Wingdings" w:char="00A8"/>
      </w:r>
      <w:r>
        <w:rPr>
          <w:rFonts w:hint="eastAsia" w:ascii="宋体" w:hAnsi="宋体"/>
          <w:bCs/>
          <w:color w:val="auto"/>
          <w:szCs w:val="21"/>
        </w:rPr>
        <w:t>是，</w:t>
      </w:r>
      <w:r>
        <w:rPr>
          <w:rFonts w:hint="eastAsia" w:ascii="宋体" w:hAnsi="宋体"/>
          <w:bCs/>
          <w:color w:val="auto"/>
          <w:szCs w:val="21"/>
          <w:u w:val="single"/>
        </w:rPr>
        <w:t>（应明确对被破坏的检测产品的处理方式）</w:t>
      </w:r>
    </w:p>
    <w:p w14:paraId="4CB4E9AF">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76C6FD9C">
      <w:pPr>
        <w:adjustRightInd w:val="0"/>
        <w:snapToGrid w:val="0"/>
        <w:spacing w:line="400" w:lineRule="exact"/>
        <w:ind w:firstLine="840" w:firstLineChars="400"/>
        <w:rPr>
          <w:rFonts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14:paraId="33A7BF79">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 xml:space="preserve">（计划于何时验收/供应商提出验收申请之日起   日内组织验收） </w:t>
      </w:r>
    </w:p>
    <w:p w14:paraId="0434BCF9">
      <w:p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（3）履约验收方式：</w:t>
      </w:r>
      <w:r>
        <w:rPr>
          <w:rFonts w:hint="eastAsia" w:ascii="宋体" w:hAnsi="宋体" w:cs="宋体"/>
          <w:color w:val="auto"/>
          <w:szCs w:val="21"/>
        </w:rPr>
        <w:sym w:font="Wingdings" w:char="00A8"/>
      </w:r>
      <w:r>
        <w:rPr>
          <w:rFonts w:hint="eastAsia" w:ascii="宋体" w:hAnsi="宋体"/>
          <w:bCs/>
          <w:color w:val="auto"/>
          <w:szCs w:val="21"/>
        </w:rPr>
        <w:t xml:space="preserve">一次性验收         </w:t>
      </w:r>
    </w:p>
    <w:p w14:paraId="4157C5AB">
      <w:pPr>
        <w:adjustRightInd w:val="0"/>
        <w:snapToGrid w:val="0"/>
        <w:spacing w:line="400" w:lineRule="exact"/>
        <w:rPr>
          <w:rFonts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分期/分项验收：</w:t>
      </w:r>
      <w:r>
        <w:rPr>
          <w:rFonts w:hint="eastAsia" w:ascii="宋体" w:hAnsi="宋体"/>
          <w:bCs/>
          <w:color w:val="auto"/>
          <w:szCs w:val="21"/>
          <w:u w:val="single"/>
        </w:rPr>
        <w:t xml:space="preserve"> （应明确分期</w:t>
      </w:r>
      <w:r>
        <w:rPr>
          <w:rFonts w:ascii="宋体" w:hAnsi="宋体"/>
          <w:bCs/>
          <w:color w:val="auto"/>
          <w:szCs w:val="21"/>
          <w:u w:val="single"/>
          <w:lang w:val="en"/>
        </w:rPr>
        <w:t>/</w:t>
      </w:r>
      <w:r>
        <w:rPr>
          <w:rFonts w:hint="eastAsia" w:ascii="宋体" w:hAnsi="宋体"/>
          <w:bCs/>
          <w:color w:val="auto"/>
          <w:szCs w:val="21"/>
          <w:u w:val="single"/>
          <w:lang w:val="en"/>
        </w:rPr>
        <w:t>分项验收的工作安排</w:t>
      </w:r>
      <w:r>
        <w:rPr>
          <w:rFonts w:hint="eastAsia" w:ascii="宋体" w:hAnsi="宋体"/>
          <w:bCs/>
          <w:color w:val="auto"/>
          <w:szCs w:val="21"/>
          <w:u w:val="single"/>
        </w:rPr>
        <w:t xml:space="preserve">）  </w:t>
      </w:r>
    </w:p>
    <w:p w14:paraId="75B42727">
      <w:p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14:paraId="3726A3A3">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（应当包括每一项技术和商务要求的履约情况，特别是落实政府采购扶持中小企业，支持绿色发展和乡村振兴等政策情况）                                      </w:t>
      </w:r>
    </w:p>
    <w:p w14:paraId="6B4C198D">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14:paraId="08B49479">
      <w:pPr>
        <w:pStyle w:val="219"/>
        <w:ind w:firstLine="420"/>
        <w:rPr>
          <w:rFonts w:ascii="宋体" w:hAnsi="宋体" w:eastAsia="宋体" w:cs="宋体"/>
          <w:color w:val="auto"/>
          <w:sz w:val="21"/>
        </w:rPr>
      </w:pPr>
      <w:r>
        <w:rPr>
          <w:rFonts w:hint="eastAsia" w:ascii="宋体" w:hAnsi="宋体" w:eastAsia="宋体" w:cs="宋体"/>
          <w:bCs/>
          <w:color w:val="auto"/>
          <w:sz w:val="21"/>
        </w:rPr>
        <w:t>（7）是否以采购活动中供应商提供的样品作为参考：</w:t>
      </w:r>
      <w:r>
        <w:rPr>
          <w:rFonts w:hint="eastAsia" w:ascii="宋体" w:hAnsi="宋体" w:eastAsia="宋体" w:cs="宋体"/>
          <w:color w:val="auto"/>
          <w:sz w:val="21"/>
        </w:rPr>
        <w:sym w:font="Wingdings" w:char="00A8"/>
      </w:r>
      <w:r>
        <w:rPr>
          <w:rFonts w:hint="eastAsia" w:ascii="宋体" w:hAnsi="宋体" w:eastAsia="宋体" w:cs="宋体"/>
          <w:bCs/>
          <w:color w:val="auto"/>
          <w:sz w:val="21"/>
        </w:rPr>
        <w:t xml:space="preserve">是  </w:t>
      </w:r>
      <w:r>
        <w:rPr>
          <w:rFonts w:hint="eastAsia" w:ascii="宋体" w:hAnsi="宋体" w:eastAsia="宋体" w:cs="宋体"/>
          <w:color w:val="auto"/>
          <w:sz w:val="21"/>
        </w:rPr>
        <w:sym w:font="Wingdings" w:char="00A8"/>
      </w:r>
      <w:r>
        <w:rPr>
          <w:rFonts w:hint="eastAsia" w:ascii="宋体" w:hAnsi="宋体" w:eastAsia="宋体" w:cs="宋体"/>
          <w:bCs/>
          <w:color w:val="auto"/>
          <w:sz w:val="21"/>
        </w:rPr>
        <w:t>否</w:t>
      </w:r>
    </w:p>
    <w:p w14:paraId="69DAA878">
      <w:pPr>
        <w:adjustRightInd w:val="0"/>
        <w:snapToGrid w:val="0"/>
        <w:spacing w:line="400" w:lineRule="exact"/>
        <w:ind w:firstLine="420" w:firstLineChars="200"/>
        <w:rPr>
          <w:rFonts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（产权过户登记等）          </w:t>
      </w:r>
    </w:p>
    <w:p w14:paraId="72D73B88">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组成合同的文件</w:t>
      </w:r>
    </w:p>
    <w:p w14:paraId="03D92DB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14:paraId="4DE9524D">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（1）政府采购合同协议书及其变更、补充协议</w:t>
      </w:r>
    </w:p>
    <w:p w14:paraId="7DFEDD16">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（2）政府采购合同专用条款</w:t>
      </w:r>
    </w:p>
    <w:p w14:paraId="6D20FFFF">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（3）政府采购合同通用条款</w:t>
      </w:r>
    </w:p>
    <w:p w14:paraId="23D9D1DD">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（4）中标（成交）通知书</w:t>
      </w:r>
    </w:p>
    <w:p w14:paraId="1DDE53E3">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（5）投标（响应）文件</w:t>
      </w:r>
    </w:p>
    <w:p w14:paraId="5A406B07">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（6）采购文件</w:t>
      </w:r>
    </w:p>
    <w:p w14:paraId="0EF750B5">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（7）有关技术文件，图纸</w:t>
      </w:r>
    </w:p>
    <w:p w14:paraId="18A39D3A">
      <w:pPr>
        <w:pStyle w:val="219"/>
        <w:ind w:firstLine="420"/>
        <w:rPr>
          <w:rFonts w:ascii="宋体" w:hAnsi="宋体" w:eastAsia="宋体" w:cs="宋体"/>
          <w:color w:val="auto"/>
          <w:kern w:val="2"/>
          <w:sz w:val="21"/>
        </w:rPr>
      </w:pPr>
      <w:r>
        <w:rPr>
          <w:rFonts w:hint="eastAsia" w:ascii="宋体" w:hAnsi="宋体" w:eastAsia="宋体" w:cs="宋体"/>
          <w:color w:val="auto"/>
          <w:sz w:val="21"/>
        </w:rPr>
        <w:t>（8）</w:t>
      </w:r>
      <w:r>
        <w:rPr>
          <w:rFonts w:hint="eastAsia" w:ascii="宋体" w:hAnsi="宋体" w:eastAsia="宋体" w:cs="宋体"/>
          <w:color w:val="auto"/>
          <w:kern w:val="2"/>
          <w:sz w:val="21"/>
        </w:rPr>
        <w:t>国家法律、行政法规和规章制度规定或合同约定的作为合同组成部分的其他文件</w:t>
      </w:r>
    </w:p>
    <w:p w14:paraId="6790EA34">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合同生效</w:t>
      </w:r>
    </w:p>
    <w:p w14:paraId="054E931B">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14:paraId="5927CB9E">
      <w:pPr>
        <w:numPr>
          <w:ilvl w:val="0"/>
          <w:numId w:val="9"/>
        </w:numPr>
        <w:adjustRightInd w:val="0"/>
        <w:snapToGrid w:val="0"/>
        <w:spacing w:line="400" w:lineRule="exact"/>
        <w:ind w:firstLine="420" w:firstLineChars="200"/>
        <w:rPr>
          <w:rFonts w:ascii="宋体" w:hAnsi="宋体"/>
          <w:b/>
          <w:color w:val="auto"/>
          <w:szCs w:val="21"/>
        </w:rPr>
      </w:pPr>
      <w:r>
        <w:rPr>
          <w:rFonts w:hint="eastAsia" w:ascii="宋体" w:hAnsi="宋体"/>
          <w:b/>
          <w:color w:val="auto"/>
          <w:szCs w:val="21"/>
        </w:rPr>
        <w:t>合同份数</w:t>
      </w:r>
    </w:p>
    <w:p w14:paraId="444DBAD0">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份，甲方执</w:t>
      </w:r>
      <w:r>
        <w:rPr>
          <w:rFonts w:hint="eastAsia" w:ascii="宋体" w:hAnsi="宋体"/>
          <w:color w:val="auto"/>
          <w:szCs w:val="21"/>
          <w:u w:val="single"/>
        </w:rPr>
        <w:t xml:space="preserve">    </w:t>
      </w:r>
      <w:r>
        <w:rPr>
          <w:rFonts w:hint="eastAsia" w:ascii="宋体" w:hAnsi="宋体"/>
          <w:color w:val="auto"/>
          <w:szCs w:val="21"/>
        </w:rPr>
        <w:t>份，乙方执</w:t>
      </w:r>
      <w:r>
        <w:rPr>
          <w:rFonts w:hint="eastAsia" w:ascii="宋体" w:hAnsi="宋体"/>
          <w:color w:val="auto"/>
          <w:szCs w:val="21"/>
          <w:u w:val="single"/>
        </w:rPr>
        <w:t xml:space="preserve">    </w:t>
      </w:r>
      <w:r>
        <w:rPr>
          <w:rFonts w:hint="eastAsia" w:ascii="宋体" w:hAnsi="宋体"/>
          <w:color w:val="auto"/>
          <w:szCs w:val="21"/>
        </w:rPr>
        <w:t>份，均具有同等法律效力。</w:t>
      </w:r>
    </w:p>
    <w:p w14:paraId="2ABD815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BAAE946">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14:paraId="0E0415DA">
      <w:pPr>
        <w:adjustRightInd w:val="0"/>
        <w:snapToGrid w:val="0"/>
        <w:spacing w:line="400" w:lineRule="exact"/>
        <w:ind w:firstLine="420" w:firstLineChars="200"/>
        <w:rPr>
          <w:color w:val="auto"/>
        </w:rPr>
      </w:pPr>
      <w:r>
        <w:rPr>
          <w:rFonts w:hint="eastAsia" w:ascii="宋体" w:hAnsi="宋体"/>
          <w:color w:val="auto"/>
          <w:szCs w:val="21"/>
        </w:rPr>
        <w:t>附件：具体标的及其技术要求和商务要求、联合协议、分包意向协议等。</w:t>
      </w:r>
    </w:p>
    <w:p w14:paraId="16DEDCE5">
      <w:pPr>
        <w:pStyle w:val="84"/>
        <w:spacing w:line="400" w:lineRule="exact"/>
        <w:rPr>
          <w:color w:val="auto"/>
        </w:rPr>
      </w:pPr>
    </w:p>
    <w:p w14:paraId="6B731200">
      <w:pPr>
        <w:pStyle w:val="3"/>
        <w:spacing w:line="400" w:lineRule="exact"/>
        <w:rPr>
          <w:rFonts w:ascii="宋体" w:hAnsi="宋体"/>
          <w:b w:val="0"/>
          <w:bCs w:val="0"/>
          <w:color w:val="auto"/>
          <w:sz w:val="21"/>
          <w:szCs w:val="21"/>
        </w:rPr>
      </w:pPr>
      <w:r>
        <w:rPr>
          <w:color w:val="auto"/>
          <w:lang w:val="en"/>
        </w:rPr>
        <w:t xml:space="preserve">   </w:t>
      </w:r>
    </w:p>
    <w:p w14:paraId="1F43A3A0">
      <w:pPr>
        <w:rPr>
          <w:color w:val="auto"/>
        </w:rPr>
      </w:pPr>
      <w:r>
        <w:rPr>
          <w:rFonts w:hint="eastAsia"/>
          <w:color w:val="auto"/>
        </w:rPr>
        <w:br w:type="page"/>
      </w:r>
    </w:p>
    <w:p w14:paraId="3F12FB05">
      <w:pPr>
        <w:pStyle w:val="84"/>
        <w:rPr>
          <w:color w:val="auto"/>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8"/>
        <w:gridCol w:w="2548"/>
        <w:gridCol w:w="2090"/>
        <w:gridCol w:w="2235"/>
      </w:tblGrid>
      <w:tr w14:paraId="0E32D2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7705C91">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rPr>
              <w:t>、受采购人委托签订合同的单位或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14:paraId="74AEE363">
            <w:pPr>
              <w:adjustRightInd w:val="0"/>
              <w:snapToGrid w:val="0"/>
              <w:spacing w:line="300" w:lineRule="exact"/>
              <w:jc w:val="center"/>
              <w:rPr>
                <w:color w:val="auto"/>
              </w:rPr>
            </w:pPr>
            <w:r>
              <w:rPr>
                <w:color w:val="auto"/>
                <w:szCs w:val="21"/>
              </w:rPr>
              <w:t>乙方</w:t>
            </w:r>
            <w:r>
              <w:rPr>
                <w:rFonts w:hint="eastAsia"/>
                <w:color w:val="auto"/>
                <w:szCs w:val="21"/>
              </w:rPr>
              <w:t>（供应商）</w:t>
            </w:r>
          </w:p>
        </w:tc>
      </w:tr>
      <w:tr w14:paraId="3653AB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EE36691">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7048836">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36506C6">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259" w:type="pct"/>
            <w:tcBorders>
              <w:top w:val="single" w:color="auto" w:sz="2" w:space="0"/>
              <w:left w:val="single" w:color="auto" w:sz="2" w:space="0"/>
              <w:bottom w:val="single" w:color="auto" w:sz="2" w:space="0"/>
            </w:tcBorders>
            <w:vAlign w:val="center"/>
          </w:tcPr>
          <w:p w14:paraId="0ADBDF02">
            <w:pPr>
              <w:adjustRightInd w:val="0"/>
              <w:snapToGrid w:val="0"/>
              <w:spacing w:line="300" w:lineRule="exact"/>
              <w:jc w:val="center"/>
              <w:rPr>
                <w:color w:val="auto"/>
                <w:spacing w:val="20"/>
                <w:szCs w:val="21"/>
              </w:rPr>
            </w:pPr>
          </w:p>
        </w:tc>
      </w:tr>
      <w:tr w14:paraId="3B2AAC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5BD7C5B">
            <w:pPr>
              <w:adjustRightInd w:val="0"/>
              <w:snapToGrid w:val="0"/>
              <w:spacing w:line="300" w:lineRule="exact"/>
              <w:jc w:val="center"/>
              <w:rPr>
                <w:color w:val="auto"/>
                <w:szCs w:val="21"/>
              </w:rPr>
            </w:pPr>
            <w:r>
              <w:rPr>
                <w:color w:val="auto"/>
                <w:szCs w:val="21"/>
              </w:rPr>
              <w:t>法定代表人</w:t>
            </w:r>
          </w:p>
          <w:p w14:paraId="227507EC">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14:paraId="71AE8285">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14:paraId="4F91AF6B">
            <w:pPr>
              <w:adjustRightInd w:val="0"/>
              <w:snapToGrid w:val="0"/>
              <w:spacing w:line="300" w:lineRule="exact"/>
              <w:jc w:val="center"/>
              <w:rPr>
                <w:color w:val="auto"/>
                <w:szCs w:val="21"/>
              </w:rPr>
            </w:pPr>
            <w:r>
              <w:rPr>
                <w:color w:val="auto"/>
                <w:szCs w:val="21"/>
              </w:rPr>
              <w:t>法定代表人</w:t>
            </w:r>
          </w:p>
          <w:p w14:paraId="4E07A241">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14:paraId="0951D4E8">
            <w:pPr>
              <w:adjustRightInd w:val="0"/>
              <w:snapToGrid w:val="0"/>
              <w:spacing w:line="300" w:lineRule="exact"/>
              <w:jc w:val="center"/>
              <w:rPr>
                <w:color w:val="auto"/>
                <w:szCs w:val="21"/>
              </w:rPr>
            </w:pPr>
          </w:p>
        </w:tc>
      </w:tr>
      <w:tr w14:paraId="492C6F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713A964">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6D5F3036">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ECF8A80">
            <w:pPr>
              <w:adjustRightInd w:val="0"/>
              <w:snapToGrid w:val="0"/>
              <w:spacing w:line="300" w:lineRule="exact"/>
              <w:jc w:val="center"/>
              <w:rPr>
                <w:color w:val="auto"/>
                <w:szCs w:val="21"/>
              </w:rPr>
            </w:pPr>
            <w:r>
              <w:rPr>
                <w:rFonts w:hint="eastAsia"/>
                <w:color w:val="auto"/>
                <w:szCs w:val="21"/>
              </w:rPr>
              <w:t>拥有者性别</w:t>
            </w:r>
          </w:p>
        </w:tc>
        <w:tc>
          <w:tcPr>
            <w:tcW w:w="1259" w:type="pct"/>
            <w:tcBorders>
              <w:top w:val="single" w:color="auto" w:sz="2" w:space="0"/>
              <w:left w:val="single" w:color="auto" w:sz="2" w:space="0"/>
              <w:bottom w:val="single" w:color="auto" w:sz="2" w:space="0"/>
            </w:tcBorders>
            <w:vAlign w:val="center"/>
          </w:tcPr>
          <w:p w14:paraId="77A659D7">
            <w:pPr>
              <w:adjustRightInd w:val="0"/>
              <w:snapToGrid w:val="0"/>
              <w:spacing w:line="300" w:lineRule="exact"/>
              <w:jc w:val="center"/>
              <w:rPr>
                <w:color w:val="auto"/>
                <w:spacing w:val="20"/>
                <w:szCs w:val="21"/>
              </w:rPr>
            </w:pPr>
          </w:p>
        </w:tc>
      </w:tr>
      <w:tr w14:paraId="5DE2CB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F57A41">
            <w:pPr>
              <w:adjustRightInd w:val="0"/>
              <w:snapToGrid w:val="0"/>
              <w:spacing w:line="300" w:lineRule="exact"/>
              <w:jc w:val="center"/>
              <w:rPr>
                <w:color w:val="auto"/>
                <w:szCs w:val="21"/>
              </w:rPr>
            </w:pPr>
            <w:r>
              <w:rPr>
                <w:rFonts w:hint="eastAsia"/>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992E28C">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7BC965">
            <w:pPr>
              <w:adjustRightInd w:val="0"/>
              <w:snapToGrid w:val="0"/>
              <w:spacing w:line="300" w:lineRule="exact"/>
              <w:jc w:val="center"/>
              <w:rPr>
                <w:color w:val="auto"/>
                <w:szCs w:val="21"/>
              </w:rPr>
            </w:pPr>
            <w:r>
              <w:rPr>
                <w:rFonts w:hint="eastAsia"/>
                <w:color w:val="auto"/>
                <w:szCs w:val="21"/>
              </w:rPr>
              <w:t>住  所</w:t>
            </w:r>
          </w:p>
        </w:tc>
        <w:tc>
          <w:tcPr>
            <w:tcW w:w="1259" w:type="pct"/>
            <w:tcBorders>
              <w:top w:val="single" w:color="auto" w:sz="2" w:space="0"/>
              <w:left w:val="single" w:color="auto" w:sz="2" w:space="0"/>
              <w:bottom w:val="single" w:color="auto" w:sz="2" w:space="0"/>
            </w:tcBorders>
            <w:vAlign w:val="center"/>
          </w:tcPr>
          <w:p w14:paraId="544A8B2C">
            <w:pPr>
              <w:adjustRightInd w:val="0"/>
              <w:snapToGrid w:val="0"/>
              <w:spacing w:line="300" w:lineRule="exact"/>
              <w:jc w:val="center"/>
              <w:rPr>
                <w:color w:val="auto"/>
                <w:spacing w:val="20"/>
                <w:szCs w:val="21"/>
              </w:rPr>
            </w:pPr>
          </w:p>
        </w:tc>
      </w:tr>
      <w:tr w14:paraId="23A2E6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65B2E09D">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D7CBEAF">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0E7F43A">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14:paraId="54B963C6">
            <w:pPr>
              <w:adjustRightInd w:val="0"/>
              <w:snapToGrid w:val="0"/>
              <w:spacing w:line="300" w:lineRule="exact"/>
              <w:jc w:val="center"/>
              <w:rPr>
                <w:color w:val="auto"/>
                <w:spacing w:val="20"/>
                <w:szCs w:val="21"/>
              </w:rPr>
            </w:pPr>
          </w:p>
        </w:tc>
      </w:tr>
      <w:tr w14:paraId="3D7FD2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6D99DA">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1E623CB">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0D465DA">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14:paraId="3B3BC01E">
            <w:pPr>
              <w:adjustRightInd w:val="0"/>
              <w:snapToGrid w:val="0"/>
              <w:spacing w:line="300" w:lineRule="exact"/>
              <w:jc w:val="center"/>
              <w:rPr>
                <w:color w:val="auto"/>
                <w:spacing w:val="20"/>
                <w:szCs w:val="21"/>
              </w:rPr>
            </w:pPr>
          </w:p>
        </w:tc>
      </w:tr>
      <w:tr w14:paraId="4DAF36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4A29C88">
            <w:pPr>
              <w:adjustRightInd w:val="0"/>
              <w:snapToGrid w:val="0"/>
              <w:spacing w:line="300" w:lineRule="exact"/>
              <w:jc w:val="center"/>
              <w:rPr>
                <w:color w:val="auto"/>
                <w:szCs w:val="21"/>
              </w:rPr>
            </w:pPr>
            <w:r>
              <w:rPr>
                <w:rFonts w:hint="eastAsia"/>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A6A90BF">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B3B325">
            <w:pPr>
              <w:adjustRightInd w:val="0"/>
              <w:snapToGrid w:val="0"/>
              <w:spacing w:line="300" w:lineRule="exact"/>
              <w:jc w:val="center"/>
              <w:rPr>
                <w:color w:val="auto"/>
                <w:szCs w:val="21"/>
              </w:rPr>
            </w:pPr>
            <w:r>
              <w:rPr>
                <w:rFonts w:hint="eastAsia"/>
                <w:color w:val="auto"/>
                <w:szCs w:val="21"/>
              </w:rPr>
              <w:t>通信地址</w:t>
            </w:r>
          </w:p>
        </w:tc>
        <w:tc>
          <w:tcPr>
            <w:tcW w:w="1259" w:type="pct"/>
            <w:tcBorders>
              <w:top w:val="single" w:color="auto" w:sz="2" w:space="0"/>
              <w:left w:val="single" w:color="auto" w:sz="2" w:space="0"/>
              <w:bottom w:val="single" w:color="auto" w:sz="2" w:space="0"/>
            </w:tcBorders>
            <w:vAlign w:val="center"/>
          </w:tcPr>
          <w:p w14:paraId="6DC4BE9C">
            <w:pPr>
              <w:adjustRightInd w:val="0"/>
              <w:snapToGrid w:val="0"/>
              <w:spacing w:line="300" w:lineRule="exact"/>
              <w:jc w:val="center"/>
              <w:rPr>
                <w:color w:val="auto"/>
                <w:spacing w:val="20"/>
                <w:szCs w:val="21"/>
              </w:rPr>
            </w:pPr>
          </w:p>
        </w:tc>
      </w:tr>
      <w:tr w14:paraId="018AC6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5C0BBA">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6D04DF">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52A46A5">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14:paraId="24C7E00D">
            <w:pPr>
              <w:adjustRightInd w:val="0"/>
              <w:snapToGrid w:val="0"/>
              <w:spacing w:line="300" w:lineRule="exact"/>
              <w:jc w:val="center"/>
              <w:rPr>
                <w:color w:val="auto"/>
                <w:spacing w:val="20"/>
                <w:szCs w:val="21"/>
              </w:rPr>
            </w:pPr>
          </w:p>
        </w:tc>
      </w:tr>
      <w:tr w14:paraId="72F643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B21DFA">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95D60EE">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D8E3C3">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14:paraId="49058D4C">
            <w:pPr>
              <w:adjustRightInd w:val="0"/>
              <w:snapToGrid w:val="0"/>
              <w:spacing w:line="300" w:lineRule="exact"/>
              <w:jc w:val="center"/>
              <w:rPr>
                <w:color w:val="auto"/>
                <w:spacing w:val="20"/>
                <w:szCs w:val="21"/>
              </w:rPr>
            </w:pPr>
          </w:p>
        </w:tc>
      </w:tr>
      <w:tr w14:paraId="237924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0B5473E7">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06366F8">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E9FF99">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2429CC7A">
            <w:pPr>
              <w:adjustRightInd w:val="0"/>
              <w:snapToGrid w:val="0"/>
              <w:spacing w:line="300" w:lineRule="exact"/>
              <w:jc w:val="center"/>
              <w:rPr>
                <w:color w:val="auto"/>
                <w:spacing w:val="20"/>
                <w:szCs w:val="21"/>
              </w:rPr>
            </w:pPr>
          </w:p>
        </w:tc>
      </w:tr>
      <w:tr w14:paraId="7A08EA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0BA6B4">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83EDF4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E3D169">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14:paraId="344B242F">
            <w:pPr>
              <w:adjustRightInd w:val="0"/>
              <w:snapToGrid w:val="0"/>
              <w:spacing w:line="300" w:lineRule="exact"/>
              <w:jc w:val="center"/>
              <w:rPr>
                <w:color w:val="auto"/>
                <w:spacing w:val="20"/>
                <w:szCs w:val="21"/>
              </w:rPr>
            </w:pPr>
          </w:p>
        </w:tc>
      </w:tr>
      <w:tr w14:paraId="4FFCCC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FACB6F">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ABD0F21">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F12CC0">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14:paraId="1A5A19D9">
            <w:pPr>
              <w:adjustRightInd w:val="0"/>
              <w:snapToGrid w:val="0"/>
              <w:spacing w:line="300" w:lineRule="exact"/>
              <w:jc w:val="center"/>
              <w:rPr>
                <w:color w:val="auto"/>
                <w:spacing w:val="20"/>
                <w:szCs w:val="21"/>
              </w:rPr>
            </w:pPr>
          </w:p>
        </w:tc>
      </w:tr>
      <w:tr w14:paraId="6980FB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048318">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EDEF51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A1D6B5">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14:paraId="2BC9CCDB">
            <w:pPr>
              <w:adjustRightInd w:val="0"/>
              <w:snapToGrid w:val="0"/>
              <w:spacing w:line="300" w:lineRule="exact"/>
              <w:jc w:val="center"/>
              <w:rPr>
                <w:color w:val="auto"/>
                <w:spacing w:val="20"/>
                <w:szCs w:val="21"/>
              </w:rPr>
            </w:pPr>
          </w:p>
        </w:tc>
      </w:tr>
      <w:tr w14:paraId="191647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D974C29">
            <w:pPr>
              <w:pStyle w:val="18"/>
              <w:snapToGrid w:val="0"/>
              <w:spacing w:before="190" w:beforeLines="50" w:line="360" w:lineRule="auto"/>
              <w:ind w:left="0"/>
              <w:jc w:val="left"/>
              <w:rPr>
                <w:color w:val="auto"/>
                <w:spacing w:val="20"/>
                <w:szCs w:val="21"/>
              </w:rPr>
            </w:pPr>
            <w:r>
              <w:rPr>
                <w:rFonts w:hint="eastAsia" w:ascii="宋体" w:hAnsi="宋体"/>
                <w:color w:val="auto"/>
                <w:szCs w:val="21"/>
              </w:rPr>
              <w:t>注：涉及联合体或其他合同主体的信息应按上表格式加列。</w:t>
            </w:r>
          </w:p>
        </w:tc>
      </w:tr>
    </w:tbl>
    <w:p w14:paraId="69F1F06F">
      <w:pPr>
        <w:pStyle w:val="3"/>
        <w:adjustRightInd w:val="0"/>
        <w:snapToGrid w:val="0"/>
        <w:spacing w:before="190" w:beforeLines="50"/>
        <w:jc w:val="center"/>
        <w:rPr>
          <w:rFonts w:ascii="黑体" w:hAnsi="黑体"/>
          <w:color w:val="auto"/>
          <w:sz w:val="28"/>
          <w:szCs w:val="28"/>
        </w:rPr>
      </w:pPr>
      <w:r>
        <w:rPr>
          <w:rFonts w:ascii="宋体" w:hAnsi="宋体"/>
          <w:color w:val="auto"/>
          <w:sz w:val="21"/>
          <w:szCs w:val="21"/>
          <w:u w:val="single"/>
        </w:rPr>
        <w:br w:type="page"/>
      </w:r>
      <w:r>
        <w:rPr>
          <w:rFonts w:hint="eastAsia" w:ascii="黑体" w:hAnsi="黑体"/>
          <w:b w:val="0"/>
          <w:bCs w:val="0"/>
          <w:color w:val="auto"/>
          <w:sz w:val="28"/>
          <w:szCs w:val="28"/>
        </w:rPr>
        <w:t>第二节 政府采购合同通用条款</w:t>
      </w:r>
    </w:p>
    <w:p w14:paraId="584D8091">
      <w:pPr>
        <w:tabs>
          <w:tab w:val="left" w:pos="8820"/>
          <w:tab w:val="left" w:pos="9345"/>
          <w:tab w:val="left" w:pos="9765"/>
        </w:tabs>
        <w:adjustRightInd w:val="0"/>
        <w:snapToGrid w:val="0"/>
        <w:spacing w:line="400" w:lineRule="exact"/>
        <w:jc w:val="left"/>
        <w:rPr>
          <w:rFonts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14:paraId="45590C98">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1.1合同当事人</w:t>
      </w:r>
    </w:p>
    <w:p w14:paraId="720AD51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（1）采购人（以下称甲方）是指使用财政性资金，通过政府采购方式向供应商购买货物及其相关服务的国家机关、事业单位、团体组织。</w:t>
      </w:r>
    </w:p>
    <w:p w14:paraId="5EB9090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（2）供应商（以下称乙方）是指参加政府采购活动并且中标（成交），向采购人提供合同约定的货物及其相关服务的法人、非法人组织或者自然人。</w:t>
      </w:r>
    </w:p>
    <w:p w14:paraId="6EA233E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（3）其他合同主体是指除采购人和供应商以外，</w:t>
      </w:r>
      <w:r>
        <w:rPr>
          <w:rFonts w:hint="eastAsia" w:ascii="宋体" w:hAnsi="宋体" w:cs="宋体"/>
          <w:bCs/>
          <w:color w:val="auto"/>
          <w:szCs w:val="21"/>
        </w:rPr>
        <w:t>依法参与合同缔结或履行，享有权利、承担义务的合同当事人</w:t>
      </w:r>
      <w:r>
        <w:rPr>
          <w:rFonts w:hint="eastAsia" w:ascii="宋体" w:hAnsi="宋体"/>
          <w:color w:val="auto"/>
          <w:szCs w:val="21"/>
        </w:rPr>
        <w:t>。</w:t>
      </w:r>
    </w:p>
    <w:p w14:paraId="2D0F6064">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1.2本合同下列术语应解释为：</w:t>
      </w:r>
    </w:p>
    <w:p w14:paraId="0482984A">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（1）“合同”系指</w:t>
      </w:r>
      <w:r>
        <w:rPr>
          <w:rFonts w:hint="eastAsia" w:ascii="宋体" w:hAnsi="宋体" w:cs="宋体"/>
          <w:bCs/>
          <w:color w:val="auto"/>
          <w:szCs w:val="21"/>
        </w:rPr>
        <w:t>合同当事人意思表示达成一致的任何协议，包括签署的</w:t>
      </w:r>
      <w:r>
        <w:rPr>
          <w:rFonts w:hint="eastAsia" w:ascii="宋体" w:hAnsi="宋体"/>
          <w:color w:val="auto"/>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rPr>
        <w:t>国家法律、行政法规和规章制度规定或合同约定的作为合同组成部分的其他文件</w:t>
      </w:r>
      <w:r>
        <w:rPr>
          <w:rFonts w:hint="eastAsia" w:ascii="宋体" w:hAnsi="宋体"/>
          <w:color w:val="auto"/>
          <w:szCs w:val="21"/>
        </w:rPr>
        <w:t>。</w:t>
      </w:r>
    </w:p>
    <w:p w14:paraId="0F08A66B">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（2）“合同价款”系指根据本合同规定乙方在全面履行合同义务后甲方应支付给乙方的价款。</w:t>
      </w:r>
    </w:p>
    <w:p w14:paraId="4A48700C">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（3）“货物”系指乙方根据本合同规定须向甲方提供的各种形态和种类的物品，包括原材料、设备、产品（包括软件）及相关的其备品备件、工具、手册及</w:t>
      </w:r>
      <w:r>
        <w:rPr>
          <w:rFonts w:ascii="宋体" w:hAnsi="宋体"/>
          <w:color w:val="auto"/>
          <w:szCs w:val="21"/>
          <w:lang w:val="en"/>
        </w:rPr>
        <w:t>其他</w:t>
      </w:r>
      <w:r>
        <w:rPr>
          <w:rFonts w:hint="eastAsia" w:ascii="宋体" w:hAnsi="宋体"/>
          <w:color w:val="auto"/>
          <w:szCs w:val="21"/>
        </w:rPr>
        <w:t>技术资料和材料等。</w:t>
      </w:r>
    </w:p>
    <w:p w14:paraId="71344EAC">
      <w:pPr>
        <w:adjustRightInd w:val="0"/>
        <w:snapToGrid w:val="0"/>
        <w:spacing w:line="400" w:lineRule="exact"/>
        <w:ind w:firstLine="420" w:firstLineChars="200"/>
        <w:jc w:val="left"/>
        <w:rPr>
          <w:rFonts w:ascii="宋体" w:hAnsi="宋体"/>
          <w:color w:val="auto"/>
          <w:szCs w:val="21"/>
          <w:highlight w:val="yellow"/>
        </w:rPr>
      </w:pPr>
      <w:r>
        <w:rPr>
          <w:rFonts w:hint="eastAsia" w:ascii="宋体" w:hAnsi="宋体"/>
          <w:color w:val="auto"/>
          <w:szCs w:val="21"/>
        </w:rPr>
        <w:t>（4）“相关服务”系指根据合同规定，乙方应提供的与货物有关的技术、管理和</w:t>
      </w:r>
      <w:r>
        <w:rPr>
          <w:rFonts w:ascii="宋体" w:hAnsi="宋体"/>
          <w:color w:val="auto"/>
          <w:szCs w:val="21"/>
          <w:lang w:val="en"/>
        </w:rPr>
        <w:t>其他</w:t>
      </w:r>
      <w:r>
        <w:rPr>
          <w:rFonts w:hint="eastAsia" w:ascii="宋体" w:hAnsi="宋体"/>
          <w:color w:val="auto"/>
          <w:szCs w:val="21"/>
        </w:rPr>
        <w:t>服务，包括但不限于：管理和质量保证、运输、保险、检验、现场准备、安装、集成、调试、培训、维修、废弃处置、技术支持等以及合同中规定乙方应承担的</w:t>
      </w:r>
      <w:r>
        <w:rPr>
          <w:rFonts w:ascii="宋体" w:hAnsi="宋体"/>
          <w:color w:val="auto"/>
          <w:szCs w:val="21"/>
          <w:lang w:val="en"/>
        </w:rPr>
        <w:t>其他</w:t>
      </w:r>
      <w:r>
        <w:rPr>
          <w:rFonts w:hint="eastAsia" w:ascii="宋体" w:hAnsi="宋体"/>
          <w:color w:val="auto"/>
          <w:szCs w:val="21"/>
        </w:rPr>
        <w:t>义务。</w:t>
      </w:r>
    </w:p>
    <w:p w14:paraId="4C381063">
      <w:pPr>
        <w:adjustRightInd w:val="0"/>
        <w:snapToGrid w:val="0"/>
        <w:spacing w:line="400" w:lineRule="exact"/>
        <w:ind w:firstLine="420" w:firstLineChars="200"/>
        <w:jc w:val="left"/>
        <w:rPr>
          <w:rFonts w:ascii="宋体" w:hAnsi="宋体"/>
          <w:color w:val="auto"/>
          <w:szCs w:val="21"/>
          <w:highlight w:val="yellow"/>
        </w:rPr>
      </w:pPr>
      <w:r>
        <w:rPr>
          <w:rFonts w:hint="eastAsia" w:ascii="宋体" w:hAnsi="宋体"/>
          <w:color w:val="auto"/>
          <w:szCs w:val="21"/>
        </w:rPr>
        <w:t>（5）“分包”系指中标（成交）供应商按采购文件、投标（响应）文件的规定，根据分包意向协议，将中标（成交）项目中的部分履约内容，分给具有相应资质条件的供应商履行合同的行为。</w:t>
      </w:r>
    </w:p>
    <w:p w14:paraId="56EA8153">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rPr>
        <w:t>政府采购合同专用条款</w:t>
      </w:r>
      <w:r>
        <w:rPr>
          <w:rFonts w:hint="eastAsia" w:ascii="宋体" w:hAnsi="宋体"/>
          <w:color w:val="auto"/>
          <w:szCs w:val="21"/>
        </w:rPr>
        <w:t>】。</w:t>
      </w:r>
    </w:p>
    <w:p w14:paraId="1C14C095">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（7）其他术语解释，见【</w:t>
      </w:r>
      <w:r>
        <w:rPr>
          <w:rFonts w:hint="eastAsia" w:ascii="宋体" w:hAnsi="宋体"/>
          <w:b/>
          <w:bCs/>
          <w:color w:val="auto"/>
          <w:szCs w:val="21"/>
        </w:rPr>
        <w:t>政府采购合同专用条款</w:t>
      </w:r>
      <w:r>
        <w:rPr>
          <w:rFonts w:hint="eastAsia" w:ascii="宋体" w:hAnsi="宋体"/>
          <w:color w:val="auto"/>
          <w:szCs w:val="21"/>
        </w:rPr>
        <w:t>】。</w:t>
      </w:r>
    </w:p>
    <w:p w14:paraId="7EF12930">
      <w:pPr>
        <w:numPr>
          <w:ilvl w:val="0"/>
          <w:numId w:val="12"/>
        </w:numPr>
        <w:autoSpaceDE w:val="0"/>
        <w:autoSpaceDN w:val="0"/>
        <w:adjustRightInd w:val="0"/>
        <w:snapToGrid w:val="0"/>
        <w:spacing w:line="400" w:lineRule="exact"/>
        <w:jc w:val="left"/>
        <w:rPr>
          <w:rFonts w:ascii="宋体" w:hAnsi="宋体"/>
          <w:b/>
          <w:bCs/>
          <w:color w:val="auto"/>
          <w:sz w:val="24"/>
        </w:rPr>
      </w:pPr>
      <w:r>
        <w:rPr>
          <w:rFonts w:hint="eastAsia" w:ascii="宋体" w:hAnsi="宋体"/>
          <w:b/>
          <w:color w:val="auto"/>
          <w:sz w:val="24"/>
        </w:rPr>
        <w:t>合同标的及金额</w:t>
      </w:r>
    </w:p>
    <w:p w14:paraId="44BF8DAE">
      <w:pPr>
        <w:autoSpaceDE w:val="0"/>
        <w:autoSpaceDN w:val="0"/>
        <w:adjustRightInd w:val="0"/>
        <w:snapToGrid w:val="0"/>
        <w:spacing w:line="400" w:lineRule="exact"/>
        <w:ind w:firstLine="420" w:firstLineChars="200"/>
        <w:jc w:val="left"/>
        <w:rPr>
          <w:rFonts w:ascii="宋体" w:hAnsi="宋体"/>
          <w:b/>
          <w:bCs/>
          <w:i/>
          <w:iCs/>
          <w:color w:val="auto"/>
          <w:szCs w:val="21"/>
        </w:rPr>
      </w:pPr>
      <w:r>
        <w:rPr>
          <w:rFonts w:hint="eastAsia" w:ascii="宋体" w:hAnsi="宋体"/>
          <w:color w:val="auto"/>
          <w:szCs w:val="21"/>
        </w:rPr>
        <w:t>2.1 合同标的及金额应与中标（成交）结果一致。乙方为履行本合同而发生的所有费用均应包含在合同价款中，甲方不再另行支付</w:t>
      </w:r>
      <w:r>
        <w:rPr>
          <w:rFonts w:ascii="宋体" w:hAnsi="宋体"/>
          <w:color w:val="auto"/>
          <w:szCs w:val="21"/>
          <w:lang w:val="en"/>
        </w:rPr>
        <w:t>其他</w:t>
      </w:r>
      <w:r>
        <w:rPr>
          <w:rFonts w:hint="eastAsia" w:ascii="宋体" w:hAnsi="宋体"/>
          <w:color w:val="auto"/>
          <w:szCs w:val="21"/>
        </w:rPr>
        <w:t>任何费用。</w:t>
      </w:r>
    </w:p>
    <w:p w14:paraId="53E15FA3">
      <w:pPr>
        <w:adjustRightInd w:val="0"/>
        <w:snapToGrid w:val="0"/>
        <w:spacing w:line="400" w:lineRule="exact"/>
        <w:jc w:val="left"/>
        <w:rPr>
          <w:rFonts w:ascii="宋体" w:hAnsi="宋体"/>
          <w:b/>
          <w:color w:val="auto"/>
          <w:sz w:val="24"/>
        </w:rPr>
      </w:pPr>
      <w:r>
        <w:rPr>
          <w:rFonts w:hint="eastAsia" w:ascii="宋体" w:hAnsi="宋体"/>
          <w:b/>
          <w:color w:val="auto"/>
          <w:sz w:val="24"/>
        </w:rPr>
        <w:t>3. 履行合同的时间、地点和方式</w:t>
      </w:r>
    </w:p>
    <w:p w14:paraId="201BDDC6">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3.1 </w:t>
      </w:r>
      <w:r>
        <w:rPr>
          <w:rFonts w:hint="eastAsia" w:ascii="宋体" w:hAnsi="宋体" w:cs="宋体"/>
          <w:color w:val="auto"/>
          <w:szCs w:val="21"/>
        </w:rPr>
        <w:t>乙方应当在约定的时间、地点，按照约定方式履行合同。</w:t>
      </w:r>
    </w:p>
    <w:p w14:paraId="58ED03F9">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4. 甲方的权利和义务</w:t>
      </w:r>
    </w:p>
    <w:p w14:paraId="148293D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4.1</w:t>
      </w:r>
      <w:r>
        <w:rPr>
          <w:rFonts w:ascii="宋体" w:hAnsi="宋体"/>
          <w:color w:val="auto"/>
          <w:szCs w:val="21"/>
        </w:rPr>
        <w:t xml:space="preserve"> 签署合同后，甲方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r>
        <w:rPr>
          <w:rFonts w:hint="eastAsia" w:ascii="宋体" w:hAnsi="宋体"/>
          <w:color w:val="auto"/>
          <w:szCs w:val="21"/>
        </w:rPr>
        <w:t>甲方有权对乙方的履约行为进行检查，并</w:t>
      </w:r>
      <w:r>
        <w:rPr>
          <w:rFonts w:ascii="宋体" w:hAnsi="宋体"/>
          <w:color w:val="auto"/>
          <w:szCs w:val="21"/>
        </w:rPr>
        <w:t>及时确认乙方提交的事项</w:t>
      </w:r>
      <w:r>
        <w:rPr>
          <w:rFonts w:hint="eastAsia" w:ascii="宋体" w:hAnsi="宋体"/>
          <w:color w:val="auto"/>
          <w:szCs w:val="21"/>
        </w:rPr>
        <w:t>。甲方应当</w:t>
      </w:r>
      <w:r>
        <w:rPr>
          <w:rFonts w:ascii="宋体" w:hAnsi="宋体"/>
          <w:color w:val="auto"/>
          <w:szCs w:val="21"/>
        </w:rPr>
        <w:t>配合乙方完成</w:t>
      </w:r>
      <w:r>
        <w:rPr>
          <w:rFonts w:hint="eastAsia" w:ascii="宋体" w:hAnsi="宋体"/>
          <w:color w:val="auto"/>
          <w:szCs w:val="21"/>
        </w:rPr>
        <w:t>相关项目</w:t>
      </w:r>
      <w:r>
        <w:rPr>
          <w:rFonts w:ascii="宋体" w:hAnsi="宋体"/>
          <w:color w:val="auto"/>
          <w:szCs w:val="21"/>
        </w:rPr>
        <w:t>实施工作。</w:t>
      </w:r>
    </w:p>
    <w:p w14:paraId="6A4B233D">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4.2 </w:t>
      </w:r>
      <w:r>
        <w:rPr>
          <w:rFonts w:ascii="宋体" w:hAnsi="宋体"/>
          <w:color w:val="auto"/>
          <w:szCs w:val="21"/>
        </w:rPr>
        <w:t>甲方有权要求乙方按时提交各阶段有关</w:t>
      </w:r>
      <w:r>
        <w:rPr>
          <w:rFonts w:hint="eastAsia" w:ascii="宋体" w:hAnsi="宋体"/>
          <w:color w:val="auto"/>
          <w:szCs w:val="21"/>
        </w:rPr>
        <w:t>安排计划</w:t>
      </w:r>
      <w:r>
        <w:rPr>
          <w:rFonts w:ascii="宋体" w:hAnsi="宋体"/>
          <w:color w:val="auto"/>
          <w:szCs w:val="21"/>
        </w:rPr>
        <w:t>，并有权</w:t>
      </w:r>
      <w:r>
        <w:rPr>
          <w:rFonts w:hint="eastAsia" w:ascii="宋体" w:hAnsi="宋体"/>
          <w:color w:val="auto"/>
          <w:szCs w:val="21"/>
        </w:rPr>
        <w:t>定期核对乙方提供货物数量、规格、质量等内容。甲方</w:t>
      </w:r>
      <w:r>
        <w:rPr>
          <w:rFonts w:ascii="宋体" w:hAnsi="宋体"/>
          <w:color w:val="auto"/>
          <w:szCs w:val="21"/>
        </w:rPr>
        <w:t>有权督促乙方工作并要求乙方</w:t>
      </w:r>
      <w:r>
        <w:rPr>
          <w:rFonts w:hint="eastAsia" w:ascii="宋体" w:hAnsi="宋体"/>
          <w:color w:val="auto"/>
          <w:szCs w:val="21"/>
        </w:rPr>
        <w:t>更</w:t>
      </w:r>
      <w:r>
        <w:rPr>
          <w:rFonts w:ascii="宋体" w:hAnsi="宋体"/>
          <w:color w:val="auto"/>
          <w:szCs w:val="21"/>
        </w:rPr>
        <w:t>换不符合要求的</w:t>
      </w:r>
      <w:r>
        <w:rPr>
          <w:rFonts w:hint="eastAsia" w:ascii="宋体" w:hAnsi="宋体"/>
          <w:color w:val="auto"/>
          <w:szCs w:val="21"/>
        </w:rPr>
        <w:t>货物</w:t>
      </w:r>
      <w:r>
        <w:rPr>
          <w:rFonts w:ascii="宋体" w:hAnsi="宋体"/>
          <w:color w:val="auto"/>
          <w:szCs w:val="21"/>
        </w:rPr>
        <w:t>。</w:t>
      </w:r>
    </w:p>
    <w:p w14:paraId="775068F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w:t>
      </w:r>
      <w:r>
        <w:rPr>
          <w:rFonts w:ascii="宋体" w:hAnsi="宋体"/>
          <w:color w:val="auto"/>
          <w:szCs w:val="21"/>
        </w:rPr>
        <w:t>3</w:t>
      </w:r>
      <w:r>
        <w:rPr>
          <w:rFonts w:hint="eastAsia" w:ascii="宋体" w:hAnsi="宋体"/>
          <w:color w:val="auto"/>
          <w:szCs w:val="21"/>
        </w:rPr>
        <w:t xml:space="preserve"> </w:t>
      </w:r>
      <w:r>
        <w:rPr>
          <w:rFonts w:ascii="宋体" w:hAnsi="宋体"/>
          <w:color w:val="auto"/>
          <w:szCs w:val="21"/>
        </w:rPr>
        <w:t>甲方</w:t>
      </w:r>
      <w:r>
        <w:rPr>
          <w:rFonts w:hint="eastAsia" w:ascii="宋体" w:hAnsi="宋体"/>
          <w:color w:val="auto"/>
          <w:szCs w:val="21"/>
        </w:rPr>
        <w:t>有权要求乙方对缺陷部分予以修复，并按合同约定享有货物保修及其他合同约定的权利。</w:t>
      </w:r>
    </w:p>
    <w:p w14:paraId="0BD0DDF9">
      <w:pPr>
        <w:snapToGrid w:val="0"/>
        <w:spacing w:line="400" w:lineRule="exact"/>
        <w:ind w:firstLine="420" w:firstLineChars="200"/>
        <w:rPr>
          <w:rFonts w:eastAsia="华文楷体"/>
          <w:color w:val="auto"/>
        </w:rPr>
      </w:pPr>
      <w:r>
        <w:rPr>
          <w:rFonts w:ascii="宋体" w:hAnsi="宋体"/>
          <w:color w:val="auto"/>
          <w:szCs w:val="21"/>
        </w:rPr>
        <w:t>4.4 甲方应当按照合同约定及时对交付的货物进行验收</w:t>
      </w:r>
      <w:r>
        <w:rPr>
          <w:rFonts w:hint="eastAsia" w:ascii="宋体" w:hAnsi="宋体"/>
          <w:color w:val="auto"/>
          <w:szCs w:val="21"/>
        </w:rPr>
        <w:t>，</w:t>
      </w:r>
      <w:r>
        <w:rPr>
          <w:rFonts w:hint="eastAsia" w:ascii="宋体" w:hAnsi="宋体" w:cs="宋体"/>
          <w:color w:val="auto"/>
          <w:szCs w:val="21"/>
        </w:rPr>
        <w:t>未</w:t>
      </w:r>
      <w:r>
        <w:rPr>
          <w:rFonts w:hint="eastAsia" w:ascii="宋体" w:hAnsi="宋体"/>
          <w:color w:val="auto"/>
          <w:szCs w:val="21"/>
        </w:rPr>
        <w:t>在</w:t>
      </w:r>
      <w:r>
        <w:rPr>
          <w:rFonts w:hint="eastAsia" w:ascii="宋体" w:hAnsi="宋体" w:cs="宋体"/>
          <w:b/>
          <w:bCs/>
          <w:color w:val="auto"/>
          <w:szCs w:val="21"/>
        </w:rPr>
        <w:t>【政府采购合同专用条款】</w:t>
      </w:r>
      <w:r>
        <w:rPr>
          <w:rFonts w:hint="eastAsia" w:ascii="宋体" w:hAnsi="宋体" w:cs="宋体"/>
          <w:color w:val="auto"/>
          <w:szCs w:val="21"/>
        </w:rPr>
        <w:t>约定的期限内对乙方履约提出任何异议或者向乙方作出任何说明的，</w:t>
      </w:r>
      <w:r>
        <w:rPr>
          <w:rFonts w:hint="eastAsia" w:ascii="宋体" w:hAnsi="宋体"/>
          <w:color w:val="auto"/>
          <w:szCs w:val="21"/>
        </w:rPr>
        <w:t>视为验收通过。</w:t>
      </w:r>
    </w:p>
    <w:p w14:paraId="78F1266C">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 xml:space="preserve">5 </w:t>
      </w:r>
      <w:r>
        <w:rPr>
          <w:rFonts w:hint="eastAsia" w:ascii="宋体" w:hAnsi="宋体"/>
          <w:color w:val="auto"/>
          <w:szCs w:val="21"/>
        </w:rPr>
        <w:t>甲方应当根据合同约定及时向乙方支付合同价款</w:t>
      </w:r>
      <w:r>
        <w:rPr>
          <w:rFonts w:ascii="宋体" w:hAnsi="宋体"/>
          <w:color w:val="auto"/>
          <w:szCs w:val="21"/>
        </w:rPr>
        <w:t>，不得以内部人员变更、履行内部付款流程等为由，拒绝或迟延支付。</w:t>
      </w:r>
    </w:p>
    <w:p w14:paraId="706816B2">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4.6</w:t>
      </w:r>
      <w:r>
        <w:rPr>
          <w:rFonts w:ascii="宋体" w:hAnsi="宋体"/>
          <w:color w:val="auto"/>
          <w:szCs w:val="21"/>
        </w:rPr>
        <w:t xml:space="preserve"> </w:t>
      </w:r>
      <w:r>
        <w:rPr>
          <w:rFonts w:hint="eastAsia" w:ascii="宋体" w:hAnsi="宋体"/>
          <w:color w:val="auto"/>
          <w:szCs w:val="21"/>
        </w:rPr>
        <w:t>国家法律法规规定及</w:t>
      </w:r>
      <w:r>
        <w:rPr>
          <w:rFonts w:hint="eastAsia" w:ascii="宋体" w:hAnsi="宋体" w:cs="宋体"/>
          <w:b/>
          <w:bCs/>
          <w:color w:val="auto"/>
          <w:szCs w:val="21"/>
        </w:rPr>
        <w:t>【政府采购合同专用条款】</w:t>
      </w:r>
      <w:r>
        <w:rPr>
          <w:rFonts w:hint="eastAsia" w:ascii="宋体" w:hAnsi="宋体"/>
          <w:color w:val="auto"/>
          <w:szCs w:val="21"/>
        </w:rPr>
        <w:t>约定应由甲方承担的其他义务和责任。</w:t>
      </w:r>
    </w:p>
    <w:p w14:paraId="39236847">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5. 乙方的权利和义务</w:t>
      </w:r>
    </w:p>
    <w:p w14:paraId="47B4B2F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5.1 </w:t>
      </w:r>
      <w:r>
        <w:rPr>
          <w:rFonts w:ascii="宋体" w:hAnsi="宋体"/>
          <w:color w:val="auto"/>
          <w:szCs w:val="21"/>
        </w:rPr>
        <w:t>签署合同后，乙方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p>
    <w:p w14:paraId="007907F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5.</w:t>
      </w:r>
      <w:r>
        <w:rPr>
          <w:rFonts w:ascii="宋体" w:hAnsi="宋体"/>
          <w:color w:val="auto"/>
          <w:szCs w:val="21"/>
        </w:rPr>
        <w:t>2 乙方应按照合同要求</w:t>
      </w:r>
      <w:r>
        <w:rPr>
          <w:rFonts w:hint="eastAsia" w:ascii="宋体" w:hAnsi="宋体"/>
          <w:color w:val="auto"/>
          <w:szCs w:val="21"/>
        </w:rPr>
        <w:t>履约</w:t>
      </w:r>
      <w:r>
        <w:rPr>
          <w:rFonts w:ascii="宋体" w:hAnsi="宋体"/>
          <w:color w:val="auto"/>
          <w:szCs w:val="21"/>
        </w:rPr>
        <w:t>，充分合理安排，确保</w:t>
      </w:r>
      <w:r>
        <w:rPr>
          <w:rFonts w:hint="eastAsia" w:ascii="宋体" w:hAnsi="宋体"/>
          <w:color w:val="auto"/>
          <w:szCs w:val="21"/>
        </w:rPr>
        <w:t>提供的货物及相关服务符合合同有关</w:t>
      </w:r>
      <w:r>
        <w:rPr>
          <w:rFonts w:ascii="宋体" w:hAnsi="宋体"/>
          <w:color w:val="auto"/>
          <w:szCs w:val="21"/>
        </w:rPr>
        <w:t>要求</w:t>
      </w:r>
      <w:r>
        <w:rPr>
          <w:rFonts w:hint="eastAsia" w:ascii="宋体" w:hAnsi="宋体"/>
          <w:color w:val="auto"/>
          <w:szCs w:val="21"/>
        </w:rPr>
        <w:t>。接受项目行业管理部门及政府有关部门的指导，配合甲方的履约检查及验收，并</w:t>
      </w:r>
      <w:r>
        <w:rPr>
          <w:rFonts w:ascii="宋体" w:hAnsi="宋体"/>
          <w:color w:val="auto"/>
          <w:szCs w:val="21"/>
        </w:rPr>
        <w:t>负责项目实施过程中的所有协调工作。</w:t>
      </w:r>
    </w:p>
    <w:p w14:paraId="187A4B13">
      <w:pPr>
        <w:pStyle w:val="17"/>
        <w:rPr>
          <w:color w:val="auto"/>
        </w:rPr>
      </w:pPr>
      <w:r>
        <w:rPr>
          <w:rFonts w:hint="eastAsia"/>
          <w:color w:val="auto"/>
        </w:rPr>
        <w:t>5.</w:t>
      </w:r>
      <w:r>
        <w:rPr>
          <w:color w:val="auto"/>
        </w:rPr>
        <w:t>3</w:t>
      </w:r>
      <w:r>
        <w:rPr>
          <w:rFonts w:hint="eastAsia"/>
          <w:color w:val="auto"/>
        </w:rPr>
        <w:t>乙方有权根据合同约定向甲方收取合同价款。</w:t>
      </w:r>
    </w:p>
    <w:p w14:paraId="63F9C318">
      <w:pPr>
        <w:pStyle w:val="17"/>
        <w:rPr>
          <w:color w:val="auto"/>
        </w:rPr>
      </w:pPr>
      <w:r>
        <w:rPr>
          <w:rFonts w:hint="eastAsia"/>
          <w:color w:val="auto"/>
        </w:rPr>
        <w:t>5.</w:t>
      </w:r>
      <w:r>
        <w:rPr>
          <w:color w:val="auto"/>
        </w:rPr>
        <w:t>4</w:t>
      </w:r>
      <w:r>
        <w:rPr>
          <w:rFonts w:hint="eastAsia"/>
          <w:color w:val="auto"/>
        </w:rPr>
        <w:t>国家法律法规规定及</w:t>
      </w:r>
      <w:r>
        <w:rPr>
          <w:rFonts w:hint="eastAsia"/>
          <w:b/>
          <w:bCs/>
          <w:color w:val="auto"/>
        </w:rPr>
        <w:t>【政府采购合同专用条款】</w:t>
      </w:r>
      <w:r>
        <w:rPr>
          <w:rFonts w:hint="eastAsia"/>
          <w:color w:val="auto"/>
        </w:rPr>
        <w:t>约定应由乙方承担的其他义务和责任。</w:t>
      </w:r>
    </w:p>
    <w:p w14:paraId="59B5C3B0">
      <w:pPr>
        <w:numPr>
          <w:ilvl w:val="0"/>
          <w:numId w:val="13"/>
        </w:num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合同履行</w:t>
      </w:r>
    </w:p>
    <w:p w14:paraId="7ECA2E3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6.1 甲乙双方应当按照</w:t>
      </w:r>
      <w:r>
        <w:rPr>
          <w:rFonts w:hint="eastAsia" w:ascii="宋体" w:hAnsi="宋体" w:cs="宋体"/>
          <w:b/>
          <w:bCs/>
          <w:color w:val="auto"/>
          <w:szCs w:val="21"/>
        </w:rPr>
        <w:t>【政府采购合同专用条款】</w:t>
      </w:r>
      <w:r>
        <w:rPr>
          <w:rFonts w:hint="eastAsia" w:ascii="宋体" w:hAnsi="宋体"/>
          <w:color w:val="auto"/>
          <w:szCs w:val="21"/>
        </w:rPr>
        <w:t>约定顺序履行合同义务；如果没有先后顺序的，应当同时履行。</w:t>
      </w:r>
    </w:p>
    <w:p w14:paraId="73AAAF3F">
      <w:pPr>
        <w:autoSpaceDE w:val="0"/>
        <w:autoSpaceDN w:val="0"/>
        <w:adjustRightInd w:val="0"/>
        <w:snapToGrid w:val="0"/>
        <w:spacing w:line="400" w:lineRule="exact"/>
        <w:ind w:firstLine="420" w:firstLineChars="200"/>
        <w:jc w:val="left"/>
        <w:rPr>
          <w:color w:val="auto"/>
        </w:rPr>
      </w:pPr>
      <w:r>
        <w:rPr>
          <w:rFonts w:hint="eastAsia" w:ascii="宋体" w:hAnsi="宋体"/>
          <w:color w:val="auto"/>
          <w:szCs w:val="21"/>
        </w:rPr>
        <w:t>6.2 甲乙双方按照合同约定顺序履行合同义务时，应当先履行一方未履行的，后履行一方有权拒绝其履行请求。先履行一方履行不符合约定的，后履行一方有权拒绝其相应的履行请求。</w:t>
      </w:r>
    </w:p>
    <w:p w14:paraId="648F6165">
      <w:pPr>
        <w:adjustRightInd w:val="0"/>
        <w:snapToGrid w:val="0"/>
        <w:spacing w:line="400" w:lineRule="exact"/>
        <w:jc w:val="left"/>
        <w:rPr>
          <w:rFonts w:ascii="宋体" w:hAnsi="宋体"/>
          <w:b/>
          <w:bCs/>
          <w:color w:val="auto"/>
          <w:sz w:val="24"/>
        </w:rPr>
      </w:pPr>
      <w:r>
        <w:rPr>
          <w:rFonts w:hint="eastAsia" w:ascii="宋体" w:hAnsi="宋体"/>
          <w:b/>
          <w:bCs/>
          <w:color w:val="auto"/>
          <w:sz w:val="24"/>
        </w:rPr>
        <w:t>7. 货物包装、运输、保险和交付要求</w:t>
      </w:r>
    </w:p>
    <w:p w14:paraId="01B215A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7.1 本合同</w:t>
      </w:r>
      <w:r>
        <w:rPr>
          <w:rFonts w:hint="eastAsia" w:ascii="宋体" w:hAnsi="宋体"/>
          <w:bCs/>
          <w:color w:val="auto"/>
          <w:szCs w:val="21"/>
        </w:rPr>
        <w:t>涉及商品包装、快递包装的，</w:t>
      </w:r>
      <w:r>
        <w:rPr>
          <w:rFonts w:hint="eastAsia" w:ascii="宋体" w:hAnsi="宋体"/>
          <w:color w:val="auto"/>
          <w:szCs w:val="21"/>
        </w:rPr>
        <w:t>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包装应适应远距离运输、防潮、防震、防锈和防野蛮装卸等要求，确保货物安全无损地运抵</w:t>
      </w:r>
      <w:r>
        <w:rPr>
          <w:rFonts w:hint="eastAsia" w:ascii="宋体" w:hAnsi="宋体"/>
          <w:b/>
          <w:color w:val="auto"/>
          <w:szCs w:val="21"/>
        </w:rPr>
        <w:t>【政府采购合同专用条款】</w:t>
      </w:r>
      <w:r>
        <w:rPr>
          <w:rFonts w:hint="eastAsia" w:ascii="宋体" w:hAnsi="宋体"/>
          <w:bCs/>
          <w:color w:val="auto"/>
          <w:szCs w:val="21"/>
        </w:rPr>
        <w:t>约定的</w:t>
      </w:r>
      <w:r>
        <w:rPr>
          <w:rFonts w:hint="eastAsia" w:ascii="宋体" w:hAnsi="宋体"/>
          <w:color w:val="auto"/>
          <w:szCs w:val="21"/>
        </w:rPr>
        <w:t>指定现场。</w:t>
      </w:r>
    </w:p>
    <w:p w14:paraId="54195CF5">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7.2 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乙方负责办理将货物运抵本合同规定的交货地点，并装卸、交付至甲方的一切运输事项，相关费用应包含在合同价款中。</w:t>
      </w:r>
    </w:p>
    <w:p w14:paraId="0B0FAD45">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7.3 货物保险要求按</w:t>
      </w:r>
      <w:r>
        <w:rPr>
          <w:rFonts w:hint="eastAsia" w:ascii="宋体" w:hAnsi="宋体"/>
          <w:b/>
          <w:color w:val="auto"/>
          <w:szCs w:val="21"/>
        </w:rPr>
        <w:t>【政府采购合同专用条款】</w:t>
      </w:r>
      <w:r>
        <w:rPr>
          <w:rFonts w:hint="eastAsia" w:ascii="宋体" w:hAnsi="宋体"/>
          <w:bCs/>
          <w:color w:val="auto"/>
          <w:szCs w:val="21"/>
        </w:rPr>
        <w:t>规定执行</w:t>
      </w:r>
      <w:r>
        <w:rPr>
          <w:rFonts w:hint="eastAsia" w:ascii="宋体" w:hAnsi="宋体"/>
          <w:color w:val="auto"/>
          <w:szCs w:val="21"/>
        </w:rPr>
        <w:t>。</w:t>
      </w:r>
    </w:p>
    <w:p w14:paraId="0DB37944">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21ED14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7.5 </w:t>
      </w:r>
      <w:r>
        <w:rPr>
          <w:rFonts w:hint="eastAsia" w:ascii="宋体" w:hAnsi="宋体" w:cs="宋体"/>
          <w:color w:val="auto"/>
          <w:szCs w:val="21"/>
        </w:rPr>
        <w:t>乙方在运输到达之前应提前通知甲方，并提示货物运输装卸的注意事项，甲方配合乙方做好货物的接收工作。</w:t>
      </w:r>
    </w:p>
    <w:p w14:paraId="3418EB56">
      <w:pPr>
        <w:pStyle w:val="219"/>
        <w:ind w:firstLine="420"/>
        <w:rPr>
          <w:color w:val="auto"/>
          <w:sz w:val="21"/>
        </w:rPr>
      </w:pPr>
      <w:r>
        <w:rPr>
          <w:rFonts w:hint="eastAsia" w:ascii="宋体" w:hAnsi="宋体" w:eastAsia="宋体" w:cs="Times New Roman"/>
          <w:color w:val="auto"/>
          <w:kern w:val="2"/>
          <w:sz w:val="21"/>
        </w:rPr>
        <w:t>7.6 如因包装、运输问题导致货物损毁、丢失或者品质下降，甲方有权要求降价、换货、拒收部分或整批货物，由此产生的费用和损失，均由乙方承担。</w:t>
      </w:r>
    </w:p>
    <w:p w14:paraId="644F231B">
      <w:pPr>
        <w:adjustRightInd w:val="0"/>
        <w:snapToGrid w:val="0"/>
        <w:spacing w:line="400" w:lineRule="exact"/>
        <w:jc w:val="left"/>
        <w:rPr>
          <w:rFonts w:ascii="宋体" w:hAnsi="宋体"/>
          <w:b/>
          <w:color w:val="auto"/>
          <w:sz w:val="24"/>
        </w:rPr>
      </w:pPr>
      <w:r>
        <w:rPr>
          <w:rFonts w:hint="eastAsia" w:ascii="宋体" w:hAnsi="宋体"/>
          <w:b/>
          <w:color w:val="auto"/>
          <w:sz w:val="24"/>
        </w:rPr>
        <w:t>8. 质量标准和保证</w:t>
      </w:r>
    </w:p>
    <w:p w14:paraId="2825F547">
      <w:pPr>
        <w:pStyle w:val="22"/>
        <w:adjustRightInd w:val="0"/>
        <w:snapToGrid w:val="0"/>
        <w:spacing w:line="400" w:lineRule="exact"/>
        <w:ind w:firstLine="420" w:firstLineChars="200"/>
        <w:jc w:val="left"/>
        <w:rPr>
          <w:rFonts w:hAnsi="宋体"/>
          <w:b/>
          <w:color w:val="auto"/>
        </w:rPr>
      </w:pPr>
      <w:r>
        <w:rPr>
          <w:rFonts w:hint="eastAsia" w:hAnsi="宋体"/>
          <w:color w:val="auto"/>
        </w:rPr>
        <w:t>8.1 质量标准</w:t>
      </w:r>
    </w:p>
    <w:p w14:paraId="3921EE3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（1）本合同下提供的货物应符合合同</w:t>
      </w:r>
      <w:r>
        <w:rPr>
          <w:rFonts w:hint="eastAsia" w:ascii="宋体" w:hAnsi="宋体" w:cs="宋体"/>
          <w:color w:val="auto"/>
          <w:szCs w:val="21"/>
        </w:rPr>
        <w:t>约定的品牌、规格型号、技术性能、配置、质量、数量等要求。</w:t>
      </w:r>
      <w:r>
        <w:rPr>
          <w:rFonts w:hint="eastAsia" w:ascii="宋体" w:hAnsi="宋体"/>
          <w:color w:val="auto"/>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201F7A8">
      <w:pPr>
        <w:pStyle w:val="22"/>
        <w:adjustRightInd w:val="0"/>
        <w:snapToGrid w:val="0"/>
        <w:spacing w:line="400" w:lineRule="exact"/>
        <w:ind w:firstLine="420" w:firstLineChars="200"/>
        <w:jc w:val="left"/>
        <w:rPr>
          <w:rFonts w:hAnsi="宋体"/>
          <w:color w:val="auto"/>
        </w:rPr>
      </w:pPr>
      <w:r>
        <w:rPr>
          <w:rFonts w:hint="eastAsia" w:hAnsi="宋体"/>
          <w:color w:val="auto"/>
        </w:rPr>
        <w:t>（2）采用中华人民共和国法定计量单位。</w:t>
      </w:r>
    </w:p>
    <w:p w14:paraId="59AC4163">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（3）乙方所提供的货物应符合国家有关安全、环保、卫生的规定。</w:t>
      </w:r>
    </w:p>
    <w:p w14:paraId="42F1118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（4）乙方应向甲方提交所提供货物的技术文件，包括相应的中文技术文件，如：产品目录、图纸、操作手册、使用说明、维护手册或服务指南等。上述文件应包装好随货物一同发运。</w:t>
      </w:r>
    </w:p>
    <w:p w14:paraId="715FC33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8.2 保证</w:t>
      </w:r>
    </w:p>
    <w:p w14:paraId="6855888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（1）乙方应保证提供的货物完全符合合同规定的质量、规格和性能要求。乙方应保证货物在正确安装、正常使用和保养条件下，</w:t>
      </w:r>
      <w:r>
        <w:rPr>
          <w:rFonts w:hint="eastAsia" w:ascii="宋体" w:hAnsi="宋体" w:cs="宋体"/>
          <w:color w:val="auto"/>
          <w:szCs w:val="21"/>
        </w:rPr>
        <w:t>在其使用寿命期内具备合同约定的性能</w:t>
      </w:r>
      <w:r>
        <w:rPr>
          <w:rFonts w:hint="eastAsia" w:ascii="宋体" w:hAnsi="宋体"/>
          <w:color w:val="auto"/>
          <w:szCs w:val="21"/>
        </w:rPr>
        <w:t>。存在质量保证期的，货物最终交付验收合格后在</w:t>
      </w:r>
      <w:r>
        <w:rPr>
          <w:rFonts w:hint="eastAsia" w:ascii="宋体" w:hAnsi="宋体"/>
          <w:b/>
          <w:color w:val="auto"/>
          <w:szCs w:val="21"/>
        </w:rPr>
        <w:t>【政府采购合同专用条款】</w:t>
      </w:r>
      <w:r>
        <w:rPr>
          <w:rFonts w:hint="eastAsia" w:ascii="宋体" w:hAnsi="宋体"/>
          <w:color w:val="auto"/>
          <w:szCs w:val="21"/>
        </w:rPr>
        <w:t>规定或乙方书面承诺（两者以较长的为准）的质量保证期内，本保证保持有效。</w:t>
      </w:r>
    </w:p>
    <w:p w14:paraId="6068DE3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（2）在质量保证期内所发现的缺陷，甲方应尽快以书面形式通知乙方。</w:t>
      </w:r>
    </w:p>
    <w:p w14:paraId="2CD877C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（3）乙方收到通知后，应在</w:t>
      </w:r>
      <w:r>
        <w:rPr>
          <w:rFonts w:hint="eastAsia" w:ascii="宋体" w:hAnsi="宋体"/>
          <w:b/>
          <w:color w:val="auto"/>
          <w:szCs w:val="21"/>
        </w:rPr>
        <w:t>【政府采购合同专用条款】</w:t>
      </w:r>
      <w:r>
        <w:rPr>
          <w:rFonts w:hint="eastAsia" w:ascii="宋体" w:hAnsi="宋体"/>
          <w:color w:val="auto"/>
          <w:szCs w:val="21"/>
        </w:rPr>
        <w:t>规定的响应时间内以合理的速度免费维修或更换有缺陷的货物或部件。</w:t>
      </w:r>
    </w:p>
    <w:p w14:paraId="0FD39538">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1449E96">
      <w:pPr>
        <w:adjustRightInd w:val="0"/>
        <w:snapToGrid w:val="0"/>
        <w:spacing w:line="400" w:lineRule="exact"/>
        <w:ind w:firstLine="420" w:firstLineChars="200"/>
        <w:jc w:val="left"/>
        <w:rPr>
          <w:color w:val="auto"/>
        </w:rPr>
      </w:pPr>
      <w:r>
        <w:rPr>
          <w:rFonts w:hint="eastAsia" w:ascii="宋体" w:hAnsi="宋体"/>
          <w:color w:val="auto"/>
          <w:szCs w:val="21"/>
        </w:rPr>
        <w:t>（5）乙方在约定的时间内未能弥补缺陷，甲方可采取必要的补救措施，但其风险和费用将由乙方承担，甲方根据合同约定对乙方行使的其他权利不受影响。</w:t>
      </w:r>
    </w:p>
    <w:p w14:paraId="46CAF18A">
      <w:pPr>
        <w:adjustRightInd w:val="0"/>
        <w:snapToGrid w:val="0"/>
        <w:spacing w:line="400" w:lineRule="exact"/>
        <w:jc w:val="left"/>
        <w:rPr>
          <w:rFonts w:ascii="宋体" w:hAnsi="宋体"/>
          <w:b/>
          <w:bCs/>
          <w:color w:val="auto"/>
          <w:sz w:val="24"/>
        </w:rPr>
      </w:pPr>
      <w:r>
        <w:rPr>
          <w:rFonts w:hint="eastAsia" w:ascii="宋体" w:hAnsi="宋体"/>
          <w:b/>
          <w:bCs/>
          <w:color w:val="auto"/>
          <w:sz w:val="24"/>
        </w:rPr>
        <w:t>9. 权利瑕疵担保</w:t>
      </w:r>
    </w:p>
    <w:p w14:paraId="3126F2A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9.1 乙方保证对其出售的货物享有合法的权利。</w:t>
      </w:r>
    </w:p>
    <w:p w14:paraId="6E40F01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9.2 </w:t>
      </w:r>
      <w:r>
        <w:rPr>
          <w:rFonts w:hint="eastAsia" w:ascii="宋体" w:hAnsi="宋体" w:cs="宋体"/>
          <w:color w:val="auto"/>
          <w:szCs w:val="15"/>
        </w:rPr>
        <w:t>乙方保证在交付的货物上不存在抵押权等担保物权。</w:t>
      </w:r>
    </w:p>
    <w:p w14:paraId="70FF049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9.3 如甲方使用上述货物构成对第三人侵权的，则由乙方承担全部责任。</w:t>
      </w:r>
    </w:p>
    <w:p w14:paraId="3557034E">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10. 知识产权保护</w:t>
      </w:r>
    </w:p>
    <w:p w14:paraId="50DBB7E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10.1 乙方对其所销售的货物应当享有知识产权或经权利人合法授权，保证没有侵犯任何第三人的知识产权等权利。</w:t>
      </w:r>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rPr>
        <w:t>。</w:t>
      </w:r>
    </w:p>
    <w:p w14:paraId="7DF13C72">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11. 保密义务</w:t>
      </w:r>
    </w:p>
    <w:p w14:paraId="71590BF0">
      <w:pPr>
        <w:autoSpaceDE w:val="0"/>
        <w:autoSpaceDN w:val="0"/>
        <w:adjustRightInd w:val="0"/>
        <w:snapToGrid w:val="0"/>
        <w:spacing w:line="400" w:lineRule="exact"/>
        <w:ind w:firstLine="420" w:firstLineChars="200"/>
        <w:jc w:val="left"/>
        <w:rPr>
          <w:rFonts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14:paraId="38CE4F0A">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12. 合同价款支付</w:t>
      </w:r>
    </w:p>
    <w:p w14:paraId="7457DF56">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12.1 合同价款支付按照国库集中支付制度及财政管理相关规定执行。</w:t>
      </w:r>
    </w:p>
    <w:p w14:paraId="3E845481">
      <w:pPr>
        <w:pStyle w:val="3"/>
        <w:spacing w:line="400" w:lineRule="exact"/>
        <w:ind w:firstLine="420" w:firstLineChars="200"/>
        <w:rPr>
          <w:rFonts w:eastAsia="宋体"/>
          <w:color w:val="auto"/>
        </w:rPr>
      </w:pPr>
      <w:r>
        <w:rPr>
          <w:rFonts w:hint="eastAsia" w:ascii="宋体" w:hAnsi="宋体"/>
          <w:b w:val="0"/>
          <w:bCs w:val="0"/>
          <w:color w:val="auto"/>
          <w:sz w:val="21"/>
          <w:szCs w:val="21"/>
        </w:rPr>
        <w:t xml:space="preserve">12.2 </w:t>
      </w:r>
      <w:r>
        <w:rPr>
          <w:rFonts w:hint="eastAsia" w:ascii="宋体" w:hAnsi="宋体" w:eastAsia="宋体"/>
          <w:b w:val="0"/>
          <w:bCs w:val="0"/>
          <w:color w:val="auto"/>
          <w:sz w:val="21"/>
          <w:szCs w:val="21"/>
        </w:rPr>
        <w:t>对于满足合同约定支付条件的，甲方原则上应当自收到发票后10个工作日内将资金支付到合同约定的</w:t>
      </w:r>
      <w:r>
        <w:rPr>
          <w:rFonts w:hint="eastAsia" w:ascii="宋体" w:hAnsi="宋体"/>
          <w:b w:val="0"/>
          <w:bCs w:val="0"/>
          <w:color w:val="auto"/>
          <w:sz w:val="21"/>
          <w:szCs w:val="21"/>
        </w:rPr>
        <w:t>乙方</w:t>
      </w:r>
      <w:r>
        <w:rPr>
          <w:rFonts w:hint="eastAsia" w:ascii="宋体" w:hAnsi="宋体" w:eastAsia="宋体"/>
          <w:b w:val="0"/>
          <w:bCs w:val="0"/>
          <w:color w:val="auto"/>
          <w:sz w:val="21"/>
          <w:szCs w:val="21"/>
        </w:rPr>
        <w:t>账户，不得以机构变动、人员更替、政策调整等为由迟延付款，不得将采购文件和合同中未规定的义务作为向乙方付款的条件。具体合同价款支付时间在【</w:t>
      </w:r>
      <w:r>
        <w:rPr>
          <w:rFonts w:hint="eastAsia" w:ascii="宋体" w:hAnsi="宋体" w:eastAsia="宋体"/>
          <w:color w:val="auto"/>
          <w:sz w:val="21"/>
          <w:szCs w:val="21"/>
        </w:rPr>
        <w:t>政府采购合同专用条款</w:t>
      </w:r>
      <w:r>
        <w:rPr>
          <w:rFonts w:hint="eastAsia" w:ascii="宋体" w:hAnsi="宋体" w:eastAsia="宋体"/>
          <w:b w:val="0"/>
          <w:bCs w:val="0"/>
          <w:color w:val="auto"/>
          <w:sz w:val="21"/>
          <w:szCs w:val="21"/>
        </w:rPr>
        <w:t>】中</w:t>
      </w:r>
      <w:r>
        <w:rPr>
          <w:rFonts w:hint="eastAsia" w:ascii="宋体" w:hAnsi="宋体"/>
          <w:b w:val="0"/>
          <w:bCs w:val="0"/>
          <w:color w:val="auto"/>
          <w:sz w:val="21"/>
          <w:szCs w:val="21"/>
        </w:rPr>
        <w:t>约</w:t>
      </w:r>
      <w:r>
        <w:rPr>
          <w:rFonts w:hint="eastAsia" w:ascii="宋体" w:hAnsi="宋体" w:eastAsia="宋体"/>
          <w:b w:val="0"/>
          <w:bCs w:val="0"/>
          <w:color w:val="auto"/>
          <w:sz w:val="21"/>
          <w:szCs w:val="21"/>
        </w:rPr>
        <w:t>定。</w:t>
      </w:r>
    </w:p>
    <w:p w14:paraId="13B40BFE">
      <w:pPr>
        <w:pStyle w:val="17"/>
        <w:rPr>
          <w:color w:val="auto"/>
        </w:rPr>
      </w:pPr>
      <w:r>
        <w:rPr>
          <w:rFonts w:hint="eastAsia"/>
          <w:color w:val="auto"/>
        </w:rPr>
        <w:t>13. 履约保证金</w:t>
      </w:r>
    </w:p>
    <w:p w14:paraId="553E8623">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13.1 </w:t>
      </w:r>
      <w:r>
        <w:rPr>
          <w:rFonts w:hint="eastAsia" w:ascii="宋体" w:hAnsi="宋体" w:cs="宋体"/>
          <w:color w:val="auto"/>
          <w:szCs w:val="15"/>
        </w:rPr>
        <w:t>乙方应当以支票、汇票、本票或者金融机构、担保机构出具的保函等非现金形式提交。</w:t>
      </w:r>
    </w:p>
    <w:p w14:paraId="0177929E">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szCs w:val="21"/>
        </w:rPr>
        <w:t>，履约保证金不予退还；如果乙方未能按合同约定全面履行义务，甲方有权从履约保证金中取得补偿或赔偿，且不影响甲方要求乙方承担合同约定的超过履约保证金的违约责任的权利。</w:t>
      </w:r>
    </w:p>
    <w:p w14:paraId="40A86697">
      <w:pPr>
        <w:spacing w:line="400" w:lineRule="exact"/>
        <w:ind w:firstLine="420"/>
        <w:rPr>
          <w:color w:val="auto"/>
        </w:rPr>
      </w:pPr>
      <w:r>
        <w:rPr>
          <w:rFonts w:hint="eastAsia" w:ascii="宋体" w:hAnsi="宋体"/>
          <w:color w:val="auto"/>
          <w:szCs w:val="21"/>
        </w:rPr>
        <w:t>13.3 甲方在项目通过验收后按照</w:t>
      </w:r>
      <w:r>
        <w:rPr>
          <w:rFonts w:hint="eastAsia" w:ascii="宋体" w:hAnsi="宋体"/>
          <w:b/>
          <w:color w:val="auto"/>
          <w:szCs w:val="21"/>
        </w:rPr>
        <w:t>【政府采购合同专用条款】</w:t>
      </w:r>
      <w:r>
        <w:rPr>
          <w:rFonts w:hint="eastAsia" w:ascii="宋体" w:hAnsi="宋体"/>
          <w:color w:val="auto"/>
          <w:szCs w:val="21"/>
        </w:rPr>
        <w:t>规定的时间内将履约保证金退还乙方；逾期退还的，乙方可要求甲方支付违约金，违约金按照</w:t>
      </w:r>
      <w:r>
        <w:rPr>
          <w:rFonts w:hint="eastAsia" w:ascii="宋体" w:hAnsi="宋体"/>
          <w:b/>
          <w:color w:val="auto"/>
          <w:szCs w:val="21"/>
        </w:rPr>
        <w:t>【政府采购合同专用条款】</w:t>
      </w:r>
      <w:r>
        <w:rPr>
          <w:rFonts w:hint="eastAsia" w:ascii="宋体" w:hAnsi="宋体"/>
          <w:color w:val="auto"/>
          <w:szCs w:val="21"/>
        </w:rPr>
        <w:t>规定支付。</w:t>
      </w:r>
    </w:p>
    <w:p w14:paraId="54A0DD4B">
      <w:pPr>
        <w:autoSpaceDE w:val="0"/>
        <w:autoSpaceDN w:val="0"/>
        <w:adjustRightInd w:val="0"/>
        <w:snapToGrid w:val="0"/>
        <w:spacing w:line="400" w:lineRule="exact"/>
        <w:jc w:val="left"/>
        <w:rPr>
          <w:rFonts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14:paraId="1A55431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14.1 除项目不涉及或采购活动中明确约定无须承担外，乙方还应提供下列服务：</w:t>
      </w:r>
    </w:p>
    <w:p w14:paraId="37AA418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（1）货物的现场移动、安装、调试、启动监督及技术支持；</w:t>
      </w:r>
    </w:p>
    <w:p w14:paraId="53B52B1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（2）提供货物组装和维修所需的专用工具和辅助材料；</w:t>
      </w:r>
    </w:p>
    <w:p w14:paraId="1DF80768">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（3）在</w:t>
      </w:r>
      <w:r>
        <w:rPr>
          <w:rFonts w:hint="eastAsia" w:ascii="宋体" w:hAnsi="宋体" w:cs="宋体"/>
          <w:b/>
          <w:bCs/>
          <w:color w:val="auto"/>
          <w:szCs w:val="15"/>
        </w:rPr>
        <w:t>【政府采购合同专用条款】</w:t>
      </w:r>
      <w:r>
        <w:rPr>
          <w:rFonts w:hint="eastAsia" w:ascii="宋体" w:hAnsi="宋体"/>
          <w:color w:val="auto"/>
          <w:szCs w:val="21"/>
        </w:rPr>
        <w:t>约定的期限内对所有的货物实施运行监督、维修，但前提条件是该服务并不能免除乙方在质量保证期内所承担的义务；</w:t>
      </w:r>
    </w:p>
    <w:p w14:paraId="4BF7A718">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（4）在制造商所在地或指定现场就货物的安装、启动、运营、维护、废弃处置等对甲方操作人员进行培训</w:t>
      </w:r>
      <w:r>
        <w:rPr>
          <w:rFonts w:hint="eastAsia" w:ascii="宋体" w:hAnsi="宋体" w:cs="宋体"/>
          <w:color w:val="auto"/>
          <w:szCs w:val="15"/>
        </w:rPr>
        <w:t>；</w:t>
      </w:r>
    </w:p>
    <w:p w14:paraId="3E2B0F8F">
      <w:pPr>
        <w:pStyle w:val="219"/>
        <w:ind w:firstLine="420"/>
        <w:rPr>
          <w:rFonts w:ascii="宋体" w:hAnsi="宋体" w:eastAsia="宋体" w:cs="宋体"/>
          <w:color w:val="auto"/>
          <w:sz w:val="21"/>
        </w:rPr>
      </w:pPr>
      <w:r>
        <w:rPr>
          <w:rFonts w:hint="eastAsia" w:ascii="宋体" w:hAnsi="宋体" w:eastAsia="宋体" w:cs="宋体"/>
          <w:color w:val="auto"/>
          <w:sz w:val="21"/>
        </w:rPr>
        <w:t>（5）依照法律、行政法规的规定或者按照</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约定，货物在有效使用年限届满后应予回收的，乙方负有自行或者委托第三人对货物予以回收的义务；</w:t>
      </w:r>
    </w:p>
    <w:p w14:paraId="28E08F2E">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w:t>
      </w:r>
      <w:r>
        <w:rPr>
          <w:rFonts w:hint="eastAsia" w:ascii="宋体" w:hAnsi="宋体"/>
          <w:b/>
          <w:color w:val="auto"/>
          <w:szCs w:val="21"/>
        </w:rPr>
        <w:t>【政府采购合同专用条款】</w:t>
      </w:r>
      <w:r>
        <w:rPr>
          <w:rFonts w:hint="eastAsia" w:ascii="宋体" w:hAnsi="宋体"/>
          <w:color w:val="auto"/>
          <w:szCs w:val="21"/>
        </w:rPr>
        <w:t>规定由乙方提供的其他服务。</w:t>
      </w:r>
    </w:p>
    <w:p w14:paraId="3A2DB84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14.2 乙方提供的售后服务的费用已包含在合同价款中，甲方不再另行支付。</w:t>
      </w:r>
    </w:p>
    <w:p w14:paraId="3A0C40F2">
      <w:pPr>
        <w:adjustRightInd w:val="0"/>
        <w:snapToGrid w:val="0"/>
        <w:spacing w:line="400" w:lineRule="exact"/>
        <w:jc w:val="left"/>
        <w:rPr>
          <w:rFonts w:ascii="宋体" w:hAnsi="宋体"/>
          <w:b/>
          <w:bCs/>
          <w:color w:val="auto"/>
          <w:sz w:val="24"/>
        </w:rPr>
      </w:pPr>
      <w:r>
        <w:rPr>
          <w:rFonts w:hint="eastAsia" w:ascii="宋体" w:hAnsi="宋体"/>
          <w:b/>
          <w:bCs/>
          <w:color w:val="auto"/>
          <w:sz w:val="24"/>
        </w:rPr>
        <w:t>15. 违约责任</w:t>
      </w:r>
    </w:p>
    <w:p w14:paraId="72290C73">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15.1质量瑕疵的违约责任</w:t>
      </w:r>
    </w:p>
    <w:p w14:paraId="5E109872">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14:paraId="049EEA55">
      <w:pPr>
        <w:autoSpaceDE w:val="0"/>
        <w:autoSpaceDN w:val="0"/>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15.2 迟延交货的违约责任</w:t>
      </w:r>
    </w:p>
    <w:p w14:paraId="4293F55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F6B5572">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14:paraId="34B9217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15.3 迟延支付的违约责任</w:t>
      </w:r>
    </w:p>
    <w:p w14:paraId="1740987E">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14:paraId="2558624F">
      <w:pPr>
        <w:adjustRightInd w:val="0"/>
        <w:snapToGrid w:val="0"/>
        <w:spacing w:line="400" w:lineRule="exact"/>
        <w:ind w:firstLine="420" w:firstLineChars="200"/>
        <w:jc w:val="left"/>
        <w:rPr>
          <w:rFonts w:ascii="宋体" w:hAnsi="宋体"/>
          <w:color w:val="auto"/>
          <w:szCs w:val="21"/>
        </w:rPr>
      </w:pPr>
      <w:r>
        <w:rPr>
          <w:rFonts w:hint="eastAsia" w:ascii="宋体" w:hAnsi="宋体"/>
          <w:bCs/>
          <w:color w:val="auto"/>
          <w:szCs w:val="21"/>
        </w:rPr>
        <w:t>15.4其他违约责任根据项目实际需要按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14:paraId="6A67420B">
      <w:pPr>
        <w:numPr>
          <w:ilvl w:val="0"/>
          <w:numId w:val="14"/>
        </w:num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合同变更、中止与终止</w:t>
      </w:r>
    </w:p>
    <w:p w14:paraId="7C19D14F">
      <w:pPr>
        <w:adjustRightInd w:val="0"/>
        <w:snapToGrid w:val="0"/>
        <w:spacing w:line="400" w:lineRule="exact"/>
        <w:jc w:val="left"/>
        <w:rPr>
          <w:rFonts w:ascii="宋体" w:hAnsi="宋体"/>
          <w:color w:val="auto"/>
          <w:szCs w:val="21"/>
        </w:rPr>
      </w:pPr>
      <w:r>
        <w:rPr>
          <w:rFonts w:hint="eastAsia" w:ascii="宋体" w:hAnsi="宋体"/>
          <w:color w:val="auto"/>
          <w:szCs w:val="21"/>
        </w:rPr>
        <w:t xml:space="preserve">    16.1合同的变更</w:t>
      </w:r>
    </w:p>
    <w:p w14:paraId="114B5DB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政府采购合同履行中，在不改变合同其他条款的前提下，甲方可以在合同价款10%的范围内追加与合同标的相同的货物，并就此与乙方协商一致后签订补充协议。</w:t>
      </w:r>
    </w:p>
    <w:p w14:paraId="65610DEA">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16.2合同的中止</w:t>
      </w:r>
    </w:p>
    <w:p w14:paraId="4277B6B4">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（1）合同履行过程中因供应商就采购文件、采购过程或结果提起投诉的，甲方认为有必要的，可以中止合同的履行。</w:t>
      </w:r>
    </w:p>
    <w:p w14:paraId="7D32DF0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51C2281">
      <w:pPr>
        <w:pStyle w:val="219"/>
        <w:ind w:firstLine="420"/>
        <w:jc w:val="both"/>
        <w:rPr>
          <w:color w:val="auto"/>
          <w:sz w:val="21"/>
        </w:rPr>
      </w:pPr>
      <w:r>
        <w:rPr>
          <w:rFonts w:hint="eastAsia" w:ascii="宋体" w:hAnsi="宋体" w:eastAsia="宋体" w:cs="宋体"/>
          <w:color w:val="auto"/>
          <w:sz w:val="21"/>
        </w:rPr>
        <w:t>（3）乙方分立、合并或者变更住所的，应当及时以书面形式告知甲方。乙方没有及时告知甲方，致使合同履行发生困难的，甲方可以中止合同履行并要求乙方承担由此给甲方造成的损失。</w:t>
      </w:r>
    </w:p>
    <w:p w14:paraId="2C560301">
      <w:pPr>
        <w:snapToGrid w:val="0"/>
        <w:spacing w:line="400" w:lineRule="exact"/>
        <w:ind w:firstLine="420" w:firstLineChars="200"/>
        <w:jc w:val="left"/>
        <w:rPr>
          <w:color w:val="auto"/>
        </w:rPr>
      </w:pPr>
      <w:r>
        <w:rPr>
          <w:rFonts w:hint="eastAsia" w:ascii="宋体" w:hAnsi="宋体"/>
          <w:color w:val="auto"/>
          <w:szCs w:val="21"/>
        </w:rPr>
        <w:t>（4）甲方不得以行政区划调整、政府换届、机构或者职能调整以及相关责任人更替为由中止合同。</w:t>
      </w:r>
    </w:p>
    <w:p w14:paraId="1D0BC783">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16.3合同的终止</w:t>
      </w:r>
    </w:p>
    <w:p w14:paraId="52243C4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（1）合同因有效期限届满而终止；</w:t>
      </w:r>
    </w:p>
    <w:p w14:paraId="6BC25069">
      <w:pPr>
        <w:snapToGrid w:val="0"/>
        <w:spacing w:line="400" w:lineRule="exact"/>
        <w:ind w:firstLine="420" w:firstLineChars="200"/>
        <w:rPr>
          <w:rFonts w:ascii="宋体" w:hAnsi="宋体" w:cs="宋体"/>
          <w:color w:val="auto"/>
          <w:szCs w:val="21"/>
        </w:rPr>
      </w:pPr>
      <w:r>
        <w:rPr>
          <w:rFonts w:hint="eastAsia" w:ascii="宋体" w:hAnsi="宋体"/>
          <w:color w:val="auto"/>
          <w:szCs w:val="21"/>
        </w:rPr>
        <w:t>（2）乙方未按合同约定履行，构成根本性违约的，甲方有权终止合同，</w:t>
      </w:r>
      <w:r>
        <w:rPr>
          <w:rFonts w:hint="eastAsia" w:ascii="宋体" w:hAnsi="宋体" w:cs="宋体"/>
          <w:color w:val="auto"/>
          <w:szCs w:val="21"/>
        </w:rPr>
        <w:t>并追究乙方的违约责任</w:t>
      </w:r>
      <w:r>
        <w:rPr>
          <w:rFonts w:hint="eastAsia" w:ascii="宋体" w:hAnsi="宋体"/>
          <w:color w:val="auto"/>
          <w:szCs w:val="21"/>
        </w:rPr>
        <w:t>。</w:t>
      </w:r>
    </w:p>
    <w:p w14:paraId="6679904A">
      <w:pPr>
        <w:pStyle w:val="219"/>
        <w:rPr>
          <w:rFonts w:ascii="宋体" w:hAnsi="宋体"/>
          <w:color w:val="auto"/>
        </w:rPr>
      </w:pPr>
      <w:r>
        <w:rPr>
          <w:rFonts w:hint="eastAsia" w:ascii="宋体" w:hAnsi="宋体"/>
          <w:color w:val="auto"/>
        </w:rPr>
        <w:t xml:space="preserve">16.4 </w:t>
      </w:r>
      <w:r>
        <w:rPr>
          <w:rFonts w:hint="eastAsia" w:ascii="宋体" w:hAnsi="宋体" w:eastAsia="宋体" w:cs="Times New Roman"/>
          <w:color w:val="auto"/>
          <w:kern w:val="2"/>
          <w:sz w:val="21"/>
        </w:rPr>
        <w:t>涉及国家利益、社会公共利益的情形</w:t>
      </w:r>
    </w:p>
    <w:p w14:paraId="434E0210">
      <w:pPr>
        <w:pStyle w:val="219"/>
        <w:ind w:firstLine="420"/>
        <w:jc w:val="both"/>
        <w:rPr>
          <w:color w:val="auto"/>
          <w:sz w:val="21"/>
        </w:rPr>
      </w:pPr>
      <w:r>
        <w:rPr>
          <w:rFonts w:hint="eastAsia" w:ascii="宋体" w:hAnsi="宋体" w:eastAsia="宋体" w:cs="宋体"/>
          <w:color w:val="auto"/>
          <w:sz w:val="21"/>
        </w:rPr>
        <w:t>政府采购合同继续履行将损害国家利益和社会公共利益的，双方当事人应当变更、中止或者终止合同。有过错的一方应当承担赔偿责任，双方都有过错的，各自承担相应的责任。</w:t>
      </w:r>
    </w:p>
    <w:p w14:paraId="39F25708">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17. 合同分包</w:t>
      </w:r>
    </w:p>
    <w:p w14:paraId="4DF4DA46">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17.1 乙方不得将合同转包给其他供应商。涉及合同分包的，乙方应根据采购文件和投标（响应）文件规定进行合同分包。</w:t>
      </w:r>
    </w:p>
    <w:p w14:paraId="622E8954">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17.2 乙方执行政府采购政策向中小企业依法分包的，乙方应当按采购文件和投标（响应）文件签订分包意向协议，分包意向协议属于本合同组成部分。</w:t>
      </w:r>
    </w:p>
    <w:p w14:paraId="4DA9574E">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18. 不可抗力</w:t>
      </w:r>
    </w:p>
    <w:p w14:paraId="4D180CE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18.1 不可抗力是指合同双方不能预见、不能避免且不能克服的客观情况。</w:t>
      </w:r>
    </w:p>
    <w:p w14:paraId="708C43C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18.2 任何一方对由于不可抗力造成的部分或全部不能履行合同不承担违约责任。但迟延履行后发生不可抗力的，不能免除责任。</w:t>
      </w:r>
    </w:p>
    <w:p w14:paraId="4286EB8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76E7BF8">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19. 解决争议的方法</w:t>
      </w:r>
    </w:p>
    <w:p w14:paraId="7C392B56">
      <w:pPr>
        <w:pStyle w:val="219"/>
        <w:ind w:firstLine="420"/>
        <w:jc w:val="both"/>
        <w:rPr>
          <w:rFonts w:ascii="宋体" w:hAnsi="宋体" w:eastAsia="宋体" w:cs="宋体"/>
          <w:color w:val="auto"/>
          <w:sz w:val="21"/>
        </w:rPr>
      </w:pPr>
      <w:r>
        <w:rPr>
          <w:rFonts w:hint="eastAsia" w:ascii="宋体" w:hAnsi="宋体" w:eastAsia="宋体" w:cs="宋体"/>
          <w:color w:val="auto"/>
          <w:sz w:val="21"/>
        </w:rPr>
        <w:t>19.1 因本合同及合同有关事项发生的争议，由甲乙双方友好协商解决。协商不成时，可以向有关组织申请调解。合同一方或双方不愿调解或调解不成的，可以通过仲裁或诉讼的方式解决争议。</w:t>
      </w:r>
    </w:p>
    <w:p w14:paraId="6932AA65">
      <w:pPr>
        <w:pStyle w:val="219"/>
        <w:ind w:firstLine="420"/>
        <w:jc w:val="both"/>
        <w:rPr>
          <w:rFonts w:ascii="宋体" w:hAnsi="宋体" w:eastAsia="宋体" w:cs="宋体"/>
          <w:color w:val="auto"/>
          <w:sz w:val="21"/>
        </w:rPr>
      </w:pPr>
      <w:r>
        <w:rPr>
          <w:rFonts w:hint="eastAsia" w:ascii="宋体" w:hAnsi="宋体" w:eastAsia="宋体" w:cs="宋体"/>
          <w:color w:val="auto"/>
          <w:sz w:val="21"/>
        </w:rPr>
        <w:t>19.2 选择仲裁的，应在</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中明确仲裁机构及仲裁地；通过诉讼方式解决的，可以在</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中进一步约定选择与争议有实际联系的地点的人民法院管辖，但管辖法院的约定不得违反级别管辖和专属管辖的规定。</w:t>
      </w:r>
    </w:p>
    <w:p w14:paraId="77AF32B9">
      <w:pPr>
        <w:pStyle w:val="219"/>
        <w:ind w:firstLine="420"/>
        <w:jc w:val="both"/>
        <w:rPr>
          <w:rFonts w:ascii="宋体" w:hAnsi="宋体" w:eastAsia="宋体" w:cs="宋体"/>
          <w:color w:val="auto"/>
          <w:sz w:val="21"/>
        </w:rPr>
      </w:pPr>
      <w:r>
        <w:rPr>
          <w:rFonts w:hint="eastAsia" w:ascii="宋体" w:hAnsi="宋体" w:eastAsia="宋体" w:cs="宋体"/>
          <w:color w:val="auto"/>
          <w:sz w:val="21"/>
        </w:rPr>
        <w:t>19.3 如甲乙双方有争议的事项不影响合同其他部分的履行，在争议解决期间，合同其他部分应当继续履行。</w:t>
      </w:r>
    </w:p>
    <w:p w14:paraId="66107902">
      <w:pPr>
        <w:autoSpaceDE w:val="0"/>
        <w:autoSpaceDN w:val="0"/>
        <w:adjustRightInd w:val="0"/>
        <w:snapToGrid w:val="0"/>
        <w:spacing w:line="400" w:lineRule="exact"/>
        <w:jc w:val="left"/>
        <w:rPr>
          <w:rFonts w:ascii="宋体" w:hAnsi="宋体"/>
          <w:color w:val="auto"/>
          <w:sz w:val="24"/>
        </w:rPr>
      </w:pPr>
      <w:r>
        <w:rPr>
          <w:rFonts w:hint="eastAsia" w:ascii="宋体" w:hAnsi="宋体"/>
          <w:b/>
          <w:color w:val="auto"/>
          <w:sz w:val="24"/>
        </w:rPr>
        <w:t>20. 政府采购政策</w:t>
      </w:r>
    </w:p>
    <w:p w14:paraId="4DDCF58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20.1 </w:t>
      </w:r>
      <w:r>
        <w:rPr>
          <w:rFonts w:hint="eastAsia" w:ascii="宋体" w:hAnsi="宋体" w:cs="宋体"/>
          <w:color w:val="auto"/>
          <w:lang w:val="en-GB"/>
        </w:rPr>
        <w:t>本合同应当按照规定执行政府采购政策。</w:t>
      </w:r>
    </w:p>
    <w:p w14:paraId="187140F3">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szCs w:val="21"/>
        </w:rPr>
        <w:t>，有过错的一方应当承担赔偿责任，双方都有过错的，各自承担相应的责任。</w:t>
      </w:r>
    </w:p>
    <w:p w14:paraId="5678DA67">
      <w:pPr>
        <w:pStyle w:val="17"/>
        <w:rPr>
          <w:color w:val="auto"/>
        </w:rPr>
      </w:pPr>
      <w:r>
        <w:rPr>
          <w:color w:val="auto"/>
        </w:rPr>
        <w:t>2</w:t>
      </w:r>
      <w:r>
        <w:rPr>
          <w:rFonts w:hint="eastAsia"/>
          <w:color w:val="auto"/>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FAE2A5D">
      <w:p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21. 法律适用</w:t>
      </w:r>
    </w:p>
    <w:p w14:paraId="63788968">
      <w:pPr>
        <w:pStyle w:val="219"/>
        <w:ind w:firstLine="420"/>
        <w:jc w:val="both"/>
        <w:rPr>
          <w:rFonts w:ascii="宋体" w:hAnsi="宋体" w:eastAsia="宋体" w:cs="宋体"/>
          <w:color w:val="auto"/>
          <w:sz w:val="21"/>
        </w:rPr>
      </w:pPr>
      <w:r>
        <w:rPr>
          <w:rFonts w:hint="eastAsia" w:ascii="宋体" w:hAnsi="宋体" w:eastAsia="宋体" w:cs="宋体"/>
          <w:color w:val="auto"/>
          <w:sz w:val="21"/>
        </w:rPr>
        <w:t>21.1 本合同的订立、生效、解释、履行及与本合同有关的争议解决，均适用法律、行政法规。</w:t>
      </w:r>
    </w:p>
    <w:p w14:paraId="720DB0A2">
      <w:pPr>
        <w:pStyle w:val="219"/>
        <w:ind w:firstLine="420"/>
        <w:jc w:val="both"/>
        <w:rPr>
          <w:rFonts w:ascii="宋体" w:hAnsi="宋体" w:eastAsia="宋体" w:cs="宋体"/>
          <w:color w:val="auto"/>
          <w:sz w:val="21"/>
        </w:rPr>
      </w:pPr>
      <w:r>
        <w:rPr>
          <w:rFonts w:hint="eastAsia" w:ascii="宋体" w:hAnsi="宋体" w:eastAsia="宋体" w:cs="宋体"/>
          <w:color w:val="auto"/>
          <w:sz w:val="21"/>
        </w:rPr>
        <w:t>21.2 本合同条款与法律、行政法规的强制性规定不一致的，双方当事人应按照法律、行政法规的强制性规定修改本合同的相关条款。</w:t>
      </w:r>
    </w:p>
    <w:p w14:paraId="7CC83D15">
      <w:pPr>
        <w:numPr>
          <w:ilvl w:val="255"/>
          <w:numId w:val="0"/>
        </w:num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22. 通知</w:t>
      </w:r>
    </w:p>
    <w:p w14:paraId="7F5100E2">
      <w:pPr>
        <w:pStyle w:val="219"/>
        <w:ind w:firstLine="420"/>
        <w:jc w:val="both"/>
        <w:rPr>
          <w:rFonts w:ascii="宋体" w:hAnsi="宋体" w:eastAsia="宋体" w:cs="宋体"/>
          <w:color w:val="auto"/>
          <w:sz w:val="21"/>
        </w:rPr>
      </w:pPr>
      <w:r>
        <w:rPr>
          <w:rFonts w:hint="eastAsia" w:ascii="宋体" w:hAnsi="宋体" w:eastAsia="宋体" w:cs="宋体"/>
          <w:color w:val="auto"/>
          <w:sz w:val="21"/>
        </w:rPr>
        <w:t>22.1 本合同任何一方向对方发出的通知、信件、数据电文等，应当发送至本合同第一部分《政府采购合同协议书》所约定的通讯地址、联系人、联系电话或电子邮箱。</w:t>
      </w:r>
    </w:p>
    <w:p w14:paraId="1C266E65">
      <w:pPr>
        <w:pStyle w:val="219"/>
        <w:ind w:firstLine="0" w:firstLineChars="0"/>
        <w:jc w:val="both"/>
        <w:rPr>
          <w:color w:val="auto"/>
          <w:sz w:val="21"/>
        </w:rPr>
      </w:pPr>
      <w:r>
        <w:rPr>
          <w:rFonts w:hint="eastAsia" w:ascii="宋体" w:hAnsi="宋体" w:eastAsia="宋体" w:cs="宋体"/>
          <w:color w:val="auto"/>
          <w:sz w:val="21"/>
        </w:rPr>
        <w:t xml:space="preserve">    22.2 一方当事人变更名称、住所、联系人、联系电话或电子邮箱等信息的，应当在变更后3日内及时书面通知对方，对方实际收到变更通知前的送达仍为有效送达。</w:t>
      </w:r>
    </w:p>
    <w:p w14:paraId="502009D2">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22.3本合同一方给另一方的通知均应采用书面形式，传真或快递送到本合同中规定的对方的地址和办理签收手续。</w:t>
      </w:r>
    </w:p>
    <w:p w14:paraId="64102B9B">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22.4通知以送达之日或通知书中规定的生效之日起生效，两者中以较迟之日为准。</w:t>
      </w:r>
    </w:p>
    <w:p w14:paraId="2DA24F9D">
      <w:pPr>
        <w:numPr>
          <w:ilvl w:val="0"/>
          <w:numId w:val="15"/>
        </w:numPr>
        <w:adjustRightInd w:val="0"/>
        <w:snapToGrid w:val="0"/>
        <w:spacing w:line="400" w:lineRule="exact"/>
        <w:jc w:val="left"/>
        <w:rPr>
          <w:rFonts w:ascii="宋体" w:hAnsi="宋体"/>
          <w:b/>
          <w:bCs/>
          <w:color w:val="auto"/>
          <w:sz w:val="24"/>
        </w:rPr>
      </w:pPr>
      <w:r>
        <w:rPr>
          <w:rFonts w:hint="eastAsia" w:ascii="宋体" w:hAnsi="宋体"/>
          <w:b/>
          <w:bCs/>
          <w:color w:val="auto"/>
          <w:sz w:val="24"/>
        </w:rPr>
        <w:t>合同未尽事项</w:t>
      </w:r>
    </w:p>
    <w:p w14:paraId="18355E41">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23.1合同未尽事项见</w:t>
      </w:r>
      <w:r>
        <w:rPr>
          <w:rFonts w:hint="eastAsia" w:ascii="宋体" w:hAnsi="宋体"/>
          <w:b/>
          <w:color w:val="auto"/>
          <w:szCs w:val="21"/>
        </w:rPr>
        <w:t>【政府采购合同专用条款】</w:t>
      </w:r>
      <w:r>
        <w:rPr>
          <w:rFonts w:hint="eastAsia" w:ascii="宋体" w:hAnsi="宋体"/>
          <w:bCs/>
          <w:color w:val="auto"/>
          <w:szCs w:val="21"/>
        </w:rPr>
        <w:t>。</w:t>
      </w:r>
    </w:p>
    <w:p w14:paraId="60207A54">
      <w:pPr>
        <w:adjustRightInd w:val="0"/>
        <w:snapToGrid w:val="0"/>
        <w:spacing w:line="400" w:lineRule="exact"/>
        <w:jc w:val="left"/>
        <w:rPr>
          <w:rFonts w:ascii="黑体" w:hAnsi="华文中宋" w:eastAsia="黑体"/>
          <w:color w:val="auto"/>
          <w:sz w:val="28"/>
          <w:szCs w:val="28"/>
        </w:rPr>
      </w:pPr>
      <w:r>
        <w:rPr>
          <w:rFonts w:hint="eastAsia" w:ascii="宋体" w:hAnsi="宋体"/>
          <w:bCs/>
          <w:color w:val="auto"/>
          <w:szCs w:val="21"/>
        </w:rPr>
        <w:t xml:space="preserve">    23.2 合同附件与合同正文具有同等的法律效力。</w:t>
      </w:r>
    </w:p>
    <w:p w14:paraId="76906A84">
      <w:pPr>
        <w:adjustRightInd w:val="0"/>
        <w:snapToGrid w:val="0"/>
        <w:jc w:val="center"/>
        <w:rPr>
          <w:rFonts w:ascii="黑体" w:hAnsi="华文中宋" w:eastAsia="黑体"/>
          <w:color w:val="auto"/>
          <w:sz w:val="28"/>
          <w:szCs w:val="28"/>
        </w:rPr>
      </w:pPr>
      <w:r>
        <w:rPr>
          <w:rFonts w:hint="eastAsia" w:ascii="黑体" w:hAnsi="华文中宋" w:eastAsia="黑体"/>
          <w:color w:val="auto"/>
          <w:sz w:val="28"/>
          <w:szCs w:val="28"/>
        </w:rPr>
        <w:br w:type="page"/>
      </w:r>
    </w:p>
    <w:p w14:paraId="6DD7014B">
      <w:pPr>
        <w:pStyle w:val="3"/>
        <w:adjustRightInd w:val="0"/>
        <w:snapToGrid w:val="0"/>
        <w:jc w:val="center"/>
        <w:rPr>
          <w:rFonts w:ascii="黑体" w:hAnsi="华文中宋"/>
          <w:b w:val="0"/>
          <w:bCs w:val="0"/>
          <w:color w:val="auto"/>
          <w:sz w:val="28"/>
          <w:szCs w:val="28"/>
        </w:rPr>
      </w:pPr>
      <w:r>
        <w:rPr>
          <w:rFonts w:hint="eastAsia" w:ascii="黑体" w:hAnsi="华文中宋"/>
          <w:b w:val="0"/>
          <w:bCs w:val="0"/>
          <w:color w:val="auto"/>
          <w:sz w:val="28"/>
          <w:szCs w:val="28"/>
        </w:rPr>
        <w:t>第三节 政府采购合同专用条款</w:t>
      </w:r>
    </w:p>
    <w:tbl>
      <w:tblPr>
        <w:tblStyle w:val="47"/>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C44C5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095F9CA">
            <w:pPr>
              <w:adjustRightInd w:val="0"/>
              <w:snapToGrid w:val="0"/>
              <w:jc w:val="center"/>
              <w:rPr>
                <w:rFonts w:ascii="宋体" w:hAnsi="宋体"/>
                <w:color w:val="auto"/>
                <w:szCs w:val="21"/>
              </w:rPr>
            </w:pPr>
            <w:r>
              <w:rPr>
                <w:rFonts w:hint="eastAsia" w:ascii="宋体" w:hAnsi="宋体"/>
                <w:color w:val="auto"/>
                <w:szCs w:val="21"/>
              </w:rPr>
              <w:t>第二节</w:t>
            </w:r>
          </w:p>
          <w:p w14:paraId="39FF470F">
            <w:pPr>
              <w:adjustRightInd w:val="0"/>
              <w:snapToGrid w:val="0"/>
              <w:jc w:val="center"/>
              <w:rPr>
                <w:rFonts w:ascii="宋体" w:hAnsi="宋体"/>
                <w:color w:val="auto"/>
                <w:szCs w:val="21"/>
              </w:rPr>
            </w:pPr>
            <w:r>
              <w:rPr>
                <w:rFonts w:hint="eastAsia" w:ascii="宋体" w:hAnsi="宋体"/>
                <w:color w:val="auto"/>
                <w:szCs w:val="21"/>
              </w:rPr>
              <w:t>第1.2（6）项</w:t>
            </w:r>
          </w:p>
        </w:tc>
        <w:tc>
          <w:tcPr>
            <w:tcW w:w="1742" w:type="dxa"/>
            <w:vAlign w:val="center"/>
          </w:tcPr>
          <w:p w14:paraId="64B49931">
            <w:pPr>
              <w:adjustRightInd w:val="0"/>
              <w:snapToGrid w:val="0"/>
              <w:jc w:val="left"/>
              <w:rPr>
                <w:rFonts w:ascii="宋体" w:hAnsi="宋体"/>
                <w:color w:val="auto"/>
                <w:szCs w:val="21"/>
              </w:rPr>
            </w:pPr>
            <w:r>
              <w:rPr>
                <w:rFonts w:hint="eastAsia" w:ascii="宋体" w:hAnsi="宋体"/>
                <w:color w:val="auto"/>
                <w:szCs w:val="21"/>
              </w:rPr>
              <w:t>联合体具体要求</w:t>
            </w:r>
          </w:p>
        </w:tc>
        <w:tc>
          <w:tcPr>
            <w:tcW w:w="5170" w:type="dxa"/>
            <w:vAlign w:val="center"/>
          </w:tcPr>
          <w:p w14:paraId="39C82CD3">
            <w:pPr>
              <w:adjustRightInd w:val="0"/>
              <w:snapToGrid w:val="0"/>
              <w:jc w:val="left"/>
              <w:rPr>
                <w:rFonts w:ascii="宋体" w:hAnsi="宋体"/>
                <w:color w:val="auto"/>
                <w:szCs w:val="21"/>
              </w:rPr>
            </w:pPr>
          </w:p>
        </w:tc>
      </w:tr>
      <w:tr w14:paraId="348619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3EBE6237">
            <w:pPr>
              <w:adjustRightInd w:val="0"/>
              <w:snapToGrid w:val="0"/>
              <w:jc w:val="center"/>
              <w:rPr>
                <w:rFonts w:ascii="宋体" w:hAnsi="宋体"/>
                <w:color w:val="auto"/>
                <w:szCs w:val="21"/>
              </w:rPr>
            </w:pPr>
            <w:r>
              <w:rPr>
                <w:rFonts w:hint="eastAsia" w:ascii="宋体" w:hAnsi="宋体"/>
                <w:color w:val="auto"/>
                <w:szCs w:val="21"/>
              </w:rPr>
              <w:t>第二节</w:t>
            </w:r>
          </w:p>
          <w:p w14:paraId="4B2EC6A7">
            <w:pPr>
              <w:adjustRightInd w:val="0"/>
              <w:snapToGrid w:val="0"/>
              <w:jc w:val="center"/>
              <w:rPr>
                <w:rFonts w:ascii="宋体" w:hAnsi="宋体"/>
                <w:color w:val="auto"/>
                <w:szCs w:val="21"/>
              </w:rPr>
            </w:pPr>
            <w:r>
              <w:rPr>
                <w:rFonts w:hint="eastAsia" w:ascii="宋体" w:hAnsi="宋体"/>
                <w:color w:val="auto"/>
                <w:szCs w:val="21"/>
              </w:rPr>
              <w:t>第1.2（7）项</w:t>
            </w:r>
          </w:p>
        </w:tc>
        <w:tc>
          <w:tcPr>
            <w:tcW w:w="1742" w:type="dxa"/>
            <w:vAlign w:val="center"/>
          </w:tcPr>
          <w:p w14:paraId="0D9919E7">
            <w:pPr>
              <w:adjustRightInd w:val="0"/>
              <w:snapToGrid w:val="0"/>
              <w:jc w:val="left"/>
              <w:rPr>
                <w:rFonts w:ascii="宋体" w:hAnsi="宋体"/>
                <w:color w:val="auto"/>
                <w:szCs w:val="21"/>
              </w:rPr>
            </w:pPr>
            <w:r>
              <w:rPr>
                <w:rFonts w:hint="eastAsia" w:ascii="宋体" w:hAnsi="宋体"/>
                <w:color w:val="auto"/>
                <w:szCs w:val="21"/>
              </w:rPr>
              <w:t>其他术语解释</w:t>
            </w:r>
          </w:p>
        </w:tc>
        <w:tc>
          <w:tcPr>
            <w:tcW w:w="5170" w:type="dxa"/>
            <w:vAlign w:val="center"/>
          </w:tcPr>
          <w:p w14:paraId="157122E0">
            <w:pPr>
              <w:adjustRightInd w:val="0"/>
              <w:snapToGrid w:val="0"/>
              <w:jc w:val="left"/>
              <w:rPr>
                <w:rFonts w:ascii="宋体" w:hAnsi="宋体"/>
                <w:color w:val="auto"/>
                <w:szCs w:val="21"/>
              </w:rPr>
            </w:pPr>
          </w:p>
        </w:tc>
      </w:tr>
      <w:tr w14:paraId="028B5E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FAA61B5">
            <w:pPr>
              <w:adjustRightInd w:val="0"/>
              <w:snapToGrid w:val="0"/>
              <w:jc w:val="center"/>
              <w:rPr>
                <w:rFonts w:ascii="宋体" w:hAnsi="宋体"/>
                <w:color w:val="auto"/>
                <w:szCs w:val="21"/>
              </w:rPr>
            </w:pPr>
            <w:r>
              <w:rPr>
                <w:rFonts w:hint="eastAsia" w:ascii="宋体" w:hAnsi="宋体"/>
                <w:color w:val="auto"/>
                <w:szCs w:val="21"/>
              </w:rPr>
              <w:t>第二节</w:t>
            </w:r>
          </w:p>
          <w:p w14:paraId="165109EB">
            <w:pPr>
              <w:adjustRightInd w:val="0"/>
              <w:snapToGrid w:val="0"/>
              <w:jc w:val="center"/>
              <w:rPr>
                <w:rFonts w:ascii="宋体" w:hAnsi="宋体"/>
                <w:color w:val="auto"/>
                <w:szCs w:val="21"/>
              </w:rPr>
            </w:pPr>
            <w:r>
              <w:rPr>
                <w:rFonts w:hint="eastAsia" w:ascii="宋体" w:hAnsi="宋体"/>
                <w:color w:val="auto"/>
                <w:szCs w:val="21"/>
              </w:rPr>
              <w:t>第4.4款</w:t>
            </w:r>
          </w:p>
        </w:tc>
        <w:tc>
          <w:tcPr>
            <w:tcW w:w="1742" w:type="dxa"/>
            <w:vAlign w:val="center"/>
          </w:tcPr>
          <w:p w14:paraId="4095990F">
            <w:pPr>
              <w:adjustRightInd w:val="0"/>
              <w:snapToGrid w:val="0"/>
              <w:jc w:val="left"/>
              <w:rPr>
                <w:rFonts w:ascii="宋体" w:hAnsi="宋体"/>
                <w:color w:val="auto"/>
                <w:szCs w:val="21"/>
              </w:rPr>
            </w:pPr>
            <w:r>
              <w:rPr>
                <w:rFonts w:hint="eastAsia" w:ascii="宋体" w:hAnsi="宋体"/>
                <w:color w:val="auto"/>
                <w:szCs w:val="21"/>
              </w:rPr>
              <w:t>履约验收中甲方提出异议或作出说明的期限</w:t>
            </w:r>
          </w:p>
        </w:tc>
        <w:tc>
          <w:tcPr>
            <w:tcW w:w="5170" w:type="dxa"/>
            <w:vAlign w:val="center"/>
          </w:tcPr>
          <w:p w14:paraId="19176CFB">
            <w:pPr>
              <w:adjustRightInd w:val="0"/>
              <w:snapToGrid w:val="0"/>
              <w:jc w:val="left"/>
              <w:rPr>
                <w:rFonts w:ascii="宋体" w:hAnsi="宋体"/>
                <w:color w:val="auto"/>
                <w:szCs w:val="21"/>
              </w:rPr>
            </w:pPr>
          </w:p>
        </w:tc>
      </w:tr>
      <w:tr w14:paraId="74B018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CFA7182">
            <w:pPr>
              <w:adjustRightInd w:val="0"/>
              <w:snapToGrid w:val="0"/>
              <w:jc w:val="center"/>
              <w:rPr>
                <w:rFonts w:ascii="宋体" w:hAnsi="宋体"/>
                <w:color w:val="auto"/>
                <w:szCs w:val="21"/>
              </w:rPr>
            </w:pPr>
            <w:r>
              <w:rPr>
                <w:rFonts w:hint="eastAsia" w:ascii="宋体" w:hAnsi="宋体"/>
                <w:color w:val="auto"/>
                <w:szCs w:val="21"/>
              </w:rPr>
              <w:t>第二节</w:t>
            </w:r>
          </w:p>
          <w:p w14:paraId="194E9E31">
            <w:pPr>
              <w:adjustRightInd w:val="0"/>
              <w:snapToGrid w:val="0"/>
              <w:jc w:val="center"/>
              <w:rPr>
                <w:rFonts w:ascii="宋体" w:hAnsi="宋体"/>
                <w:color w:val="auto"/>
                <w:szCs w:val="21"/>
              </w:rPr>
            </w:pPr>
            <w:r>
              <w:rPr>
                <w:rFonts w:hint="eastAsia" w:ascii="宋体" w:hAnsi="宋体"/>
                <w:color w:val="auto"/>
                <w:szCs w:val="21"/>
              </w:rPr>
              <w:t>第4.6款</w:t>
            </w:r>
          </w:p>
        </w:tc>
        <w:tc>
          <w:tcPr>
            <w:tcW w:w="1742" w:type="dxa"/>
            <w:vAlign w:val="center"/>
          </w:tcPr>
          <w:p w14:paraId="1F1EBE04">
            <w:pPr>
              <w:adjustRightInd w:val="0"/>
              <w:snapToGrid w:val="0"/>
              <w:jc w:val="left"/>
              <w:rPr>
                <w:rFonts w:ascii="宋体" w:hAnsi="宋体"/>
                <w:color w:val="auto"/>
                <w:szCs w:val="21"/>
              </w:rPr>
            </w:pPr>
            <w:r>
              <w:rPr>
                <w:rFonts w:hint="eastAsia" w:ascii="宋体" w:hAnsi="宋体"/>
                <w:color w:val="auto"/>
                <w:szCs w:val="21"/>
              </w:rPr>
              <w:t>约定甲方承担的其他义务和责任</w:t>
            </w:r>
          </w:p>
        </w:tc>
        <w:tc>
          <w:tcPr>
            <w:tcW w:w="5170" w:type="dxa"/>
            <w:vAlign w:val="center"/>
          </w:tcPr>
          <w:p w14:paraId="28BD4B3C">
            <w:pPr>
              <w:adjustRightInd w:val="0"/>
              <w:snapToGrid w:val="0"/>
              <w:jc w:val="left"/>
              <w:rPr>
                <w:rFonts w:ascii="宋体" w:hAnsi="宋体"/>
                <w:color w:val="auto"/>
                <w:szCs w:val="21"/>
              </w:rPr>
            </w:pPr>
          </w:p>
        </w:tc>
      </w:tr>
      <w:tr w14:paraId="345C5B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B59F397">
            <w:pPr>
              <w:adjustRightInd w:val="0"/>
              <w:snapToGrid w:val="0"/>
              <w:jc w:val="center"/>
              <w:rPr>
                <w:rFonts w:ascii="宋体" w:hAnsi="宋体"/>
                <w:color w:val="auto"/>
                <w:szCs w:val="21"/>
              </w:rPr>
            </w:pPr>
            <w:r>
              <w:rPr>
                <w:rFonts w:hint="eastAsia" w:ascii="宋体" w:hAnsi="宋体"/>
                <w:color w:val="auto"/>
                <w:szCs w:val="21"/>
              </w:rPr>
              <w:t>第二节</w:t>
            </w:r>
          </w:p>
          <w:p w14:paraId="57CC86A2">
            <w:pPr>
              <w:snapToGrid w:val="0"/>
              <w:jc w:val="center"/>
              <w:rPr>
                <w:color w:val="auto"/>
              </w:rPr>
            </w:pPr>
            <w:r>
              <w:rPr>
                <w:rFonts w:hint="eastAsia" w:ascii="宋体" w:hAnsi="宋体"/>
                <w:color w:val="auto"/>
                <w:szCs w:val="21"/>
              </w:rPr>
              <w:t>第5.4款</w:t>
            </w:r>
          </w:p>
        </w:tc>
        <w:tc>
          <w:tcPr>
            <w:tcW w:w="1742" w:type="dxa"/>
            <w:vAlign w:val="center"/>
          </w:tcPr>
          <w:p w14:paraId="3D5B9E55">
            <w:pPr>
              <w:adjustRightInd w:val="0"/>
              <w:snapToGrid w:val="0"/>
              <w:jc w:val="left"/>
              <w:rPr>
                <w:rFonts w:ascii="宋体" w:hAnsi="宋体"/>
                <w:color w:val="auto"/>
                <w:szCs w:val="21"/>
              </w:rPr>
            </w:pPr>
            <w:r>
              <w:rPr>
                <w:rFonts w:hint="eastAsia" w:ascii="宋体" w:hAnsi="宋体"/>
                <w:color w:val="auto"/>
                <w:szCs w:val="21"/>
              </w:rPr>
              <w:t>约定乙方承担的其他义务和责任</w:t>
            </w:r>
          </w:p>
        </w:tc>
        <w:tc>
          <w:tcPr>
            <w:tcW w:w="5170" w:type="dxa"/>
            <w:vAlign w:val="center"/>
          </w:tcPr>
          <w:p w14:paraId="59D2CBAA">
            <w:pPr>
              <w:adjustRightInd w:val="0"/>
              <w:snapToGrid w:val="0"/>
              <w:jc w:val="left"/>
              <w:rPr>
                <w:rFonts w:ascii="宋体" w:hAnsi="宋体"/>
                <w:color w:val="auto"/>
                <w:szCs w:val="21"/>
              </w:rPr>
            </w:pPr>
          </w:p>
        </w:tc>
      </w:tr>
      <w:tr w14:paraId="374A85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49D5C43">
            <w:pPr>
              <w:adjustRightInd w:val="0"/>
              <w:snapToGrid w:val="0"/>
              <w:jc w:val="center"/>
              <w:rPr>
                <w:rFonts w:ascii="宋体" w:hAnsi="宋体"/>
                <w:color w:val="auto"/>
                <w:szCs w:val="21"/>
              </w:rPr>
            </w:pPr>
            <w:r>
              <w:rPr>
                <w:rFonts w:hint="eastAsia" w:ascii="宋体" w:hAnsi="宋体"/>
                <w:color w:val="auto"/>
                <w:szCs w:val="21"/>
              </w:rPr>
              <w:t>第二节</w:t>
            </w:r>
          </w:p>
          <w:p w14:paraId="3CA22022">
            <w:pPr>
              <w:snapToGrid w:val="0"/>
              <w:jc w:val="center"/>
              <w:rPr>
                <w:rFonts w:ascii="宋体" w:hAnsi="宋体"/>
                <w:color w:val="auto"/>
                <w:szCs w:val="21"/>
              </w:rPr>
            </w:pPr>
            <w:r>
              <w:rPr>
                <w:rFonts w:hint="eastAsia" w:ascii="宋体" w:hAnsi="宋体"/>
                <w:color w:val="auto"/>
                <w:szCs w:val="21"/>
              </w:rPr>
              <w:t>第6.1款</w:t>
            </w:r>
          </w:p>
        </w:tc>
        <w:tc>
          <w:tcPr>
            <w:tcW w:w="1742" w:type="dxa"/>
            <w:vAlign w:val="center"/>
          </w:tcPr>
          <w:p w14:paraId="4EA0FB7B">
            <w:pPr>
              <w:adjustRightInd w:val="0"/>
              <w:snapToGrid w:val="0"/>
              <w:jc w:val="left"/>
              <w:rPr>
                <w:rFonts w:ascii="宋体" w:hAnsi="宋体"/>
                <w:color w:val="auto"/>
                <w:szCs w:val="21"/>
              </w:rPr>
            </w:pPr>
            <w:r>
              <w:rPr>
                <w:rFonts w:hint="eastAsia" w:ascii="宋体" w:hAnsi="宋体"/>
                <w:color w:val="auto"/>
                <w:szCs w:val="21"/>
              </w:rPr>
              <w:t>履行合同义务的顺序</w:t>
            </w:r>
          </w:p>
        </w:tc>
        <w:tc>
          <w:tcPr>
            <w:tcW w:w="5170" w:type="dxa"/>
            <w:vAlign w:val="center"/>
          </w:tcPr>
          <w:p w14:paraId="23C50E66">
            <w:pPr>
              <w:adjustRightInd w:val="0"/>
              <w:snapToGrid w:val="0"/>
              <w:jc w:val="left"/>
              <w:rPr>
                <w:rFonts w:ascii="宋体" w:hAnsi="宋体"/>
                <w:color w:val="auto"/>
                <w:szCs w:val="21"/>
              </w:rPr>
            </w:pPr>
          </w:p>
        </w:tc>
      </w:tr>
      <w:tr w14:paraId="1C4478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26075744">
            <w:pPr>
              <w:adjustRightInd w:val="0"/>
              <w:snapToGrid w:val="0"/>
              <w:jc w:val="center"/>
              <w:rPr>
                <w:rFonts w:ascii="宋体" w:hAnsi="宋体"/>
                <w:color w:val="auto"/>
                <w:szCs w:val="21"/>
              </w:rPr>
            </w:pPr>
            <w:r>
              <w:rPr>
                <w:rFonts w:hint="eastAsia" w:ascii="宋体" w:hAnsi="宋体"/>
                <w:color w:val="auto"/>
                <w:szCs w:val="21"/>
              </w:rPr>
              <w:t>第二节</w:t>
            </w:r>
          </w:p>
          <w:p w14:paraId="7E9622FA">
            <w:pPr>
              <w:adjustRightInd w:val="0"/>
              <w:snapToGrid w:val="0"/>
              <w:jc w:val="center"/>
              <w:rPr>
                <w:rFonts w:ascii="宋体" w:hAnsi="宋体"/>
                <w:color w:val="auto"/>
                <w:szCs w:val="21"/>
              </w:rPr>
            </w:pPr>
            <w:r>
              <w:rPr>
                <w:rFonts w:hint="eastAsia" w:ascii="宋体" w:hAnsi="宋体"/>
                <w:color w:val="auto"/>
                <w:szCs w:val="21"/>
              </w:rPr>
              <w:t>第7.1款</w:t>
            </w:r>
          </w:p>
        </w:tc>
        <w:tc>
          <w:tcPr>
            <w:tcW w:w="1742" w:type="dxa"/>
            <w:vAlign w:val="center"/>
          </w:tcPr>
          <w:p w14:paraId="73BEFE1E">
            <w:pPr>
              <w:adjustRightInd w:val="0"/>
              <w:snapToGrid w:val="0"/>
              <w:jc w:val="left"/>
              <w:rPr>
                <w:rFonts w:ascii="宋体" w:hAnsi="宋体"/>
                <w:color w:val="auto"/>
                <w:szCs w:val="21"/>
              </w:rPr>
            </w:pPr>
            <w:r>
              <w:rPr>
                <w:rFonts w:hint="eastAsia" w:ascii="宋体" w:hAnsi="宋体"/>
                <w:color w:val="auto"/>
                <w:szCs w:val="21"/>
              </w:rPr>
              <w:t>包装特殊要求</w:t>
            </w:r>
          </w:p>
        </w:tc>
        <w:tc>
          <w:tcPr>
            <w:tcW w:w="5170" w:type="dxa"/>
            <w:vAlign w:val="center"/>
          </w:tcPr>
          <w:p w14:paraId="4E6C6C2C">
            <w:pPr>
              <w:rPr>
                <w:color w:val="auto"/>
              </w:rPr>
            </w:pPr>
          </w:p>
        </w:tc>
      </w:tr>
      <w:tr w14:paraId="7AA3B7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50B07859">
            <w:pPr>
              <w:adjustRightInd w:val="0"/>
              <w:snapToGrid w:val="0"/>
              <w:jc w:val="center"/>
              <w:rPr>
                <w:rFonts w:ascii="宋体" w:hAnsi="宋体"/>
                <w:color w:val="auto"/>
                <w:szCs w:val="21"/>
              </w:rPr>
            </w:pPr>
          </w:p>
        </w:tc>
        <w:tc>
          <w:tcPr>
            <w:tcW w:w="1742" w:type="dxa"/>
            <w:vAlign w:val="center"/>
          </w:tcPr>
          <w:p w14:paraId="2238F62D">
            <w:pPr>
              <w:adjustRightInd w:val="0"/>
              <w:snapToGrid w:val="0"/>
              <w:jc w:val="left"/>
              <w:rPr>
                <w:rFonts w:ascii="宋体" w:hAnsi="宋体"/>
                <w:color w:val="auto"/>
                <w:szCs w:val="21"/>
              </w:rPr>
            </w:pPr>
            <w:r>
              <w:rPr>
                <w:rFonts w:hint="eastAsia" w:ascii="宋体" w:hAnsi="宋体"/>
                <w:color w:val="auto"/>
                <w:szCs w:val="21"/>
              </w:rPr>
              <w:t>指定现场</w:t>
            </w:r>
          </w:p>
        </w:tc>
        <w:tc>
          <w:tcPr>
            <w:tcW w:w="5170" w:type="dxa"/>
            <w:vAlign w:val="center"/>
          </w:tcPr>
          <w:p w14:paraId="645A728C">
            <w:pPr>
              <w:rPr>
                <w:color w:val="auto"/>
              </w:rPr>
            </w:pPr>
          </w:p>
        </w:tc>
      </w:tr>
      <w:tr w14:paraId="270DE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7AE09F2D">
            <w:pPr>
              <w:adjustRightInd w:val="0"/>
              <w:snapToGrid w:val="0"/>
              <w:jc w:val="center"/>
              <w:rPr>
                <w:rFonts w:ascii="宋体" w:hAnsi="宋体"/>
                <w:color w:val="auto"/>
                <w:szCs w:val="21"/>
              </w:rPr>
            </w:pPr>
            <w:r>
              <w:rPr>
                <w:rFonts w:hint="eastAsia" w:ascii="宋体" w:hAnsi="宋体"/>
                <w:color w:val="auto"/>
                <w:szCs w:val="21"/>
              </w:rPr>
              <w:t>第二节</w:t>
            </w:r>
          </w:p>
          <w:p w14:paraId="31ED9312">
            <w:pPr>
              <w:adjustRightInd w:val="0"/>
              <w:snapToGrid w:val="0"/>
              <w:jc w:val="center"/>
              <w:rPr>
                <w:rFonts w:ascii="宋体" w:hAnsi="宋体"/>
                <w:color w:val="auto"/>
                <w:szCs w:val="21"/>
              </w:rPr>
            </w:pPr>
            <w:r>
              <w:rPr>
                <w:rFonts w:hint="eastAsia" w:ascii="宋体" w:hAnsi="宋体"/>
                <w:color w:val="auto"/>
                <w:szCs w:val="21"/>
              </w:rPr>
              <w:t>第7.2款</w:t>
            </w:r>
          </w:p>
        </w:tc>
        <w:tc>
          <w:tcPr>
            <w:tcW w:w="1742" w:type="dxa"/>
            <w:vAlign w:val="center"/>
          </w:tcPr>
          <w:p w14:paraId="1026F9C5">
            <w:pPr>
              <w:adjustRightInd w:val="0"/>
              <w:snapToGrid w:val="0"/>
              <w:jc w:val="left"/>
              <w:rPr>
                <w:rFonts w:ascii="宋体" w:hAnsi="宋体"/>
                <w:color w:val="auto"/>
                <w:szCs w:val="21"/>
              </w:rPr>
            </w:pPr>
            <w:r>
              <w:rPr>
                <w:rFonts w:hint="eastAsia" w:ascii="宋体" w:hAnsi="宋体"/>
                <w:color w:val="auto"/>
                <w:szCs w:val="21"/>
              </w:rPr>
              <w:t>运输特殊要求</w:t>
            </w:r>
          </w:p>
        </w:tc>
        <w:tc>
          <w:tcPr>
            <w:tcW w:w="5170" w:type="dxa"/>
            <w:vAlign w:val="center"/>
          </w:tcPr>
          <w:p w14:paraId="0746D89E">
            <w:pPr>
              <w:rPr>
                <w:color w:val="auto"/>
              </w:rPr>
            </w:pPr>
          </w:p>
        </w:tc>
      </w:tr>
      <w:tr w14:paraId="6F5B37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510BCB95">
            <w:pPr>
              <w:adjustRightInd w:val="0"/>
              <w:snapToGrid w:val="0"/>
              <w:jc w:val="center"/>
              <w:rPr>
                <w:rFonts w:ascii="宋体" w:hAnsi="宋体"/>
                <w:color w:val="auto"/>
                <w:szCs w:val="21"/>
              </w:rPr>
            </w:pPr>
            <w:r>
              <w:rPr>
                <w:rFonts w:hint="eastAsia" w:ascii="宋体" w:hAnsi="宋体"/>
                <w:color w:val="auto"/>
                <w:szCs w:val="21"/>
              </w:rPr>
              <w:t>第二节</w:t>
            </w:r>
          </w:p>
          <w:p w14:paraId="2AA6EECF">
            <w:pPr>
              <w:adjustRightInd w:val="0"/>
              <w:snapToGrid w:val="0"/>
              <w:jc w:val="center"/>
              <w:rPr>
                <w:rFonts w:ascii="宋体" w:hAnsi="宋体"/>
                <w:color w:val="auto"/>
                <w:szCs w:val="21"/>
              </w:rPr>
            </w:pPr>
            <w:r>
              <w:rPr>
                <w:rFonts w:hint="eastAsia" w:ascii="宋体" w:hAnsi="宋体"/>
                <w:color w:val="auto"/>
                <w:szCs w:val="21"/>
              </w:rPr>
              <w:t>第7.3款</w:t>
            </w:r>
          </w:p>
        </w:tc>
        <w:tc>
          <w:tcPr>
            <w:tcW w:w="1742" w:type="dxa"/>
            <w:vAlign w:val="center"/>
          </w:tcPr>
          <w:p w14:paraId="5991D74B">
            <w:pPr>
              <w:adjustRightInd w:val="0"/>
              <w:snapToGrid w:val="0"/>
              <w:jc w:val="left"/>
              <w:rPr>
                <w:rFonts w:ascii="宋体" w:hAnsi="宋体"/>
                <w:color w:val="auto"/>
                <w:szCs w:val="21"/>
              </w:rPr>
            </w:pPr>
            <w:r>
              <w:rPr>
                <w:rFonts w:hint="eastAsia" w:ascii="宋体" w:hAnsi="宋体"/>
                <w:color w:val="auto"/>
                <w:szCs w:val="21"/>
              </w:rPr>
              <w:t>保险要求</w:t>
            </w:r>
          </w:p>
        </w:tc>
        <w:tc>
          <w:tcPr>
            <w:tcW w:w="5170" w:type="dxa"/>
            <w:vAlign w:val="center"/>
          </w:tcPr>
          <w:p w14:paraId="34E6A81A">
            <w:pPr>
              <w:rPr>
                <w:color w:val="auto"/>
              </w:rPr>
            </w:pPr>
          </w:p>
        </w:tc>
      </w:tr>
      <w:tr w14:paraId="40032D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1CB5506">
            <w:pPr>
              <w:adjustRightInd w:val="0"/>
              <w:snapToGrid w:val="0"/>
              <w:jc w:val="center"/>
              <w:rPr>
                <w:rFonts w:ascii="宋体" w:hAnsi="宋体"/>
                <w:color w:val="auto"/>
                <w:szCs w:val="21"/>
              </w:rPr>
            </w:pPr>
            <w:r>
              <w:rPr>
                <w:rFonts w:hint="eastAsia" w:ascii="宋体" w:hAnsi="宋体"/>
                <w:color w:val="auto"/>
                <w:szCs w:val="21"/>
              </w:rPr>
              <w:t>第二节</w:t>
            </w:r>
          </w:p>
          <w:p w14:paraId="710A9F01">
            <w:pPr>
              <w:adjustRightInd w:val="0"/>
              <w:snapToGrid w:val="0"/>
              <w:jc w:val="center"/>
              <w:rPr>
                <w:rFonts w:ascii="宋体" w:hAnsi="宋体"/>
                <w:color w:val="auto"/>
                <w:szCs w:val="21"/>
              </w:rPr>
            </w:pPr>
            <w:r>
              <w:rPr>
                <w:rFonts w:hint="eastAsia" w:ascii="宋体" w:hAnsi="宋体"/>
                <w:color w:val="auto"/>
                <w:szCs w:val="21"/>
              </w:rPr>
              <w:t>第8.2（1）项</w:t>
            </w:r>
          </w:p>
        </w:tc>
        <w:tc>
          <w:tcPr>
            <w:tcW w:w="1742" w:type="dxa"/>
            <w:vAlign w:val="center"/>
          </w:tcPr>
          <w:p w14:paraId="0610E506">
            <w:pPr>
              <w:adjustRightInd w:val="0"/>
              <w:snapToGrid w:val="0"/>
              <w:jc w:val="left"/>
              <w:rPr>
                <w:rFonts w:ascii="宋体" w:hAnsi="宋体"/>
                <w:color w:val="auto"/>
                <w:szCs w:val="21"/>
              </w:rPr>
            </w:pPr>
            <w:r>
              <w:rPr>
                <w:rFonts w:hint="eastAsia" w:ascii="宋体" w:hAnsi="宋体"/>
                <w:color w:val="auto"/>
                <w:szCs w:val="21"/>
              </w:rPr>
              <w:t>质量保证期</w:t>
            </w:r>
          </w:p>
        </w:tc>
        <w:tc>
          <w:tcPr>
            <w:tcW w:w="5170" w:type="dxa"/>
            <w:vAlign w:val="center"/>
          </w:tcPr>
          <w:p w14:paraId="56413ECB">
            <w:pPr>
              <w:autoSpaceDE w:val="0"/>
              <w:autoSpaceDN w:val="0"/>
              <w:adjustRightInd w:val="0"/>
              <w:snapToGrid w:val="0"/>
              <w:ind w:firstLine="420" w:firstLineChars="200"/>
              <w:jc w:val="left"/>
              <w:rPr>
                <w:rFonts w:ascii="宋体" w:hAnsi="宋体"/>
                <w:color w:val="auto"/>
                <w:szCs w:val="21"/>
              </w:rPr>
            </w:pPr>
          </w:p>
        </w:tc>
      </w:tr>
      <w:tr w14:paraId="16C851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ECD343B">
            <w:pPr>
              <w:adjustRightInd w:val="0"/>
              <w:snapToGrid w:val="0"/>
              <w:jc w:val="center"/>
              <w:rPr>
                <w:rFonts w:ascii="宋体" w:hAnsi="宋体"/>
                <w:color w:val="auto"/>
                <w:szCs w:val="21"/>
              </w:rPr>
            </w:pPr>
            <w:r>
              <w:rPr>
                <w:rFonts w:hint="eastAsia" w:ascii="宋体" w:hAnsi="宋体"/>
                <w:color w:val="auto"/>
                <w:szCs w:val="21"/>
              </w:rPr>
              <w:t>第二节</w:t>
            </w:r>
          </w:p>
          <w:p w14:paraId="076DBDE0">
            <w:pPr>
              <w:adjustRightInd w:val="0"/>
              <w:snapToGrid w:val="0"/>
              <w:jc w:val="center"/>
              <w:rPr>
                <w:rFonts w:ascii="宋体" w:hAnsi="宋体"/>
                <w:color w:val="auto"/>
                <w:szCs w:val="21"/>
              </w:rPr>
            </w:pPr>
            <w:r>
              <w:rPr>
                <w:rFonts w:hint="eastAsia" w:ascii="宋体" w:hAnsi="宋体"/>
                <w:color w:val="auto"/>
                <w:szCs w:val="21"/>
              </w:rPr>
              <w:t>第8.2（3）项</w:t>
            </w:r>
          </w:p>
        </w:tc>
        <w:tc>
          <w:tcPr>
            <w:tcW w:w="1742" w:type="dxa"/>
            <w:vAlign w:val="center"/>
          </w:tcPr>
          <w:p w14:paraId="08412DBB">
            <w:pPr>
              <w:adjustRightInd w:val="0"/>
              <w:snapToGrid w:val="0"/>
              <w:jc w:val="left"/>
              <w:rPr>
                <w:rFonts w:ascii="宋体" w:hAnsi="宋体"/>
                <w:color w:val="auto"/>
                <w:szCs w:val="21"/>
              </w:rPr>
            </w:pPr>
            <w:r>
              <w:rPr>
                <w:rFonts w:hint="eastAsia" w:ascii="宋体" w:hAnsi="宋体"/>
                <w:color w:val="auto"/>
                <w:szCs w:val="21"/>
              </w:rPr>
              <w:t>货物质量缺陷</w:t>
            </w:r>
          </w:p>
          <w:p w14:paraId="72EDABA6">
            <w:pPr>
              <w:adjustRightInd w:val="0"/>
              <w:snapToGrid w:val="0"/>
              <w:jc w:val="left"/>
              <w:rPr>
                <w:rFonts w:ascii="宋体" w:hAnsi="宋体"/>
                <w:color w:val="auto"/>
                <w:szCs w:val="21"/>
              </w:rPr>
            </w:pPr>
            <w:r>
              <w:rPr>
                <w:rFonts w:hint="eastAsia" w:ascii="宋体" w:hAnsi="宋体"/>
                <w:color w:val="auto"/>
                <w:szCs w:val="21"/>
              </w:rPr>
              <w:t>响应时间</w:t>
            </w:r>
          </w:p>
        </w:tc>
        <w:tc>
          <w:tcPr>
            <w:tcW w:w="5170" w:type="dxa"/>
            <w:vAlign w:val="center"/>
          </w:tcPr>
          <w:p w14:paraId="1D1766E1">
            <w:pPr>
              <w:adjustRightInd w:val="0"/>
              <w:snapToGrid w:val="0"/>
              <w:jc w:val="left"/>
              <w:rPr>
                <w:rFonts w:ascii="宋体" w:hAnsi="宋体"/>
                <w:color w:val="auto"/>
                <w:szCs w:val="21"/>
              </w:rPr>
            </w:pPr>
          </w:p>
        </w:tc>
      </w:tr>
      <w:tr w14:paraId="66C28A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1147937">
            <w:pPr>
              <w:snapToGrid w:val="0"/>
              <w:jc w:val="center"/>
              <w:rPr>
                <w:rFonts w:ascii="宋体" w:hAnsi="宋体" w:cs="宋体"/>
                <w:color w:val="auto"/>
                <w:szCs w:val="21"/>
              </w:rPr>
            </w:pPr>
            <w:r>
              <w:rPr>
                <w:rFonts w:hint="eastAsia" w:ascii="宋体" w:hAnsi="宋体" w:cs="宋体"/>
                <w:color w:val="auto"/>
                <w:szCs w:val="21"/>
              </w:rPr>
              <w:t>第二节</w:t>
            </w:r>
          </w:p>
          <w:p w14:paraId="5353D151">
            <w:pPr>
              <w:pStyle w:val="219"/>
              <w:ind w:firstLine="0" w:firstLineChars="0"/>
              <w:jc w:val="center"/>
              <w:rPr>
                <w:color w:val="auto"/>
              </w:rPr>
            </w:pPr>
            <w:r>
              <w:rPr>
                <w:rFonts w:hint="eastAsia" w:ascii="宋体" w:hAnsi="宋体" w:eastAsia="宋体" w:cs="宋体"/>
                <w:color w:val="auto"/>
              </w:rPr>
              <w:t>第11.1款</w:t>
            </w:r>
          </w:p>
        </w:tc>
        <w:tc>
          <w:tcPr>
            <w:tcW w:w="1742" w:type="dxa"/>
            <w:vAlign w:val="center"/>
          </w:tcPr>
          <w:p w14:paraId="7D7DBFBF">
            <w:pPr>
              <w:adjustRightInd w:val="0"/>
              <w:snapToGrid w:val="0"/>
              <w:rPr>
                <w:rFonts w:ascii="宋体" w:hAnsi="宋体"/>
                <w:color w:val="auto"/>
                <w:szCs w:val="21"/>
              </w:rPr>
            </w:pPr>
            <w:r>
              <w:rPr>
                <w:rFonts w:hint="eastAsia" w:ascii="宋体" w:hAnsi="宋体"/>
                <w:color w:val="auto"/>
                <w:szCs w:val="21"/>
              </w:rPr>
              <w:t>其他应当保密的信息</w:t>
            </w:r>
          </w:p>
        </w:tc>
        <w:tc>
          <w:tcPr>
            <w:tcW w:w="5170" w:type="dxa"/>
            <w:vAlign w:val="center"/>
          </w:tcPr>
          <w:p w14:paraId="355B1032">
            <w:pPr>
              <w:adjustRightInd w:val="0"/>
              <w:snapToGrid w:val="0"/>
              <w:jc w:val="left"/>
              <w:rPr>
                <w:rFonts w:ascii="宋体" w:hAnsi="宋体"/>
                <w:color w:val="auto"/>
                <w:szCs w:val="21"/>
              </w:rPr>
            </w:pPr>
          </w:p>
        </w:tc>
      </w:tr>
      <w:tr w14:paraId="044289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392987BB">
            <w:pPr>
              <w:adjustRightInd w:val="0"/>
              <w:snapToGrid w:val="0"/>
              <w:jc w:val="center"/>
              <w:rPr>
                <w:rFonts w:ascii="宋体" w:hAnsi="宋体"/>
                <w:color w:val="auto"/>
                <w:szCs w:val="21"/>
              </w:rPr>
            </w:pPr>
            <w:r>
              <w:rPr>
                <w:rFonts w:hint="eastAsia" w:ascii="宋体" w:hAnsi="宋体"/>
                <w:color w:val="auto"/>
                <w:szCs w:val="21"/>
              </w:rPr>
              <w:t>第二节</w:t>
            </w:r>
          </w:p>
          <w:p w14:paraId="4A4B9200">
            <w:pPr>
              <w:adjustRightInd w:val="0"/>
              <w:snapToGrid w:val="0"/>
              <w:jc w:val="center"/>
              <w:rPr>
                <w:rFonts w:ascii="宋体" w:hAnsi="宋体"/>
                <w:color w:val="auto"/>
                <w:szCs w:val="21"/>
              </w:rPr>
            </w:pPr>
            <w:r>
              <w:rPr>
                <w:rFonts w:hint="eastAsia" w:ascii="宋体" w:hAnsi="宋体"/>
                <w:color w:val="auto"/>
                <w:szCs w:val="21"/>
              </w:rPr>
              <w:t>第12.2款</w:t>
            </w:r>
          </w:p>
        </w:tc>
        <w:tc>
          <w:tcPr>
            <w:tcW w:w="1742" w:type="dxa"/>
            <w:vAlign w:val="center"/>
          </w:tcPr>
          <w:p w14:paraId="4A8B8F85">
            <w:pPr>
              <w:adjustRightInd w:val="0"/>
              <w:snapToGrid w:val="0"/>
              <w:jc w:val="left"/>
              <w:rPr>
                <w:rFonts w:ascii="宋体" w:hAnsi="宋体"/>
                <w:color w:val="auto"/>
                <w:szCs w:val="21"/>
              </w:rPr>
            </w:pPr>
            <w:r>
              <w:rPr>
                <w:rFonts w:hint="eastAsia" w:ascii="宋体" w:hAnsi="宋体"/>
                <w:color w:val="auto"/>
                <w:szCs w:val="21"/>
              </w:rPr>
              <w:t>合同价款支付时间</w:t>
            </w:r>
          </w:p>
        </w:tc>
        <w:tc>
          <w:tcPr>
            <w:tcW w:w="5170" w:type="dxa"/>
            <w:vAlign w:val="center"/>
          </w:tcPr>
          <w:p w14:paraId="5B7907DE">
            <w:pPr>
              <w:adjustRightInd w:val="0"/>
              <w:snapToGrid w:val="0"/>
              <w:jc w:val="left"/>
              <w:rPr>
                <w:rFonts w:ascii="宋体" w:hAnsi="宋体"/>
                <w:color w:val="auto"/>
                <w:szCs w:val="21"/>
              </w:rPr>
            </w:pPr>
          </w:p>
        </w:tc>
      </w:tr>
      <w:tr w14:paraId="23BB3E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57E0E379">
            <w:pPr>
              <w:adjustRightInd w:val="0"/>
              <w:snapToGrid w:val="0"/>
              <w:jc w:val="center"/>
              <w:rPr>
                <w:rFonts w:ascii="宋体" w:hAnsi="宋体"/>
                <w:color w:val="auto"/>
                <w:szCs w:val="21"/>
              </w:rPr>
            </w:pPr>
            <w:r>
              <w:rPr>
                <w:rFonts w:hint="eastAsia" w:ascii="宋体" w:hAnsi="宋体"/>
                <w:color w:val="auto"/>
                <w:szCs w:val="21"/>
              </w:rPr>
              <w:t>第二节</w:t>
            </w:r>
          </w:p>
          <w:p w14:paraId="2A0C1ED4">
            <w:pPr>
              <w:adjustRightInd w:val="0"/>
              <w:snapToGrid w:val="0"/>
              <w:jc w:val="center"/>
              <w:rPr>
                <w:rFonts w:ascii="宋体" w:hAnsi="宋体"/>
                <w:color w:val="auto"/>
                <w:szCs w:val="21"/>
              </w:rPr>
            </w:pPr>
            <w:r>
              <w:rPr>
                <w:rFonts w:hint="eastAsia" w:ascii="宋体" w:hAnsi="宋体"/>
                <w:color w:val="auto"/>
                <w:szCs w:val="21"/>
              </w:rPr>
              <w:t>第13.2款</w:t>
            </w:r>
          </w:p>
        </w:tc>
        <w:tc>
          <w:tcPr>
            <w:tcW w:w="1742" w:type="dxa"/>
            <w:vAlign w:val="center"/>
          </w:tcPr>
          <w:p w14:paraId="28F5C863">
            <w:pPr>
              <w:adjustRightInd w:val="0"/>
              <w:snapToGrid w:val="0"/>
              <w:jc w:val="left"/>
              <w:rPr>
                <w:rFonts w:ascii="宋体" w:hAnsi="宋体"/>
                <w:color w:val="auto"/>
                <w:szCs w:val="21"/>
              </w:rPr>
            </w:pPr>
            <w:r>
              <w:rPr>
                <w:rFonts w:hint="eastAsia" w:ascii="宋体" w:hAnsi="宋体"/>
                <w:color w:val="auto"/>
                <w:szCs w:val="21"/>
              </w:rPr>
              <w:t>履约保证金不予退还的情形</w:t>
            </w:r>
          </w:p>
        </w:tc>
        <w:tc>
          <w:tcPr>
            <w:tcW w:w="5170" w:type="dxa"/>
            <w:vAlign w:val="center"/>
          </w:tcPr>
          <w:p w14:paraId="6EC8224E">
            <w:pPr>
              <w:adjustRightInd w:val="0"/>
              <w:snapToGrid w:val="0"/>
              <w:jc w:val="left"/>
              <w:rPr>
                <w:rFonts w:ascii="宋体" w:hAnsi="宋体"/>
                <w:color w:val="auto"/>
                <w:szCs w:val="21"/>
              </w:rPr>
            </w:pPr>
          </w:p>
        </w:tc>
      </w:tr>
      <w:tr w14:paraId="4380C5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2F5C777">
            <w:pPr>
              <w:adjustRightInd w:val="0"/>
              <w:snapToGrid w:val="0"/>
              <w:jc w:val="center"/>
              <w:rPr>
                <w:rFonts w:ascii="宋体" w:hAnsi="宋体"/>
                <w:color w:val="auto"/>
                <w:szCs w:val="21"/>
              </w:rPr>
            </w:pPr>
            <w:r>
              <w:rPr>
                <w:rFonts w:hint="eastAsia" w:ascii="宋体" w:hAnsi="宋体"/>
                <w:color w:val="auto"/>
                <w:szCs w:val="21"/>
              </w:rPr>
              <w:t>第二节</w:t>
            </w:r>
          </w:p>
          <w:p w14:paraId="3EE60C68">
            <w:pPr>
              <w:adjustRightInd w:val="0"/>
              <w:snapToGrid w:val="0"/>
              <w:jc w:val="center"/>
              <w:rPr>
                <w:rFonts w:ascii="宋体" w:hAnsi="宋体"/>
                <w:color w:val="auto"/>
                <w:szCs w:val="21"/>
              </w:rPr>
            </w:pPr>
            <w:r>
              <w:rPr>
                <w:rFonts w:hint="eastAsia" w:ascii="宋体" w:hAnsi="宋体"/>
                <w:color w:val="auto"/>
                <w:szCs w:val="21"/>
              </w:rPr>
              <w:t>第13.3款</w:t>
            </w:r>
          </w:p>
        </w:tc>
        <w:tc>
          <w:tcPr>
            <w:tcW w:w="1742" w:type="dxa"/>
            <w:vAlign w:val="center"/>
          </w:tcPr>
          <w:p w14:paraId="5555BB64">
            <w:pPr>
              <w:adjustRightInd w:val="0"/>
              <w:snapToGrid w:val="0"/>
              <w:jc w:val="left"/>
              <w:rPr>
                <w:rFonts w:ascii="宋体" w:hAnsi="宋体"/>
                <w:color w:val="auto"/>
                <w:szCs w:val="21"/>
              </w:rPr>
            </w:pPr>
            <w:r>
              <w:rPr>
                <w:rFonts w:hint="eastAsia" w:ascii="宋体" w:hAnsi="宋体"/>
                <w:color w:val="auto"/>
                <w:szCs w:val="21"/>
              </w:rPr>
              <w:t>履约保证金退还时间及逾期退还的违约金</w:t>
            </w:r>
          </w:p>
        </w:tc>
        <w:tc>
          <w:tcPr>
            <w:tcW w:w="5170" w:type="dxa"/>
            <w:vAlign w:val="center"/>
          </w:tcPr>
          <w:p w14:paraId="7CED60B4">
            <w:pPr>
              <w:adjustRightInd w:val="0"/>
              <w:snapToGrid w:val="0"/>
              <w:jc w:val="left"/>
              <w:rPr>
                <w:rFonts w:ascii="宋体" w:hAnsi="宋体"/>
                <w:color w:val="auto"/>
                <w:szCs w:val="21"/>
              </w:rPr>
            </w:pPr>
          </w:p>
        </w:tc>
      </w:tr>
      <w:tr w14:paraId="7DF5D2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625DD171">
            <w:pPr>
              <w:adjustRightInd w:val="0"/>
              <w:snapToGrid w:val="0"/>
              <w:jc w:val="center"/>
              <w:rPr>
                <w:rFonts w:ascii="宋体" w:hAnsi="宋体"/>
                <w:color w:val="auto"/>
                <w:szCs w:val="21"/>
              </w:rPr>
            </w:pPr>
            <w:r>
              <w:rPr>
                <w:rFonts w:hint="eastAsia" w:ascii="宋体" w:hAnsi="宋体"/>
                <w:color w:val="auto"/>
                <w:szCs w:val="21"/>
              </w:rPr>
              <w:t>第二节</w:t>
            </w:r>
          </w:p>
          <w:p w14:paraId="07AA9061">
            <w:pPr>
              <w:adjustRightInd w:val="0"/>
              <w:snapToGrid w:val="0"/>
              <w:jc w:val="center"/>
              <w:rPr>
                <w:rFonts w:ascii="宋体" w:hAnsi="宋体"/>
                <w:color w:val="auto"/>
                <w:szCs w:val="21"/>
              </w:rPr>
            </w:pPr>
            <w:r>
              <w:rPr>
                <w:rFonts w:hint="eastAsia" w:ascii="宋体" w:hAnsi="宋体"/>
                <w:color w:val="auto"/>
                <w:szCs w:val="21"/>
              </w:rPr>
              <w:t>第14.1（3）项</w:t>
            </w:r>
          </w:p>
        </w:tc>
        <w:tc>
          <w:tcPr>
            <w:tcW w:w="1742" w:type="dxa"/>
            <w:vAlign w:val="center"/>
          </w:tcPr>
          <w:p w14:paraId="7263FAF5">
            <w:pPr>
              <w:adjustRightInd w:val="0"/>
              <w:snapToGrid w:val="0"/>
              <w:jc w:val="left"/>
              <w:rPr>
                <w:rFonts w:ascii="宋体" w:hAnsi="宋体"/>
                <w:color w:val="auto"/>
                <w:szCs w:val="21"/>
              </w:rPr>
            </w:pPr>
            <w:r>
              <w:rPr>
                <w:rFonts w:hint="eastAsia" w:ascii="宋体" w:hAnsi="宋体"/>
                <w:color w:val="auto"/>
                <w:szCs w:val="21"/>
              </w:rPr>
              <w:t>运行监督、维修期限</w:t>
            </w:r>
          </w:p>
        </w:tc>
        <w:tc>
          <w:tcPr>
            <w:tcW w:w="5170" w:type="dxa"/>
            <w:vAlign w:val="center"/>
          </w:tcPr>
          <w:p w14:paraId="34463BBB">
            <w:pPr>
              <w:adjustRightInd w:val="0"/>
              <w:snapToGrid w:val="0"/>
              <w:jc w:val="left"/>
              <w:rPr>
                <w:rFonts w:ascii="宋体" w:hAnsi="宋体"/>
                <w:color w:val="auto"/>
                <w:szCs w:val="21"/>
              </w:rPr>
            </w:pPr>
          </w:p>
        </w:tc>
      </w:tr>
      <w:tr w14:paraId="594BBA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78AE80B1">
            <w:pPr>
              <w:adjustRightInd w:val="0"/>
              <w:snapToGrid w:val="0"/>
              <w:jc w:val="center"/>
              <w:rPr>
                <w:rFonts w:ascii="宋体" w:hAnsi="宋体"/>
                <w:color w:val="auto"/>
                <w:szCs w:val="21"/>
              </w:rPr>
            </w:pPr>
            <w:r>
              <w:rPr>
                <w:rFonts w:hint="eastAsia" w:ascii="宋体" w:hAnsi="宋体"/>
                <w:color w:val="auto"/>
                <w:szCs w:val="21"/>
              </w:rPr>
              <w:t>第二节</w:t>
            </w:r>
          </w:p>
          <w:p w14:paraId="26C7268F">
            <w:pPr>
              <w:adjustRightInd w:val="0"/>
              <w:snapToGrid w:val="0"/>
              <w:jc w:val="center"/>
              <w:rPr>
                <w:rFonts w:ascii="宋体" w:hAnsi="宋体"/>
                <w:color w:val="auto"/>
                <w:szCs w:val="21"/>
              </w:rPr>
            </w:pPr>
            <w:r>
              <w:rPr>
                <w:rFonts w:hint="eastAsia" w:ascii="宋体" w:hAnsi="宋体"/>
                <w:color w:val="auto"/>
                <w:szCs w:val="21"/>
              </w:rPr>
              <w:t>第14.1（5）项</w:t>
            </w:r>
          </w:p>
        </w:tc>
        <w:tc>
          <w:tcPr>
            <w:tcW w:w="1742" w:type="dxa"/>
            <w:vAlign w:val="center"/>
          </w:tcPr>
          <w:p w14:paraId="693C44D4">
            <w:pPr>
              <w:adjustRightInd w:val="0"/>
              <w:snapToGrid w:val="0"/>
              <w:jc w:val="left"/>
              <w:rPr>
                <w:rFonts w:ascii="宋体" w:hAnsi="宋体"/>
                <w:color w:val="auto"/>
                <w:szCs w:val="21"/>
              </w:rPr>
            </w:pPr>
            <w:r>
              <w:rPr>
                <w:rFonts w:hint="eastAsia" w:ascii="宋体" w:hAnsi="宋体"/>
                <w:color w:val="auto"/>
                <w:szCs w:val="21"/>
              </w:rPr>
              <w:t>货物回收的约定</w:t>
            </w:r>
          </w:p>
        </w:tc>
        <w:tc>
          <w:tcPr>
            <w:tcW w:w="5170" w:type="dxa"/>
            <w:vAlign w:val="center"/>
          </w:tcPr>
          <w:p w14:paraId="3143FC7F">
            <w:pPr>
              <w:adjustRightInd w:val="0"/>
              <w:snapToGrid w:val="0"/>
              <w:jc w:val="left"/>
              <w:rPr>
                <w:rFonts w:ascii="宋体" w:hAnsi="宋体"/>
                <w:color w:val="auto"/>
                <w:szCs w:val="21"/>
              </w:rPr>
            </w:pPr>
          </w:p>
        </w:tc>
      </w:tr>
      <w:tr w14:paraId="637CF7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D4E72BD">
            <w:pPr>
              <w:adjustRightInd w:val="0"/>
              <w:snapToGrid w:val="0"/>
              <w:jc w:val="center"/>
              <w:rPr>
                <w:rFonts w:ascii="宋体" w:hAnsi="宋体"/>
                <w:color w:val="auto"/>
                <w:szCs w:val="21"/>
              </w:rPr>
            </w:pPr>
            <w:r>
              <w:rPr>
                <w:rFonts w:hint="eastAsia" w:ascii="宋体" w:hAnsi="宋体"/>
                <w:color w:val="auto"/>
                <w:szCs w:val="21"/>
              </w:rPr>
              <w:t>第二节</w:t>
            </w:r>
          </w:p>
          <w:p w14:paraId="6F38A8FF">
            <w:pPr>
              <w:adjustRightInd w:val="0"/>
              <w:snapToGrid w:val="0"/>
              <w:jc w:val="center"/>
              <w:rPr>
                <w:rFonts w:ascii="宋体" w:hAnsi="宋体"/>
                <w:color w:val="auto"/>
                <w:szCs w:val="21"/>
              </w:rPr>
            </w:pPr>
            <w:r>
              <w:rPr>
                <w:rFonts w:hint="eastAsia" w:ascii="宋体" w:hAnsi="宋体"/>
                <w:color w:val="auto"/>
                <w:szCs w:val="21"/>
              </w:rPr>
              <w:t>第14.1（6）项</w:t>
            </w:r>
          </w:p>
        </w:tc>
        <w:tc>
          <w:tcPr>
            <w:tcW w:w="1742" w:type="dxa"/>
            <w:vAlign w:val="center"/>
          </w:tcPr>
          <w:p w14:paraId="4A067E42">
            <w:pPr>
              <w:adjustRightInd w:val="0"/>
              <w:snapToGrid w:val="0"/>
              <w:jc w:val="left"/>
              <w:rPr>
                <w:rFonts w:ascii="宋体" w:hAnsi="宋体"/>
                <w:color w:val="auto"/>
                <w:szCs w:val="21"/>
              </w:rPr>
            </w:pPr>
            <w:r>
              <w:rPr>
                <w:rFonts w:hint="eastAsia" w:ascii="宋体" w:hAnsi="宋体"/>
                <w:color w:val="auto"/>
                <w:szCs w:val="21"/>
              </w:rPr>
              <w:t>乙方提供的其他服务</w:t>
            </w:r>
          </w:p>
        </w:tc>
        <w:tc>
          <w:tcPr>
            <w:tcW w:w="5170" w:type="dxa"/>
            <w:vAlign w:val="center"/>
          </w:tcPr>
          <w:p w14:paraId="63CD50F8">
            <w:pPr>
              <w:adjustRightInd w:val="0"/>
              <w:snapToGrid w:val="0"/>
              <w:jc w:val="left"/>
              <w:rPr>
                <w:rFonts w:ascii="宋体" w:hAnsi="宋体"/>
                <w:color w:val="auto"/>
                <w:szCs w:val="21"/>
              </w:rPr>
            </w:pPr>
          </w:p>
        </w:tc>
      </w:tr>
      <w:tr w14:paraId="4FBB80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E71813A">
            <w:pPr>
              <w:adjustRightInd w:val="0"/>
              <w:snapToGrid w:val="0"/>
              <w:jc w:val="center"/>
              <w:rPr>
                <w:rFonts w:ascii="宋体" w:hAnsi="宋体"/>
                <w:color w:val="auto"/>
                <w:szCs w:val="21"/>
              </w:rPr>
            </w:pPr>
            <w:r>
              <w:rPr>
                <w:rFonts w:hint="eastAsia" w:ascii="宋体" w:hAnsi="宋体"/>
                <w:color w:val="auto"/>
                <w:szCs w:val="21"/>
              </w:rPr>
              <w:t>第二节</w:t>
            </w:r>
          </w:p>
          <w:p w14:paraId="32FA2D5F">
            <w:pPr>
              <w:adjustRightInd w:val="0"/>
              <w:snapToGrid w:val="0"/>
              <w:jc w:val="center"/>
              <w:rPr>
                <w:rFonts w:ascii="宋体" w:hAnsi="宋体"/>
                <w:color w:val="auto"/>
                <w:szCs w:val="21"/>
              </w:rPr>
            </w:pPr>
            <w:r>
              <w:rPr>
                <w:rFonts w:hint="eastAsia" w:ascii="宋体" w:hAnsi="宋体"/>
                <w:color w:val="auto"/>
                <w:szCs w:val="21"/>
              </w:rPr>
              <w:t>第15.1款</w:t>
            </w:r>
          </w:p>
        </w:tc>
        <w:tc>
          <w:tcPr>
            <w:tcW w:w="1742" w:type="dxa"/>
            <w:vAlign w:val="center"/>
          </w:tcPr>
          <w:p w14:paraId="479665C3">
            <w:pPr>
              <w:adjustRightInd w:val="0"/>
              <w:snapToGrid w:val="0"/>
              <w:jc w:val="left"/>
              <w:rPr>
                <w:rFonts w:ascii="宋体" w:hAnsi="宋体"/>
                <w:color w:val="auto"/>
                <w:szCs w:val="21"/>
              </w:rPr>
            </w:pPr>
            <w:r>
              <w:rPr>
                <w:rFonts w:hint="eastAsia" w:ascii="宋体" w:hAnsi="宋体"/>
                <w:color w:val="auto"/>
                <w:szCs w:val="21"/>
              </w:rPr>
              <w:t>修理、重作、更换相关具体规定</w:t>
            </w:r>
          </w:p>
        </w:tc>
        <w:tc>
          <w:tcPr>
            <w:tcW w:w="5170" w:type="dxa"/>
            <w:vAlign w:val="center"/>
          </w:tcPr>
          <w:p w14:paraId="77AC2A5E">
            <w:pPr>
              <w:adjustRightInd w:val="0"/>
              <w:snapToGrid w:val="0"/>
              <w:jc w:val="left"/>
              <w:rPr>
                <w:rFonts w:ascii="宋体" w:hAnsi="宋体"/>
                <w:color w:val="auto"/>
                <w:szCs w:val="21"/>
              </w:rPr>
            </w:pPr>
          </w:p>
        </w:tc>
      </w:tr>
      <w:tr w14:paraId="774230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77B5D43">
            <w:pPr>
              <w:adjustRightInd w:val="0"/>
              <w:snapToGrid w:val="0"/>
              <w:jc w:val="center"/>
              <w:rPr>
                <w:rFonts w:ascii="宋体" w:hAnsi="宋体"/>
                <w:color w:val="auto"/>
                <w:szCs w:val="21"/>
              </w:rPr>
            </w:pPr>
            <w:r>
              <w:rPr>
                <w:rFonts w:hint="eastAsia" w:ascii="宋体" w:hAnsi="宋体"/>
                <w:color w:val="auto"/>
                <w:szCs w:val="21"/>
              </w:rPr>
              <w:t>第二节</w:t>
            </w:r>
          </w:p>
          <w:p w14:paraId="7A84E8F6">
            <w:pPr>
              <w:adjustRightInd w:val="0"/>
              <w:snapToGrid w:val="0"/>
              <w:jc w:val="center"/>
              <w:rPr>
                <w:rFonts w:ascii="宋体" w:hAnsi="宋体"/>
                <w:color w:val="auto"/>
                <w:szCs w:val="21"/>
              </w:rPr>
            </w:pPr>
            <w:r>
              <w:rPr>
                <w:rFonts w:hint="eastAsia" w:ascii="宋体" w:hAnsi="宋体"/>
                <w:color w:val="auto"/>
                <w:szCs w:val="21"/>
              </w:rPr>
              <w:t>第15.2（2）项</w:t>
            </w:r>
          </w:p>
        </w:tc>
        <w:tc>
          <w:tcPr>
            <w:tcW w:w="1742" w:type="dxa"/>
            <w:vAlign w:val="center"/>
          </w:tcPr>
          <w:p w14:paraId="2B9A821A">
            <w:pPr>
              <w:adjustRightInd w:val="0"/>
              <w:snapToGrid w:val="0"/>
              <w:jc w:val="left"/>
              <w:rPr>
                <w:rFonts w:ascii="宋体" w:hAnsi="宋体"/>
                <w:color w:val="auto"/>
                <w:szCs w:val="21"/>
              </w:rPr>
            </w:pPr>
            <w:r>
              <w:rPr>
                <w:rFonts w:hint="eastAsia" w:ascii="宋体" w:hAnsi="宋体"/>
                <w:color w:val="auto"/>
                <w:szCs w:val="21"/>
              </w:rPr>
              <w:t>迟延交货赔偿费</w:t>
            </w:r>
          </w:p>
        </w:tc>
        <w:tc>
          <w:tcPr>
            <w:tcW w:w="5170" w:type="dxa"/>
            <w:vAlign w:val="center"/>
          </w:tcPr>
          <w:p w14:paraId="5BEEFCDE">
            <w:pPr>
              <w:adjustRightInd w:val="0"/>
              <w:snapToGrid w:val="0"/>
              <w:jc w:val="left"/>
              <w:rPr>
                <w:rFonts w:ascii="宋体" w:hAnsi="宋体"/>
                <w:color w:val="auto"/>
                <w:szCs w:val="21"/>
                <w:u w:val="single"/>
              </w:rPr>
            </w:pPr>
          </w:p>
        </w:tc>
      </w:tr>
      <w:tr w14:paraId="4E7D97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3D2A4EE">
            <w:pPr>
              <w:adjustRightInd w:val="0"/>
              <w:snapToGrid w:val="0"/>
              <w:jc w:val="center"/>
              <w:rPr>
                <w:rFonts w:ascii="宋体" w:hAnsi="宋体"/>
                <w:color w:val="auto"/>
                <w:szCs w:val="21"/>
              </w:rPr>
            </w:pPr>
            <w:r>
              <w:rPr>
                <w:rFonts w:hint="eastAsia" w:ascii="宋体" w:hAnsi="宋体"/>
                <w:color w:val="auto"/>
                <w:szCs w:val="21"/>
              </w:rPr>
              <w:t>第二节</w:t>
            </w:r>
          </w:p>
          <w:p w14:paraId="0CDF333B">
            <w:pPr>
              <w:adjustRightInd w:val="0"/>
              <w:snapToGrid w:val="0"/>
              <w:jc w:val="center"/>
              <w:rPr>
                <w:rFonts w:ascii="宋体" w:hAnsi="宋体"/>
                <w:color w:val="auto"/>
                <w:szCs w:val="21"/>
              </w:rPr>
            </w:pPr>
            <w:r>
              <w:rPr>
                <w:rFonts w:hint="eastAsia" w:ascii="宋体" w:hAnsi="宋体"/>
                <w:color w:val="auto"/>
                <w:szCs w:val="21"/>
              </w:rPr>
              <w:t>第15.3款</w:t>
            </w:r>
          </w:p>
        </w:tc>
        <w:tc>
          <w:tcPr>
            <w:tcW w:w="1742" w:type="dxa"/>
            <w:vAlign w:val="center"/>
          </w:tcPr>
          <w:p w14:paraId="2EEB66F0">
            <w:pPr>
              <w:adjustRightInd w:val="0"/>
              <w:snapToGrid w:val="0"/>
              <w:jc w:val="left"/>
              <w:rPr>
                <w:rFonts w:ascii="宋体" w:hAnsi="宋体"/>
                <w:color w:val="auto"/>
                <w:szCs w:val="21"/>
              </w:rPr>
            </w:pPr>
            <w:r>
              <w:rPr>
                <w:rFonts w:hint="eastAsia" w:ascii="宋体" w:hAnsi="宋体"/>
                <w:color w:val="auto"/>
                <w:szCs w:val="21"/>
              </w:rPr>
              <w:t>逾期付款利息</w:t>
            </w:r>
          </w:p>
        </w:tc>
        <w:tc>
          <w:tcPr>
            <w:tcW w:w="5170" w:type="dxa"/>
            <w:vAlign w:val="center"/>
          </w:tcPr>
          <w:p w14:paraId="7C9A1194">
            <w:pPr>
              <w:adjustRightInd w:val="0"/>
              <w:snapToGrid w:val="0"/>
              <w:jc w:val="left"/>
              <w:rPr>
                <w:rFonts w:ascii="宋体" w:hAnsi="宋体"/>
                <w:color w:val="auto"/>
                <w:szCs w:val="21"/>
                <w:u w:val="single"/>
              </w:rPr>
            </w:pPr>
          </w:p>
        </w:tc>
      </w:tr>
      <w:tr w14:paraId="7815A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2F14D645">
            <w:pPr>
              <w:adjustRightInd w:val="0"/>
              <w:snapToGrid w:val="0"/>
              <w:jc w:val="center"/>
              <w:rPr>
                <w:rFonts w:ascii="宋体" w:hAnsi="宋体"/>
                <w:color w:val="auto"/>
                <w:szCs w:val="21"/>
              </w:rPr>
            </w:pPr>
            <w:r>
              <w:rPr>
                <w:rFonts w:hint="eastAsia" w:ascii="宋体" w:hAnsi="宋体"/>
                <w:color w:val="auto"/>
                <w:szCs w:val="21"/>
              </w:rPr>
              <w:t>第二节</w:t>
            </w:r>
          </w:p>
          <w:p w14:paraId="7FAC1EF2">
            <w:pPr>
              <w:adjustRightInd w:val="0"/>
              <w:snapToGrid w:val="0"/>
              <w:jc w:val="center"/>
              <w:rPr>
                <w:rFonts w:ascii="宋体" w:hAnsi="宋体"/>
                <w:color w:val="auto"/>
                <w:szCs w:val="21"/>
              </w:rPr>
            </w:pPr>
            <w:r>
              <w:rPr>
                <w:rFonts w:hint="eastAsia" w:ascii="宋体" w:hAnsi="宋体"/>
                <w:color w:val="auto"/>
                <w:szCs w:val="21"/>
              </w:rPr>
              <w:t>第15.4款</w:t>
            </w:r>
          </w:p>
        </w:tc>
        <w:tc>
          <w:tcPr>
            <w:tcW w:w="1742" w:type="dxa"/>
            <w:tcBorders>
              <w:left w:val="single" w:color="auto" w:sz="2" w:space="0"/>
              <w:bottom w:val="single" w:color="auto" w:sz="2" w:space="0"/>
              <w:right w:val="single" w:color="auto" w:sz="2" w:space="0"/>
            </w:tcBorders>
            <w:vAlign w:val="center"/>
          </w:tcPr>
          <w:p w14:paraId="579CDD5D">
            <w:pPr>
              <w:adjustRightInd w:val="0"/>
              <w:snapToGrid w:val="0"/>
              <w:jc w:val="left"/>
              <w:rPr>
                <w:rFonts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14:paraId="5C30058A">
            <w:pPr>
              <w:adjustRightInd w:val="0"/>
              <w:snapToGrid w:val="0"/>
              <w:jc w:val="left"/>
              <w:rPr>
                <w:rFonts w:ascii="宋体" w:hAnsi="宋体"/>
                <w:color w:val="auto"/>
                <w:szCs w:val="21"/>
                <w:u w:val="single"/>
              </w:rPr>
            </w:pPr>
          </w:p>
        </w:tc>
      </w:tr>
      <w:tr w14:paraId="64CB8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14BF8C18">
            <w:pPr>
              <w:adjustRightInd w:val="0"/>
              <w:snapToGrid w:val="0"/>
              <w:jc w:val="center"/>
              <w:rPr>
                <w:rFonts w:ascii="宋体" w:hAnsi="宋体"/>
                <w:color w:val="auto"/>
                <w:szCs w:val="21"/>
              </w:rPr>
            </w:pPr>
            <w:r>
              <w:rPr>
                <w:rFonts w:hint="eastAsia" w:ascii="宋体" w:hAnsi="宋体"/>
                <w:color w:val="auto"/>
                <w:szCs w:val="21"/>
              </w:rPr>
              <w:t>第二节</w:t>
            </w:r>
          </w:p>
          <w:p w14:paraId="5A7DA37E">
            <w:pPr>
              <w:adjustRightInd w:val="0"/>
              <w:snapToGrid w:val="0"/>
              <w:jc w:val="center"/>
              <w:rPr>
                <w:rFonts w:ascii="宋体" w:hAnsi="宋体"/>
                <w:color w:val="auto"/>
                <w:szCs w:val="21"/>
              </w:rPr>
            </w:pPr>
            <w:r>
              <w:rPr>
                <w:rFonts w:hint="eastAsia" w:ascii="宋体" w:hAnsi="宋体"/>
                <w:color w:val="auto"/>
                <w:szCs w:val="21"/>
              </w:rPr>
              <w:t>第19.2款</w:t>
            </w:r>
          </w:p>
        </w:tc>
        <w:tc>
          <w:tcPr>
            <w:tcW w:w="1742" w:type="dxa"/>
            <w:tcBorders>
              <w:top w:val="single" w:color="auto" w:sz="2" w:space="0"/>
              <w:left w:val="single" w:color="auto" w:sz="2" w:space="0"/>
              <w:right w:val="single" w:color="auto" w:sz="2" w:space="0"/>
            </w:tcBorders>
            <w:vAlign w:val="center"/>
          </w:tcPr>
          <w:p w14:paraId="275AA823">
            <w:pPr>
              <w:adjustRightInd w:val="0"/>
              <w:snapToGrid w:val="0"/>
              <w:jc w:val="left"/>
              <w:rPr>
                <w:rFonts w:ascii="宋体" w:hAnsi="宋体"/>
                <w:color w:val="auto"/>
                <w:szCs w:val="21"/>
              </w:rPr>
            </w:pPr>
            <w:r>
              <w:rPr>
                <w:rFonts w:hint="eastAsia" w:ascii="宋体" w:hAnsi="宋体"/>
                <w:color w:val="auto"/>
                <w:szCs w:val="21"/>
              </w:rPr>
              <w:t>解决争议的方法</w:t>
            </w:r>
          </w:p>
        </w:tc>
        <w:tc>
          <w:tcPr>
            <w:tcW w:w="5170" w:type="dxa"/>
            <w:tcBorders>
              <w:top w:val="single" w:color="auto" w:sz="2" w:space="0"/>
              <w:left w:val="single" w:color="auto" w:sz="2" w:space="0"/>
            </w:tcBorders>
            <w:vAlign w:val="center"/>
          </w:tcPr>
          <w:p w14:paraId="37301B28">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因本合同及合同有关事项发生的争议，按下列第</w:t>
            </w:r>
            <w:r>
              <w:rPr>
                <w:rFonts w:hint="eastAsia" w:ascii="宋体" w:hAnsi="宋体" w:cs="宋体"/>
                <w:iCs/>
                <w:color w:val="auto"/>
                <w:szCs w:val="21"/>
                <w:u w:val="single"/>
              </w:rPr>
              <w:t xml:space="preserve">   </w:t>
            </w:r>
            <w:r>
              <w:rPr>
                <w:rFonts w:hint="eastAsia" w:ascii="宋体" w:hAnsi="宋体" w:cs="宋体"/>
                <w:iCs/>
                <w:color w:val="auto"/>
                <w:szCs w:val="21"/>
              </w:rPr>
              <w:t>种方式解决：</w:t>
            </w:r>
          </w:p>
          <w:p w14:paraId="5F296063">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（1）向</w:t>
            </w:r>
            <w:r>
              <w:rPr>
                <w:rFonts w:hint="eastAsia" w:ascii="宋体" w:hAnsi="宋体" w:cs="宋体"/>
                <w:iCs/>
                <w:color w:val="auto"/>
                <w:szCs w:val="21"/>
                <w:u w:val="single"/>
              </w:rPr>
              <w:t xml:space="preserve">                    </w:t>
            </w:r>
            <w:r>
              <w:rPr>
                <w:rFonts w:hint="eastAsia" w:ascii="宋体" w:hAnsi="宋体" w:cs="宋体"/>
                <w:iCs/>
                <w:color w:val="auto"/>
                <w:szCs w:val="21"/>
              </w:rPr>
              <w:t>仲裁委员会申请仲裁，仲裁地点为</w:t>
            </w:r>
            <w:r>
              <w:rPr>
                <w:rFonts w:hint="eastAsia" w:ascii="宋体" w:hAnsi="宋体" w:cs="宋体"/>
                <w:iCs/>
                <w:color w:val="auto"/>
                <w:szCs w:val="21"/>
                <w:u w:val="single"/>
              </w:rPr>
              <w:t xml:space="preserve">           </w:t>
            </w:r>
            <w:r>
              <w:rPr>
                <w:rFonts w:hint="eastAsia" w:ascii="宋体" w:hAnsi="宋体" w:cs="宋体"/>
                <w:iCs/>
                <w:color w:val="auto"/>
                <w:szCs w:val="21"/>
              </w:rPr>
              <w:t>；</w:t>
            </w:r>
          </w:p>
          <w:p w14:paraId="79A99545">
            <w:pPr>
              <w:adjustRightInd w:val="0"/>
              <w:snapToGrid w:val="0"/>
              <w:jc w:val="left"/>
              <w:rPr>
                <w:rFonts w:ascii="宋体" w:hAnsi="宋体"/>
                <w:color w:val="auto"/>
                <w:szCs w:val="21"/>
                <w:u w:val="single"/>
              </w:rPr>
            </w:pPr>
            <w:r>
              <w:rPr>
                <w:rFonts w:hint="eastAsia" w:ascii="宋体" w:hAnsi="宋体" w:cs="宋体"/>
                <w:iCs/>
                <w:color w:val="auto"/>
                <w:szCs w:val="21"/>
              </w:rPr>
              <w:t>（2）向</w:t>
            </w:r>
            <w:r>
              <w:rPr>
                <w:rFonts w:hint="eastAsia" w:ascii="宋体" w:hAnsi="宋体" w:cs="宋体"/>
                <w:iCs/>
                <w:color w:val="auto"/>
                <w:szCs w:val="21"/>
                <w:u w:val="single"/>
              </w:rPr>
              <w:t xml:space="preserve">                    </w:t>
            </w:r>
            <w:r>
              <w:rPr>
                <w:rFonts w:hint="eastAsia" w:ascii="宋体" w:hAnsi="宋体" w:cs="宋体"/>
                <w:iCs/>
                <w:color w:val="auto"/>
                <w:szCs w:val="21"/>
              </w:rPr>
              <w:t>人民法院起诉。</w:t>
            </w:r>
          </w:p>
        </w:tc>
      </w:tr>
      <w:tr w14:paraId="3F09B5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6E0D0758">
            <w:pPr>
              <w:adjustRightInd w:val="0"/>
              <w:snapToGrid w:val="0"/>
              <w:jc w:val="center"/>
              <w:rPr>
                <w:rFonts w:ascii="宋体" w:hAnsi="宋体"/>
                <w:color w:val="auto"/>
                <w:szCs w:val="21"/>
              </w:rPr>
            </w:pPr>
            <w:r>
              <w:rPr>
                <w:rFonts w:hint="eastAsia" w:ascii="宋体" w:hAnsi="宋体"/>
                <w:color w:val="auto"/>
                <w:szCs w:val="21"/>
              </w:rPr>
              <w:t>第二节</w:t>
            </w:r>
          </w:p>
          <w:p w14:paraId="49BFC091">
            <w:pPr>
              <w:adjustRightInd w:val="0"/>
              <w:snapToGrid w:val="0"/>
              <w:jc w:val="center"/>
              <w:rPr>
                <w:rFonts w:ascii="宋体" w:hAnsi="宋体"/>
                <w:color w:val="auto"/>
                <w:szCs w:val="21"/>
              </w:rPr>
            </w:pPr>
            <w:r>
              <w:rPr>
                <w:rFonts w:hint="eastAsia" w:ascii="宋体" w:hAnsi="宋体"/>
                <w:color w:val="auto"/>
                <w:szCs w:val="21"/>
              </w:rPr>
              <w:t>第23.1款</w:t>
            </w:r>
          </w:p>
        </w:tc>
        <w:tc>
          <w:tcPr>
            <w:tcW w:w="1742" w:type="dxa"/>
            <w:vAlign w:val="center"/>
          </w:tcPr>
          <w:p w14:paraId="238253BE">
            <w:pPr>
              <w:adjustRightInd w:val="0"/>
              <w:snapToGrid w:val="0"/>
              <w:jc w:val="left"/>
              <w:rPr>
                <w:rFonts w:ascii="宋体" w:hAnsi="宋体"/>
                <w:color w:val="auto"/>
                <w:szCs w:val="21"/>
              </w:rPr>
            </w:pPr>
            <w:r>
              <w:rPr>
                <w:rFonts w:hint="eastAsia" w:ascii="宋体" w:hAnsi="宋体"/>
                <w:bCs/>
                <w:color w:val="auto"/>
                <w:szCs w:val="21"/>
              </w:rPr>
              <w:t>其他专用条款</w:t>
            </w:r>
          </w:p>
        </w:tc>
        <w:tc>
          <w:tcPr>
            <w:tcW w:w="5170" w:type="dxa"/>
            <w:vAlign w:val="center"/>
          </w:tcPr>
          <w:p w14:paraId="541A4769">
            <w:pPr>
              <w:adjustRightInd w:val="0"/>
              <w:snapToGrid w:val="0"/>
              <w:jc w:val="left"/>
              <w:rPr>
                <w:rFonts w:ascii="宋体" w:hAnsi="宋体"/>
                <w:color w:val="auto"/>
                <w:szCs w:val="21"/>
              </w:rPr>
            </w:pPr>
          </w:p>
        </w:tc>
      </w:tr>
    </w:tbl>
    <w:p w14:paraId="03E726BE">
      <w:pPr>
        <w:rPr>
          <w:color w:val="auto"/>
        </w:rPr>
      </w:pPr>
    </w:p>
    <w:p w14:paraId="6729B596">
      <w:pPr>
        <w:autoSpaceDE w:val="0"/>
        <w:autoSpaceDN w:val="0"/>
        <w:adjustRightInd w:val="0"/>
        <w:ind w:firstLine="482"/>
        <w:rPr>
          <w:rFonts w:ascii="宋体" w:hAnsi="宋体"/>
          <w:color w:val="auto"/>
          <w:sz w:val="24"/>
        </w:rPr>
      </w:pPr>
    </w:p>
    <w:p w14:paraId="4EF7B92A">
      <w:pPr>
        <w:autoSpaceDE w:val="0"/>
        <w:autoSpaceDN w:val="0"/>
        <w:adjustRightInd w:val="0"/>
        <w:snapToGrid w:val="0"/>
        <w:spacing w:line="240" w:lineRule="auto"/>
        <w:rPr>
          <w:rFonts w:ascii="宋体" w:hAnsi="宋体" w:cs="宋体"/>
          <w:snapToGrid w:val="0"/>
          <w:color w:val="auto"/>
          <w:sz w:val="44"/>
          <w:szCs w:val="44"/>
        </w:rPr>
      </w:pPr>
    </w:p>
    <w:p w14:paraId="1BF3D174">
      <w:pPr>
        <w:jc w:val="center"/>
        <w:rPr>
          <w:rFonts w:ascii="宋体" w:hAnsi="宋体" w:cs="宋体"/>
          <w:bCs/>
          <w:color w:val="auto"/>
          <w:sz w:val="30"/>
          <w:szCs w:val="30"/>
        </w:rPr>
      </w:pPr>
    </w:p>
    <w:p w14:paraId="1FB7798E">
      <w:pPr>
        <w:tabs>
          <w:tab w:val="left" w:pos="4192"/>
        </w:tabs>
        <w:spacing w:line="240" w:lineRule="auto"/>
        <w:jc w:val="center"/>
        <w:rPr>
          <w:rFonts w:ascii="楷体_GB2312" w:hAnsi="宋体" w:eastAsia="楷体_GB2312" w:cs="宋体"/>
          <w:snapToGrid w:val="0"/>
          <w:color w:val="auto"/>
          <w:kern w:val="0"/>
          <w:sz w:val="52"/>
          <w:szCs w:val="52"/>
        </w:rPr>
      </w:pPr>
      <w:r>
        <w:rPr>
          <w:rFonts w:hint="eastAsia" w:ascii="宋体" w:hAnsi="宋体" w:cs="宋体"/>
          <w:b/>
          <w:color w:val="auto"/>
          <w:spacing w:val="40"/>
          <w:sz w:val="24"/>
        </w:rPr>
        <w:br w:type="page"/>
      </w:r>
    </w:p>
    <w:p w14:paraId="724E5079">
      <w:pPr>
        <w:tabs>
          <w:tab w:val="left" w:pos="4192"/>
        </w:tabs>
        <w:spacing w:line="240" w:lineRule="auto"/>
        <w:jc w:val="center"/>
        <w:rPr>
          <w:rFonts w:ascii="楷体_GB2312" w:hAnsi="宋体" w:eastAsia="楷体_GB2312" w:cs="宋体"/>
          <w:snapToGrid w:val="0"/>
          <w:color w:val="auto"/>
          <w:kern w:val="0"/>
          <w:sz w:val="52"/>
          <w:szCs w:val="52"/>
        </w:rPr>
      </w:pPr>
    </w:p>
    <w:p w14:paraId="734F9FB1">
      <w:pPr>
        <w:jc w:val="center"/>
        <w:rPr>
          <w:rFonts w:hint="default" w:ascii="楷体_GB2312" w:hAnsi="宋体" w:eastAsia="楷体_GB2312" w:cs="宋体"/>
          <w:b/>
          <w:bCs/>
          <w:snapToGrid w:val="0"/>
          <w:color w:val="auto"/>
          <w:kern w:val="0"/>
          <w:sz w:val="52"/>
          <w:szCs w:val="52"/>
          <w:highlight w:val="none"/>
          <w:lang w:val="en-US" w:eastAsia="zh-CN" w:bidi="ar-SA"/>
        </w:rPr>
      </w:pPr>
      <w:r>
        <w:rPr>
          <w:rFonts w:hint="eastAsia" w:ascii="楷体_GB2312" w:hAnsi="宋体" w:eastAsia="楷体_GB2312" w:cs="宋体"/>
          <w:b/>
          <w:bCs/>
          <w:snapToGrid w:val="0"/>
          <w:color w:val="auto"/>
          <w:kern w:val="0"/>
          <w:sz w:val="52"/>
          <w:szCs w:val="52"/>
          <w:highlight w:val="none"/>
          <w:lang w:val="en-US" w:eastAsia="zh-CN" w:bidi="ar-SA"/>
        </w:rPr>
        <w:t>第五章 采购需求</w:t>
      </w:r>
    </w:p>
    <w:tbl>
      <w:tblPr>
        <w:tblStyle w:val="47"/>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1342"/>
        <w:gridCol w:w="5588"/>
        <w:gridCol w:w="696"/>
        <w:gridCol w:w="667"/>
      </w:tblGrid>
      <w:tr w14:paraId="362B5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D874E">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序号</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B35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设备名称</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100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主要技术参数</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D0AE">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数量</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714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单位</w:t>
            </w:r>
          </w:p>
        </w:tc>
      </w:tr>
      <w:tr w14:paraId="01DA6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5F38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5A13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资源管理平台应用系统</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B1187">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一、平台系统1套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1.要求平台支持多级部署应用，采用B/S架构设计，支持IE、360等主流浏览器访问，方便用户进行使用管理。</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系统本身无任何弹窗、广告等垃圾信息，首页至少包括新闻公告、直播活动、课程资源、教研活动等子模块，支持通过跳转入口快速进入相关功能模块；支持后台配置相应模块的开启或关闭，支持自定义平台名称、平台LOGO。</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3.要求首页具有快速导航栏，方便用户快速跳转至相关功能模块，支持自定义导航栏名称、顺序等，支持创建二级导航菜单，方便学校个性化设置。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公告发布与管理：首页新闻公告栏可直观展示学校通知、直播活动、行政公告、教育新闻等信息，通过滚动播报的方式，便于师生实时了解校园活动、最新政策。支持查看新闻公告详情，显示标题、发布人、发布时间、阅读次数、文章内容、图片。为了方便管理通知公告，支持预编辑公告内容和定时发送功能，支持自定义公告类型，支持标题检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5.要求平台支持通过手机号、微信扫码进行注册和登录，支持根据不同的角色分配相应权限。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6.录播设备接入平台实现自动转码、视频存储，并具备直播和点播功能。支持录播设备管理功能，可远程预览录播画面、设备信息查看、设备状态监测、数量统计等。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7.要求支持视频下载、上传、编辑、管理。可实现所有主流视频文件格式自动转码，包括asf、mpg、rmvb、mov、rm、avi、3gp、wmv、flv、mp4等，可设置下载及观看权限。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8.要求支持查看存储空间使用情况，支持课程永久权限开启/关闭，支持个性化设置脚链。</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9.一键置灰：支持平台肤色一键置灰功能，切合特殊纪念日氛围。</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10.强制播放：支持强制设置播放源，用户点击任意视频均强制播放指定视频源，便于学校进行统一播放和管理。</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11.要求支持精品课程视频资源多维度分类，如按年级、学科等分类管理，并支持根据观看热度、知识点和播放量不同维度在平台呈现，支持热度排行榜、播放排行榜、知识点菜单等功能。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12.要求支持查看录播资源列表，支持按资源名称/主讲人快速搜索，支持按教室、年级、学科、时间、使用情况、资源大小查询录播的视频资源。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13.要求支持远程管理录播主机上的精品课程资源，支持批量删除、手动上传等，支持查看录播主机录制完成的通道画面和合成画面，并支持单个视频资源的播放、删除、上传和下载。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14.要求支持用户可灵活创建各种视频专辑，可将同一类型的视频进行归类，便于视频的归整、便捷查询和统一管理。支持自定义系列课名称和封面，支持按照学科、年级等不同方式进行分类，支持设置观看权限。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15.基于HTML5技术，无需安装插件即可进行跨平台（Windows、Linux、IOS）视频点播、直播观看。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16.直播分享：应支持自动生成直播活动海报并下载到桌面，支持海报分享、二维码分享、链接分享三种分享方式。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17.观看直播过程中可边看边聊，聊天室可发表个人对直播活动的想法。支持全屏播放和一键静音，支持高清和超清两个清晰度选择，方便用户在不同的带宽环境下观看直播。</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18.要求支持直播活动语音转写功能，支持实时分析师生课堂中的语音并即时转译成文字。具有高频词功能，支持实时统计分析课中的高频词，并根据频次自动排序。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19.观看回放过程中可边看边聊，支持全屏播放和一键静音，至少支持0.5x、1x、1.5x、2x倍速播放，支持自由拖动播放进度条。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20.视频打点功能：观看视频时可自由打点评论，并通过打点文字快速跳转至视频播放节点。</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21.教研活动管理：要求支持创建各年级、各学科的网络教研活动,支持自定义每个网络教研活动的展示封面、教研主题、教研内容、教研时间，支持上传教研相关的视频、图片、文档附件。支持课例评课、直播教研、互动教研三种教研模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22.课例评课管理：要求支持对指定的授课视频进行教研评价，支持设置评课权限为公开、指定教研组、指定教师，支持根据不同的学科选择指定的评课表。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23.直播教研管理：要求支持对实况直播的课程进行在线评课教研，创建直播教研时可根据课表选择指定教室、指定时间段的教研活动。支持设置直播人数上限；支持预制暖场素材。支持设置评课权限为公开、指定教研组、指定教师，支持根据不同的学科选择指定的评课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24.评课表管理：要求支持编辑和批量删除评课表。支持学科要求自定义评课表，包含：标题、引导语、评分项、主观意见，支持自定义每个评价指标的分值。</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25.教研组管理：要求支持统一管理本校教研组，支持分享、编辑、解散和批量删除。可申请加入已建好的教研组，也支持邀请指定人员加入教研组。</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26.平台具有独立的数据看板界面，可实时掌握平台使用情况，了解直播总量、录播资源、课程资源、专递课程、教研活动等数据。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27.直播活动数据统计：支持查看直播总量和本月直播数，观看总数和本月观看量，支持查看各学科直播数据，至少包含今天、近7天、近30天的数据图表。滚动播报直播动态，便于客户实时了解最新直播活动。具有播放量排行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28.课程资源数据统计：支持查看课程资源数据统计、年级课程资源统计、课程播放排行榜、教师课程/学科课程统计等数据。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29.教研活动数据统计：支持查看教研活动总数、观看人次、评课次数、教研教师数量、教研组总数等数据信息，实时显示近1周的动态。通过图表的形式呈现人均教研活动学科分布、教研类型、教研组学科占比等数据信息。滚动播报实时教研动态。具有热门教研和教研组课程排行榜等信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30.资源管理数据统计：以图标的形式呈现各学科录播资源统计数据；实时呈现存储空间和使用量情况；以图表的形式呈现资源使用率和不同视频时长的分布情况。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31.课堂教学行为分析：AI分析系统能自动识别的教师行为,如：讲授、巡视、师生互动、指导学生、教师提问、书写板书等多种行为；可根据不同的教学行为时序进行智能打点切片，形成行为时序图，可自动定位到课堂实录的特定时刻，方便进行快速回顾教学环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32.展示模型：支持以秒为颗粒度对教师讲授、师生互动、指导学生、教师提问、书写板书等教学行为进行基于AI功能的全自动伴随式分析，以课堂时间为轴线形成课堂教学评估数据，并以图表形式直观展示课堂每个时刻的行为类型和持续时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33.教师巡视分析：支持对教师巡视停留占比情况进行AI分析，可自动生成教师巡视停留模型热力图，要求轨迹图以教室3D模型形式直观呈现教师授课过程中的授课位置数据。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34.课堂问题汇总：支持以创新型、评价型、分析型、应用型、理解型、记忆型、非思维等类型问题对课堂问题进行AI数据统计，可自动统计课堂中的问题类型和数量。点击详情时间戳中对应的实时AI转写字幕可自动跳转到对应的视频节点。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35.学生回答情况分析：支持按照肯定性回答、解释性回答、无回答等维度对学生回答情况进行分析，可汇总不同维度的回答次数和所占百分比，并可查看整堂课程中的回答问题情况详细分布。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36.支持弗兰德斯教学行为分析法（S-T）：要求支持根据图像识别全自动跟踪数据生成S-T曲线图，帮助用户进行教学技能提升和评估，支持分别以学生行为时间和教师行为时间轴方式展示。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37.RT-CH教学模型：引入RT-CH教学分析模型，系统自动生成矩阵图，并判定授课类型属于对话型、练习型、混合型、讲授型中的哪种类型。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38.学生学习分析：应支持从听讲、举手、读写、学生汇报、生生互动、等不同维度对整个课堂中的学生学习情况进行AI分析，可统计每个维度的学习用时占比和时长。可根据不同的学生行为时序进行智能打点切片，形成行为时序图，可自动定位到课堂实录的特定时刻，方便进行快速回顾教学听课环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39.学生表情分析：支持按照消极、平静、开心、难过、生气、反感、害怕等不同维度对学生的表情进行AI分析，可统计不同维度的人员数量、所占百分比和峰值时间，点击峰值时间可自动跳转到对应的视频节点。</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40.学生动作分析：支持按照趴桌子、举手、站立、回头等不同维度对学生的动作进行AI分析，可统计不同维度的人员数量、所占百分比和峰值时间，点击峰值时间可自动跳转到对应的视频节点。</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41.语速分析：支持按照时间轴对整堂课程中的语速进行AI分析，可自动统计讲述字数和课程时长。支持查看每分钟节点的语速。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42.词汇分析：支持对整堂课程中的高频词和语气词进行AI分析，可自动统计教师在授课过程中的高频词和语气词，以及使用次数，帮助教师改善教学用词。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43.课堂总结：支持通过AI分析自动生成课堂总结，帮助教师改善教学方式方法，提升教学质量。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44.语音转写回看：观看视频过程中可查看语音转写的文字记录，支持通过关键字搜索功能快速跳转至播放节点；支持手动纠错，通过编辑功能，可手动修改语音转写的内容。</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二、平台服务器1套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1.CPU类型：不低于14核28线程，主频≥2.8GHz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2.网络接口：1Gb以太网适配器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3.内存大小：≥64GB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4.硬盘容量：≥4TB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5.硬盘类型：SATA3.5英寸非热插拔企业级硬盘</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B357">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1DEA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262B7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CD3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883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双屏四拼智慧黑板</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top"/>
          </w:tcPr>
          <w:p w14:paraId="5EFE8D16">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一、定制款双屏四拼智慧黑板1套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1.要求智慧黑板采用无推拉式结构，由4块拼接而成的纯平面黑板。中间区域为2块LED 液晶显示屏幕，副板需采用金属材质，支持磁性教学器材吸附，需支持普通粉笔、无尘粉笔、水溶性粉笔、水笔直接书写。</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▲2.设备需内置NFC 模块，支持自定义模块功能，功能不限于控制开关机、锁屏、解锁、熄屏唤醒、触摸解锁等；支持授权管理具有NFC功能的设备、卡片。(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3.要求产品由两块LED液晶屏组成，每一个屏幕尺寸≥86英寸，屏幕显示分辨率最高可支持4K（3840*2160），对比度不小于4000:1，亮度不小于400cd/㎡；屏幕表面采用厚度≤4mm钢化玻璃，具有防眩光功能。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4.要求采用电容触控技术，在Windows和Android系统下支持≥20点触控。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5.要求设备在任意信号下，支持通过多指按压屏幕实现对屏幕的开关，需支持物理按键、虚拟按键实现节能熄屏/唤醒，并可与多指熄屏功能互通互用。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6.要求具有触摸悬浮菜单，支持三指罗盘跟随功能，可通过三指调用此触摸悬浮菜单到屏幕任意位置；支持任意通道下无需点击物理按键，可随时调用计算器、计时器、日历等小工具。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为方便老师教学操作及避免误操作，支持实体按键≥8个，至少包括开关、主页、音量、菜单、护眼等。按键支持复用，支持通过长按、短按实现多种功能。(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8.要求设备具有丰富的扩展接口：前置≥1路HDMI接口（非转接）、≥1路Type-C，≥2路USB输入接口（支持双通道），≥1路触摸接口。侧置≥2路USB接口，≥2路HDMI输入接口,≥1路HDMI输出接口,≥1路网络接口，≥1路3.5mm Line out接口，1个TF扩展卡槽。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9.无需借助PC，设备需支持一键进行硬件自检，至少包括对系统内存、存储、设备温度、光感系统、内置电脑、网络、摄像头、麦克风等进行状态提示及故障提示，支持一键优化。</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整机内置不低于2.1声道扬声器，前置2个≥15W中高音音箱，后置1个≥20W低音音箱，支持单独听功能，至少具有“标准”、“会议”、“电影”、“教室”模式，支持自定义声音模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11.要求设备屏幕支持护眼功能，具有纸质护眼模式，至少包括素描、牛皮纸、宣纸、水彩纸等。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12.要求支持快速完成欢迎界面和主题设置，具有不少于15种模板，支持字体、大小，颜色编辑；支持插入背景、图片、文字、音乐；支持签名功能，并可扫码带走签名及模板。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▲13.设备需内置安卓教学系统，安卓系统版本不低于14.0，CPU不少于8核，RAM不低于4G，ROM不低于32G；支持录屏，录制分辨率至少支持1080P、720P可选。支持第三方 APP 安装阻断功能，可限制未知来源的第三方APP 安装。（需提供第三方检测报告复印件，报告编号可在全国认证认可信息公共服务平台查询）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在未配置OPS的情况下支持无线投屏功能，至少支持APP投屏、USB发射器投屏、热点共享投屏三种模式，支持手机、电脑多个终端无线投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15.在任意信号源下，从屏幕下方任意位置向上滑动，可调用快捷菜单栏，至少包括信号源、网络开关、热点开关、蓝牙开关、截屏、智能护眼、节能开关、声音调节、亮度调节等功能。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16.左右两侧具有≥10个快捷键，可上下拖动可改变快捷键高度位置，至少具有白板、批注、主页、截屏、放大镜、聚光灯、幕布、屏幕下移、返回、自定义等常用功能。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17.OPS插拔式电脑：采用插拔式电脑模块架构，针脚数≥80pin，屏体与插拔式电脑无单独接线；要求采用至少6核CPU，主频≥2GHz，≥16G内存，≥512G-SSD固态硬盘。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要求支持将Windows和Android两个系统应用进行整合，在教学桌面上支持查看两个系统内的应用列表，支持个人定制化教学桌面，并自动同步到云端存储，支持跨大屏端实时同步数据应用。(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19.要求支持组件及应用，至少包含课表、日历、时钟、我的云盘、资源中心、我的电脑、回收站、白板、传屏、微课、展台等。可任意添加或移除组件，已添加到桌面上的组件可任意拖动改变位置；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20.要求支持打开、查看资源中心及个人云盘；不少于50G个人云存储空间，支持查看、上传、下载。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▲21.要求支持以日历的形式呈现常规课程、互动课程、直播课程等列表；可直接切换点击日期查看对应的课程数量及列表。(需提供第三方检测报告复印件，报告编号可在全国认证认可信息公共服务平台查询)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22.常规课程：要求支持新建和设置课程名称、上课日期、时间，选择班级、关联课件，设置课件自动打开时间。</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23.互动课程：要求支持新建和设置课程主题、开课日期、时间，设置成员加入课程自动上台、设置成员加入课程自动静音、设置课程密码、设置课程模式。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24.文件快传功能：要求支持移动端和大屏端之间的文件互传，支持通过扫码来选择上传文件。支持在大屏端选择要下发的文件，可以通过扫码将文件带走，实现文件共享。(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25.桌面应用：要求支持查看多个桌面列表，可任意增加、删除桌面，并对桌面进行命名，点击桌面可快速定位到桌面。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二、双屏互动教学系统1套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1.为了满足教师使用各种素材混合教学的需要，应支持将各种类型的多个文件在同一教学板中打开，支持随意拖动，放大缩小，批注，全屏，墙钉等操作；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2.双板教学：当教师大屏有扩展触摸屏时，应支持全媒体板中进行双板教学，各种教学资料可以在主副屏之间拖动或甩动； 主副屏可以展示不同的课件内容，也可以一屏展示课件，另一屏启用板书，主副屏支持独立的画笔，截图，录制等工具；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3.PPT教学：全媒体教学板中支持原PPT动画效果播放，保留原有的版式、内容、动画等；支持批注内容保存原笔迹同步翻页；支持PPT预览功能，快速跳转翻页；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4.双板教学时，PPT支持联动，复制，单屏三种教学模式，联动模式下，主副屏分别显示当前PPT页和最近一次点击的PPT页，复制模式下，主副屏同时显示当前PPT页，单屏模式下，主屏显示PPT，副屏不显示。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5.思维导图：思维导图模块支持编辑主题和子主题以及分支内容 ，可以插入图片，word，excel，ppt，PDF，音视频文件等不同格式文件，并支持编号，方便文件梳理，有序授课，学生也更容易理解授课脉络，更易理解和记忆上课内容；支持在教室主屏或副屏间打开思维导图。</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6.附加功能：至少支持画板，放大镜，聚光灯，截图，录屏等辅助功能。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三、智慧教学系统1套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1.智慧教学系统应包含教师端，学生端，支持PC端、移动端的应用，满足笔记本，平板电脑和手机各种终端设备使用。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2.考勤签到：要求支持教师主屏实时显示已签到/未签到的学生名单及学生的在线/离线的连接状态。支持教师查看每个学生的出勤率，并导出考勤记录表。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3.学生展示：支持≥50个学生端画面投屏到教室主屏，教师可同时选择≥4个学生端画面进行对比展示，支持学生端在展示的同时进行批注操作。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4.小组展示：要求支持多个小组屏投屏到教室主屏进行对比展示，支持小组屏广播到教室主屏及其他小组屏，达到分组教学示范效果。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5.屏幕共享：要求支持教室主屏或教室副屏上的内容广播至小组屏，学生可通过小组屏清晰完整的看到教室主屏的讲解内容。</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6.课堂互动：要求支持抽答、抢答、主观题、单选题、多选题，判断题、随堂测试等多种互动功能，提高学生课堂注意力，创造积极的课堂氛围。</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7.分组研讨：要求支持小组屏快速对教师下发的讨论主题进行讨论，讨论方法支持小组投屏、动态批注、摄像头调取、屏幕录制、思维导图总结等。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8.成果展示：要求支持教师通过教室主屏或教师移动端调取一个或多个小组屏到教室主屏上进行成果展示和批注，并支持将该小组屏广播到其他小组屏上进行同步展示。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9.远程控制：要求支持教师通过移动设备远程控制教室主屏，支持鼠标移动、单击、双击、右键等功能；支持打开文件并远端直接编辑文件。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10.动态批注：要求支持教师动态的在教学主屏和小组屏上对讨论内容（包含图片、视频、APP等）进行批注，并可以将批注的书写过程同步到所有学生端，使课堂讲解变得更有针对性。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11.思维导图：要求支持思维导图功能，思维导图中每个节点可以插入图片、视频、PPT等文件，方便教师整理教学素材。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12.要求支持移动设备远程控制电子白板、一体机、电脑等，支持鼠标移动、单击、双击、右键等功能；支持打开文件并远端直接编辑文件。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13.要求支持将教师移动端中的PPT文件直接在大屏上打开，无需拷贝文件至教室主屏，并全屏播放，也可在移动端关闭全屏播放及关闭PPT文件。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14.要求支持移动展台功能，教师可将课本、试卷等教学资料通过移动设备拍照上传至教室主屏讲解。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15.要求支持学生端飞屏到教师主屏，小组屏，以展示自己的学习成果。支持参与抢答，抽答等课堂互动教学。</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9B48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E6CF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26B1F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251E7">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3</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C26D4">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交互智能平板</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top"/>
          </w:tcPr>
          <w:p w14:paraId="0CC30F4E">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一、交互智能平板1套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1.要求整体采用包边设计，表面钢化玻璃在合金边框内，四角圆弧，双重保护，安全抗冲击。</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2.要求产品具有两个笔槽设计，分别在底部两端，支持触控笔吸附；</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3.屏幕尺寸≥75英寸，分辨率≥3840×2160，表面采用耐磨、防眩光、防划伤、高安全系数钢化玻璃。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4.产品内置喇叭，采用防尘设计，功率不低于2×15W。</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具有不少于8个前置物理按键，至少包含电源键、菜单、主页、信号源、音量、OPS，按键具备明显标识；支持电源按键三合一功能，可选择关闭产品、内置电脑、节能等，具有供电保护功能。(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6.产品采用红外多点触控技术，需支持手指轻触式多点（不少于20点触控）互动体验，触摸免驱动，即插即用，需支持主流多种操作系统。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7.具有触摸防遮挡功能，触摸屏具有防遮挡功能，触摸接收器在单点或单边遮挡后仍能正常触控书写和操作；触控连续响应无间断，有效识别≤2毫米，触控精准度32768×32768。</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8.内置无线网络模块，采用全向信号接发设计，支持无线网络连接。</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9.具有五指熄屏功能，支持五指智能手势识别开关产品背光，操作者可在显示区域任意位置，任意信号下，通过五指按压屏幕实现对屏幕的开关，五指触控实现产品背光的关闭与开启。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采用智能电子产品一键式设计：同一物理按键完成Android、Windows系统的节能熄屏操作，通过按键实现节能熄屏/唤醒，并可与触摸菜单节能熄屏、遥控器熄屏、五指触控熄屏功能互通互用；产品在任意通道下，支持手势识别调出板擦工具擦除批注内容，支持调整板擦工具的大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11.产品处于关机通电状态，外接电脑显示信号通过传输线连接至产品时，产品可智能识别外接电脑设备信号输入并自动开机；产品外接信号源时，支持自动跳转到外接信号源通道。</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12.需支持锁定屏幕触摸，可通过软件菜单（调试菜单）锁定屏幕触摸，锁定应用、锁定USB。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内置触摸中控菜单，需支持信号源通道切换、背光、声音等，无须实体按键，在任意显示通道下均可通过手势在屏幕上调取触摸菜单，方便快捷；触摸中控菜单上的通道信号源名称需支持自定义，需支持中文、英文、数字、符号命名修改，方便识别。</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14.产品需支持环境感光功能，能感应并自动调节屏幕亮度来达到在不同光照环境下的最佳显示效果；需支持开启护眼模式。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15.需支持安卓系统启动后可自动启动内置OPS系统，需支持无信号接收状态时能够自动熄屏，自动熄屏的时间间隔可选，支持定时开关机。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具有触摸悬浮菜单功能，需支持三指罗盘跟随，可通过三指调用此悬浮菜单到屏幕任意位置，悬浮菜单中需支持输入源选择、截屏、下拉等功能，并可自定义功能菜单，需支持任意通道下无需点击物理按键，可随时调用计算器、日历等小工具，支持拖拽及关闭。(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17.内置安卓系统，系统版本不低于11.0，内存不低于4G，存储不低于32G；需支持对内置电脑进行还原操作，可通过安卓系统对内置电脑系统进行还原。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18.支持无PC状态下，内置互动白板支持书写及擦除，支持单点书写和多点书写切换。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19.需支持网络共享功能（双系统单网口上网），单根网线接入产品，即可实现产品安卓系统和内置的电脑同时有线上网。</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20.需支持展板、会议功能，可快速完成欢迎界面和会议主题设置，全屏显示，支持不少于12种模板，可对欢迎文字的字体、大小、颜色进行编辑；需支持会议签名功能，并可扫码带走签名及模板。(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21.支持设置开机画面/动画，支持更换主题风格，包括会议主题、教育主题、科技主题等。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22.需支持侧边栏功能，支持无操作自动隐藏，侧边栏可设置返回、主页、任务、批注、信号源等功能调用，批注；需支持任意通道下使用，并可设置颜色和画笔大小，可选择二维码分享批注内容也可以以图片格式导入白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23.侧边栏需支持日历、童锁、节能、截屏（支持全屏和自由截屏）、护眼、聚光灯、幕布、亮度调节、声音调节等功能应用，需支持快捷自定义程序应用。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24.整机内置非独立的高清摄像头，摄像头像素≥1300万，视角≥110°，需支持阵列数字音频MIC，支持调用，实现场景音视录制。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25.OPS插拔式电脑：采用插拔式电脑模块架构，针脚数≥80pin，屏体与插拔式电脑无单独接线；要求采用至少6核CPU，主频≥2GHz，≥8G内存，≥256G-SSD固态硬盘。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二、分组研讨教学系统1套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1.要求支持画笔功能，可在屏幕或课件上进行批注。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2.要求支持截屏、屏幕录制功能；支持小组成员之间共享文件功能。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3.要求支持多文档同时打开功能；支持word、ppt、pdf、视频等多种文件格式。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4.要求支持≥4个学生端同时向小组屏飞屏，可对学生投屏内容进行批注，支持小组投屏内容在教师主屏上呈现。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5.要求学生端支持作业拍照上传到小组屏上讨论功能。</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48F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556E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0279F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466F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4</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5219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智能语音系统</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816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一、智能语音系统1台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1.要求采用TI高速DSP处理芯片，32bit处理内核</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2.应支持可配置音频矩阵，可根据客户需求灵活配置接口定义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3.输入通道：前级放大、≥10段参量均衡器、≥30段图像均衡器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4.输出通道：≥8段参量均衡、≥30段图像均衡器、高低通滤波器、限幅器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5.要求内置闪避器DUCKER</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6.要求自适应回声消除功能（AEC）</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7.要求内置自适应反馈消除（AFC）</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8.要求智能自动增益控制（AGC）</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9.要求AI智能降噪（ANS）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10.支持≥8路平衡式话筒，≥6组差分信号输入</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11.支持≥10组差分信号输出，≥2组功放输出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12.支持≥1路USB音频输入/输出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13.支持≥1路USB控制串口1路网口控制串口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14.输入量化：≥48KHz/24bit</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15.动态范围：＞105dBA加权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16.要求支持48V幻象供电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17.频率响应：20-20kHz（±0.5dB）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18.总谐波失真（THD）：-89dB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二、吊装麦克风8支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1.换能方式：电容式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2.频率响应：20Hz~20KHz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3.指向性：心形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4.输出阻抗：≦150Ω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5.灵敏度(±2dB)：12mV/Pa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6.最高声压级：110dB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7.信噪比：65dB,1kHz@1Pa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8.供电电压：幻象48V</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9.拾音范围：吊麦有效半径≥5米；最大半径≥8米；覆盖全部讲台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三、线阵列音柱4台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1.紧凑型设计，高保真音质；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2.内置4个3英寸全频扬声器单元；</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3.高性能，宽频响，功率≥60W（6Ω），输出音量高，频响带宽平直，最低频率≥80Hz；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4.专业级线阵列音柱，声场覆盖均匀，传声增益更高而不易啸叫；</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5.技术参数：覆盖角度（水平方向≥150°，垂直方向≥30°），灵敏度≥90dB,声压级≥105dB；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6.箱体表面按国际防护等级标准IEC529IP-54设计，经过防尘防水，防喷溅处理；</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042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 xml:space="preserve">1 </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30A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7344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D3C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5</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6277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精品4K录播系统（核心产品）</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top"/>
          </w:tcPr>
          <w:p w14:paraId="239B650D">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一、4K录播一体机1台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录播主机采用一体化嵌入式硬件设计架构，内置不低于国产化八核处理器、Linux系统、≥8GB内存，≥2T硬盘。满足录制、直播、点播、互动、导播管理、存储、切换、视音频编码、语音转写、虚拟抠像、行为分析等功能，支持远程互动教学，实现远程互动网络课堂。(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▲2.录播主机具有≥6英寸触控液晶屏幕，可显示设备运行状态等信息，可通过触控方式设置设备基础信息。(需提供第三方检测报告复印件，报告编号可在全国认证认可信息公共服务平台查询)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3.视频输入接口：支持≥4路HDBaseT接口，≥4路HDMI接口，其中HDBaseT技术实现远距离4K超高清信号无压缩、无延时传输，一根网线即可完成供电、控制、传输。</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4.视频输出接口：支持≥4路本地视频输出接口，接口类型为≥2路HDMI接口，≥2路HDBaseT接口。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5.音频接口：为保证教室内音频采集，支持≥2路本地音频信号采集接口；支持≥3路音频输出接口，其中至少2路凤凰端子输出接口，1路3.5mm输出接口。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6.支持≥2路100/1000Mbps自适应网口。支持双网卡，支持局域网（网络摄像机等设备的接入）和互联网彼此隔离，独立工作，互不影响。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7.支持≥1路TYPE-C接口；≥2路USB 3.0接口，支持连接鼠标、键盘进行导播控制以及主机连接U盘进行课程视频的录制、下载。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8.具有≥5路控制口，支持至少4路RS232接口和1路RS485接口，可支持对接第三方中控、物联等可编程软件，实现对设备的管控。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视频编码：支持H.265和H.264两种视频编码协议，实现更高效率和更好质量的编码技术，支持4K分辨率（3840*2160）视频的编码和录制。(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10.要求支持IPV4、IPV6链路地址、IPV6外网地址三个网络地址配置，支持启用DHCP自动获取IP地址。</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二、4K高清录播系统1套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1.要求系统支持账号密码登录。录制模式支持电影模式、资源模式两种，能同时支持1路电影模式加≥6路资源备份，可同时录制合成画面、教师全景、教师特写、学生全景、学生特写、板书画面、电脑画面。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▲2.要求录制格式支持MP4/FLV/TS，录制分辨率支持3840*2160、1920*1080等，支持录制帧率设定，可选择25fps/30fps。(需提供第三方检测报告复印件，报告编号可在全国认证认可信息公共服务平台查询)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3.要求支持实时显示录播主机CPU的使用率，硬盘使用情况，≥6路预监画面。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4.要求导播模式支持视频预览、直播输出监视、视频切换等功能，其中鼠标拖动视频切换时支持导播小画面定位跟随。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支持添加字幕，支持包括系统时间在内的不少于九种预设字幕的设置，其中系统时间支持自动校准。可直接通过拖拽实现自定义字幕显示位置。支持设置≥9种字体大小、≥8种字体颜色。系统界面自带虚拟软键盘，无需外接USB键盘，支持多种格式的字幕，可输入中文、英文、数字、特殊符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6.要求支持导播模式设置：支持手动、半自动、全自动模式，支持查看软件版本，设备型号，硬件版本，设备编号。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提供多种画面布局模式，支持视频画面叠加与组合，包括单画面、双分屏画面、三分屏画面、四分屏画面显示，可直接通过鼠标触控拖动通道画面实现多分屏布局显示画面的替换，替换时支持导播小画面定位跟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8.要求系统支持摄像机云台控制，可以对摄像机进行变焦、上下左右位置调整以及≥8个预置位的设置，整个过程支持鼠标操作。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9.要求系统可以进行音量设置，可以采用鼠标拖动方式控制设备输入输出的音量大小。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10.要求系统支持录制倒计时和循环记录功能，在硬盘存储空间为0时，仍可进行录制，将最早录制的视频文件删除，支持录制到U盘。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11.要求所录制的视频文件既可存储在本地硬盘，也支持通过FTP上传至平台，同时支持用户随时通过录播主机点播回放视频，并可使用移动磁盘或硬盘拷贝下载。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12.要求系统支持录制单个文件和限时自动分割录制功能，可选择多种自动分割时长。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13.要求系统具有推送公网直播功能，并可在设备上自动生成直播二维码，扫描即可观看直播，支持直播列表的查看。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内置微课制作功能，支持不少于前景、人像、背景3层场景叠加，叠加的场景支持PPT、视频、图片，虚拟抠像后的人像等类型。要求支持虚拟抠像后合成的画面实现和远端进行音视频互动。(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▲15.要求不依赖网络、外置设备即可实现行为分析、实时字幕的语音转写和热词提取。(需提供第三方检测报告复印件，报告编号可在全国认证认可信息公共服务平台查询)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要求内置的行为分析系统，至少支持教室人数、举手人数、站立人数、背身人数、趴下人数、低头人数、扭头人数的实时统计，并实时汇总学生的参与度、活跃度和抬头率。(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要求内置互动系统，支持标准SIP和H.323互动协议，支持互动列表，列表中可以显示所有与会者的信息；支持互动画面布局的显示，布局支持单分屏，双分屏，四分屏显示。互动界面支持双流、一键静音、全屏、导播设置等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要求支持对录播机进行网络检测，可实时检测服务器连通性、网络稳定性、上行下行速度、网络追踪性、网卡信息、信道状态。(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19.要求进入互动系统时可支持查看永久课历史记录，可输入房间号快速加入远程互动，并显示对应的课程信息，包括时长、主讲人、房间名称、房间号、丢包率、网络延时等。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三、智能分析主机1台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1.要求主机采用标准≤19英寸机架式安装，前面板采用单键式极简设计，简约实用。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2.要求主机采用不大于DC12V安全电压供电，低功耗无风扇设计,工作噪音≤21db(A)。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▲3.要求采用嵌入式架构，内置AIoT智能芯片，支持AI图像跟踪技术，能够达到5TOPS标准或以上的算力。(需提供第三方检测报告复印件，报告编号可在全国认证认可信息公共服务平台查询)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4.集教师跟踪、学生定位、板书定位、学生巡视等导播切换策略于一体。</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5.要求具备≥4路USB接口，支持接入I/O设备，要求具备≥1路HDMI OUT。</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6.要求具备≥1路LAN网络接口，支持网络传输高清视频，对云台摄像机、录播设备的控制采用网络通讯。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四、图像跟踪系统1套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1.要求支持智能图像分析，结合具体的场景能够实现多个活动过程的跟踪识别，并对现场视频图像进行分析，实现常态化教学下的老师、学生多人跟踪识别。</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2.可快速设定教学有效区域的，光线、场景完全自适应，无论人的正面和侧面都会被准确识别，并能够通过后台查看到多人识别效果。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3.要求具备身高自适应功能，无论老师、学生挥手，左右晃动，前后仰俯晃动等都不会被误判。</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4.要求系统支持web界面访问，支持预览视频分析状态，可远程操控图像跟踪系统。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5.要求系统支持区域聚焦功能，可通过浏览器在监视画面框选出聚焦区域，以该区域作为聚焦参考区域。系统对讲台区域监视画面框选时，聚焦区域包括教师跟踪、黑板跟踪等，确保智能跟踪分析的准确性。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▲6.要求系统支持焦距守望功能，可通过浏览器对监视画面设置守望点，可同时设置不少于4个守望点相连实现智能跟踪。(需提供第三方检测报告复印件，报告编号可在全国认证认可信息公共服务平台查询)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7.要求系统具备跟踪拍摄和切换拍摄两种模式，两种模式之间支持一键切换。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系统智能识别教师身体朝向。当教师面朝学生时，智能切换至教师特写；当教师面向黑板时，智能切换至板书特写。板书特写采用伴随跟踪拍摄方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▲9.要求支持手势识别功能，可一键开启此功能。教师可以通过手势控制学生摄像机的拍摄。(需提供第三方检测报告复印件，报告编号可在全国认证认可信息公共服务平台查询)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10.要求系统支持TCP、UDP两种传输协议，可以同时获取≥4路IP视频流进行智能图像分析，可对教师全景、板书全景、学生全景、学生巡视等景位进行设置。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11.要求支持两种跟踪模式：伴随式模式、“特写”与“全景”切换跟踪模式。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12.具有“模糊防抖”功能，避免人员小幅度活动时引起的摄像机画面抖动现象。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13.要求支持学生起立跟踪功能，支持当学生起立时学生特写摄像机跟踪拍摄，支持多个学生起立切换为学生全景拍摄。</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系统支持切换规则定制，可以精确调整切换时间，设置云台速度，速度系数不少于0～99可调。可设置跟踪灵敏度，灵敏度系数不少于0～9000可调。(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五、跟踪半球2台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1.要求传感器类型：≥ 1/2.8英寸CMOS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2.要求像素：≥200万，最大分辨率 1920×1080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3.扫描方式：逐行扫描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4.信噪比：≥56dB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5.要求视场角：≥水平106°×垂直55°×对角126°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6.视频压缩标准：H.265；H.264；H.264H；H.264B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7.要求网络接口：≥1个RJ-45网口，支持10M/100M 网络数据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8.供电方式： DC12V/POE。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六、4K超高清摄像机5台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1.采用≥1/2.5英寸，最大支持850万像素的高品质UHD CMOS传感器，可实现4K(3840x2160)超高分辨率的优质图像采集，并且向下兼容1080P、720P等多种分辨率。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2.至少采用4K长焦镜头，水平视场角≥71°，光学变焦≥12倍，数字变焦≥16倍。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3.要求支持3D降噪，降低图像噪声，图像信噪比≥55dB。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4.要求支持HDBaseT接口，支持4K视频格式，一根网线即可完成摄像机的供电、控制和音视频传输。</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5.要求支持HDBaseT、HDMI、网络三路同时输出4K视频。</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6.要求支持RS232和RS485串口，可对摄像机进行控制；支持VISCA/Pelco-D/Pelco-P协议，支持网络VISCA控制。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7.要求支持多种白平衡方式供选择，包括自动, 室内, 室外, 一键式, 手动。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8.云台转动范围，水平：±170°，垂直：-30°~ +30°。转动速度范围，水平：1.7° ~  76°/s，垂直0.5° ~ 15°/s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9.要求支持预置位过程图像冻结功能。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10.要求支持水平、垂直翻转功能。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11.摄像机可设置不少于255个预置位，预置位精度≤0.1°。</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12.要求可支持PoE供电。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七、时序电源控制器1台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1.向录播视频系统、音频系统、显示系统提供统一的、至少八路电源管理；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2.整机功率：≥15A；单路功率：≥13A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3.继电器功率：≥30A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4.输出路数：≥8路受控，2路直通</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5.USB输出：不小于5V1A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6.显示方式：≥2.4寸显示屏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7.通讯方式：支持RS232、网口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8.级联数：≥255台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八、导播键盘1台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1.要求支持网络控制方式，具有独立的IP地址。</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2.要求采用变速四维摇杆进行控制，扭动摇杆可控制云台摄像机转动，镜头变焦放大缩小。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3.预置位要求对应录播设备的预置位功能，可调用录播设备的预置位，也可通过键盘设置预置位，先点击预置按钮，在通过右上角摇杆，选择合适的画面，再点击预置位数字即可设置成功。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4.要求采用自主设计的旋钮功能，具有无极调速功能，可实现云台速度、变倍速度调节。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5.要求支持IE浏览器添加前端设备。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6.要求支持添加1-6路摄像机ip\端口号，控制几路摄像机，依次填写几路摄像机。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7.预置位按键≥9，支持每路摄像机添加9个预置位。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8.布局按键≥5，对录播主机的布局切换。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9.视频切换按键≥7，切换录播的备播视频。</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10.切换控制按键≥7，切换云台摄像机控制。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11.导播功能按键≥5，录播\暂停\停止\手自动\直播\VGA锁。</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8D7DE">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409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0CFF9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FE09">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6</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B9D3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智慧讲桌</w:t>
            </w:r>
          </w:p>
        </w:tc>
        <w:tc>
          <w:tcPr>
            <w:tcW w:w="3106" w:type="pct"/>
            <w:tcBorders>
              <w:top w:val="nil"/>
              <w:left w:val="single" w:color="000000" w:sz="4" w:space="0"/>
              <w:bottom w:val="single" w:color="000000" w:sz="4" w:space="0"/>
              <w:right w:val="single" w:color="000000" w:sz="4" w:space="0"/>
            </w:tcBorders>
            <w:shd w:val="clear" w:color="auto" w:fill="auto"/>
            <w:vAlign w:val="center"/>
          </w:tcPr>
          <w:p w14:paraId="60EA899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1.要求采用三段式设计，方便安装与运输；</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2.要求配备≥23.8英寸高分辨率电容触控显示屏，支持十点触控，分辨率≥1920x1080，接口：≥1路DHMI、≥1路USB、≥1路VGA、≥1路DC12V；</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3.为方便老师观看与写板书的需求，要求触控显示屏支持3-45度角度电动调节功能，配备显示屏翻转电机，撑杆行程≥150mm；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4.要求触控显示屏支持对智慧黑板或一体机产品的触控操作，实现小屏带大屏的触控操作；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5.要求讲桌桌面内置弹射式接口面板，包含≥1个USB接口、≥2个220V三孔电源接口、≥1个HDMI接口、≥1个RJ45网络接口、一个VGA接口、一个音频口；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6.要求讲桌的高度支持根据教师身高电动调节高度，调节行程：至少0-200mm：调节高度范围：至少1000-1200mm；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7.要求讲桌主体采用全铝合金型材，表面经过喷砂阳极氧化工艺处理；</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8.要求讲桌支持接地线设计，支持标准化机柜安装孔位，可实现设备安装需求；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9.要求配备推拉式键鼠托，可放置鼠标、键盘。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10.要求智慧讲桌配备视频展台，铝合金伸缩杆、多关节、折叠式设计、可多角度拍摄。有效像素≥1300万像素，支持高度调节，镜头视角左右可旋转至少270度，上下可旋转至少360度，支持多视角拍摄。</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11.要求智慧讲桌配备鹅颈麦，超心形单一指向；频率响应：100-18000HZ。</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53EE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C8D6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484F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D66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7</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2CA4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多媒体智能终端</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2CDF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一</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多媒体智能终端1台</w:t>
            </w:r>
          </w:p>
          <w:p w14:paraId="2FFB08D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1.输入电压：220VAC</w:t>
            </w:r>
          </w:p>
          <w:p w14:paraId="59ED0B16">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2.安装方式：机柜</w:t>
            </w:r>
          </w:p>
          <w:p w14:paraId="19A8A09F">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3.4路双向RS232接口，用于连接投影机、电源控制器、处理器等设备。可配置波特率，校验位等。</w:t>
            </w:r>
          </w:p>
          <w:p w14:paraId="60AB1CDF">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w:t>
            </w:r>
            <w:r>
              <w:rPr>
                <w:rFonts w:hint="eastAsia" w:ascii="宋体" w:hAnsi="宋体" w:eastAsia="宋体" w:cs="宋体"/>
                <w:b w:val="0"/>
                <w:bCs w:val="0"/>
                <w:color w:val="auto"/>
                <w:sz w:val="20"/>
                <w:szCs w:val="20"/>
                <w:lang w:val="en-US" w:eastAsia="zh-CN"/>
              </w:rPr>
              <w:t>1</w:t>
            </w:r>
            <w:r>
              <w:rPr>
                <w:rFonts w:hint="eastAsia" w:ascii="宋体" w:hAnsi="宋体" w:eastAsia="宋体" w:cs="宋体"/>
                <w:b w:val="0"/>
                <w:bCs w:val="0"/>
                <w:color w:val="auto"/>
                <w:sz w:val="20"/>
                <w:szCs w:val="20"/>
              </w:rPr>
              <w:t>路RS485接口，用于连接按键面板、液晶面板、各种传感器、窗帘电机、执行器、调光模块等。</w:t>
            </w:r>
          </w:p>
          <w:p w14:paraId="4F7DB052">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5</w:t>
            </w:r>
            <w:r>
              <w:rPr>
                <w:rFonts w:hint="eastAsia" w:ascii="宋体" w:hAnsi="宋体" w:eastAsia="宋体" w:cs="宋体"/>
                <w:b w:val="0"/>
                <w:bCs w:val="0"/>
                <w:color w:val="auto"/>
                <w:sz w:val="20"/>
                <w:szCs w:val="20"/>
              </w:rPr>
              <w:t>.RJ45有线网络接口，用于连接校园局域网进行联网控制。</w:t>
            </w:r>
          </w:p>
          <w:p w14:paraId="3DCE99CF">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lang w:val="en-US" w:eastAsia="zh-CN"/>
              </w:rPr>
              <w:t>6</w:t>
            </w:r>
            <w:r>
              <w:rPr>
                <w:rFonts w:hint="eastAsia" w:ascii="宋体" w:hAnsi="宋体" w:eastAsia="宋体" w:cs="宋体"/>
                <w:b w:val="0"/>
                <w:bCs w:val="0"/>
                <w:color w:val="auto"/>
                <w:sz w:val="20"/>
                <w:szCs w:val="20"/>
              </w:rPr>
              <w:t>.</w:t>
            </w:r>
            <w:r>
              <w:rPr>
                <w:rFonts w:hint="eastAsia" w:ascii="宋体" w:hAnsi="宋体" w:eastAsia="宋体" w:cs="宋体"/>
                <w:b w:val="0"/>
                <w:bCs w:val="0"/>
                <w:color w:val="auto"/>
                <w:sz w:val="20"/>
                <w:szCs w:val="20"/>
                <w:lang w:val="en-US" w:eastAsia="zh-CN"/>
              </w:rPr>
              <w:t>2</w:t>
            </w:r>
            <w:r>
              <w:rPr>
                <w:rFonts w:hint="eastAsia" w:ascii="宋体" w:hAnsi="宋体" w:eastAsia="宋体" w:cs="宋体"/>
                <w:b w:val="0"/>
                <w:bCs w:val="0"/>
                <w:color w:val="auto"/>
                <w:sz w:val="20"/>
                <w:szCs w:val="20"/>
              </w:rPr>
              <w:t>路I/O接口，用于连接门磁开关、IC卡读卡器、电磁锁等。</w:t>
            </w:r>
          </w:p>
          <w:p w14:paraId="5FC6391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9.无线模块，用于连接面板、窗帘控制、传感器等。</w:t>
            </w:r>
          </w:p>
          <w:p w14:paraId="2ABBE62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二</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交互控制主机1台</w:t>
            </w:r>
          </w:p>
          <w:p w14:paraId="16CE9505">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1、面板类型：电容触摸屏，尺寸≧7.0英寸；分辨率≧1024*600；对比度≧800：1；</w:t>
            </w:r>
          </w:p>
          <w:p w14:paraId="5505E87E">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2、显示背景、操作界面和功能按键可根据用户需求自定义设计，支持个性化图片、图标、颜色配置，支持锁屏背景图设置。</w:t>
            </w:r>
          </w:p>
          <w:p w14:paraId="14DF3F94">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lang w:eastAsia="zh-CN"/>
              </w:rPr>
            </w:pPr>
            <w:r>
              <w:rPr>
                <w:rFonts w:hint="eastAsia" w:ascii="宋体" w:hAnsi="宋体" w:eastAsia="宋体" w:cs="宋体"/>
                <w:b w:val="0"/>
                <w:bCs w:val="0"/>
                <w:color w:val="auto"/>
                <w:sz w:val="20"/>
                <w:szCs w:val="20"/>
              </w:rPr>
              <w:t>3、面板UI设计</w:t>
            </w:r>
            <w:r>
              <w:rPr>
                <w:rFonts w:hint="eastAsia" w:ascii="宋体" w:hAnsi="宋体" w:eastAsia="宋体" w:cs="宋体"/>
                <w:b w:val="0"/>
                <w:bCs w:val="0"/>
                <w:color w:val="auto"/>
                <w:sz w:val="20"/>
                <w:szCs w:val="20"/>
                <w:lang w:eastAsia="zh-CN"/>
              </w:rPr>
              <w:t>；</w:t>
            </w:r>
          </w:p>
          <w:p w14:paraId="4ABCEAAE">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4、液晶交互控制主机通过设置软件，可以对基本信息设置，通讯参数设置，显示背景、操作界面和功能按键编程配置，联动控制编程设置，网络参数配置，固件版本升级等。</w:t>
            </w:r>
          </w:p>
          <w:p w14:paraId="290E0EE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5、.与多媒体智能终端配合，可以对录播、互动等设备进行管控，自定义界面和控制逻辑。</w:t>
            </w:r>
          </w:p>
          <w:p w14:paraId="003B2793">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6、.支持通过设置平台网络远程配置，支持IP地址、MAC地址扫描，支持IP地址设置，支持远程固件升级，支持配置程序云端备份，支持系统相关参数设置；</w:t>
            </w:r>
          </w:p>
          <w:p w14:paraId="0F1D128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7、.需支持IP语音对讲功能，具备拾音麦和喇叭；支持分机号码配置，接入IP语音服务器后可实现各教室与控制室IP语音通话功能；</w:t>
            </w:r>
          </w:p>
          <w:p w14:paraId="65DADF9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8、.需要支持动态二维码显示，和老师统一身份数据对接后，二维码可用于手机扫码身份权限验证，实现扫码上课；</w:t>
            </w:r>
          </w:p>
          <w:p w14:paraId="5F4EA1FE">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9.要求采用铝合金外壳材质，坚固耐用，全贴合生产工艺；</w:t>
            </w:r>
          </w:p>
          <w:p w14:paraId="5FFFAC41">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10.为了保证系统的稳定性和兼容性，要求交互控制主机与多媒体智能终端同一品牌；</w:t>
            </w:r>
          </w:p>
          <w:p w14:paraId="0DC3D8E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三</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智能开关（零/单火版）2个</w:t>
            </w:r>
          </w:p>
          <w:p w14:paraId="10A4F7AE">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1、零火供电，需要布零线，最大电流10A，总负载功率≤2200W，单路负载功率≤500W。</w:t>
            </w:r>
          </w:p>
          <w:p w14:paraId="781A2F5F">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2、标准86型安装方式，外盒材质采用阻燃PC，尺寸86MM*86MM*34MM。</w:t>
            </w:r>
          </w:p>
          <w:p w14:paraId="59ABACD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3、按键开关，最大支持3路电源输出，可选单键、双键、三键。</w:t>
            </w:r>
          </w:p>
          <w:p w14:paraId="1D573BB3">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4、采用蓝牙通讯协议，室内无障碍通讯距离≥15M。</w:t>
            </w:r>
          </w:p>
          <w:p w14:paraId="4FDBC6F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5、具备状态反馈功能，实时监测用电设备状态。</w:t>
            </w:r>
          </w:p>
          <w:p w14:paraId="4ADD2931">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6、内置LED指示灯，可以实时显示开关状态。</w:t>
            </w:r>
          </w:p>
          <w:p w14:paraId="66A9605A">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7、支持本地控制，支持管理平台远程控制。</w:t>
            </w:r>
          </w:p>
          <w:p w14:paraId="39E922B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四</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窗帘电机7台</w:t>
            </w:r>
          </w:p>
          <w:p w14:paraId="6B1774A9">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1、AC220V供电，停电可手拉，轻盈顺滑，采用静音设计方案，运行平稳安静。</w:t>
            </w:r>
          </w:p>
          <w:p w14:paraId="10DC095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2、支持外接射频遥控器对窗帘进行控制。</w:t>
            </w:r>
          </w:p>
          <w:p w14:paraId="4615880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3、遇阻停止保护，轻拉启动功能，自动记忆行程功能。</w:t>
            </w:r>
          </w:p>
          <w:p w14:paraId="0CEEE801">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4、采用蓝牙通讯协议，室内无障碍通讯距离≥15M。</w:t>
            </w:r>
          </w:p>
          <w:p w14:paraId="273275A8">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5、具备状态反馈功能，实时监测电机及窗帘状态。</w:t>
            </w:r>
          </w:p>
          <w:p w14:paraId="7C05C388">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6、支持本地控制，支持管理平台远程控制。</w:t>
            </w:r>
          </w:p>
          <w:p w14:paraId="134DFE05">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7、电机与轨道连接采用卡口防脱落设计，方便安装及拆卸。</w:t>
            </w:r>
          </w:p>
          <w:p w14:paraId="003C2E39">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8、电机内置控制模块，无需额外加装控制模块即可通过网关设备/管理平台/小程序控制电动窗帘。</w:t>
            </w:r>
          </w:p>
          <w:p w14:paraId="1492DC8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五</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窗帘伸缩轨道7套</w:t>
            </w:r>
          </w:p>
          <w:p w14:paraId="20C1E95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1、采用航空铝材材料，伸缩导轨（1.5米-2.7米）强度高。</w:t>
            </w:r>
          </w:p>
          <w:p w14:paraId="5B6FF63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2、表面采用电泳处理，光滑平顺，静音耐磨。</w:t>
            </w:r>
          </w:p>
          <w:p w14:paraId="3F84F96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3、五金配件均采用304不锈钢材质。</w:t>
            </w:r>
          </w:p>
          <w:p w14:paraId="3DC8F31B">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4、选用伸缩轨道，免量尺，安装方便，节省人工成本。</w:t>
            </w:r>
          </w:p>
          <w:p w14:paraId="071BBF0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六</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智能空开2个</w:t>
            </w:r>
          </w:p>
          <w:p w14:paraId="7EB5E24B">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1、额定工作电压2PAC230V，额定电流In默认为63A。</w:t>
            </w:r>
          </w:p>
          <w:p w14:paraId="2092BB12">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2、采用蓝牙通讯协议，室内无障碍通讯距离≥15M。</w:t>
            </w:r>
          </w:p>
          <w:p w14:paraId="12FC29F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3、支持短路保护，支持合闸/断闸状态指示。</w:t>
            </w:r>
          </w:p>
          <w:p w14:paraId="4E14674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4、断路器尺寸，2P：长100MM*宽54MM。</w:t>
            </w:r>
          </w:p>
          <w:p w14:paraId="22B3362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5、安装轨道尺寸35*7.5MM，电线截面积可达35MM²。</w:t>
            </w:r>
          </w:p>
          <w:p w14:paraId="463A154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6、支持本地控制，支持管理平台远程控制。</w:t>
            </w:r>
          </w:p>
          <w:p w14:paraId="42232D9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七</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万向红外1个</w:t>
            </w:r>
          </w:p>
          <w:p w14:paraId="7852AD0A">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1、直流供电12V1A，低功耗设计，吸顶或壁挂安装。</w:t>
            </w:r>
          </w:p>
          <w:p w14:paraId="052F1CC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2、内置配置按钮，LED指示灯，通电后指示灯常亮，发码时闪烁。</w:t>
            </w:r>
          </w:p>
          <w:p w14:paraId="3E0D088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3、内置红外码库芯片，支持一键学习空调红外码，无需重复学习各个指令。</w:t>
            </w:r>
          </w:p>
          <w:p w14:paraId="4AC176E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4、采用蓝牙通讯协议，支持信号中继，室内无障碍通讯距离≥20M。</w:t>
            </w:r>
          </w:p>
          <w:p w14:paraId="44A36ED0">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5、支持本地控制，支持管理平台远程控制。</w:t>
            </w:r>
          </w:p>
          <w:p w14:paraId="4C132425">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6、内置红外发射管，360°全向发射红外信号，红外遥控无障碍距离≥5米。</w:t>
            </w:r>
          </w:p>
          <w:p w14:paraId="10D1F54C">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7、红外模块支持调整空调温度、模式、风速、风向功能。</w:t>
            </w:r>
          </w:p>
          <w:p w14:paraId="6F5B2EA2">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八</w:t>
            </w:r>
            <w:r>
              <w:rPr>
                <w:rFonts w:hint="eastAsia" w:ascii="宋体" w:hAnsi="宋体" w:eastAsia="宋体" w:cs="宋体"/>
                <w:b w:val="0"/>
                <w:bCs w:val="0"/>
                <w:color w:val="auto"/>
                <w:sz w:val="20"/>
                <w:szCs w:val="20"/>
                <w:lang w:eastAsia="zh-CN"/>
              </w:rPr>
              <w:t>、</w:t>
            </w:r>
            <w:r>
              <w:rPr>
                <w:rFonts w:hint="eastAsia" w:ascii="宋体" w:hAnsi="宋体" w:eastAsia="宋体" w:cs="宋体"/>
                <w:b w:val="0"/>
                <w:bCs w:val="0"/>
                <w:color w:val="auto"/>
                <w:sz w:val="20"/>
                <w:szCs w:val="20"/>
              </w:rPr>
              <w:t>物联感知终端1个</w:t>
            </w:r>
          </w:p>
          <w:p w14:paraId="68DE919B">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1、要求可实时检测教室环境中的PM2.5、PM10、二氧化碳(CO2)、温度、湿度。</w:t>
            </w:r>
          </w:p>
          <w:p w14:paraId="6BF0A85B">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2、需要具备≥RS485数据通讯接口，传输距离不少于100米，支持接入多媒体智能终端。</w:t>
            </w:r>
          </w:p>
          <w:p w14:paraId="726660CD">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3、检测数据自动上传到管理平台，统一呈现数据。</w:t>
            </w:r>
          </w:p>
          <w:p w14:paraId="02720CBA">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4、支持壁挂式、吸顶式安装。</w:t>
            </w:r>
          </w:p>
          <w:p w14:paraId="551C7AE1">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5、技术参数：</w:t>
            </w:r>
          </w:p>
          <w:p w14:paraId="0C722821">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温度能隙温度传感-40~80℃；湿度电容式0~100%RH；PM2.5激光光学0~1000ug/m³PM10激光光学0~2000ug/m³；CO2非色散红外400~4000ppm1ppm</w:t>
            </w:r>
          </w:p>
          <w:p w14:paraId="15A7F8F7">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信号输出：RS485modbusRTU（标准）</w:t>
            </w:r>
          </w:p>
          <w:p w14:paraId="17540174">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接线方式：6Pin接线端子</w:t>
            </w:r>
          </w:p>
          <w:p w14:paraId="3EAE2DF8">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电源输入：DC12～24V</w:t>
            </w:r>
          </w:p>
          <w:p w14:paraId="60A4CFA8">
            <w:pPr>
              <w:keepNext w:val="0"/>
              <w:keepLines w:val="0"/>
              <w:pageBreakBefore w:val="0"/>
              <w:kinsoku/>
              <w:wordWrap/>
              <w:overflowPunct/>
              <w:topLinePunct w:val="0"/>
              <w:autoSpaceDE/>
              <w:autoSpaceDN/>
              <w:bidi w:val="0"/>
              <w:adjustRightInd/>
              <w:snapToGrid/>
              <w:spacing w:line="312" w:lineRule="auto"/>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color w:val="auto"/>
                <w:sz w:val="20"/>
                <w:szCs w:val="20"/>
              </w:rPr>
              <w:t>外壳材质：塑料ABS材质</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C2B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388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05442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112A7">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8</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BAB4">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显示器</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BC347">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6" name="矩形_32"/>
                  <wp:cNvGraphicFramePr/>
                  <a:graphic xmlns:a="http://schemas.openxmlformats.org/drawingml/2006/main">
                    <a:graphicData uri="http://schemas.openxmlformats.org/drawingml/2006/picture">
                      <pic:pic xmlns:pic="http://schemas.openxmlformats.org/drawingml/2006/picture">
                        <pic:nvPicPr>
                          <pic:cNvPr id="186" name="矩形_32"/>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3" name="矩形_7"/>
                  <wp:cNvGraphicFramePr/>
                  <a:graphic xmlns:a="http://schemas.openxmlformats.org/drawingml/2006/main">
                    <a:graphicData uri="http://schemas.openxmlformats.org/drawingml/2006/picture">
                      <pic:pic xmlns:pic="http://schemas.openxmlformats.org/drawingml/2006/picture">
                        <pic:nvPicPr>
                          <pic:cNvPr id="183" name="矩形_7"/>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1" name="矩形_42"/>
                  <wp:cNvGraphicFramePr/>
                  <a:graphic xmlns:a="http://schemas.openxmlformats.org/drawingml/2006/main">
                    <a:graphicData uri="http://schemas.openxmlformats.org/drawingml/2006/picture">
                      <pic:pic xmlns:pic="http://schemas.openxmlformats.org/drawingml/2006/picture">
                        <pic:nvPicPr>
                          <pic:cNvPr id="181" name="矩形_42"/>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9" name="矩形_7_SpCnt_1"/>
                  <wp:cNvGraphicFramePr/>
                  <a:graphic xmlns:a="http://schemas.openxmlformats.org/drawingml/2006/main">
                    <a:graphicData uri="http://schemas.openxmlformats.org/drawingml/2006/picture">
                      <pic:pic xmlns:pic="http://schemas.openxmlformats.org/drawingml/2006/picture">
                        <pic:nvPicPr>
                          <pic:cNvPr id="189" name="矩形_7_SpCnt_1"/>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2" name="矩形_7_SpCnt_2"/>
                  <wp:cNvGraphicFramePr/>
                  <a:graphic xmlns:a="http://schemas.openxmlformats.org/drawingml/2006/main">
                    <a:graphicData uri="http://schemas.openxmlformats.org/drawingml/2006/picture">
                      <pic:pic xmlns:pic="http://schemas.openxmlformats.org/drawingml/2006/picture">
                        <pic:nvPicPr>
                          <pic:cNvPr id="182" name="矩形_7_SpCnt_2"/>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7" name="矩形_7_SpCnt_3"/>
                  <wp:cNvGraphicFramePr/>
                  <a:graphic xmlns:a="http://schemas.openxmlformats.org/drawingml/2006/main">
                    <a:graphicData uri="http://schemas.openxmlformats.org/drawingml/2006/picture">
                      <pic:pic xmlns:pic="http://schemas.openxmlformats.org/drawingml/2006/picture">
                        <pic:nvPicPr>
                          <pic:cNvPr id="187" name="矩形_7_SpCnt_3"/>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78" name="矩形_7_SpCnt_4"/>
                  <wp:cNvGraphicFramePr/>
                  <a:graphic xmlns:a="http://schemas.openxmlformats.org/drawingml/2006/main">
                    <a:graphicData uri="http://schemas.openxmlformats.org/drawingml/2006/picture">
                      <pic:pic xmlns:pic="http://schemas.openxmlformats.org/drawingml/2006/picture">
                        <pic:nvPicPr>
                          <pic:cNvPr id="178" name="矩形_7_SpCnt_4"/>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77" name="矩形_7_SpCnt_5"/>
                  <wp:cNvGraphicFramePr/>
                  <a:graphic xmlns:a="http://schemas.openxmlformats.org/drawingml/2006/main">
                    <a:graphicData uri="http://schemas.openxmlformats.org/drawingml/2006/picture">
                      <pic:pic xmlns:pic="http://schemas.openxmlformats.org/drawingml/2006/picture">
                        <pic:nvPicPr>
                          <pic:cNvPr id="177" name="矩形_7_SpCnt_5"/>
                          <pic:cNvPicPr/>
                        </pic:nvPicPr>
                        <pic:blipFill>
                          <a:blip r:embed="rId16"/>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4" name="矩形_7_SpCnt_6"/>
                  <wp:cNvGraphicFramePr/>
                  <a:graphic xmlns:a="http://schemas.openxmlformats.org/drawingml/2006/main">
                    <a:graphicData uri="http://schemas.openxmlformats.org/drawingml/2006/picture">
                      <pic:pic xmlns:pic="http://schemas.openxmlformats.org/drawingml/2006/picture">
                        <pic:nvPicPr>
                          <pic:cNvPr id="184" name="矩形_7_SpCnt_6"/>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5" name="矩形_86"/>
                  <wp:cNvGraphicFramePr/>
                  <a:graphic xmlns:a="http://schemas.openxmlformats.org/drawingml/2006/main">
                    <a:graphicData uri="http://schemas.openxmlformats.org/drawingml/2006/picture">
                      <pic:pic xmlns:pic="http://schemas.openxmlformats.org/drawingml/2006/picture">
                        <pic:nvPicPr>
                          <pic:cNvPr id="185" name="矩形_86"/>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8" name="矩形_7_SpCnt_7"/>
                  <wp:cNvGraphicFramePr/>
                  <a:graphic xmlns:a="http://schemas.openxmlformats.org/drawingml/2006/main">
                    <a:graphicData uri="http://schemas.openxmlformats.org/drawingml/2006/picture">
                      <pic:pic xmlns:pic="http://schemas.openxmlformats.org/drawingml/2006/picture">
                        <pic:nvPicPr>
                          <pic:cNvPr id="188" name="矩形_7_SpCnt_7"/>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0" name="矩形_76"/>
                  <wp:cNvGraphicFramePr/>
                  <a:graphic xmlns:a="http://schemas.openxmlformats.org/drawingml/2006/main">
                    <a:graphicData uri="http://schemas.openxmlformats.org/drawingml/2006/picture">
                      <pic:pic xmlns:pic="http://schemas.openxmlformats.org/drawingml/2006/picture">
                        <pic:nvPicPr>
                          <pic:cNvPr id="190" name="矩形_76"/>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76" name="矩形_7_SpCnt_8"/>
                  <wp:cNvGraphicFramePr/>
                  <a:graphic xmlns:a="http://schemas.openxmlformats.org/drawingml/2006/main">
                    <a:graphicData uri="http://schemas.openxmlformats.org/drawingml/2006/picture">
                      <pic:pic xmlns:pic="http://schemas.openxmlformats.org/drawingml/2006/picture">
                        <pic:nvPicPr>
                          <pic:cNvPr id="176" name="矩形_7_SpCnt_8"/>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79" name="矩形_7_SpCnt_9"/>
                  <wp:cNvGraphicFramePr/>
                  <a:graphic xmlns:a="http://schemas.openxmlformats.org/drawingml/2006/main">
                    <a:graphicData uri="http://schemas.openxmlformats.org/drawingml/2006/picture">
                      <pic:pic xmlns:pic="http://schemas.openxmlformats.org/drawingml/2006/picture">
                        <pic:nvPicPr>
                          <pic:cNvPr id="179" name="矩形_7_SpCnt_9"/>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80" name="矩形_7_SpCnt_10"/>
                  <wp:cNvGraphicFramePr/>
                  <a:graphic xmlns:a="http://schemas.openxmlformats.org/drawingml/2006/main">
                    <a:graphicData uri="http://schemas.openxmlformats.org/drawingml/2006/picture">
                      <pic:pic xmlns:pic="http://schemas.openxmlformats.org/drawingml/2006/picture">
                        <pic:nvPicPr>
                          <pic:cNvPr id="180" name="矩形_7_SpCnt_1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69" name="矩形_7_SpCnt_11"/>
                  <wp:cNvGraphicFramePr/>
                  <a:graphic xmlns:a="http://schemas.openxmlformats.org/drawingml/2006/main">
                    <a:graphicData uri="http://schemas.openxmlformats.org/drawingml/2006/picture">
                      <pic:pic xmlns:pic="http://schemas.openxmlformats.org/drawingml/2006/picture">
                        <pic:nvPicPr>
                          <pic:cNvPr id="169" name="矩形_7_SpCnt_11"/>
                          <pic:cNvPicPr/>
                        </pic:nvPicPr>
                        <pic:blipFill>
                          <a:blip r:embed="rId17"/>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5" name="矩形_7_SpCnt_12"/>
                  <wp:cNvGraphicFramePr/>
                  <a:graphic xmlns:a="http://schemas.openxmlformats.org/drawingml/2006/main">
                    <a:graphicData uri="http://schemas.openxmlformats.org/drawingml/2006/picture">
                      <pic:pic xmlns:pic="http://schemas.openxmlformats.org/drawingml/2006/picture">
                        <pic:nvPicPr>
                          <pic:cNvPr id="165" name="矩形_7_SpCnt_1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6" name="矩形_7_SpCnt_13"/>
                  <wp:cNvGraphicFramePr/>
                  <a:graphic xmlns:a="http://schemas.openxmlformats.org/drawingml/2006/main">
                    <a:graphicData uri="http://schemas.openxmlformats.org/drawingml/2006/picture">
                      <pic:pic xmlns:pic="http://schemas.openxmlformats.org/drawingml/2006/picture">
                        <pic:nvPicPr>
                          <pic:cNvPr id="166" name="矩形_7_SpCnt_13"/>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7" name="矩形_29"/>
                  <wp:cNvGraphicFramePr/>
                  <a:graphic xmlns:a="http://schemas.openxmlformats.org/drawingml/2006/main">
                    <a:graphicData uri="http://schemas.openxmlformats.org/drawingml/2006/picture">
                      <pic:pic xmlns:pic="http://schemas.openxmlformats.org/drawingml/2006/picture">
                        <pic:nvPicPr>
                          <pic:cNvPr id="167" name="矩形_29"/>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0" name="矩形_7_SpCnt_14"/>
                  <wp:cNvGraphicFramePr/>
                  <a:graphic xmlns:a="http://schemas.openxmlformats.org/drawingml/2006/main">
                    <a:graphicData uri="http://schemas.openxmlformats.org/drawingml/2006/picture">
                      <pic:pic xmlns:pic="http://schemas.openxmlformats.org/drawingml/2006/picture">
                        <pic:nvPicPr>
                          <pic:cNvPr id="170" name="矩形_7_SpCnt_14"/>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8" name="矩形_7_SpCnt_15"/>
                  <wp:cNvGraphicFramePr/>
                  <a:graphic xmlns:a="http://schemas.openxmlformats.org/drawingml/2006/main">
                    <a:graphicData uri="http://schemas.openxmlformats.org/drawingml/2006/picture">
                      <pic:pic xmlns:pic="http://schemas.openxmlformats.org/drawingml/2006/picture">
                        <pic:nvPicPr>
                          <pic:cNvPr id="168" name="矩形_7_SpCnt_15"/>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0" name="矩形_28"/>
                  <wp:cNvGraphicFramePr/>
                  <a:graphic xmlns:a="http://schemas.openxmlformats.org/drawingml/2006/main">
                    <a:graphicData uri="http://schemas.openxmlformats.org/drawingml/2006/picture">
                      <pic:pic xmlns:pic="http://schemas.openxmlformats.org/drawingml/2006/picture">
                        <pic:nvPicPr>
                          <pic:cNvPr id="160" name="矩形_2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2" name="矩形_7_SpCnt_16"/>
                  <wp:cNvGraphicFramePr/>
                  <a:graphic xmlns:a="http://schemas.openxmlformats.org/drawingml/2006/main">
                    <a:graphicData uri="http://schemas.openxmlformats.org/drawingml/2006/picture">
                      <pic:pic xmlns:pic="http://schemas.openxmlformats.org/drawingml/2006/picture">
                        <pic:nvPicPr>
                          <pic:cNvPr id="162" name="矩形_7_SpCnt_1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3" name="矩形_7_SpCnt_17"/>
                  <wp:cNvGraphicFramePr/>
                  <a:graphic xmlns:a="http://schemas.openxmlformats.org/drawingml/2006/main">
                    <a:graphicData uri="http://schemas.openxmlformats.org/drawingml/2006/picture">
                      <pic:pic xmlns:pic="http://schemas.openxmlformats.org/drawingml/2006/picture">
                        <pic:nvPicPr>
                          <pic:cNvPr id="163" name="矩形_7_SpCnt_17"/>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1" name="矩形_7_SpCnt_18"/>
                  <wp:cNvGraphicFramePr/>
                  <a:graphic xmlns:a="http://schemas.openxmlformats.org/drawingml/2006/main">
                    <a:graphicData uri="http://schemas.openxmlformats.org/drawingml/2006/picture">
                      <pic:pic xmlns:pic="http://schemas.openxmlformats.org/drawingml/2006/picture">
                        <pic:nvPicPr>
                          <pic:cNvPr id="161" name="矩形_7_SpCnt_1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64" name="矩形_29_SpCnt_1"/>
                  <wp:cNvGraphicFramePr/>
                  <a:graphic xmlns:a="http://schemas.openxmlformats.org/drawingml/2006/main">
                    <a:graphicData uri="http://schemas.openxmlformats.org/drawingml/2006/picture">
                      <pic:pic xmlns:pic="http://schemas.openxmlformats.org/drawingml/2006/picture">
                        <pic:nvPicPr>
                          <pic:cNvPr id="164" name="矩形_29_SpCnt_1"/>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1" name="矩形_7_SpCnt_19"/>
                  <wp:cNvGraphicFramePr/>
                  <a:graphic xmlns:a="http://schemas.openxmlformats.org/drawingml/2006/main">
                    <a:graphicData uri="http://schemas.openxmlformats.org/drawingml/2006/picture">
                      <pic:pic xmlns:pic="http://schemas.openxmlformats.org/drawingml/2006/picture">
                        <pic:nvPicPr>
                          <pic:cNvPr id="171" name="矩形_7_SpCnt_19"/>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2" name="矩形_82"/>
                  <wp:cNvGraphicFramePr/>
                  <a:graphic xmlns:a="http://schemas.openxmlformats.org/drawingml/2006/main">
                    <a:graphicData uri="http://schemas.openxmlformats.org/drawingml/2006/picture">
                      <pic:pic xmlns:pic="http://schemas.openxmlformats.org/drawingml/2006/picture">
                        <pic:nvPicPr>
                          <pic:cNvPr id="172" name="矩形_8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3" name="矩形_7_SpCnt_20"/>
                  <wp:cNvGraphicFramePr/>
                  <a:graphic xmlns:a="http://schemas.openxmlformats.org/drawingml/2006/main">
                    <a:graphicData uri="http://schemas.openxmlformats.org/drawingml/2006/picture">
                      <pic:pic xmlns:pic="http://schemas.openxmlformats.org/drawingml/2006/picture">
                        <pic:nvPicPr>
                          <pic:cNvPr id="173" name="矩形_7_SpCnt_20"/>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4" name="矩形_7_SpCnt_21"/>
                  <wp:cNvGraphicFramePr/>
                  <a:graphic xmlns:a="http://schemas.openxmlformats.org/drawingml/2006/main">
                    <a:graphicData uri="http://schemas.openxmlformats.org/drawingml/2006/picture">
                      <pic:pic xmlns:pic="http://schemas.openxmlformats.org/drawingml/2006/picture">
                        <pic:nvPicPr>
                          <pic:cNvPr id="174" name="矩形_7_SpCnt_21"/>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75" name="矩形_29_SpCnt_2"/>
                  <wp:cNvGraphicFramePr/>
                  <a:graphic xmlns:a="http://schemas.openxmlformats.org/drawingml/2006/main">
                    <a:graphicData uri="http://schemas.openxmlformats.org/drawingml/2006/picture">
                      <pic:pic xmlns:pic="http://schemas.openxmlformats.org/drawingml/2006/picture">
                        <pic:nvPicPr>
                          <pic:cNvPr id="175" name="矩形_29_SpCnt_2"/>
                          <pic:cNvPicPr/>
                        </pic:nvPicPr>
                        <pic:blipFill>
                          <a:blip r:embed="rId19"/>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6" name="矩形_7_SpCnt_22"/>
                  <wp:cNvGraphicFramePr/>
                  <a:graphic xmlns:a="http://schemas.openxmlformats.org/drawingml/2006/main">
                    <a:graphicData uri="http://schemas.openxmlformats.org/drawingml/2006/picture">
                      <pic:pic xmlns:pic="http://schemas.openxmlformats.org/drawingml/2006/picture">
                        <pic:nvPicPr>
                          <pic:cNvPr id="156" name="矩形_7_SpCnt_2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7" name="矩形_38"/>
                  <wp:cNvGraphicFramePr/>
                  <a:graphic xmlns:a="http://schemas.openxmlformats.org/drawingml/2006/main">
                    <a:graphicData uri="http://schemas.openxmlformats.org/drawingml/2006/picture">
                      <pic:pic xmlns:pic="http://schemas.openxmlformats.org/drawingml/2006/picture">
                        <pic:nvPicPr>
                          <pic:cNvPr id="157" name="矩形_3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5" name="矩形_7_SpCnt_23"/>
                  <wp:cNvGraphicFramePr/>
                  <a:graphic xmlns:a="http://schemas.openxmlformats.org/drawingml/2006/main">
                    <a:graphicData uri="http://schemas.openxmlformats.org/drawingml/2006/picture">
                      <pic:pic xmlns:pic="http://schemas.openxmlformats.org/drawingml/2006/picture">
                        <pic:nvPicPr>
                          <pic:cNvPr id="155" name="矩形_7_SpCnt_23"/>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9" name="矩形_29_SpCnt_3"/>
                  <wp:cNvGraphicFramePr/>
                  <a:graphic xmlns:a="http://schemas.openxmlformats.org/drawingml/2006/main">
                    <a:graphicData uri="http://schemas.openxmlformats.org/drawingml/2006/picture">
                      <pic:pic xmlns:pic="http://schemas.openxmlformats.org/drawingml/2006/picture">
                        <pic:nvPicPr>
                          <pic:cNvPr id="159" name="矩形_29_SpCnt_3"/>
                          <pic:cNvPicPr/>
                        </pic:nvPicPr>
                        <pic:blipFill>
                          <a:blip r:embed="rId20"/>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8" name="矩形_7_SpCnt_24"/>
                  <wp:cNvGraphicFramePr/>
                  <a:graphic xmlns:a="http://schemas.openxmlformats.org/drawingml/2006/main">
                    <a:graphicData uri="http://schemas.openxmlformats.org/drawingml/2006/picture">
                      <pic:pic xmlns:pic="http://schemas.openxmlformats.org/drawingml/2006/picture">
                        <pic:nvPicPr>
                          <pic:cNvPr id="158" name="矩形_7_SpCnt_24"/>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0" name="矩形_7_SpCnt_25"/>
                  <wp:cNvGraphicFramePr/>
                  <a:graphic xmlns:a="http://schemas.openxmlformats.org/drawingml/2006/main">
                    <a:graphicData uri="http://schemas.openxmlformats.org/drawingml/2006/picture">
                      <pic:pic xmlns:pic="http://schemas.openxmlformats.org/drawingml/2006/picture">
                        <pic:nvPicPr>
                          <pic:cNvPr id="150" name="矩形_7_SpCnt_25"/>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1" name="矩形_7_SpCnt_26"/>
                  <wp:cNvGraphicFramePr/>
                  <a:graphic xmlns:a="http://schemas.openxmlformats.org/drawingml/2006/main">
                    <a:graphicData uri="http://schemas.openxmlformats.org/drawingml/2006/picture">
                      <pic:pic xmlns:pic="http://schemas.openxmlformats.org/drawingml/2006/picture">
                        <pic:nvPicPr>
                          <pic:cNvPr id="151" name="矩形_7_SpCnt_2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53" name="矩形_72"/>
                  <wp:cNvGraphicFramePr/>
                  <a:graphic xmlns:a="http://schemas.openxmlformats.org/drawingml/2006/main">
                    <a:graphicData uri="http://schemas.openxmlformats.org/drawingml/2006/picture">
                      <pic:pic xmlns:pic="http://schemas.openxmlformats.org/drawingml/2006/picture">
                        <pic:nvPicPr>
                          <pic:cNvPr id="153" name="矩形_7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45" name="矩形_7_SpCnt_27"/>
                  <wp:cNvGraphicFramePr/>
                  <a:graphic xmlns:a="http://schemas.openxmlformats.org/drawingml/2006/main">
                    <a:graphicData uri="http://schemas.openxmlformats.org/drawingml/2006/picture">
                      <pic:pic xmlns:pic="http://schemas.openxmlformats.org/drawingml/2006/picture">
                        <pic:nvPicPr>
                          <pic:cNvPr id="145" name="矩形_7_SpCnt_27"/>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lang w:val="en-US" w:eastAsia="zh-CN" w:bidi="ar"/>
              </w:rPr>
              <w:t>1.屏幕尺寸：≥23英寸</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2.屏幕比例：16:9</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3.分辨率：至少1920×1080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4.HDMI≥1个</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9AE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33A9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2650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DE42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9</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DDA36">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电视</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F2D6">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1.产品类型：LED电视</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2.屏幕尺寸：≥55英寸</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3.屏幕分辨率：超高清4K</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4.运行内存：≥1.5GB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7.存储内存：≥8GB</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8.端口参数：USB2.0接口≥2个，HDMI2.0接口≥2个</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E327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C72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32090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C0EC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CD91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中控室操作台</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E8AB4">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1.产品材质：优质SPCC首钢1.0-2.0mm冷轧钢板、优质中密度板、铝型材和高级装饰耐火板，橡胶扶手；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2.生产加工：国际领先的激光切割，数控剪板、冲压、折弯，精密焊接；</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3.表面处理：脱脂、酸洗、防锈磷化、静电喷涂；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4.可选附件：托板、托架、横竖理线槽等；</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5.技术标准：达到国际IP23级安全保护标准，可配标准19英寸机架结构，静电喷塑工艺，全自动化喷粉设备加工，达到BS6497国际标准；</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6.操作台规格 每单元≥1000/1200mm*920mm*750mm；、操作台采取模块化结构体系，易于更新模块；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7.操作台较低部位的面板安装有铰链或可取下，便于内部设备的安装和维护；</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8.操作台面板耐磨层为≥1mm、台面厚度≥25mm、表面覆盖层采用具有耐热、耐烟灼、耐撞击、耐潮湿、防水、耐腐蚀的高强度高压耐磨板；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9.台面前端采用聚氨酯加模压成型的手枕边，保证手臂工作时的舒适性且抗刮；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10.操作台安装键盘式抽屉,键盘式抽屉底部做止滑挡板，防止键盘脱落；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11.台面上方设有≥150mm高的铝型材挡板，便于悬挂显示器支架；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12.台体部分由台体侧、顶、地板、门、抽屉、面板组成，可选木板材料厚度为≥16mm；</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5DC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2E4A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个</w:t>
            </w:r>
          </w:p>
        </w:tc>
      </w:tr>
      <w:tr w14:paraId="5D775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3C3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11</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912A6">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机柜</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9F91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一、机柜1台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1.标准服务器机柜，SPCC优质冷轧钢板，脱脂、磷化、静电喷涂，支持脚轮移动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2.托盘≥1，散热风扇≥1，要求具有机架式6口电源插座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3.机柜尺寸≥1200mm*900mm*600mm，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4.容量≥18U，承重至少800Kg。</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二、无线路由器1台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1.要求支持标准的802、11acWave2协议，采用三路Radio设计，其中至少两路Radio可同时工作在802、11acWave2和802、11a/b/g/n/ac模式；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2.要求支持至少8条空间流，单路Radio最大接入速率不低于1733Mbps，整机最大接入速率不低于3000Mbps；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3.每路Radio射频发射功率≤20dBm；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4要求支持至少2个10/100/1000Base-T以太网口，其中至少1个支持PoE+供电；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5.要求同时支持802、3at和本地电源DC12V供电；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6.要求具有两种供电模式，整机功耗小于25W；</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7.同时可接入用户数不小于256个；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8.要求支持无线模板化设置，支持用户自定义无线设置模板，适用于不同的与用户群体，每个SSID适配不同的ACL规则；</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9.要求支持多路Radio独立设置，不同的无线模板与Radio配置信息；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10.要求支持多SSID划分，每个SSID套用不同的VLAN与ACL表，可实现局域网中不同用户群体用网安全性与终端隔离；</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11.要求支持独立ACL表过滤功能，在无线模板中，一个SSID可套用一个ACL规则表，并设置为黑白名单格式，实现在同一套局域网中，不同的SSID接入指定ACL表终端，实现无线局域网安全性；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12.要求支持设置定时重启功能，可设置固定时间点重启AP；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13.要求支持日志记录功能，能记录AP后的系统日志、内核日志、登录日志信息；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14.要求支持网络诊断功能，提供ping、路由追踪、DNS诊断项，输出检测日志；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三、交换机1台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1.接口：≥24口千兆+2千兆光口。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2.可靠性：企业级防雷电路，内置专业高耐压电源。</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3.供电：支持POE+供电370W，单端口＞30W。</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F55E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541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4CF8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3527">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12</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9AC98">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电磁锁</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96C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9" name="Text_Box_1780"/>
                  <wp:cNvGraphicFramePr/>
                  <a:graphic xmlns:a="http://schemas.openxmlformats.org/drawingml/2006/main">
                    <a:graphicData uri="http://schemas.openxmlformats.org/drawingml/2006/picture">
                      <pic:pic xmlns:pic="http://schemas.openxmlformats.org/drawingml/2006/picture">
                        <pic:nvPicPr>
                          <pic:cNvPr id="149" name="Text_Box_1780"/>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1" name="Text_Box_1780_SpCnt_1"/>
                  <wp:cNvGraphicFramePr/>
                  <a:graphic xmlns:a="http://schemas.openxmlformats.org/drawingml/2006/main">
                    <a:graphicData uri="http://schemas.openxmlformats.org/drawingml/2006/picture">
                      <pic:pic xmlns:pic="http://schemas.openxmlformats.org/drawingml/2006/picture">
                        <pic:nvPicPr>
                          <pic:cNvPr id="141" name="Text_Box_1780_SpCnt_1"/>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7" name="Text_Box_1780_SpCnt_2"/>
                  <wp:cNvGraphicFramePr/>
                  <a:graphic xmlns:a="http://schemas.openxmlformats.org/drawingml/2006/main">
                    <a:graphicData uri="http://schemas.openxmlformats.org/drawingml/2006/picture">
                      <pic:pic xmlns:pic="http://schemas.openxmlformats.org/drawingml/2006/picture">
                        <pic:nvPicPr>
                          <pic:cNvPr id="7" name="Text_Box_1780_SpCnt_2"/>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4" name="Text_Box_1780_SpCnt_3"/>
                  <wp:cNvGraphicFramePr/>
                  <a:graphic xmlns:a="http://schemas.openxmlformats.org/drawingml/2006/main">
                    <a:graphicData uri="http://schemas.openxmlformats.org/drawingml/2006/picture">
                      <pic:pic xmlns:pic="http://schemas.openxmlformats.org/drawingml/2006/picture">
                        <pic:nvPicPr>
                          <pic:cNvPr id="144" name="Text_Box_1780_SpCnt_3"/>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7" name="Text_Box_1780_SpCnt_4"/>
                  <wp:cNvGraphicFramePr/>
                  <a:graphic xmlns:a="http://schemas.openxmlformats.org/drawingml/2006/main">
                    <a:graphicData uri="http://schemas.openxmlformats.org/drawingml/2006/picture">
                      <pic:pic xmlns:pic="http://schemas.openxmlformats.org/drawingml/2006/picture">
                        <pic:nvPicPr>
                          <pic:cNvPr id="147" name="Text_Box_1780_SpCnt_4"/>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52" name="Text_Box_1780_SpCnt_5"/>
                  <wp:cNvGraphicFramePr/>
                  <a:graphic xmlns:a="http://schemas.openxmlformats.org/drawingml/2006/main">
                    <a:graphicData uri="http://schemas.openxmlformats.org/drawingml/2006/picture">
                      <pic:pic xmlns:pic="http://schemas.openxmlformats.org/drawingml/2006/picture">
                        <pic:nvPicPr>
                          <pic:cNvPr id="152" name="Text_Box_1780_SpCnt_5"/>
                          <pic:cNvPicPr/>
                        </pic:nvPicPr>
                        <pic:blipFill>
                          <a:blip r:embed="rId22"/>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6" name="Text_Box_1780_SpCnt_6"/>
                  <wp:cNvGraphicFramePr/>
                  <a:graphic xmlns:a="http://schemas.openxmlformats.org/drawingml/2006/main">
                    <a:graphicData uri="http://schemas.openxmlformats.org/drawingml/2006/picture">
                      <pic:pic xmlns:pic="http://schemas.openxmlformats.org/drawingml/2006/picture">
                        <pic:nvPicPr>
                          <pic:cNvPr id="146" name="Text_Box_1780_SpCnt_6"/>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54" name="Text_Box_1780_SpCnt_7"/>
                  <wp:cNvGraphicFramePr/>
                  <a:graphic xmlns:a="http://schemas.openxmlformats.org/drawingml/2006/main">
                    <a:graphicData uri="http://schemas.openxmlformats.org/drawingml/2006/picture">
                      <pic:pic xmlns:pic="http://schemas.openxmlformats.org/drawingml/2006/picture">
                        <pic:nvPicPr>
                          <pic:cNvPr id="154" name="Text_Box_1780_SpCnt_7"/>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39" name="Text_Box_1780_SpCnt_8"/>
                  <wp:cNvGraphicFramePr/>
                  <a:graphic xmlns:a="http://schemas.openxmlformats.org/drawingml/2006/main">
                    <a:graphicData uri="http://schemas.openxmlformats.org/drawingml/2006/picture">
                      <pic:pic xmlns:pic="http://schemas.openxmlformats.org/drawingml/2006/picture">
                        <pic:nvPicPr>
                          <pic:cNvPr id="139" name="Text_Box_1780_SpCnt_8"/>
                          <pic:cNvPicPr/>
                        </pic:nvPicPr>
                        <pic:blipFill>
                          <a:blip r:embed="rId23"/>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2" name="Text_Box_1780_SpCnt_9"/>
                  <wp:cNvGraphicFramePr/>
                  <a:graphic xmlns:a="http://schemas.openxmlformats.org/drawingml/2006/main">
                    <a:graphicData uri="http://schemas.openxmlformats.org/drawingml/2006/picture">
                      <pic:pic xmlns:pic="http://schemas.openxmlformats.org/drawingml/2006/picture">
                        <pic:nvPicPr>
                          <pic:cNvPr id="142" name="Text_Box_1780_SpCnt_9"/>
                          <pic:cNvPicPr/>
                        </pic:nvPicPr>
                        <pic:blipFill>
                          <a:blip r:embed="rId24"/>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148" name="Text_Box_1780_SpCnt_10"/>
                  <wp:cNvGraphicFramePr/>
                  <a:graphic xmlns:a="http://schemas.openxmlformats.org/drawingml/2006/main">
                    <a:graphicData uri="http://schemas.openxmlformats.org/drawingml/2006/picture">
                      <pic:pic xmlns:pic="http://schemas.openxmlformats.org/drawingml/2006/picture">
                        <pic:nvPicPr>
                          <pic:cNvPr id="148" name="Text_Box_1780_SpCnt_10"/>
                          <pic:cNvPicPr/>
                        </pic:nvPicPr>
                        <pic:blipFill>
                          <a:blip r:embed="rId25"/>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40" name="Text_Box_1780_SpCnt_11"/>
                  <wp:cNvGraphicFramePr/>
                  <a:graphic xmlns:a="http://schemas.openxmlformats.org/drawingml/2006/main">
                    <a:graphicData uri="http://schemas.openxmlformats.org/drawingml/2006/picture">
                      <pic:pic xmlns:pic="http://schemas.openxmlformats.org/drawingml/2006/picture">
                        <pic:nvPicPr>
                          <pic:cNvPr id="140" name="Text_Box_1780_SpCnt_11"/>
                          <pic:cNvPicPr/>
                        </pic:nvPicPr>
                        <pic:blipFill>
                          <a:blip r:embed="rId26"/>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37" name="Text_Box_1780_SpCnt_12"/>
                  <wp:cNvGraphicFramePr/>
                  <a:graphic xmlns:a="http://schemas.openxmlformats.org/drawingml/2006/main">
                    <a:graphicData uri="http://schemas.openxmlformats.org/drawingml/2006/picture">
                      <pic:pic xmlns:pic="http://schemas.openxmlformats.org/drawingml/2006/picture">
                        <pic:nvPicPr>
                          <pic:cNvPr id="237" name="Text_Box_1780_SpCnt_12"/>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38" name="Text_Box_1780_SpCnt_13"/>
                  <wp:cNvGraphicFramePr/>
                  <a:graphic xmlns:a="http://schemas.openxmlformats.org/drawingml/2006/main">
                    <a:graphicData uri="http://schemas.openxmlformats.org/drawingml/2006/picture">
                      <pic:pic xmlns:pic="http://schemas.openxmlformats.org/drawingml/2006/picture">
                        <pic:nvPicPr>
                          <pic:cNvPr id="238" name="Text_Box_1780_SpCnt_13"/>
                          <pic:cNvPicPr/>
                        </pic:nvPicPr>
                        <pic:blipFill>
                          <a:blip r:embed="rId25"/>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39" name="Text_Box_1780_SpCnt_14"/>
                  <wp:cNvGraphicFramePr/>
                  <a:graphic xmlns:a="http://schemas.openxmlformats.org/drawingml/2006/main">
                    <a:graphicData uri="http://schemas.openxmlformats.org/drawingml/2006/picture">
                      <pic:pic xmlns:pic="http://schemas.openxmlformats.org/drawingml/2006/picture">
                        <pic:nvPicPr>
                          <pic:cNvPr id="239" name="Text_Box_1780_SpCnt_14"/>
                          <pic:cNvPicPr/>
                        </pic:nvPicPr>
                        <pic:blipFill>
                          <a:blip r:embed="rId27"/>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24" name="Text_Box_1780_SpCnt_15"/>
                  <wp:cNvGraphicFramePr/>
                  <a:graphic xmlns:a="http://schemas.openxmlformats.org/drawingml/2006/main">
                    <a:graphicData uri="http://schemas.openxmlformats.org/drawingml/2006/picture">
                      <pic:pic xmlns:pic="http://schemas.openxmlformats.org/drawingml/2006/picture">
                        <pic:nvPicPr>
                          <pic:cNvPr id="224" name="Text_Box_1780_SpCnt_15"/>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27" name="Text_Box_1780_SpCnt_16"/>
                  <wp:cNvGraphicFramePr/>
                  <a:graphic xmlns:a="http://schemas.openxmlformats.org/drawingml/2006/main">
                    <a:graphicData uri="http://schemas.openxmlformats.org/drawingml/2006/picture">
                      <pic:pic xmlns:pic="http://schemas.openxmlformats.org/drawingml/2006/picture">
                        <pic:nvPicPr>
                          <pic:cNvPr id="227" name="Text_Box_1780_SpCnt_16"/>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34" name="Text_Box_1780_SpCnt_17"/>
                  <wp:cNvGraphicFramePr/>
                  <a:graphic xmlns:a="http://schemas.openxmlformats.org/drawingml/2006/main">
                    <a:graphicData uri="http://schemas.openxmlformats.org/drawingml/2006/picture">
                      <pic:pic xmlns:pic="http://schemas.openxmlformats.org/drawingml/2006/picture">
                        <pic:nvPicPr>
                          <pic:cNvPr id="234" name="Text_Box_1780_SpCnt_17"/>
                          <pic:cNvPicPr/>
                        </pic:nvPicPr>
                        <pic:blipFill>
                          <a:blip r:embed="rId29"/>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25" name="Text_Box_1780_SpCnt_18"/>
                  <wp:cNvGraphicFramePr/>
                  <a:graphic xmlns:a="http://schemas.openxmlformats.org/drawingml/2006/main">
                    <a:graphicData uri="http://schemas.openxmlformats.org/drawingml/2006/picture">
                      <pic:pic xmlns:pic="http://schemas.openxmlformats.org/drawingml/2006/picture">
                        <pic:nvPicPr>
                          <pic:cNvPr id="225" name="Text_Box_1780_SpCnt_18"/>
                          <pic:cNvPicPr/>
                        </pic:nvPicPr>
                        <pic:blipFill>
                          <a:blip r:embed="rId30"/>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35" name="Text_Box_1780_SpCnt_19"/>
                  <wp:cNvGraphicFramePr/>
                  <a:graphic xmlns:a="http://schemas.openxmlformats.org/drawingml/2006/main">
                    <a:graphicData uri="http://schemas.openxmlformats.org/drawingml/2006/picture">
                      <pic:pic xmlns:pic="http://schemas.openxmlformats.org/drawingml/2006/picture">
                        <pic:nvPicPr>
                          <pic:cNvPr id="235" name="Text_Box_1780_SpCnt_19"/>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26" name="Text_Box_1780_SpCnt_20"/>
                  <wp:cNvGraphicFramePr/>
                  <a:graphic xmlns:a="http://schemas.openxmlformats.org/drawingml/2006/main">
                    <a:graphicData uri="http://schemas.openxmlformats.org/drawingml/2006/picture">
                      <pic:pic xmlns:pic="http://schemas.openxmlformats.org/drawingml/2006/picture">
                        <pic:nvPicPr>
                          <pic:cNvPr id="226" name="Text_Box_1780_SpCnt_20"/>
                          <pic:cNvPicPr/>
                        </pic:nvPicPr>
                        <pic:blipFill>
                          <a:blip r:embed="rId25"/>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28" name="Text_Box_1780_SpCnt_21"/>
                  <wp:cNvGraphicFramePr/>
                  <a:graphic xmlns:a="http://schemas.openxmlformats.org/drawingml/2006/main">
                    <a:graphicData uri="http://schemas.openxmlformats.org/drawingml/2006/picture">
                      <pic:pic xmlns:pic="http://schemas.openxmlformats.org/drawingml/2006/picture">
                        <pic:nvPicPr>
                          <pic:cNvPr id="228" name="Text_Box_1780_SpCnt_21"/>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29" name="Text_Box_1780_SpCnt_22"/>
                  <wp:cNvGraphicFramePr/>
                  <a:graphic xmlns:a="http://schemas.openxmlformats.org/drawingml/2006/main">
                    <a:graphicData uri="http://schemas.openxmlformats.org/drawingml/2006/picture">
                      <pic:pic xmlns:pic="http://schemas.openxmlformats.org/drawingml/2006/picture">
                        <pic:nvPicPr>
                          <pic:cNvPr id="229" name="Text_Box_1780_SpCnt_22"/>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30" name="Text_Box_1780_SpCnt_23"/>
                  <wp:cNvGraphicFramePr/>
                  <a:graphic xmlns:a="http://schemas.openxmlformats.org/drawingml/2006/main">
                    <a:graphicData uri="http://schemas.openxmlformats.org/drawingml/2006/picture">
                      <pic:pic xmlns:pic="http://schemas.openxmlformats.org/drawingml/2006/picture">
                        <pic:nvPicPr>
                          <pic:cNvPr id="230" name="Text_Box_1780_SpCnt_23"/>
                          <pic:cNvPicPr/>
                        </pic:nvPicPr>
                        <pic:blipFill>
                          <a:blip r:embed="rId30"/>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31" name="Text_Box_1780_SpCnt_24"/>
                  <wp:cNvGraphicFramePr/>
                  <a:graphic xmlns:a="http://schemas.openxmlformats.org/drawingml/2006/main">
                    <a:graphicData uri="http://schemas.openxmlformats.org/drawingml/2006/picture">
                      <pic:pic xmlns:pic="http://schemas.openxmlformats.org/drawingml/2006/picture">
                        <pic:nvPicPr>
                          <pic:cNvPr id="231" name="Text_Box_1780_SpCnt_24"/>
                          <pic:cNvPicPr/>
                        </pic:nvPicPr>
                        <pic:blipFill>
                          <a:blip r:embed="rId31"/>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33" name="Text_Box_1780_SpCnt_25"/>
                  <wp:cNvGraphicFramePr/>
                  <a:graphic xmlns:a="http://schemas.openxmlformats.org/drawingml/2006/main">
                    <a:graphicData uri="http://schemas.openxmlformats.org/drawingml/2006/picture">
                      <pic:pic xmlns:pic="http://schemas.openxmlformats.org/drawingml/2006/picture">
                        <pic:nvPicPr>
                          <pic:cNvPr id="233" name="Text_Box_1780_SpCnt_25"/>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32" name="Text_Box_1780_SpCnt_26"/>
                  <wp:cNvGraphicFramePr/>
                  <a:graphic xmlns:a="http://schemas.openxmlformats.org/drawingml/2006/main">
                    <a:graphicData uri="http://schemas.openxmlformats.org/drawingml/2006/picture">
                      <pic:pic xmlns:pic="http://schemas.openxmlformats.org/drawingml/2006/picture">
                        <pic:nvPicPr>
                          <pic:cNvPr id="232" name="Text_Box_1780_SpCnt_26"/>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36" name="Text_Box_1780_SpCnt_27"/>
                  <wp:cNvGraphicFramePr/>
                  <a:graphic xmlns:a="http://schemas.openxmlformats.org/drawingml/2006/main">
                    <a:graphicData uri="http://schemas.openxmlformats.org/drawingml/2006/picture">
                      <pic:pic xmlns:pic="http://schemas.openxmlformats.org/drawingml/2006/picture">
                        <pic:nvPicPr>
                          <pic:cNvPr id="236" name="Text_Box_1780_SpCnt_27"/>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52" name="Text_Box_1780_SpCnt_28"/>
                  <wp:cNvGraphicFramePr/>
                  <a:graphic xmlns:a="http://schemas.openxmlformats.org/drawingml/2006/main">
                    <a:graphicData uri="http://schemas.openxmlformats.org/drawingml/2006/picture">
                      <pic:pic xmlns:pic="http://schemas.openxmlformats.org/drawingml/2006/picture">
                        <pic:nvPicPr>
                          <pic:cNvPr id="252" name="Text_Box_1780_SpCnt_28"/>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47" name="Text_Box_1780_SpCnt_29"/>
                  <wp:cNvGraphicFramePr/>
                  <a:graphic xmlns:a="http://schemas.openxmlformats.org/drawingml/2006/main">
                    <a:graphicData uri="http://schemas.openxmlformats.org/drawingml/2006/picture">
                      <pic:pic xmlns:pic="http://schemas.openxmlformats.org/drawingml/2006/picture">
                        <pic:nvPicPr>
                          <pic:cNvPr id="247" name="Text_Box_1780_SpCnt_29"/>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50" name="Text_Box_1780_SpCnt_30"/>
                  <wp:cNvGraphicFramePr/>
                  <a:graphic xmlns:a="http://schemas.openxmlformats.org/drawingml/2006/main">
                    <a:graphicData uri="http://schemas.openxmlformats.org/drawingml/2006/picture">
                      <pic:pic xmlns:pic="http://schemas.openxmlformats.org/drawingml/2006/picture">
                        <pic:nvPicPr>
                          <pic:cNvPr id="250" name="Text_Box_1780_SpCnt_30"/>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42" name="Text_Box_1780_SpCnt_31"/>
                  <wp:cNvGraphicFramePr/>
                  <a:graphic xmlns:a="http://schemas.openxmlformats.org/drawingml/2006/main">
                    <a:graphicData uri="http://schemas.openxmlformats.org/drawingml/2006/picture">
                      <pic:pic xmlns:pic="http://schemas.openxmlformats.org/drawingml/2006/picture">
                        <pic:nvPicPr>
                          <pic:cNvPr id="242" name="Text_Box_1780_SpCnt_31"/>
                          <pic:cNvPicPr/>
                        </pic:nvPicPr>
                        <pic:blipFill>
                          <a:blip r:embed="rId25"/>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54" name="Text_Box_1780_SpCnt_32"/>
                  <wp:cNvGraphicFramePr/>
                  <a:graphic xmlns:a="http://schemas.openxmlformats.org/drawingml/2006/main">
                    <a:graphicData uri="http://schemas.openxmlformats.org/drawingml/2006/picture">
                      <pic:pic xmlns:pic="http://schemas.openxmlformats.org/drawingml/2006/picture">
                        <pic:nvPicPr>
                          <pic:cNvPr id="254" name="Text_Box_1780_SpCnt_32"/>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53" name="Text_Box_1780_SpCnt_33"/>
                  <wp:cNvGraphicFramePr/>
                  <a:graphic xmlns:a="http://schemas.openxmlformats.org/drawingml/2006/main">
                    <a:graphicData uri="http://schemas.openxmlformats.org/drawingml/2006/picture">
                      <pic:pic xmlns:pic="http://schemas.openxmlformats.org/drawingml/2006/picture">
                        <pic:nvPicPr>
                          <pic:cNvPr id="253" name="Text_Box_1780_SpCnt_33"/>
                          <pic:cNvPicPr/>
                        </pic:nvPicPr>
                        <pic:blipFill>
                          <a:blip r:embed="rId32"/>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51" name="Text_Box_1780_SpCnt_34"/>
                  <wp:cNvGraphicFramePr/>
                  <a:graphic xmlns:a="http://schemas.openxmlformats.org/drawingml/2006/main">
                    <a:graphicData uri="http://schemas.openxmlformats.org/drawingml/2006/picture">
                      <pic:pic xmlns:pic="http://schemas.openxmlformats.org/drawingml/2006/picture">
                        <pic:nvPicPr>
                          <pic:cNvPr id="251" name="Text_Box_1780_SpCnt_34"/>
                          <pic:cNvPicPr/>
                        </pic:nvPicPr>
                        <pic:blipFill>
                          <a:blip r:embed="rId33"/>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44" name="Text_Box_1780_SpCnt_35"/>
                  <wp:cNvGraphicFramePr/>
                  <a:graphic xmlns:a="http://schemas.openxmlformats.org/drawingml/2006/main">
                    <a:graphicData uri="http://schemas.openxmlformats.org/drawingml/2006/picture">
                      <pic:pic xmlns:pic="http://schemas.openxmlformats.org/drawingml/2006/picture">
                        <pic:nvPicPr>
                          <pic:cNvPr id="244" name="Text_Box_1780_SpCnt_35"/>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46" name="Text_Box_1780_SpCnt_36"/>
                  <wp:cNvGraphicFramePr/>
                  <a:graphic xmlns:a="http://schemas.openxmlformats.org/drawingml/2006/main">
                    <a:graphicData uri="http://schemas.openxmlformats.org/drawingml/2006/picture">
                      <pic:pic xmlns:pic="http://schemas.openxmlformats.org/drawingml/2006/picture">
                        <pic:nvPicPr>
                          <pic:cNvPr id="246" name="Text_Box_1780_SpCnt_36"/>
                          <pic:cNvPicPr/>
                        </pic:nvPicPr>
                        <pic:blipFill>
                          <a:blip r:embed="rId34"/>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48" name="Text_Box_1780_SpCnt_37"/>
                  <wp:cNvGraphicFramePr/>
                  <a:graphic xmlns:a="http://schemas.openxmlformats.org/drawingml/2006/main">
                    <a:graphicData uri="http://schemas.openxmlformats.org/drawingml/2006/picture">
                      <pic:pic xmlns:pic="http://schemas.openxmlformats.org/drawingml/2006/picture">
                        <pic:nvPicPr>
                          <pic:cNvPr id="248" name="Text_Box_1780_SpCnt_37"/>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55" name="Text_Box_1780_SpCnt_38"/>
                  <wp:cNvGraphicFramePr/>
                  <a:graphic xmlns:a="http://schemas.openxmlformats.org/drawingml/2006/main">
                    <a:graphicData uri="http://schemas.openxmlformats.org/drawingml/2006/picture">
                      <pic:pic xmlns:pic="http://schemas.openxmlformats.org/drawingml/2006/picture">
                        <pic:nvPicPr>
                          <pic:cNvPr id="255" name="Text_Box_1780_SpCnt_38"/>
                          <pic:cNvPicPr/>
                        </pic:nvPicPr>
                        <pic:blipFill>
                          <a:blip r:embed="rId30"/>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40" name="Text_Box_1780_SpCnt_39"/>
                  <wp:cNvGraphicFramePr/>
                  <a:graphic xmlns:a="http://schemas.openxmlformats.org/drawingml/2006/main">
                    <a:graphicData uri="http://schemas.openxmlformats.org/drawingml/2006/picture">
                      <pic:pic xmlns:pic="http://schemas.openxmlformats.org/drawingml/2006/picture">
                        <pic:nvPicPr>
                          <pic:cNvPr id="240" name="Text_Box_1780_SpCnt_39"/>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49250"/>
                  <wp:effectExtent l="0" t="0" r="0" b="0"/>
                  <wp:wrapNone/>
                  <wp:docPr id="241" name="Text_Box_1780_SpCnt_40"/>
                  <wp:cNvGraphicFramePr/>
                  <a:graphic xmlns:a="http://schemas.openxmlformats.org/drawingml/2006/main">
                    <a:graphicData uri="http://schemas.openxmlformats.org/drawingml/2006/picture">
                      <pic:pic xmlns:pic="http://schemas.openxmlformats.org/drawingml/2006/picture">
                        <pic:nvPicPr>
                          <pic:cNvPr id="241" name="Text_Box_1780_SpCnt_40"/>
                          <pic:cNvPicPr/>
                        </pic:nvPicPr>
                        <pic:blipFill>
                          <a:blip r:embed="rId25"/>
                          <a:stretch>
                            <a:fillRect/>
                          </a:stretch>
                        </pic:blipFill>
                        <pic:spPr>
                          <a:xfrm>
                            <a:off x="0" y="0"/>
                            <a:ext cx="83820" cy="34925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43" name="Text_Box_1780_SpCnt_41"/>
                  <wp:cNvGraphicFramePr/>
                  <a:graphic xmlns:a="http://schemas.openxmlformats.org/drawingml/2006/main">
                    <a:graphicData uri="http://schemas.openxmlformats.org/drawingml/2006/picture">
                      <pic:pic xmlns:pic="http://schemas.openxmlformats.org/drawingml/2006/picture">
                        <pic:nvPicPr>
                          <pic:cNvPr id="243" name="Text_Box_1780_SpCnt_41"/>
                          <pic:cNvPicPr/>
                        </pic:nvPicPr>
                        <pic:blipFill>
                          <a:blip r:embed="rId35"/>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49" name="Text_Box_1780_SpCnt_42"/>
                  <wp:cNvGraphicFramePr/>
                  <a:graphic xmlns:a="http://schemas.openxmlformats.org/drawingml/2006/main">
                    <a:graphicData uri="http://schemas.openxmlformats.org/drawingml/2006/picture">
                      <pic:pic xmlns:pic="http://schemas.openxmlformats.org/drawingml/2006/picture">
                        <pic:nvPicPr>
                          <pic:cNvPr id="249" name="Text_Box_1780_SpCnt_42"/>
                          <pic:cNvPicPr/>
                        </pic:nvPicPr>
                        <pic:blipFill>
                          <a:blip r:embed="rId36"/>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45" name="Text_Box_1780_SpCnt_43"/>
                  <wp:cNvGraphicFramePr/>
                  <a:graphic xmlns:a="http://schemas.openxmlformats.org/drawingml/2006/main">
                    <a:graphicData uri="http://schemas.openxmlformats.org/drawingml/2006/picture">
                      <pic:pic xmlns:pic="http://schemas.openxmlformats.org/drawingml/2006/picture">
                        <pic:nvPicPr>
                          <pic:cNvPr id="245" name="Text_Box_1780_SpCnt_43"/>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374015"/>
                  <wp:effectExtent l="0" t="0" r="0" b="0"/>
                  <wp:wrapNone/>
                  <wp:docPr id="220" name="Text_Box_1780_SpCnt_44"/>
                  <wp:cNvGraphicFramePr/>
                  <a:graphic xmlns:a="http://schemas.openxmlformats.org/drawingml/2006/main">
                    <a:graphicData uri="http://schemas.openxmlformats.org/drawingml/2006/picture">
                      <pic:pic xmlns:pic="http://schemas.openxmlformats.org/drawingml/2006/picture">
                        <pic:nvPicPr>
                          <pic:cNvPr id="220" name="Text_Box_1780_SpCnt_44"/>
                          <pic:cNvPicPr/>
                        </pic:nvPicPr>
                        <pic:blipFill>
                          <a:blip r:embed="rId28"/>
                          <a:stretch>
                            <a:fillRect/>
                          </a:stretch>
                        </pic:blipFill>
                        <pic:spPr>
                          <a:xfrm>
                            <a:off x="0" y="0"/>
                            <a:ext cx="83820" cy="374015"/>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91" name="Text_Box_1780_SpCnt_45"/>
                  <wp:cNvGraphicFramePr/>
                  <a:graphic xmlns:a="http://schemas.openxmlformats.org/drawingml/2006/main">
                    <a:graphicData uri="http://schemas.openxmlformats.org/drawingml/2006/picture">
                      <pic:pic xmlns:pic="http://schemas.openxmlformats.org/drawingml/2006/picture">
                        <pic:nvPicPr>
                          <pic:cNvPr id="191" name="Text_Box_1780_SpCnt_45"/>
                          <pic:cNvPicPr/>
                        </pic:nvPicPr>
                        <pic:blipFill>
                          <a:blip r:embed="rId21"/>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207" name="Text_Box_1780_SpCnt_46"/>
                  <wp:cNvGraphicFramePr/>
                  <a:graphic xmlns:a="http://schemas.openxmlformats.org/drawingml/2006/main">
                    <a:graphicData uri="http://schemas.openxmlformats.org/drawingml/2006/picture">
                      <pic:pic xmlns:pic="http://schemas.openxmlformats.org/drawingml/2006/picture">
                        <pic:nvPicPr>
                          <pic:cNvPr id="207" name="Text_Box_1780_SpCnt_46"/>
                          <pic:cNvPicPr/>
                        </pic:nvPicPr>
                        <pic:blipFill>
                          <a:blip r:embed="rId37"/>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3820" cy="198120"/>
                  <wp:effectExtent l="0" t="0" r="0" b="0"/>
                  <wp:wrapNone/>
                  <wp:docPr id="192" name="Text_Box_1780_SpCnt_47"/>
                  <wp:cNvGraphicFramePr/>
                  <a:graphic xmlns:a="http://schemas.openxmlformats.org/drawingml/2006/main">
                    <a:graphicData uri="http://schemas.openxmlformats.org/drawingml/2006/picture">
                      <pic:pic xmlns:pic="http://schemas.openxmlformats.org/drawingml/2006/picture">
                        <pic:nvPicPr>
                          <pic:cNvPr id="192" name="Text_Box_1780_SpCnt_47"/>
                          <pic:cNvPicPr/>
                        </pic:nvPicPr>
                        <pic:blipFill>
                          <a:blip r:embed="rId38"/>
                          <a:stretch>
                            <a:fillRect/>
                          </a:stretch>
                        </pic:blipFill>
                        <pic:spPr>
                          <a:xfrm>
                            <a:off x="0" y="0"/>
                            <a:ext cx="83820" cy="19812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lang w:val="en-US" w:eastAsia="zh-CN" w:bidi="ar"/>
              </w:rPr>
              <w:t>一、电磁锁2套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1.产品名称：280KG磁力锁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2.工作电压：DC12V</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3.工作电流：500mA</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4.开锁时间：≤1s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5.承受拉力：280KG</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6.延时调节：0~9秒</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7.安全类型：通电上锁、断电开锁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8.适用范围：木门、玻璃门、金属门防火门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二、门禁电源控制器2个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1.输入电源：AC220V~50HZ2输出电源：DC12V</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2.工作温度：-20℃~+60℃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3.工作湿度：≤90%RH</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4.可调时间：0~10秒可调节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5.外观尺寸：≥180*75*60mm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6.电池接口：</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三、识别设备有2台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1.处理器：AI芯片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2.识别容量：10000/20000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3.显示屏：≥4英寸</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4.其它可选功能：钉钉、云点卯、企业微信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5.后备电池：支持外接电池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6.记录容量：10000/100000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7.摄像头：≥200W像素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8.门禁功能：支持</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9.通讯方式：局域网、TCP、IP、WiFi</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A34C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D1A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491ED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ABD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13</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276D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菱晶护眼面板灯</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9C8E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1.灯具采用直下式发光设计，整灯结构紧凑美观；采用微晶板防眩设计，整灯简约、美观，光源采用高显指低色差的中性白LED光源，健康护眼。</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2.整灯设计尺寸≥598*598*35mm；灯具重量轻，易安装，嵌入式安装，通用性强。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3.高显色Ra≥90，接近自然光，视物更真实，色彩更艳丽，特殊显色指数R9≥60。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4.菱晶护眼面板灯蓝光危害等级为RG0。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5.舒适色温，色温在5000±280K区间，色容差≤5满足国家色温要求。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6.无光频闪危害，保证用眼更舒适。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7.外置独立式电源维护方便，整灯功率36W±10%，功率因数0.97，有效减少线路电流负荷。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8.人体电磁辐射：满足 20kHz-10MHz 感应电流密度系数≤0.2。</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4C1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45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16F6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盏</w:t>
            </w:r>
          </w:p>
        </w:tc>
      </w:tr>
      <w:tr w14:paraId="748F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67C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14</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1022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教室黑板灯</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9864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1.一体式LED灯具，整灯长度：≥1200mm，焊缝无透光现象，表面均匀、光洁，无流挂现象。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2.LED黑板灯色温5000±100K，色容差（色品容差）≤3。</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3.LED黑板灯显色指数Ra≥90，R9≥70。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4.LED黑板灯功率≤36W±10%，功率因数≥0.97,灯具效能≥90lm/w。</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5.LED黑板灯开关循环寿命≥50000次，且光通维持率≥98%。</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6.LED黑板灯50000小时或以上光通维持率≥98%。</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7.LED黑板灯满足 20kHz-10MHz 感应电流密度系数≤0.2。</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C46F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879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盏</w:t>
            </w:r>
          </w:p>
        </w:tc>
      </w:tr>
      <w:tr w14:paraId="20B46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7E7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15</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F191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研讨式扇形桌</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B94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22" name="矩形_7_SpCnt_28"/>
                  <wp:cNvGraphicFramePr/>
                  <a:graphic xmlns:a="http://schemas.openxmlformats.org/drawingml/2006/main">
                    <a:graphicData uri="http://schemas.openxmlformats.org/drawingml/2006/picture">
                      <pic:pic xmlns:pic="http://schemas.openxmlformats.org/drawingml/2006/picture">
                        <pic:nvPicPr>
                          <pic:cNvPr id="222" name="矩形_7_SpCnt_28"/>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4" name="矩形_7_SpCnt_29"/>
                  <wp:cNvGraphicFramePr/>
                  <a:graphic xmlns:a="http://schemas.openxmlformats.org/drawingml/2006/main">
                    <a:graphicData uri="http://schemas.openxmlformats.org/drawingml/2006/picture">
                      <pic:pic xmlns:pic="http://schemas.openxmlformats.org/drawingml/2006/picture">
                        <pic:nvPicPr>
                          <pic:cNvPr id="194" name="矩形_7_SpCnt_29"/>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8" name="矩形_7_SpCnt_30"/>
                  <wp:cNvGraphicFramePr/>
                  <a:graphic xmlns:a="http://schemas.openxmlformats.org/drawingml/2006/main">
                    <a:graphicData uri="http://schemas.openxmlformats.org/drawingml/2006/picture">
                      <pic:pic xmlns:pic="http://schemas.openxmlformats.org/drawingml/2006/picture">
                        <pic:nvPicPr>
                          <pic:cNvPr id="208" name="矩形_7_SpCnt_3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16" name="矩形_7_SpCnt_31"/>
                  <wp:cNvGraphicFramePr/>
                  <a:graphic xmlns:a="http://schemas.openxmlformats.org/drawingml/2006/main">
                    <a:graphicData uri="http://schemas.openxmlformats.org/drawingml/2006/picture">
                      <pic:pic xmlns:pic="http://schemas.openxmlformats.org/drawingml/2006/picture">
                        <pic:nvPicPr>
                          <pic:cNvPr id="216" name="矩形_7_SpCnt_31"/>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3" name="矩形_170"/>
                  <wp:cNvGraphicFramePr/>
                  <a:graphic xmlns:a="http://schemas.openxmlformats.org/drawingml/2006/main">
                    <a:graphicData uri="http://schemas.openxmlformats.org/drawingml/2006/picture">
                      <pic:pic xmlns:pic="http://schemas.openxmlformats.org/drawingml/2006/picture">
                        <pic:nvPicPr>
                          <pic:cNvPr id="203" name="矩形_17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6" name="矩形_7_SpCnt_32"/>
                  <wp:cNvGraphicFramePr/>
                  <a:graphic xmlns:a="http://schemas.openxmlformats.org/drawingml/2006/main">
                    <a:graphicData uri="http://schemas.openxmlformats.org/drawingml/2006/picture">
                      <pic:pic xmlns:pic="http://schemas.openxmlformats.org/drawingml/2006/picture">
                        <pic:nvPicPr>
                          <pic:cNvPr id="206" name="矩形_7_SpCnt_32"/>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9" name="矩形_7_SpCnt_33"/>
                  <wp:cNvGraphicFramePr/>
                  <a:graphic xmlns:a="http://schemas.openxmlformats.org/drawingml/2006/main">
                    <a:graphicData uri="http://schemas.openxmlformats.org/drawingml/2006/picture">
                      <pic:pic xmlns:pic="http://schemas.openxmlformats.org/drawingml/2006/picture">
                        <pic:nvPicPr>
                          <pic:cNvPr id="209" name="矩形_7_SpCnt_33"/>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4" name="矩形_150"/>
                  <wp:cNvGraphicFramePr/>
                  <a:graphic xmlns:a="http://schemas.openxmlformats.org/drawingml/2006/main">
                    <a:graphicData uri="http://schemas.openxmlformats.org/drawingml/2006/picture">
                      <pic:pic xmlns:pic="http://schemas.openxmlformats.org/drawingml/2006/picture">
                        <pic:nvPicPr>
                          <pic:cNvPr id="204" name="矩形_15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2" name="矩形_7_SpCnt_34"/>
                  <wp:cNvGraphicFramePr/>
                  <a:graphic xmlns:a="http://schemas.openxmlformats.org/drawingml/2006/main">
                    <a:graphicData uri="http://schemas.openxmlformats.org/drawingml/2006/picture">
                      <pic:pic xmlns:pic="http://schemas.openxmlformats.org/drawingml/2006/picture">
                        <pic:nvPicPr>
                          <pic:cNvPr id="202" name="矩形_7_SpCnt_34"/>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0" name="矩形_160"/>
                  <wp:cNvGraphicFramePr/>
                  <a:graphic xmlns:a="http://schemas.openxmlformats.org/drawingml/2006/main">
                    <a:graphicData uri="http://schemas.openxmlformats.org/drawingml/2006/picture">
                      <pic:pic xmlns:pic="http://schemas.openxmlformats.org/drawingml/2006/picture">
                        <pic:nvPicPr>
                          <pic:cNvPr id="200" name="矩形_16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21" name="矩形_7_SpCnt_35"/>
                  <wp:cNvGraphicFramePr/>
                  <a:graphic xmlns:a="http://schemas.openxmlformats.org/drawingml/2006/main">
                    <a:graphicData uri="http://schemas.openxmlformats.org/drawingml/2006/picture">
                      <pic:pic xmlns:pic="http://schemas.openxmlformats.org/drawingml/2006/picture">
                        <pic:nvPicPr>
                          <pic:cNvPr id="221" name="矩形_7_SpCnt_35"/>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10" name="矩形_7_SpCnt_36"/>
                  <wp:cNvGraphicFramePr/>
                  <a:graphic xmlns:a="http://schemas.openxmlformats.org/drawingml/2006/main">
                    <a:graphicData uri="http://schemas.openxmlformats.org/drawingml/2006/picture">
                      <pic:pic xmlns:pic="http://schemas.openxmlformats.org/drawingml/2006/picture">
                        <pic:nvPicPr>
                          <pic:cNvPr id="210" name="矩形_7_SpCnt_36"/>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9" name="矩形_190"/>
                  <wp:cNvGraphicFramePr/>
                  <a:graphic xmlns:a="http://schemas.openxmlformats.org/drawingml/2006/main">
                    <a:graphicData uri="http://schemas.openxmlformats.org/drawingml/2006/picture">
                      <pic:pic xmlns:pic="http://schemas.openxmlformats.org/drawingml/2006/picture">
                        <pic:nvPicPr>
                          <pic:cNvPr id="199" name="矩形_19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1" name="矩形_7_SpCnt_37"/>
                  <wp:cNvGraphicFramePr/>
                  <a:graphic xmlns:a="http://schemas.openxmlformats.org/drawingml/2006/main">
                    <a:graphicData uri="http://schemas.openxmlformats.org/drawingml/2006/picture">
                      <pic:pic xmlns:pic="http://schemas.openxmlformats.org/drawingml/2006/picture">
                        <pic:nvPicPr>
                          <pic:cNvPr id="201" name="矩形_7_SpCnt_37"/>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19" name="矩形_7_SpCnt_38"/>
                  <wp:cNvGraphicFramePr/>
                  <a:graphic xmlns:a="http://schemas.openxmlformats.org/drawingml/2006/main">
                    <a:graphicData uri="http://schemas.openxmlformats.org/drawingml/2006/picture">
                      <pic:pic xmlns:pic="http://schemas.openxmlformats.org/drawingml/2006/picture">
                        <pic:nvPicPr>
                          <pic:cNvPr id="219" name="矩形_7_SpCnt_38"/>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14" name="矩形_7_SpCnt_39"/>
                  <wp:cNvGraphicFramePr/>
                  <a:graphic xmlns:a="http://schemas.openxmlformats.org/drawingml/2006/main">
                    <a:graphicData uri="http://schemas.openxmlformats.org/drawingml/2006/picture">
                      <pic:pic xmlns:pic="http://schemas.openxmlformats.org/drawingml/2006/picture">
                        <pic:nvPicPr>
                          <pic:cNvPr id="214" name="矩形_7_SpCnt_39"/>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3" name="矩形_180"/>
                  <wp:cNvGraphicFramePr/>
                  <a:graphic xmlns:a="http://schemas.openxmlformats.org/drawingml/2006/main">
                    <a:graphicData uri="http://schemas.openxmlformats.org/drawingml/2006/picture">
                      <pic:pic xmlns:pic="http://schemas.openxmlformats.org/drawingml/2006/picture">
                        <pic:nvPicPr>
                          <pic:cNvPr id="193" name="矩形_18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6" name="矩形_7_SpCnt_40"/>
                  <wp:cNvGraphicFramePr/>
                  <a:graphic xmlns:a="http://schemas.openxmlformats.org/drawingml/2006/main">
                    <a:graphicData uri="http://schemas.openxmlformats.org/drawingml/2006/picture">
                      <pic:pic xmlns:pic="http://schemas.openxmlformats.org/drawingml/2006/picture">
                        <pic:nvPicPr>
                          <pic:cNvPr id="196" name="矩形_7_SpCnt_40"/>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205" name="矩形_7_SpCnt_41"/>
                  <wp:cNvGraphicFramePr/>
                  <a:graphic xmlns:a="http://schemas.openxmlformats.org/drawingml/2006/main">
                    <a:graphicData uri="http://schemas.openxmlformats.org/drawingml/2006/picture">
                      <pic:pic xmlns:pic="http://schemas.openxmlformats.org/drawingml/2006/picture">
                        <pic:nvPicPr>
                          <pic:cNvPr id="205" name="矩形_7_SpCnt_41"/>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0</wp:posOffset>
                  </wp:positionV>
                  <wp:extent cx="139700" cy="114300"/>
                  <wp:effectExtent l="0" t="0" r="0" b="0"/>
                  <wp:wrapNone/>
                  <wp:docPr id="195" name="矩形_7_SpCnt_42"/>
                  <wp:cNvGraphicFramePr/>
                  <a:graphic xmlns:a="http://schemas.openxmlformats.org/drawingml/2006/main">
                    <a:graphicData uri="http://schemas.openxmlformats.org/drawingml/2006/picture">
                      <pic:pic xmlns:pic="http://schemas.openxmlformats.org/drawingml/2006/picture">
                        <pic:nvPicPr>
                          <pic:cNvPr id="195" name="矩形_7_SpCnt_42"/>
                          <pic:cNvPicPr/>
                        </pic:nvPicPr>
                        <pic:blipFill>
                          <a:blip r:embed="rId15"/>
                          <a:stretch>
                            <a:fillRect/>
                          </a:stretch>
                        </pic:blipFill>
                        <pic:spPr>
                          <a:xfrm>
                            <a:off x="0" y="0"/>
                            <a:ext cx="139700"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8" name="矩形_7_SpCnt_43"/>
                  <wp:cNvGraphicFramePr/>
                  <a:graphic xmlns:a="http://schemas.openxmlformats.org/drawingml/2006/main">
                    <a:graphicData uri="http://schemas.openxmlformats.org/drawingml/2006/picture">
                      <pic:pic xmlns:pic="http://schemas.openxmlformats.org/drawingml/2006/picture">
                        <pic:nvPicPr>
                          <pic:cNvPr id="218" name="矩形_7_SpCnt_43"/>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97" name="矩形_7_SpCnt_44"/>
                  <wp:cNvGraphicFramePr/>
                  <a:graphic xmlns:a="http://schemas.openxmlformats.org/drawingml/2006/main">
                    <a:graphicData uri="http://schemas.openxmlformats.org/drawingml/2006/picture">
                      <pic:pic xmlns:pic="http://schemas.openxmlformats.org/drawingml/2006/picture">
                        <pic:nvPicPr>
                          <pic:cNvPr id="197" name="矩形_7_SpCnt_44"/>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198" name="矩形_29_SpCnt_4"/>
                  <wp:cNvGraphicFramePr/>
                  <a:graphic xmlns:a="http://schemas.openxmlformats.org/drawingml/2006/main">
                    <a:graphicData uri="http://schemas.openxmlformats.org/drawingml/2006/picture">
                      <pic:pic xmlns:pic="http://schemas.openxmlformats.org/drawingml/2006/picture">
                        <pic:nvPicPr>
                          <pic:cNvPr id="198" name="矩形_29_SpCnt_4"/>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1" name="矩形_176"/>
                  <wp:cNvGraphicFramePr/>
                  <a:graphic xmlns:a="http://schemas.openxmlformats.org/drawingml/2006/main">
                    <a:graphicData uri="http://schemas.openxmlformats.org/drawingml/2006/picture">
                      <pic:pic xmlns:pic="http://schemas.openxmlformats.org/drawingml/2006/picture">
                        <pic:nvPicPr>
                          <pic:cNvPr id="211" name="矩形_17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2" name="矩形_7_SpCnt_45"/>
                  <wp:cNvGraphicFramePr/>
                  <a:graphic xmlns:a="http://schemas.openxmlformats.org/drawingml/2006/main">
                    <a:graphicData uri="http://schemas.openxmlformats.org/drawingml/2006/picture">
                      <pic:pic xmlns:pic="http://schemas.openxmlformats.org/drawingml/2006/picture">
                        <pic:nvPicPr>
                          <pic:cNvPr id="212" name="矩形_7_SpCnt_45"/>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3" name="矩形_7_SpCnt_46"/>
                  <wp:cNvGraphicFramePr/>
                  <a:graphic xmlns:a="http://schemas.openxmlformats.org/drawingml/2006/main">
                    <a:graphicData uri="http://schemas.openxmlformats.org/drawingml/2006/picture">
                      <pic:pic xmlns:pic="http://schemas.openxmlformats.org/drawingml/2006/picture">
                        <pic:nvPicPr>
                          <pic:cNvPr id="213" name="矩形_7_SpCnt_4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5" name="矩形_7_SpCnt_47"/>
                  <wp:cNvGraphicFramePr/>
                  <a:graphic xmlns:a="http://schemas.openxmlformats.org/drawingml/2006/main">
                    <a:graphicData uri="http://schemas.openxmlformats.org/drawingml/2006/picture">
                      <pic:pic xmlns:pic="http://schemas.openxmlformats.org/drawingml/2006/picture">
                        <pic:nvPicPr>
                          <pic:cNvPr id="215" name="矩形_7_SpCnt_47"/>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17" name="矩形_7_SpCnt_48"/>
                  <wp:cNvGraphicFramePr/>
                  <a:graphic xmlns:a="http://schemas.openxmlformats.org/drawingml/2006/main">
                    <a:graphicData uri="http://schemas.openxmlformats.org/drawingml/2006/picture">
                      <pic:pic xmlns:pic="http://schemas.openxmlformats.org/drawingml/2006/picture">
                        <pic:nvPicPr>
                          <pic:cNvPr id="217" name="矩形_7_SpCnt_4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23" name="矩形_7_SpCnt_49"/>
                  <wp:cNvGraphicFramePr/>
                  <a:graphic xmlns:a="http://schemas.openxmlformats.org/drawingml/2006/main">
                    <a:graphicData uri="http://schemas.openxmlformats.org/drawingml/2006/picture">
                      <pic:pic xmlns:pic="http://schemas.openxmlformats.org/drawingml/2006/picture">
                        <pic:nvPicPr>
                          <pic:cNvPr id="223" name="矩形_7_SpCnt_49"/>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2" name="矩形_186"/>
                  <wp:cNvGraphicFramePr/>
                  <a:graphic xmlns:a="http://schemas.openxmlformats.org/drawingml/2006/main">
                    <a:graphicData uri="http://schemas.openxmlformats.org/drawingml/2006/picture">
                      <pic:pic xmlns:pic="http://schemas.openxmlformats.org/drawingml/2006/picture">
                        <pic:nvPicPr>
                          <pic:cNvPr id="262" name="矩形_18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5" name="矩形_7_SpCnt_50"/>
                  <wp:cNvGraphicFramePr/>
                  <a:graphic xmlns:a="http://schemas.openxmlformats.org/drawingml/2006/main">
                    <a:graphicData uri="http://schemas.openxmlformats.org/drawingml/2006/picture">
                      <pic:pic xmlns:pic="http://schemas.openxmlformats.org/drawingml/2006/picture">
                        <pic:nvPicPr>
                          <pic:cNvPr id="265" name="矩形_7_SpCnt_50"/>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0" name="矩形_7_SpCnt_51"/>
                  <wp:cNvGraphicFramePr/>
                  <a:graphic xmlns:a="http://schemas.openxmlformats.org/drawingml/2006/main">
                    <a:graphicData uri="http://schemas.openxmlformats.org/drawingml/2006/picture">
                      <pic:pic xmlns:pic="http://schemas.openxmlformats.org/drawingml/2006/picture">
                        <pic:nvPicPr>
                          <pic:cNvPr id="270" name="矩形_7_SpCnt_51"/>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59" name="矩形_156"/>
                  <wp:cNvGraphicFramePr/>
                  <a:graphic xmlns:a="http://schemas.openxmlformats.org/drawingml/2006/main">
                    <a:graphicData uri="http://schemas.openxmlformats.org/drawingml/2006/picture">
                      <pic:pic xmlns:pic="http://schemas.openxmlformats.org/drawingml/2006/picture">
                        <pic:nvPicPr>
                          <pic:cNvPr id="259" name="矩形_15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2" name="矩形_29_SpCnt_5"/>
                  <wp:cNvGraphicFramePr/>
                  <a:graphic xmlns:a="http://schemas.openxmlformats.org/drawingml/2006/main">
                    <a:graphicData uri="http://schemas.openxmlformats.org/drawingml/2006/picture">
                      <pic:pic xmlns:pic="http://schemas.openxmlformats.org/drawingml/2006/picture">
                        <pic:nvPicPr>
                          <pic:cNvPr id="272" name="矩形_29_SpCnt_5"/>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58" name="矩形_7_SpCnt_52"/>
                  <wp:cNvGraphicFramePr/>
                  <a:graphic xmlns:a="http://schemas.openxmlformats.org/drawingml/2006/main">
                    <a:graphicData uri="http://schemas.openxmlformats.org/drawingml/2006/picture">
                      <pic:pic xmlns:pic="http://schemas.openxmlformats.org/drawingml/2006/picture">
                        <pic:nvPicPr>
                          <pic:cNvPr id="258" name="矩形_7_SpCnt_5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3" name="矩形_7_SpCnt_53"/>
                  <wp:cNvGraphicFramePr/>
                  <a:graphic xmlns:a="http://schemas.openxmlformats.org/drawingml/2006/main">
                    <a:graphicData uri="http://schemas.openxmlformats.org/drawingml/2006/picture">
                      <pic:pic xmlns:pic="http://schemas.openxmlformats.org/drawingml/2006/picture">
                        <pic:nvPicPr>
                          <pic:cNvPr id="263" name="矩形_7_SpCnt_53"/>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4" name="矩形_7_SpCnt_54"/>
                  <wp:cNvGraphicFramePr/>
                  <a:graphic xmlns:a="http://schemas.openxmlformats.org/drawingml/2006/main">
                    <a:graphicData uri="http://schemas.openxmlformats.org/drawingml/2006/picture">
                      <pic:pic xmlns:pic="http://schemas.openxmlformats.org/drawingml/2006/picture">
                        <pic:nvPicPr>
                          <pic:cNvPr id="264" name="矩形_7_SpCnt_54"/>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8" name="矩形_7_SpCnt_55"/>
                  <wp:cNvGraphicFramePr/>
                  <a:graphic xmlns:a="http://schemas.openxmlformats.org/drawingml/2006/main">
                    <a:graphicData uri="http://schemas.openxmlformats.org/drawingml/2006/picture">
                      <pic:pic xmlns:pic="http://schemas.openxmlformats.org/drawingml/2006/picture">
                        <pic:nvPicPr>
                          <pic:cNvPr id="268" name="矩形_7_SpCnt_55"/>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0" name="矩形_7_SpCnt_56"/>
                  <wp:cNvGraphicFramePr/>
                  <a:graphic xmlns:a="http://schemas.openxmlformats.org/drawingml/2006/main">
                    <a:graphicData uri="http://schemas.openxmlformats.org/drawingml/2006/picture">
                      <pic:pic xmlns:pic="http://schemas.openxmlformats.org/drawingml/2006/picture">
                        <pic:nvPicPr>
                          <pic:cNvPr id="260" name="矩形_7_SpCnt_5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1" name="矩形_29_SpCnt_6"/>
                  <wp:cNvGraphicFramePr/>
                  <a:graphic xmlns:a="http://schemas.openxmlformats.org/drawingml/2006/main">
                    <a:graphicData uri="http://schemas.openxmlformats.org/drawingml/2006/picture">
                      <pic:pic xmlns:pic="http://schemas.openxmlformats.org/drawingml/2006/picture">
                        <pic:nvPicPr>
                          <pic:cNvPr id="271" name="矩形_29_SpCnt_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1" name="矩形_7_SpCnt_57"/>
                  <wp:cNvGraphicFramePr/>
                  <a:graphic xmlns:a="http://schemas.openxmlformats.org/drawingml/2006/main">
                    <a:graphicData uri="http://schemas.openxmlformats.org/drawingml/2006/picture">
                      <pic:pic xmlns:pic="http://schemas.openxmlformats.org/drawingml/2006/picture">
                        <pic:nvPicPr>
                          <pic:cNvPr id="261" name="矩形_7_SpCnt_57"/>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5" name="矩形_7_SpCnt_58"/>
                  <wp:cNvGraphicFramePr/>
                  <a:graphic xmlns:a="http://schemas.openxmlformats.org/drawingml/2006/main">
                    <a:graphicData uri="http://schemas.openxmlformats.org/drawingml/2006/picture">
                      <pic:pic xmlns:pic="http://schemas.openxmlformats.org/drawingml/2006/picture">
                        <pic:nvPicPr>
                          <pic:cNvPr id="275" name="矩形_7_SpCnt_5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6" name="矩形_7_SpCnt_59"/>
                  <wp:cNvGraphicFramePr/>
                  <a:graphic xmlns:a="http://schemas.openxmlformats.org/drawingml/2006/main">
                    <a:graphicData uri="http://schemas.openxmlformats.org/drawingml/2006/picture">
                      <pic:pic xmlns:pic="http://schemas.openxmlformats.org/drawingml/2006/picture">
                        <pic:nvPicPr>
                          <pic:cNvPr id="276" name="矩形_7_SpCnt_59"/>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6" name="矩形_7_SpCnt_60"/>
                  <wp:cNvGraphicFramePr/>
                  <a:graphic xmlns:a="http://schemas.openxmlformats.org/drawingml/2006/main">
                    <a:graphicData uri="http://schemas.openxmlformats.org/drawingml/2006/picture">
                      <pic:pic xmlns:pic="http://schemas.openxmlformats.org/drawingml/2006/picture">
                        <pic:nvPicPr>
                          <pic:cNvPr id="266" name="矩形_7_SpCnt_60"/>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57" name="矩形_7_SpCnt_61"/>
                  <wp:cNvGraphicFramePr/>
                  <a:graphic xmlns:a="http://schemas.openxmlformats.org/drawingml/2006/main">
                    <a:graphicData uri="http://schemas.openxmlformats.org/drawingml/2006/picture">
                      <pic:pic xmlns:pic="http://schemas.openxmlformats.org/drawingml/2006/picture">
                        <pic:nvPicPr>
                          <pic:cNvPr id="257" name="矩形_7_SpCnt_61"/>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7" name="矩形_166"/>
                  <wp:cNvGraphicFramePr/>
                  <a:graphic xmlns:a="http://schemas.openxmlformats.org/drawingml/2006/main">
                    <a:graphicData uri="http://schemas.openxmlformats.org/drawingml/2006/picture">
                      <pic:pic xmlns:pic="http://schemas.openxmlformats.org/drawingml/2006/picture">
                        <pic:nvPicPr>
                          <pic:cNvPr id="267" name="矩形_16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56" name="矩形_146"/>
                  <wp:cNvGraphicFramePr/>
                  <a:graphic xmlns:a="http://schemas.openxmlformats.org/drawingml/2006/main">
                    <a:graphicData uri="http://schemas.openxmlformats.org/drawingml/2006/picture">
                      <pic:pic xmlns:pic="http://schemas.openxmlformats.org/drawingml/2006/picture">
                        <pic:nvPicPr>
                          <pic:cNvPr id="256" name="矩形_146"/>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69" name="矩形_7_SpCnt_62"/>
                  <wp:cNvGraphicFramePr/>
                  <a:graphic xmlns:a="http://schemas.openxmlformats.org/drawingml/2006/main">
                    <a:graphicData uri="http://schemas.openxmlformats.org/drawingml/2006/picture">
                      <pic:pic xmlns:pic="http://schemas.openxmlformats.org/drawingml/2006/picture">
                        <pic:nvPicPr>
                          <pic:cNvPr id="269" name="矩形_7_SpCnt_62"/>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3" name="矩形_29_SpCnt_7"/>
                  <wp:cNvGraphicFramePr/>
                  <a:graphic xmlns:a="http://schemas.openxmlformats.org/drawingml/2006/main">
                    <a:graphicData uri="http://schemas.openxmlformats.org/drawingml/2006/picture">
                      <pic:pic xmlns:pic="http://schemas.openxmlformats.org/drawingml/2006/picture">
                        <pic:nvPicPr>
                          <pic:cNvPr id="273" name="矩形_29_SpCnt_7"/>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335280</wp:posOffset>
                  </wp:positionH>
                  <wp:positionV relativeFrom="paragraph">
                    <wp:posOffset>0</wp:posOffset>
                  </wp:positionV>
                  <wp:extent cx="146685" cy="114300"/>
                  <wp:effectExtent l="0" t="0" r="0" b="0"/>
                  <wp:wrapNone/>
                  <wp:docPr id="274" name="矩形_29_SpCnt_8"/>
                  <wp:cNvGraphicFramePr/>
                  <a:graphic xmlns:a="http://schemas.openxmlformats.org/drawingml/2006/main">
                    <a:graphicData uri="http://schemas.openxmlformats.org/drawingml/2006/picture">
                      <pic:pic xmlns:pic="http://schemas.openxmlformats.org/drawingml/2006/picture">
                        <pic:nvPicPr>
                          <pic:cNvPr id="274" name="矩形_29_SpCnt_8"/>
                          <pic:cNvPicPr/>
                        </pic:nvPicPr>
                        <pic:blipFill>
                          <a:blip r:embed="rId18"/>
                          <a:stretch>
                            <a:fillRect/>
                          </a:stretch>
                        </pic:blipFill>
                        <pic:spPr>
                          <a:xfrm>
                            <a:off x="0" y="0"/>
                            <a:ext cx="146685" cy="114300"/>
                          </a:xfrm>
                          <a:prstGeom prst="rect">
                            <a:avLst/>
                          </a:prstGeom>
                          <a:noFill/>
                          <a:ln>
                            <a:noFill/>
                          </a:ln>
                        </pic:spPr>
                      </pic:pic>
                    </a:graphicData>
                  </a:graphic>
                </wp:anchor>
              </w:drawing>
            </w:r>
            <w:r>
              <w:rPr>
                <w:rFonts w:hint="eastAsia" w:ascii="宋体" w:hAnsi="宋体" w:eastAsia="宋体" w:cs="宋体"/>
                <w:b w:val="0"/>
                <w:bCs w:val="0"/>
                <w:i w:val="0"/>
                <w:iCs w:val="0"/>
                <w:color w:val="auto"/>
                <w:kern w:val="0"/>
                <w:sz w:val="20"/>
                <w:szCs w:val="20"/>
                <w:u w:val="none"/>
                <w:lang w:val="en-US" w:eastAsia="zh-CN" w:bidi="ar"/>
              </w:rPr>
              <w:t>1.台脚：使用椎管工艺1.5mm壁厚，冷轧管；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2.挡板：使用≥1.0厚度铁挡板；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3.书网管：使用≥0.8mm圆管冷轧管；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4.连接杆：使用≥1.2mm壁厚圆管，冷扎管；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5.脚轮：使用≥50mm尼龙活动脚轮。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6.尺寸：≥800*550*25*25mm。</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7.桌子两侧设置旋钮开关，任何一侧，只需轻轻一扭便可折叠；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8.大方实用，节约空间，结构稳定；</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9.脚轮旋钮可高低调节1.5厘米，确保拼接平整。</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104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48</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696E">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个</w:t>
            </w:r>
          </w:p>
        </w:tc>
      </w:tr>
      <w:tr w14:paraId="7021A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2FEC">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16</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5593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研讨式椅子</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D0398">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1.材质高密度海绵，棉布/网布，靠背绒网+1段式倾仰锁定黑色框架；三防布+定型棉+曲木板+可向上折回80°黑色底壳（带“扣手”槽）；固定扶手+PA面盖；</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2.双铝扣连接件+银色烤漆四脚架；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3.黑色万向尼龙轮；折叠桌椅符合人体工程学设计，满足教师讲授、分组活动、个人学习三种模式。</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23E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58</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EC03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把</w:t>
            </w:r>
          </w:p>
        </w:tc>
      </w:tr>
      <w:tr w14:paraId="4B112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A748">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17</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E8E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电脑</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9EF5C">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1.CPU：不低于I5处理器；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2.内存：≥16G DDR5 4800MHz；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3.硬盘：≥512 SSD硬盘；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4.音频：集成声卡，内置扬声器；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5.网卡：千兆以太自适应网卡；</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6.显示器：≥14英寸液晶显示器。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7.无线键盘鼠标套装，带2.4G接收器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 xml:space="preserve">8.4英寸2.0电脑音响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9.一分四高清4K@60Hz分屏器一进四出</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BE7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54CE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7929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D6D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18</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AE1E7">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平板电脑</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A378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1.屏幕尺寸：10英寸及以上。</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2.处理器：至少八核处理器，CPU主频：2.3GHZ。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3.内存/存储：≥4GB内存，≥128GB存储。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4.操作系统：安卓11及以上。</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5.屏幕类型：IPS+TDDI，分辨率≧1920*1200。</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6.摄像头≧800万像素。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7.WiFi功能：支持2.4GHz通道且支持5GHz通道，支持802.11a/b/g/n /ac无线协议。</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3E1B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48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492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4F73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DE1F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19</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A5CD3">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充电柜</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1FF3C">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1.支持60台及以上配套的平板电脑同时充电,支持平板电脑原装适配器。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2.机柜四角采用圆弧弧度R≥20mm设计确保师生安全，扶手要求防触电,防静电,防潮防锈材质。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3.温控双风扇或多风扇强制散热，具有智能散热功能充电过程中设备产生的热量由风扇强制排出。</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4.电压用电安全，充电柜应配备交流稳压器需满足充电柜使用的最大负荷,为确保产品的兼容性和售后统一，稳压器与充电柜为同一品牌。额定电压：220V ；额定电流：10A；额定功率：2200W。</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9C08">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ADE2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1C9E4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A6CD9">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EB82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便携录播一体机</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top"/>
          </w:tcPr>
          <w:p w14:paraId="69E41EF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top"/>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一、便携录播一体机1台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1.要求录播主机采用一体化嵌入式硬件设计架构，内置国产化八核处理器、Linux系统、≥8GB内存，≥1T硬盘,支持7*24小时工作。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录播主机满足录制、直播、点播、互动、导播管理、存储、切换、视音频编码、语音转写、虚拟抠像、行为分析等功能，支持远程互动教学，实现远程互动网络课堂。至少支持内置有线网络、无线WiFi和SIM卡插卡3种联网方式，方便随时随地连接网络。（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3.要求配置≥15.6英寸全贴合电容触控液晶屏，采用防指纹涂层工艺，无须外接显示设备，用户可直接通过主机查看已录制的视频，支持在主机上直接播放查看录制效果，并可使用U盘拷贝。</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具有多指智能手势识别息屏功能，操作者可在触摸屏任意位置，通过触摸实现对屏幕背光的关闭和开启。支持用户设置休眠时间，休眠后触控屏幕可快速唤醒。（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支持≥2路HDMI输入接口，支持≥3路HDMI输出接口，≥1路输出本地画面，≥1路输出合成画面。≥1路线性输入，≥1路3.5mm音频输入，≥1路线性输出，≥1路3.5mm音频输出。支持≥2路2RS232控制接口。≥1路TYPE-C接口，具备≥4路USB3.0接口，支持连接鼠标、键盘进行导播控制以及主机连接U盘进行课程视频的录制、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▲6.要求录播主机内置不低于2个5W的扬声器，用于播放本地视频声音。（需提供第三方检测报告复印件，报告编号可在全国认证认可信息公共服务平台查询）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▲7.要求支持5路RJ45网口，其中4路为POE网口，集供电、控制、视频传输于一体。支持摄像机智能组网，摄像机即插即用。（需提供第三方检测报告复印件，报告编号可在全国认证认可信息公共服务平台查询）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8.视频编码：要求支持H.265和H.264两种视频编码协议，实现更高效率和更好质量的编码技术，支持4K分辨率（3840*2160）视频的编码和录制。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9.要求支持IPV4、IPV6链路地址、IPV6外网地址三个网络地址配置，支持启用DHCP自动获取IP地址。</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10.设备内置≥12000mAh电池，无需额外配置移动电源即可进行户外活动录制。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二、便携式录播系统1套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要求系统支持微信扫码登录和账号密码登录两种登录模式，录制模式支持电影模式、资源模式两种，能同时支持至少1路电影模式加3路资源备份，可同时录制合成画面、教师全景、教师特写、学生全景、学生特写、板书画面、电脑画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录制格式至少支持MP4/FLV/TS，录制分辨率要求支持3840*2160、1920*1080、1280*720、960*540、720*480、352*288，支持录制帧率设定，可选择25fps/30fps。码流支持1000-20000kbps可选。（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3.要求支持实时显示录播主机CPU的使用率，硬盘使用情况，不少于6路预监画面，可同步显示对应摄像机的电量。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要求支持手指点控模式；导播模式支持视频预览、直播输出监视、视频切换、音频调整等功能，其中手指拖动视频切换时支持导播小画面定位跟随。（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要求支持添加字幕，支持包括系统时间在内的九种预设字幕的设置，其中系统时间支持自动校准。可直接通过拖拽实现自定义字幕显示位置。支持设置至少9种字体大小、8种字体颜色。系统界面自带虚拟软键盘，无需外接USB键盘，即可进行中英文输入及相关操作功能。支持多种格式的字幕，可输入中文、英文、数字、特殊符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6.要求支持导播模式设置：支持手动、半自动、全自动模式，支持查看软件版本，设备型号，硬件版本，设备编号。</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要求提供多种画面布局模式，支持视频画面叠加与组合，包括单画面、双分屏画面、三分屏画面、四分屏画面显示，可直接通过手指触控拖动通道画面实现多分屏布局显示画面的替换，替换时支持导播小画面定位跟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8.要求系统支持摄像机云台控制，可以对摄像机进行变焦、聚焦、上下左右位置调整以及≥8个预置位的设置，整个过程支持手指触控操作。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9.要求系统可以进行音量设置，可以采用手指拖动方式控制设备输入输出的音量大小。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10.要求系统支持录制倒计时和循环记录功能，在硬盘存储空间为0时，仍可进行录制，将最早录制的视频文件删除，支持录制到U盘。</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11.所录制的视频文件既可存储在本地硬盘，也支持通过FTP上传至平台，同时支持用户随时通过录播主机点播回放视频，并可使用移动磁盘或硬盘拷贝下载。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12.要求系统支持录制单个文件和限时自动分割录制功能，支持自定义限时自动分割时长。</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13.要求系统具有推送公网直播功能，支持通过微信扫码登录创建直播，也可以不登录直接创建直播，并可在设备上自动生成直播二维码，扫描即可观看直播，支持直播列表的查看。</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14.要求内置微课制作功能，支持不少于前景、人像、背景3层场景叠加，叠加的场景支持PPT、视频、图片，虚拟抠像后的人像等类型。要求支持虚拟抠像后合成的画面实现和远端进行音视频互动。（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15.要求不依赖网络、外置设备即可实现行为分析、实时字幕的语音转写和热词提取。系统内置行为分析系统，支持对教室人数、举手人数、站立人数、背身人数、趴下人数、低头人数、扭头人数的实时统计，并实时汇总学生的参与度、活跃度和抬头率。（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16.内置互动系统，支持标准SIP和H.323互动协议，支持互动列表，列表中可以显示所有与会者的信息；支持互动画面布局的显示，布局支持单分屏，双分屏，三分屏，四分屏显示。互动界面支持双流、一键静音、全屏、导播设置等功能。</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17.双流互动：为便捷进行远程互动教学应用，主机具备2路以上HDMI信号同步输出，录课模式下实时环出录课画面，双流互动下支持双HDMI输出分别实时环出互动主、辅流画面。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18.支持对录播机进行网络检测，可实时检测服务器连通性、网络稳定性、上行下行速度、网络追踪性、网卡信息、信道状态。（需提供第三方检测报告复印件，报告编号可在全国认证认可信息公共服务平台查询）</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三、无线云台摄像机3台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1.采用≥1/1.8 英寸、≥800万像素UHD CMOS 传感器，可实现 4K (3840x2160) 超高分辨率的优质图像。并且向下兼容 1080P、720P 等多种分辨率。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2.摄像机借助芯片的AI算力，支持单目人形跟踪，可实现教育、会议和直播等场景的自动跟踪。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3.支持网口音视频编码输出，支持H.264/265/MJEPG视频编码标准，音频AAC编码标准；支持TCP/IP, HTTP, RTSP, RTMP, Onvif, DHCP, 组播等网络协议；网络视频编码码率最大可支持20480Kbps，网络音频编码码率最大可支持256Kbps。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4.支持直接输出无压缩4K原始视频。</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5.内置OLED显示屏可显示输出分辨率、电池电量、无线信号强度、摄像机状态、IP地址等信息。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6.内置≥9000mAh超大容量锂电池。</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7..支持5G WiFi传输，天线方式2*2MIMO,最大传输速率 300Mbps，传输距离不低于150 米。具自动搜索和智能配置功能，传输效率高。标准协议 802.11a/n，信道带宽 20/40/80MHz 信道宽度选择。</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8.采用4K超长焦镜头，最大视角≥60°，光学变焦≥20倍，数字变焦≥16倍。</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9.支持多种白平衡方式供选择，包括自动, 室内, 室外, 一键式, 手动，指定色温。</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10.云台转动范围，水平：±170°，垂直：-30°~+90°。转动速度范围，水平：2.7°~ 35.7°/s，垂直2.7°~ 31.5°/s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11.摄像机可设置不少于255个预置位，预置位精度≤0.1°。</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12.DC 12V输入，功耗≤12W；</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四、摄像机支架3个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1.脚管节数：≥3节。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2.脚管锁紧方式：板扣式。</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3.预设调节角度：通过直接展开完成操作。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4.对云台镙丝接口：标准3/8镙丝。</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5.升起中轴高度：≥1800mm（含云台）。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6.不升中轴高度：≥1450mm（含云台）。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7.最小高度：≤720mm（含云台）。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8.整体承重：≥8kg。</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五、无线麦克风1套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1.屏幕应采用OLED屏设计，界面清晰，音频信息及电量状态一目了然。可自由切换单声道和立体声模式，提供多一种选择，保障后期制作的灵活性。</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2.传输距离≥100米。</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3.采用2.4GHz ISM自适应跳频通信传输技术，能够大幅减少干扰，实现≤8毫秒的低延迟传输，真正实现音画同步。</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4.轻便小巧无感佩戴，外观小巧便携，可轻松稳固地夹在衣服上。</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5.内置≥3.7V/400mAh锂电池，单次续航时≥8小时，在TX、RX满电状态下搭配充电盒使用能将续航时间延长至30小时。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6.配有3.5mm耳机插孔，支持实时监听，可根据实际情况及时调整，确保录音安全和准确率，减少后期修改工作。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7.采用主流的双通道设计，能够满足两人同时出镜的收音需求，减少传递话筒的操作。</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8.采用数字信号传输技术，内置高品质全向型麦克风，提供48KHz的采样率，20-20KHz全频段音频采样，带来更饱满、高分辨率的无损音质。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9.配有0-6级增益调节，能够实现-25.5dB~+24dB的电平输出，可按需求自由调节，帮助您录制更多声音细节。</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10.打开充电盒即可自动开机，盖上自动关机，无需手动配对，有效提升创造效率。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六、无线全向麦克风1套</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1.采用≥8阵列MIC，具有高灵敏度、高信噪比特色，支持远距离清晰拾音。</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2.要求支持AI降噪、AI回声消除、AI AGC、超级降噪。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3.拾取距离：不低于3-5米；</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4.频率响应：不低于100Hz--12kHz；</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5.信噪比（单体）：65dB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6.灵敏度（单体）：-26dBFS ；</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7.内置≥5W高响度扬声器单元，支持本地扩声；</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8.支持蓝牙、无线两种连接方式，连接距离≥10米；</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9.内置不低于4000mAh电池，支持Type-C接口充电；</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七、移动拉杆箱1个</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1.采用铝镁合金材料，内衬为EVA材料。</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2.采用静音万向轮。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3.产品尺寸：≤45*40*75cm（含轮子）</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FC49">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F4E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55ECA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A9D3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21</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F23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无人机</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03934">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1.副摄像素数：≥4800万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2.主摄像素数：≥4800万</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3.实时图传质量：1080p</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4.最大抗风速：12m/s</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5.数据传输：Wi-Fi</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6.传输最大飞行时间：46分钟</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7.电池容量：62.6Wh</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8.机身重量：720g</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9.最大载重：其他</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10.图片格式：DNG；JPEG</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11.操控方式：遥控器控制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12.支持接口类型：USB-C</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8888">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598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台</w:t>
            </w:r>
          </w:p>
        </w:tc>
      </w:tr>
      <w:tr w14:paraId="73DC3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AC85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22</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7A38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声学装修</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368D">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1.教室装修：（按照效果图进行装修）</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2.墙面：墙面空腔隔断，聚酯纤维吸音棉填充木工板框架造型，安装石膏板选用环保、耐火性高的材质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3.地面：选用耐磨地胶或地毯</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4.吊顶：石膏板造型吊顶或矿棉吸音板吊顶</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5.门：防盗门；</w:t>
            </w:r>
            <w:r>
              <w:rPr>
                <w:rFonts w:hint="eastAsia" w:ascii="宋体" w:hAnsi="宋体" w:eastAsia="宋体" w:cs="宋体"/>
                <w:b w:val="0"/>
                <w:bCs w:val="0"/>
                <w:i w:val="0"/>
                <w:iCs w:val="0"/>
                <w:color w:val="auto"/>
                <w:kern w:val="0"/>
                <w:sz w:val="20"/>
                <w:szCs w:val="20"/>
                <w:u w:val="none"/>
                <w:lang w:val="en-US" w:eastAsia="zh-CN" w:bidi="ar"/>
              </w:rPr>
              <w:br w:type="textWrapping"/>
            </w:r>
            <w:r>
              <w:rPr>
                <w:rFonts w:hint="eastAsia" w:ascii="宋体" w:hAnsi="宋体" w:eastAsia="宋体" w:cs="宋体"/>
                <w:b w:val="0"/>
                <w:bCs w:val="0"/>
                <w:i w:val="0"/>
                <w:iCs w:val="0"/>
                <w:color w:val="auto"/>
                <w:kern w:val="0"/>
                <w:sz w:val="20"/>
                <w:szCs w:val="20"/>
                <w:u w:val="none"/>
                <w:lang w:val="en-US" w:eastAsia="zh-CN" w:bidi="ar"/>
              </w:rPr>
              <w:t>6.窗帘：窗帘采用全遮光的窗帘，表面粗糙不反光；材质采用化纤或亚麻；</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1F28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69D8">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项</w:t>
            </w:r>
          </w:p>
        </w:tc>
      </w:tr>
      <w:tr w14:paraId="3FAB7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1595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23</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0A98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系统集成及培训</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B13A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包含设备的安装、调试、测试及使用培训等，主要指大屏，黑板，讲台，桌椅，录播设备的线槽，布线，摄像头，音响，吊麦，红外接收器等设备的安装，强电布线和弱点布线，LED灯的安装，调试。后期整体使用的培训。</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6EBD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1198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sz w:val="20"/>
                <w:szCs w:val="20"/>
                <w:u w:val="none"/>
              </w:rPr>
            </w:pPr>
            <w:r>
              <w:rPr>
                <w:rFonts w:hint="eastAsia" w:ascii="宋体" w:hAnsi="宋体" w:eastAsia="宋体" w:cs="宋体"/>
                <w:b w:val="0"/>
                <w:bCs w:val="0"/>
                <w:i w:val="0"/>
                <w:iCs w:val="0"/>
                <w:color w:val="auto"/>
                <w:kern w:val="0"/>
                <w:sz w:val="20"/>
                <w:szCs w:val="20"/>
                <w:u w:val="none"/>
                <w:lang w:val="en-US" w:eastAsia="zh-CN" w:bidi="ar"/>
              </w:rPr>
              <w:t>套</w:t>
            </w:r>
          </w:p>
        </w:tc>
      </w:tr>
      <w:tr w14:paraId="189F6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5F8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24</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EA6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无线控制器</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42B2">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4个千兆光电复用接口，2个万兆SFP+光口，最高支持256个AP和最大并发8192个客户端。</w:t>
            </w:r>
          </w:p>
          <w:p w14:paraId="3551F4E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本次采购的无线产品需兼容校内现有的无线网络设备，实现统一管理和配置。</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AA914">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05B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台</w:t>
            </w:r>
          </w:p>
        </w:tc>
      </w:tr>
      <w:tr w14:paraId="2389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A507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25</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C947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AP软件许可</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A0B82">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无线AP许可</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E90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B37C">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套</w:t>
            </w:r>
          </w:p>
        </w:tc>
      </w:tr>
      <w:tr w14:paraId="26712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5ED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26</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6D3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PEF许可</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F4B1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无线防火墙许可</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4D09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118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30C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套</w:t>
            </w:r>
          </w:p>
        </w:tc>
      </w:tr>
      <w:tr w14:paraId="29E54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DFA4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27</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4D137">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面板AP</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D9A7">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E0：以太网有线网络端口（RJ45）</w:t>
            </w:r>
          </w:p>
          <w:p w14:paraId="708574A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自动感知链路速度（10/100/1000BASE-T）和MDI/MDX</w:t>
            </w:r>
          </w:p>
          <w:p w14:paraId="60BFCAF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802.3az节能以太网（EEE）</w:t>
            </w:r>
          </w:p>
          <w:p w14:paraId="19AB639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POE-PD：802.3af POE（class 3）</w:t>
            </w:r>
          </w:p>
          <w:p w14:paraId="4B750AC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2个以太网有线网络端口（RJ45）</w:t>
            </w:r>
          </w:p>
          <w:p w14:paraId="660D60B6">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自动感知链路速度（10/100/1000BASE-T）和MDI/MDX</w:t>
            </w:r>
          </w:p>
          <w:p w14:paraId="63958FF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802.3az节能以太网（EEE）</w:t>
            </w:r>
          </w:p>
          <w:p w14:paraId="4A019CF8">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集成蓝牙 5 和 Zigbee (802.15.4) 射频，内置天线</w:t>
            </w:r>
          </w:p>
          <w:p w14:paraId="080E9C7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本次采购的无线产品需兼容校内现有的无线网络设备，实现统一管理和配置。</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B4B6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46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CB7B">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3EF72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7487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28</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6658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安装套件</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3512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单宽墙壁支架</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85A9">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46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29896">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50EDE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3F66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29</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7FC92">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放装AP</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2793">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E0：HPE SmartRate 端口（RJ-45，最大 协商速度 2.5 Gbps）</w:t>
            </w:r>
          </w:p>
          <w:p w14:paraId="7DB4402D">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自动感知链路速度 (100/1000/2500BASE-T) 和 MDI/MDX</w:t>
            </w:r>
          </w:p>
          <w:p w14:paraId="49CE999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2.5 Gbps 速度，符合 NBase-T 和 802.3bz 规格</w:t>
            </w:r>
          </w:p>
          <w:p w14:paraId="0842C35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E1：10/100/1000BASE-T 以太网网络接口 (RJ-45)</w:t>
            </w:r>
          </w:p>
          <w:p w14:paraId="7CE61763">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网络端口之间的链路聚合 (LACP) 支持，用于提供冗余和提升容量</w:t>
            </w:r>
          </w:p>
          <w:p w14:paraId="6898B45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集成蓝牙 5 和 Zigbee (802.15.4) 射频</w:t>
            </w:r>
          </w:p>
          <w:p w14:paraId="7B28EDF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本次采购的无线产品需兼容校内现有的无线网络设备，实现统一管理和配置。</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725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72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D79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5E5CE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5D97C">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30</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A22B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安装套件</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6EA54">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墙壁安装套件</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5A85E">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72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C45C">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06C1D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4B918">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31</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5003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POE交换机</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B159">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S5735S-L24P4S-MA2(24个10/100/1000BASE-T以太网端口,4个千兆SFP,PoE+,交流供电)</w:t>
            </w:r>
          </w:p>
          <w:p w14:paraId="37331DC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交换容量336Gbps/3.36Tbps，包转发率51/126Mpps，机架式，POE功率380W</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A045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23BF">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1DBA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986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32</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145D5">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光模块</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AE12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光模块-eSFP-GE-单模模块(1310nm,10km,LC)</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4AA3A">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20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A32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10F29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FF9E0">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33</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3242C">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调试费</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16933">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所有无线设备调试</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C8A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48A6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r w14:paraId="5417C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B6392">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34</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3F5FA">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网线</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46D1">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传输频率为1MHz至250MHz，最大传输距离为100米，采用规格23AWG的单芯裸铜为导体，聚乙烯类高分子材料为绝缘体，外皮材料采用阻燃型高分子材料，电缆中央的十字骨架随长度的变化而旋转角度，保持四对双绞线的相对位置。</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AE77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50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7A4FD">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箱</w:t>
            </w:r>
          </w:p>
        </w:tc>
      </w:tr>
      <w:tr w14:paraId="7FF0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A6971">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35</w:t>
            </w:r>
          </w:p>
        </w:tc>
        <w:tc>
          <w:tcPr>
            <w:tcW w:w="7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8603F">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配线架</w:t>
            </w:r>
          </w:p>
        </w:tc>
        <w:tc>
          <w:tcPr>
            <w:tcW w:w="31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63B7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19 英寸 1U 高度，后端框架采用高等级镀锌板材质，有着非常良好的耐腐蚀性能。模块化设计。可适配天诚通信全系列非屏蔽信息模块，可在 1U 高度内支持最多 24 个 RJ45 铜缆端口的配线跳接，带有额外的配线架标签。</w:t>
            </w:r>
          </w:p>
          <w:p w14:paraId="4A0BBF00">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RJ45 模块框架兼容所有天诚 Keystone 结构的非屏蔽信息模块，每个模块化端口都可依据实际功能设置高辨识度的标识。</w:t>
            </w:r>
          </w:p>
          <w:p w14:paraId="48204272">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后端理线支架可折叠：独特的可折叠式理线支架，方便存储、运输和安装，节省空间；可折叠的设计赋予产品出色的便携性，适用于多种布线场景，灵活性极佳。</w:t>
            </w:r>
          </w:p>
          <w:p w14:paraId="2781EECB">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后端框架自带的线缆理线卡槽，可以让配线架不额外添加任何配件的条件下将模块后端端接铜缆整齐有序地梳理，并减少线缆自重对模块端接的影响。</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F203">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B9585">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b w:val="0"/>
                <w:bCs w:val="0"/>
                <w:i w:val="0"/>
                <w:iCs w:val="0"/>
                <w:color w:val="auto"/>
                <w:kern w:val="0"/>
                <w:sz w:val="20"/>
                <w:szCs w:val="20"/>
                <w:u w:val="none"/>
                <w:lang w:val="en-US" w:eastAsia="zh-CN" w:bidi="ar"/>
              </w:rPr>
              <w:t>个</w:t>
            </w:r>
          </w:p>
        </w:tc>
      </w:tr>
    </w:tbl>
    <w:p w14:paraId="76108116">
      <w:pPr>
        <w:autoSpaceDE w:val="0"/>
        <w:autoSpaceDN w:val="0"/>
        <w:adjustRightInd w:val="0"/>
        <w:spacing w:line="360" w:lineRule="auto"/>
        <w:ind w:firstLine="480" w:firstLineChars="200"/>
        <w:jc w:val="both"/>
        <w:rPr>
          <w:rFonts w:hint="eastAsia" w:ascii="宋体" w:cs="宋体"/>
          <w:color w:val="auto"/>
          <w:sz w:val="24"/>
          <w:szCs w:val="24"/>
          <w:highlight w:val="none"/>
        </w:rPr>
      </w:pPr>
    </w:p>
    <w:p w14:paraId="4CE7EBA8">
      <w:pPr>
        <w:rPr>
          <w:rFonts w:hint="eastAsia" w:ascii="宋体" w:cs="宋体"/>
          <w:color w:val="auto"/>
          <w:sz w:val="24"/>
          <w:szCs w:val="24"/>
          <w:highlight w:val="none"/>
        </w:rPr>
      </w:pPr>
      <w:r>
        <w:rPr>
          <w:rFonts w:hint="eastAsia" w:ascii="宋体" w:cs="宋体"/>
          <w:color w:val="auto"/>
          <w:sz w:val="24"/>
          <w:szCs w:val="24"/>
          <w:highlight w:val="none"/>
        </w:rPr>
        <w:br w:type="page"/>
      </w:r>
    </w:p>
    <w:p w14:paraId="764F48E7">
      <w:pPr>
        <w:pStyle w:val="45"/>
        <w:rPr>
          <w:rFonts w:hint="eastAsia"/>
          <w:color w:val="auto"/>
          <w:lang w:val="en-US" w:eastAsia="zh-CN"/>
        </w:rPr>
      </w:pPr>
    </w:p>
    <w:p w14:paraId="53439570">
      <w:pPr>
        <w:pStyle w:val="17"/>
        <w:rPr>
          <w:rFonts w:hint="eastAsia"/>
          <w:color w:val="auto"/>
          <w:lang w:val="en-US" w:eastAsia="zh-CN"/>
        </w:rPr>
      </w:pPr>
    </w:p>
    <w:p w14:paraId="24B2C3BC">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2" w:afterAutospacing="0" w:line="480" w:lineRule="auto"/>
        <w:ind w:right="0"/>
        <w:textAlignment w:val="auto"/>
        <w:rPr>
          <w:rFonts w:hint="eastAsia" w:ascii="宋体" w:hAnsi="宋体" w:eastAsia="宋体" w:cs="宋体"/>
          <w:b w:val="0"/>
          <w:bCs/>
          <w:color w:val="auto"/>
          <w:sz w:val="24"/>
          <w:szCs w:val="24"/>
          <w:lang w:val="zh-CN" w:eastAsia="zh-CN"/>
        </w:rPr>
      </w:pPr>
    </w:p>
    <w:p w14:paraId="05748079">
      <w:pPr>
        <w:pStyle w:val="2"/>
        <w:tabs>
          <w:tab w:val="left" w:pos="4192"/>
        </w:tabs>
        <w:spacing w:line="240" w:lineRule="auto"/>
        <w:jc w:val="both"/>
        <w:rPr>
          <w:rFonts w:hint="eastAsia" w:ascii="楷体_GB2312" w:hAnsi="宋体" w:eastAsia="楷体_GB2312" w:cs="宋体"/>
          <w:snapToGrid w:val="0"/>
          <w:color w:val="auto"/>
          <w:kern w:val="0"/>
          <w:sz w:val="52"/>
          <w:szCs w:val="52"/>
        </w:rPr>
      </w:pPr>
    </w:p>
    <w:p w14:paraId="0E60B07D">
      <w:pPr>
        <w:pStyle w:val="2"/>
        <w:tabs>
          <w:tab w:val="left" w:pos="4192"/>
        </w:tabs>
        <w:spacing w:line="240" w:lineRule="auto"/>
        <w:jc w:val="both"/>
        <w:rPr>
          <w:rFonts w:hint="eastAsia" w:ascii="楷体_GB2312" w:hAnsi="宋体" w:eastAsia="楷体_GB2312" w:cs="宋体"/>
          <w:snapToGrid w:val="0"/>
          <w:color w:val="auto"/>
          <w:kern w:val="0"/>
          <w:sz w:val="52"/>
          <w:szCs w:val="52"/>
        </w:rPr>
      </w:pPr>
    </w:p>
    <w:p w14:paraId="74D50346">
      <w:pPr>
        <w:pStyle w:val="2"/>
        <w:tabs>
          <w:tab w:val="left" w:pos="4192"/>
        </w:tabs>
        <w:spacing w:line="240" w:lineRule="auto"/>
        <w:jc w:val="center"/>
        <w:rPr>
          <w:rFonts w:hint="eastAsia" w:ascii="楷体_GB2312" w:hAnsi="宋体" w:eastAsia="楷体_GB2312" w:cs="宋体"/>
          <w:snapToGrid w:val="0"/>
          <w:color w:val="auto"/>
          <w:kern w:val="0"/>
          <w:sz w:val="52"/>
          <w:szCs w:val="52"/>
        </w:rPr>
      </w:pPr>
    </w:p>
    <w:p w14:paraId="7ABF05EB">
      <w:pPr>
        <w:pStyle w:val="2"/>
        <w:tabs>
          <w:tab w:val="left" w:pos="4192"/>
        </w:tabs>
        <w:spacing w:line="240" w:lineRule="auto"/>
        <w:jc w:val="center"/>
        <w:rPr>
          <w:rFonts w:ascii="楷体_GB2312" w:hAnsi="宋体" w:eastAsia="楷体_GB2312" w:cs="宋体"/>
          <w:snapToGrid w:val="0"/>
          <w:color w:val="auto"/>
          <w:kern w:val="0"/>
          <w:sz w:val="52"/>
          <w:szCs w:val="52"/>
        </w:rPr>
      </w:pPr>
      <w:r>
        <w:rPr>
          <w:rFonts w:hint="eastAsia" w:ascii="楷体_GB2312" w:hAnsi="宋体" w:eastAsia="楷体_GB2312" w:cs="宋体"/>
          <w:snapToGrid w:val="0"/>
          <w:color w:val="auto"/>
          <w:kern w:val="0"/>
          <w:sz w:val="52"/>
          <w:szCs w:val="52"/>
        </w:rPr>
        <w:t>第</w:t>
      </w:r>
      <w:r>
        <w:rPr>
          <w:rFonts w:hint="eastAsia" w:ascii="楷体_GB2312" w:hAnsi="宋体" w:eastAsia="楷体_GB2312" w:cs="宋体"/>
          <w:snapToGrid w:val="0"/>
          <w:color w:val="auto"/>
          <w:kern w:val="0"/>
          <w:sz w:val="52"/>
          <w:szCs w:val="52"/>
          <w:lang w:val="en-US" w:eastAsia="zh-CN"/>
        </w:rPr>
        <w:t>六</w:t>
      </w:r>
      <w:r>
        <w:rPr>
          <w:rFonts w:hint="eastAsia" w:ascii="楷体_GB2312" w:hAnsi="宋体" w:eastAsia="楷体_GB2312" w:cs="宋体"/>
          <w:snapToGrid w:val="0"/>
          <w:color w:val="auto"/>
          <w:kern w:val="0"/>
          <w:sz w:val="52"/>
          <w:szCs w:val="52"/>
        </w:rPr>
        <w:t>章　响应文件格式</w:t>
      </w:r>
    </w:p>
    <w:p w14:paraId="52CC5917">
      <w:pPr>
        <w:jc w:val="center"/>
        <w:rPr>
          <w:rFonts w:ascii="宋体" w:hAnsi="宋体" w:cs="宋体"/>
          <w:color w:val="auto"/>
        </w:rPr>
      </w:pPr>
      <w:r>
        <w:rPr>
          <w:rFonts w:hint="eastAsia" w:ascii="宋体" w:hAnsi="宋体" w:cs="宋体"/>
          <w:color w:val="auto"/>
        </w:rPr>
        <w:br w:type="page"/>
      </w:r>
    </w:p>
    <w:p w14:paraId="6198FDEC">
      <w:pPr>
        <w:jc w:val="center"/>
        <w:rPr>
          <w:rFonts w:ascii="宋体" w:hAnsi="宋体" w:cs="宋体"/>
          <w:color w:val="auto"/>
        </w:rPr>
      </w:pPr>
    </w:p>
    <w:p w14:paraId="253F5D61">
      <w:pPr>
        <w:spacing w:line="360" w:lineRule="auto"/>
        <w:jc w:val="center"/>
        <w:rPr>
          <w:rFonts w:hint="eastAsia" w:ascii="宋体" w:hAnsi="宋体" w:cs="宋体"/>
          <w:color w:val="auto"/>
          <w:sz w:val="36"/>
        </w:rPr>
      </w:pPr>
    </w:p>
    <w:p w14:paraId="10C49E18">
      <w:pPr>
        <w:spacing w:line="360" w:lineRule="auto"/>
        <w:jc w:val="center"/>
        <w:rPr>
          <w:rFonts w:hint="eastAsia" w:ascii="宋体" w:hAnsi="宋体" w:cs="宋体"/>
          <w:color w:val="auto"/>
          <w:sz w:val="36"/>
        </w:rPr>
      </w:pPr>
    </w:p>
    <w:p w14:paraId="1502BA86">
      <w:pPr>
        <w:spacing w:line="360" w:lineRule="auto"/>
        <w:jc w:val="center"/>
        <w:rPr>
          <w:rFonts w:hint="eastAsia" w:ascii="宋体" w:hAnsi="宋体" w:cs="宋体"/>
          <w:color w:val="auto"/>
          <w:sz w:val="36"/>
        </w:rPr>
      </w:pPr>
    </w:p>
    <w:p w14:paraId="64DD0F5F">
      <w:pPr>
        <w:spacing w:line="360" w:lineRule="auto"/>
        <w:jc w:val="center"/>
        <w:rPr>
          <w:rFonts w:hint="eastAsia" w:ascii="宋体" w:hAnsi="宋体" w:cs="宋体"/>
          <w:color w:val="auto"/>
        </w:rPr>
      </w:pPr>
      <w:r>
        <w:rPr>
          <w:rFonts w:hint="eastAsia" w:ascii="宋体" w:hAnsi="宋体" w:cs="宋体"/>
          <w:color w:val="auto"/>
          <w:sz w:val="36"/>
        </w:rPr>
        <w:t>（项目名称）</w:t>
      </w:r>
    </w:p>
    <w:p w14:paraId="2A9BDD0D">
      <w:pPr>
        <w:jc w:val="center"/>
        <w:rPr>
          <w:rFonts w:hint="eastAsia" w:ascii="宋体" w:hAnsi="宋体" w:cs="宋体"/>
          <w:color w:val="auto"/>
          <w:szCs w:val="21"/>
        </w:rPr>
      </w:pPr>
    </w:p>
    <w:p w14:paraId="6207FEBF">
      <w:pPr>
        <w:jc w:val="center"/>
        <w:rPr>
          <w:rFonts w:hint="eastAsia" w:ascii="宋体" w:hAnsi="宋体" w:cs="宋体"/>
          <w:color w:val="auto"/>
          <w:szCs w:val="21"/>
        </w:rPr>
      </w:pPr>
    </w:p>
    <w:p w14:paraId="40F512DF">
      <w:pPr>
        <w:jc w:val="center"/>
        <w:rPr>
          <w:rFonts w:hint="eastAsia" w:ascii="宋体" w:hAnsi="宋体" w:cs="宋体"/>
          <w:color w:val="auto"/>
          <w:szCs w:val="21"/>
        </w:rPr>
      </w:pPr>
    </w:p>
    <w:p w14:paraId="764339C7">
      <w:pPr>
        <w:jc w:val="center"/>
        <w:rPr>
          <w:rFonts w:hint="eastAsia" w:ascii="宋体" w:hAnsi="宋体" w:cs="宋体"/>
          <w:color w:val="auto"/>
          <w:szCs w:val="21"/>
        </w:rPr>
      </w:pPr>
    </w:p>
    <w:p w14:paraId="79E54AB8">
      <w:pPr>
        <w:spacing w:after="120"/>
        <w:jc w:val="center"/>
        <w:rPr>
          <w:rFonts w:hint="eastAsia" w:ascii="宋体" w:hAnsi="宋体" w:eastAsia="宋体" w:cs="宋体"/>
          <w:color w:val="auto"/>
          <w:sz w:val="52"/>
          <w:szCs w:val="52"/>
          <w:lang w:eastAsia="zh-CN"/>
        </w:rPr>
      </w:pPr>
      <w:r>
        <w:rPr>
          <w:rFonts w:hint="eastAsia" w:ascii="宋体" w:hAnsi="宋体" w:eastAsia="宋体" w:cs="宋体"/>
          <w:color w:val="auto"/>
          <w:sz w:val="52"/>
          <w:szCs w:val="52"/>
          <w:lang w:eastAsia="zh-CN"/>
        </w:rPr>
        <w:t>响应文件</w:t>
      </w:r>
    </w:p>
    <w:p w14:paraId="57DFF1D6">
      <w:pPr>
        <w:spacing w:after="120"/>
        <w:jc w:val="center"/>
        <w:rPr>
          <w:rFonts w:hint="eastAsia" w:ascii="宋体" w:hAnsi="宋体" w:cs="宋体"/>
          <w:b/>
          <w:color w:val="auto"/>
          <w:sz w:val="32"/>
          <w:szCs w:val="32"/>
        </w:rPr>
      </w:pPr>
    </w:p>
    <w:p w14:paraId="3FD1C5D9">
      <w:pPr>
        <w:spacing w:after="120"/>
        <w:jc w:val="center"/>
        <w:rPr>
          <w:rFonts w:hint="eastAsia" w:ascii="宋体" w:hAnsi="宋体" w:cs="宋体"/>
          <w:b/>
          <w:color w:val="auto"/>
          <w:sz w:val="32"/>
          <w:szCs w:val="32"/>
        </w:rPr>
      </w:pPr>
    </w:p>
    <w:p w14:paraId="2CEDE3C0">
      <w:pPr>
        <w:spacing w:after="120"/>
        <w:jc w:val="center"/>
        <w:rPr>
          <w:rFonts w:hint="eastAsia" w:ascii="宋体" w:hAnsi="宋体" w:cs="宋体"/>
          <w:b/>
          <w:color w:val="auto"/>
          <w:sz w:val="32"/>
          <w:szCs w:val="32"/>
        </w:rPr>
      </w:pPr>
    </w:p>
    <w:p w14:paraId="0DCDDE16">
      <w:pPr>
        <w:spacing w:after="120"/>
        <w:jc w:val="center"/>
        <w:rPr>
          <w:rFonts w:hint="eastAsia" w:ascii="宋体" w:hAnsi="宋体" w:cs="宋体"/>
          <w:b/>
          <w:color w:val="auto"/>
          <w:sz w:val="32"/>
          <w:szCs w:val="32"/>
        </w:rPr>
      </w:pPr>
    </w:p>
    <w:p w14:paraId="2A048888">
      <w:pPr>
        <w:spacing w:after="120"/>
        <w:jc w:val="center"/>
        <w:rPr>
          <w:rFonts w:hint="eastAsia" w:ascii="宋体" w:hAnsi="宋体" w:cs="宋体"/>
          <w:b/>
          <w:color w:val="auto"/>
          <w:sz w:val="32"/>
          <w:szCs w:val="32"/>
        </w:rPr>
      </w:pPr>
    </w:p>
    <w:p w14:paraId="4454280D">
      <w:pPr>
        <w:spacing w:after="120"/>
        <w:jc w:val="center"/>
        <w:rPr>
          <w:rFonts w:hint="eastAsia" w:ascii="宋体" w:hAnsi="宋体" w:cs="宋体"/>
          <w:b/>
          <w:color w:val="auto"/>
          <w:sz w:val="32"/>
          <w:szCs w:val="32"/>
        </w:rPr>
      </w:pPr>
    </w:p>
    <w:p w14:paraId="74F1F8C2">
      <w:pPr>
        <w:spacing w:after="120"/>
        <w:jc w:val="center"/>
        <w:rPr>
          <w:rFonts w:hint="eastAsia" w:ascii="宋体" w:hAnsi="宋体" w:cs="宋体"/>
          <w:color w:val="auto"/>
          <w:sz w:val="24"/>
        </w:rPr>
      </w:pPr>
      <w:r>
        <w:rPr>
          <w:rFonts w:hint="eastAsia" w:ascii="宋体" w:hAnsi="宋体" w:eastAsia="宋体" w:cs="宋体"/>
          <w:color w:val="auto"/>
          <w:sz w:val="24"/>
          <w:lang w:eastAsia="zh-CN"/>
        </w:rPr>
        <w:t>供应商</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rPr>
        <w:t>（盖单位章）</w:t>
      </w:r>
    </w:p>
    <w:p w14:paraId="491116E1">
      <w:pPr>
        <w:spacing w:after="120"/>
        <w:jc w:val="center"/>
        <w:rPr>
          <w:rFonts w:hint="eastAsia" w:ascii="宋体" w:hAnsi="宋体" w:cs="宋体"/>
          <w:color w:val="auto"/>
          <w:sz w:val="24"/>
          <w:u w:val="single"/>
        </w:rPr>
      </w:pPr>
      <w:r>
        <w:rPr>
          <w:rFonts w:hint="eastAsia" w:ascii="宋体" w:hAnsi="宋体" w:cs="宋体"/>
          <w:color w:val="auto"/>
          <w:sz w:val="24"/>
        </w:rPr>
        <w:t>法定代表人或其委托代理人：</w:t>
      </w:r>
      <w:r>
        <w:rPr>
          <w:rFonts w:hint="eastAsia" w:ascii="宋体" w:hAnsi="宋体" w:cs="宋体"/>
          <w:color w:val="auto"/>
          <w:sz w:val="24"/>
          <w:u w:val="single"/>
        </w:rPr>
        <w:t xml:space="preserve">     </w:t>
      </w:r>
      <w:r>
        <w:rPr>
          <w:rFonts w:hint="eastAsia" w:ascii="宋体" w:hAnsi="宋体" w:cs="宋体"/>
          <w:color w:val="auto"/>
          <w:sz w:val="24"/>
        </w:rPr>
        <w:t>（签字或盖章）</w:t>
      </w:r>
    </w:p>
    <w:p w14:paraId="5C61A72C">
      <w:pPr>
        <w:spacing w:after="120"/>
        <w:jc w:val="center"/>
        <w:rPr>
          <w:rFonts w:hint="eastAsia" w:ascii="宋体" w:hAnsi="宋体" w:cs="宋体"/>
          <w:color w:val="auto"/>
          <w:sz w:val="32"/>
          <w:szCs w:val="32"/>
          <w:u w:val="single"/>
        </w:rPr>
      </w:pPr>
      <w:r>
        <w:rPr>
          <w:rFonts w:hint="eastAsia" w:ascii="宋体" w:hAnsi="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日</w:t>
      </w:r>
    </w:p>
    <w:p w14:paraId="42F83F5B">
      <w:pPr>
        <w:rPr>
          <w:rFonts w:hint="eastAsia" w:ascii="宋体" w:hAnsi="宋体" w:cs="宋体"/>
          <w:color w:val="auto"/>
        </w:rPr>
      </w:pPr>
    </w:p>
    <w:p w14:paraId="5239B95D">
      <w:pPr>
        <w:rPr>
          <w:rFonts w:hint="eastAsia" w:ascii="宋体" w:hAnsi="宋体" w:cs="宋体"/>
          <w:color w:val="auto"/>
        </w:rPr>
      </w:pPr>
    </w:p>
    <w:p w14:paraId="25A6A0A5">
      <w:pPr>
        <w:rPr>
          <w:rFonts w:hint="eastAsia" w:ascii="宋体" w:hAnsi="宋体" w:cs="宋体"/>
          <w:color w:val="auto"/>
        </w:rPr>
      </w:pPr>
    </w:p>
    <w:p w14:paraId="03A29061">
      <w:pPr>
        <w:rPr>
          <w:rFonts w:hint="eastAsia" w:ascii="宋体" w:hAnsi="宋体" w:cs="宋体"/>
          <w:color w:val="auto"/>
        </w:rPr>
      </w:pPr>
    </w:p>
    <w:p w14:paraId="714BA904">
      <w:pPr>
        <w:jc w:val="center"/>
        <w:rPr>
          <w:rFonts w:hint="eastAsia" w:ascii="宋体" w:hAnsi="宋体" w:cs="宋体"/>
          <w:color w:val="auto"/>
        </w:rPr>
      </w:pPr>
    </w:p>
    <w:p w14:paraId="4041426B">
      <w:pPr>
        <w:autoSpaceDE w:val="0"/>
        <w:autoSpaceDN w:val="0"/>
        <w:adjustRightInd w:val="0"/>
        <w:spacing w:line="360" w:lineRule="auto"/>
        <w:jc w:val="center"/>
        <w:rPr>
          <w:rFonts w:hint="eastAsia" w:ascii="宋体" w:hAnsi="宋体" w:cs="宋体"/>
          <w:b/>
          <w:bCs/>
          <w:color w:val="auto"/>
          <w:sz w:val="28"/>
          <w:szCs w:val="28"/>
          <w:lang w:val="zh-CN"/>
        </w:rPr>
      </w:pPr>
      <w:r>
        <w:rPr>
          <w:rFonts w:hint="eastAsia" w:ascii="宋体" w:hAnsi="宋体" w:cs="宋体"/>
          <w:b/>
          <w:bCs/>
          <w:color w:val="auto"/>
          <w:sz w:val="28"/>
          <w:szCs w:val="28"/>
          <w:lang w:val="zh-CN"/>
        </w:rPr>
        <w:t>目  录</w:t>
      </w:r>
    </w:p>
    <w:p w14:paraId="57705F87">
      <w:pPr>
        <w:rPr>
          <w:rFonts w:hint="eastAsia" w:ascii="宋体" w:hAnsi="宋体" w:cs="宋体"/>
          <w:color w:val="auto"/>
        </w:rPr>
      </w:pPr>
      <w:r>
        <w:rPr>
          <w:rFonts w:hint="eastAsia" w:ascii="宋体" w:hAnsi="宋体" w:cs="宋体"/>
          <w:color w:val="auto"/>
        </w:rPr>
        <w:t>一、投标函</w:t>
      </w:r>
    </w:p>
    <w:p w14:paraId="17450C12">
      <w:pPr>
        <w:rPr>
          <w:rFonts w:hint="eastAsia" w:ascii="宋体" w:hAnsi="宋体" w:cs="宋体"/>
          <w:color w:val="auto"/>
        </w:rPr>
      </w:pPr>
      <w:r>
        <w:rPr>
          <w:rFonts w:hint="eastAsia" w:ascii="宋体" w:hAnsi="宋体" w:cs="宋体"/>
          <w:color w:val="auto"/>
        </w:rPr>
        <w:t>二、法定代表人身份证明</w:t>
      </w:r>
    </w:p>
    <w:p w14:paraId="09951653">
      <w:pPr>
        <w:rPr>
          <w:rFonts w:hint="eastAsia" w:ascii="宋体" w:hAnsi="宋体" w:cs="宋体"/>
          <w:color w:val="auto"/>
        </w:rPr>
      </w:pPr>
      <w:r>
        <w:rPr>
          <w:rFonts w:hint="eastAsia" w:ascii="宋体" w:hAnsi="宋体" w:cs="宋体"/>
          <w:color w:val="auto"/>
        </w:rPr>
        <w:t>三、授权委托书</w:t>
      </w:r>
    </w:p>
    <w:p w14:paraId="57C5328D">
      <w:pPr>
        <w:rPr>
          <w:rFonts w:hint="eastAsia" w:ascii="宋体" w:hAnsi="宋体" w:cs="宋体"/>
          <w:color w:val="auto"/>
        </w:rPr>
      </w:pPr>
      <w:r>
        <w:rPr>
          <w:rFonts w:hint="eastAsia" w:ascii="宋体" w:hAnsi="宋体" w:cs="宋体"/>
          <w:color w:val="auto"/>
        </w:rPr>
        <w:t>四、</w:t>
      </w:r>
      <w:r>
        <w:rPr>
          <w:rFonts w:hint="eastAsia" w:ascii="宋体" w:hAnsi="宋体" w:cs="宋体"/>
          <w:color w:val="auto"/>
          <w:lang w:val="en-US" w:eastAsia="zh-CN"/>
        </w:rPr>
        <w:t>磋商</w:t>
      </w:r>
      <w:r>
        <w:rPr>
          <w:rFonts w:hint="eastAsia" w:ascii="宋体" w:hAnsi="宋体" w:cs="宋体"/>
          <w:color w:val="auto"/>
        </w:rPr>
        <w:t>一览表</w:t>
      </w:r>
    </w:p>
    <w:p w14:paraId="2CAF8301">
      <w:pPr>
        <w:rPr>
          <w:rFonts w:hint="eastAsia" w:ascii="宋体" w:hAnsi="宋体" w:cs="宋体"/>
          <w:color w:val="auto"/>
        </w:rPr>
      </w:pPr>
      <w:r>
        <w:rPr>
          <w:rFonts w:hint="eastAsia" w:ascii="宋体" w:hAnsi="宋体" w:cs="宋体"/>
          <w:color w:val="auto"/>
        </w:rPr>
        <w:t>五、磋商保证金</w:t>
      </w:r>
    </w:p>
    <w:p w14:paraId="02E792EB">
      <w:pPr>
        <w:rPr>
          <w:rFonts w:hint="eastAsia" w:ascii="宋体" w:hAnsi="宋体" w:cs="宋体"/>
          <w:color w:val="auto"/>
        </w:rPr>
      </w:pPr>
      <w:r>
        <w:rPr>
          <w:rFonts w:hint="eastAsia" w:ascii="宋体" w:hAnsi="宋体" w:cs="宋体"/>
          <w:color w:val="auto"/>
        </w:rPr>
        <w:t>六、偏离表</w:t>
      </w:r>
    </w:p>
    <w:p w14:paraId="13F03EBF">
      <w:pPr>
        <w:rPr>
          <w:rFonts w:hint="eastAsia" w:ascii="宋体" w:hAnsi="宋体" w:cs="宋体"/>
          <w:color w:val="auto"/>
        </w:rPr>
      </w:pPr>
      <w:r>
        <w:rPr>
          <w:rFonts w:hint="eastAsia" w:ascii="宋体" w:hAnsi="宋体" w:cs="宋体"/>
          <w:color w:val="auto"/>
          <w:lang w:val="en-US" w:eastAsia="zh-CN"/>
        </w:rPr>
        <w:t>七</w:t>
      </w:r>
      <w:r>
        <w:rPr>
          <w:rFonts w:hint="eastAsia" w:ascii="宋体" w:hAnsi="宋体" w:cs="宋体"/>
          <w:color w:val="auto"/>
        </w:rPr>
        <w:t>、资格审查资料</w:t>
      </w:r>
    </w:p>
    <w:p w14:paraId="6BE7CC39">
      <w:pPr>
        <w:rPr>
          <w:rFonts w:hint="eastAsia" w:ascii="宋体" w:hAnsi="宋体" w:cs="宋体"/>
          <w:color w:val="auto"/>
        </w:rPr>
      </w:pPr>
      <w:r>
        <w:rPr>
          <w:rFonts w:hint="eastAsia" w:ascii="宋体" w:hAnsi="宋体" w:cs="宋体"/>
          <w:color w:val="auto"/>
          <w:lang w:val="en-US" w:eastAsia="zh-CN"/>
        </w:rPr>
        <w:t>八</w:t>
      </w:r>
      <w:r>
        <w:rPr>
          <w:rFonts w:hint="eastAsia" w:ascii="宋体" w:hAnsi="宋体" w:cs="宋体"/>
          <w:color w:val="auto"/>
        </w:rPr>
        <w:t>、投标设备技术性能指标的详细描述</w:t>
      </w:r>
    </w:p>
    <w:p w14:paraId="6512CACF">
      <w:pPr>
        <w:rPr>
          <w:rFonts w:hint="eastAsia" w:ascii="宋体" w:hAnsi="宋体" w:eastAsia="宋体" w:cs="宋体"/>
          <w:color w:val="auto"/>
          <w:lang w:val="en-US" w:eastAsia="zh-CN"/>
        </w:rPr>
      </w:pPr>
      <w:r>
        <w:rPr>
          <w:rFonts w:hint="eastAsia" w:ascii="宋体" w:hAnsi="宋体" w:eastAsia="宋体" w:cs="宋体"/>
          <w:color w:val="auto"/>
          <w:lang w:val="en-US" w:eastAsia="zh-CN"/>
        </w:rPr>
        <w:t>九、技术支持资料</w:t>
      </w:r>
    </w:p>
    <w:p w14:paraId="23AF5E7C">
      <w:pPr>
        <w:rPr>
          <w:rFonts w:hint="eastAsia" w:ascii="宋体" w:hAnsi="宋体" w:cs="宋体"/>
          <w:color w:val="auto"/>
        </w:rPr>
      </w:pPr>
      <w:r>
        <w:rPr>
          <w:rFonts w:hint="eastAsia" w:ascii="宋体" w:hAnsi="宋体" w:eastAsia="宋体" w:cs="宋体"/>
          <w:color w:val="auto"/>
          <w:lang w:val="en-US" w:eastAsia="zh-CN"/>
        </w:rPr>
        <w:t>十、技术服务和质保期服务计划</w:t>
      </w:r>
    </w:p>
    <w:p w14:paraId="0A6F4169">
      <w:pPr>
        <w:rPr>
          <w:rFonts w:hint="eastAsia" w:ascii="宋体" w:hAnsi="宋体" w:cs="宋体"/>
          <w:color w:val="auto"/>
        </w:rPr>
      </w:pPr>
      <w:r>
        <w:rPr>
          <w:rFonts w:hint="eastAsia" w:ascii="宋体" w:hAnsi="宋体" w:eastAsia="宋体" w:cs="宋体"/>
          <w:color w:val="auto"/>
          <w:lang w:val="en-US" w:eastAsia="zh-CN"/>
        </w:rPr>
        <w:t>十一、</w:t>
      </w:r>
      <w:r>
        <w:rPr>
          <w:rFonts w:hint="eastAsia" w:ascii="宋体" w:hAnsi="宋体" w:cs="宋体"/>
          <w:color w:val="auto"/>
        </w:rPr>
        <w:t>其他材料</w:t>
      </w:r>
    </w:p>
    <w:p w14:paraId="5A335C58">
      <w:pPr>
        <w:rPr>
          <w:rFonts w:hint="eastAsia" w:ascii="宋体" w:hAnsi="宋体" w:cs="宋体"/>
          <w:color w:val="auto"/>
        </w:rPr>
      </w:pPr>
    </w:p>
    <w:p w14:paraId="275B8E74">
      <w:pPr>
        <w:rPr>
          <w:rFonts w:hint="eastAsia" w:ascii="宋体" w:hAnsi="宋体" w:cs="宋体"/>
          <w:color w:val="auto"/>
        </w:rPr>
      </w:pPr>
    </w:p>
    <w:p w14:paraId="1328337F">
      <w:pPr>
        <w:rPr>
          <w:rFonts w:hint="eastAsia" w:ascii="宋体" w:hAnsi="宋体" w:cs="宋体"/>
          <w:color w:val="auto"/>
        </w:rPr>
      </w:pPr>
    </w:p>
    <w:p w14:paraId="26FB9647">
      <w:pPr>
        <w:rPr>
          <w:rFonts w:hint="eastAsia" w:ascii="宋体" w:hAnsi="宋体" w:cs="宋体"/>
          <w:color w:val="auto"/>
        </w:rPr>
      </w:pPr>
    </w:p>
    <w:p w14:paraId="18C36175">
      <w:pPr>
        <w:rPr>
          <w:rFonts w:hint="eastAsia" w:ascii="宋体" w:hAnsi="宋体" w:cs="宋体"/>
          <w:color w:val="auto"/>
        </w:rPr>
      </w:pPr>
    </w:p>
    <w:p w14:paraId="3758C1C3">
      <w:pPr>
        <w:rPr>
          <w:rFonts w:hint="eastAsia" w:ascii="宋体" w:hAnsi="宋体" w:cs="宋体"/>
          <w:color w:val="auto"/>
        </w:rPr>
      </w:pPr>
    </w:p>
    <w:p w14:paraId="61350073">
      <w:pPr>
        <w:rPr>
          <w:rFonts w:hint="eastAsia" w:ascii="宋体" w:hAnsi="宋体" w:cs="宋体"/>
          <w:color w:val="auto"/>
        </w:rPr>
      </w:pPr>
    </w:p>
    <w:p w14:paraId="6B53704E">
      <w:pPr>
        <w:rPr>
          <w:rFonts w:hint="eastAsia" w:ascii="宋体" w:hAnsi="宋体" w:cs="宋体"/>
          <w:color w:val="auto"/>
        </w:rPr>
      </w:pPr>
    </w:p>
    <w:p w14:paraId="39A5563D">
      <w:pPr>
        <w:rPr>
          <w:rFonts w:hint="eastAsia" w:ascii="宋体" w:hAnsi="宋体" w:cs="宋体"/>
          <w:color w:val="auto"/>
        </w:rPr>
      </w:pPr>
    </w:p>
    <w:p w14:paraId="5B8EBA36">
      <w:pPr>
        <w:rPr>
          <w:rFonts w:hint="eastAsia" w:ascii="宋体" w:hAnsi="宋体" w:cs="宋体"/>
          <w:color w:val="auto"/>
        </w:rPr>
      </w:pPr>
    </w:p>
    <w:p w14:paraId="40D29FE9">
      <w:pPr>
        <w:rPr>
          <w:rFonts w:hint="eastAsia" w:ascii="宋体" w:hAnsi="宋体" w:eastAsia="宋体" w:cs="宋体"/>
          <w:b/>
          <w:color w:val="auto"/>
        </w:rPr>
      </w:pPr>
      <w:r>
        <w:rPr>
          <w:rFonts w:hint="eastAsia" w:ascii="宋体" w:hAnsi="宋体" w:eastAsia="宋体" w:cs="宋体"/>
          <w:b/>
          <w:color w:val="auto"/>
        </w:rPr>
        <w:br w:type="page"/>
      </w:r>
    </w:p>
    <w:p w14:paraId="1F3A5A2C">
      <w:pPr>
        <w:pStyle w:val="204"/>
        <w:numPr>
          <w:ilvl w:val="1"/>
          <w:numId w:val="0"/>
        </w:numPr>
        <w:jc w:val="center"/>
        <w:outlineLvl w:val="0"/>
        <w:rPr>
          <w:rFonts w:hint="eastAsia" w:ascii="宋体" w:hAnsi="宋体" w:eastAsia="宋体" w:cs="宋体"/>
          <w:b/>
          <w:color w:val="auto"/>
        </w:rPr>
      </w:pPr>
      <w:r>
        <w:rPr>
          <w:rFonts w:hint="eastAsia" w:ascii="宋体" w:hAnsi="宋体" w:eastAsia="宋体" w:cs="宋体"/>
          <w:b/>
          <w:color w:val="auto"/>
        </w:rPr>
        <w:t>一、投标函</w:t>
      </w:r>
    </w:p>
    <w:p w14:paraId="77E4DA56">
      <w:pPr>
        <w:spacing w:line="315" w:lineRule="auto"/>
        <w:rPr>
          <w:rFonts w:ascii="宋体" w:hAnsi="宋体" w:cs="宋体"/>
          <w:color w:val="auto"/>
          <w:sz w:val="21"/>
          <w:szCs w:val="21"/>
          <w:u w:val="single"/>
        </w:rPr>
      </w:pPr>
      <w:r>
        <w:rPr>
          <w:rFonts w:hint="eastAsia" w:ascii="宋体" w:hAnsi="宋体" w:cs="宋体"/>
          <w:color w:val="auto"/>
          <w:sz w:val="21"/>
          <w:szCs w:val="21"/>
        </w:rPr>
        <w:t>致：</w:t>
      </w:r>
      <w:r>
        <w:rPr>
          <w:rFonts w:hint="eastAsia" w:ascii="宋体" w:hAnsi="宋体" w:cs="宋体"/>
          <w:color w:val="auto"/>
          <w:sz w:val="21"/>
          <w:szCs w:val="21"/>
          <w:u w:val="single"/>
        </w:rPr>
        <w:t>　　　　　（采购人全称）　　　　　　     　　</w:t>
      </w:r>
    </w:p>
    <w:p w14:paraId="71A6223C">
      <w:pPr>
        <w:keepNext w:val="0"/>
        <w:keepLines w:val="0"/>
        <w:pageBreakBefore w:val="0"/>
        <w:widowControl/>
        <w:kinsoku/>
        <w:wordWrap/>
        <w:overflowPunct/>
        <w:topLinePunct w:val="0"/>
        <w:bidi w:val="0"/>
        <w:snapToGrid/>
        <w:spacing w:line="440" w:lineRule="exact"/>
        <w:ind w:firstLine="420" w:firstLineChars="200"/>
        <w:textAlignment w:val="auto"/>
        <w:rPr>
          <w:rFonts w:ascii="宋体" w:hAnsi="宋体" w:cs="宋体"/>
          <w:color w:val="auto"/>
          <w:sz w:val="21"/>
          <w:szCs w:val="21"/>
        </w:rPr>
      </w:pPr>
      <w:r>
        <w:rPr>
          <w:rFonts w:hint="eastAsia" w:ascii="宋体" w:hAnsi="宋体" w:cs="宋体"/>
          <w:color w:val="auto"/>
          <w:sz w:val="21"/>
          <w:szCs w:val="21"/>
        </w:rPr>
        <w:t>我单位收到贵公司　</w:t>
      </w:r>
      <w:r>
        <w:rPr>
          <w:rFonts w:hint="eastAsia" w:ascii="宋体" w:hAnsi="宋体" w:cs="宋体"/>
          <w:color w:val="auto"/>
          <w:sz w:val="21"/>
          <w:szCs w:val="21"/>
          <w:u w:val="single"/>
        </w:rPr>
        <w:t>（项目名称、编号）　　　　　　　</w:t>
      </w:r>
      <w:r>
        <w:rPr>
          <w:rFonts w:hint="eastAsia" w:ascii="宋体" w:hAnsi="宋体" w:cs="宋体"/>
          <w:color w:val="auto"/>
          <w:sz w:val="21"/>
          <w:szCs w:val="21"/>
        </w:rPr>
        <w:t>竞争性磋商文件，经详细研究，我们决定参加组织</w:t>
      </w:r>
      <w:r>
        <w:rPr>
          <w:rFonts w:hint="eastAsia" w:ascii="宋体" w:hAnsi="宋体" w:cs="宋体"/>
          <w:color w:val="auto"/>
          <w:sz w:val="21"/>
          <w:szCs w:val="21"/>
          <w:u w:val="single"/>
        </w:rPr>
        <w:t>　　　　　　　　　　　　　　</w:t>
      </w:r>
      <w:r>
        <w:rPr>
          <w:rFonts w:hint="eastAsia" w:ascii="宋体" w:hAnsi="宋体" w:cs="宋体"/>
          <w:color w:val="auto"/>
          <w:sz w:val="21"/>
          <w:szCs w:val="21"/>
        </w:rPr>
        <w:t>项目（编号为</w:t>
      </w:r>
      <w:r>
        <w:rPr>
          <w:rFonts w:hint="eastAsia" w:ascii="宋体" w:hAnsi="宋体" w:cs="宋体"/>
          <w:color w:val="auto"/>
          <w:sz w:val="21"/>
          <w:szCs w:val="21"/>
          <w:u w:val="single"/>
        </w:rPr>
        <w:t>　　　　　　</w:t>
      </w:r>
      <w:r>
        <w:rPr>
          <w:rFonts w:hint="eastAsia" w:ascii="宋体" w:hAnsi="宋体" w:cs="宋体"/>
          <w:color w:val="auto"/>
          <w:sz w:val="21"/>
          <w:szCs w:val="21"/>
        </w:rPr>
        <w:t>）的竞争性磋商活动，为此，我方着重声明如下：</w:t>
      </w:r>
    </w:p>
    <w:p w14:paraId="594D248E">
      <w:pPr>
        <w:keepNext w:val="0"/>
        <w:keepLines w:val="0"/>
        <w:pageBreakBefore w:val="0"/>
        <w:widowControl/>
        <w:numPr>
          <w:ilvl w:val="0"/>
          <w:numId w:val="0"/>
        </w:numPr>
        <w:kinsoku/>
        <w:wordWrap/>
        <w:overflowPunct/>
        <w:topLinePunct w:val="0"/>
        <w:bidi w:val="0"/>
        <w:snapToGrid/>
        <w:spacing w:line="440" w:lineRule="exact"/>
        <w:ind w:firstLine="420" w:firstLineChars="200"/>
        <w:textAlignment w:val="auto"/>
        <w:rPr>
          <w:rFonts w:ascii="宋体" w:hAnsi="宋体" w:eastAsia="宋体" w:cs="宋体"/>
          <w:color w:val="auto"/>
          <w:kern w:val="0"/>
          <w:sz w:val="21"/>
          <w:szCs w:val="21"/>
          <w:lang w:val="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我方愿意按照竞争性磋商文件中的一切要求，</w:t>
      </w:r>
      <w:r>
        <w:rPr>
          <w:rFonts w:hint="eastAsia" w:ascii="宋体" w:hAnsi="宋体" w:eastAsia="宋体" w:cs="宋体"/>
          <w:color w:val="auto"/>
          <w:sz w:val="21"/>
          <w:szCs w:val="21"/>
          <w:lang w:val="zh-CN"/>
        </w:rPr>
        <w:t>按合同约定实施和完成</w:t>
      </w:r>
      <w:r>
        <w:rPr>
          <w:rFonts w:hint="eastAsia" w:ascii="宋体" w:hAnsi="宋体" w:eastAsia="宋体" w:cs="宋体"/>
          <w:color w:val="auto"/>
          <w:sz w:val="21"/>
          <w:szCs w:val="21"/>
        </w:rPr>
        <w:t>采购。磋商报价为：</w:t>
      </w:r>
      <w:r>
        <w:rPr>
          <w:rFonts w:hint="eastAsia" w:ascii="宋体" w:hAnsi="宋体" w:eastAsia="宋体" w:cs="宋体"/>
          <w:color w:val="auto"/>
          <w:sz w:val="21"/>
          <w:szCs w:val="21"/>
          <w:lang w:val="zh-CN"/>
        </w:rPr>
        <w:t>人民币(大写)</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元(￥</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)的磋商报价，</w:t>
      </w:r>
      <w:r>
        <w:rPr>
          <w:rFonts w:hint="eastAsia" w:ascii="宋体" w:hAnsi="宋体" w:eastAsia="宋体" w:cs="宋体"/>
          <w:bCs/>
          <w:color w:val="auto"/>
          <w:sz w:val="21"/>
          <w:szCs w:val="21"/>
          <w:lang w:val="zh-CN"/>
        </w:rPr>
        <w:t>合同履行期限：</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14:paraId="75A6FACF">
      <w:pPr>
        <w:keepNext w:val="0"/>
        <w:keepLines w:val="0"/>
        <w:pageBreakBefore w:val="0"/>
        <w:widowControl/>
        <w:kinsoku/>
        <w:wordWrap/>
        <w:overflowPunct/>
        <w:topLinePunct w:val="0"/>
        <w:autoSpaceDE w:val="0"/>
        <w:autoSpaceDN w:val="0"/>
        <w:bidi w:val="0"/>
        <w:adjustRightInd w:val="0"/>
        <w:snapToGrid/>
        <w:spacing w:line="440" w:lineRule="exact"/>
        <w:ind w:firstLine="420" w:firstLineChars="20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zh-CN"/>
        </w:rPr>
        <w:t>我方承诺在投标有效期内不修改、撤销响应文件。</w:t>
      </w:r>
    </w:p>
    <w:p w14:paraId="1187F203">
      <w:pPr>
        <w:keepNext w:val="0"/>
        <w:keepLines w:val="0"/>
        <w:pageBreakBefore w:val="0"/>
        <w:widowControl/>
        <w:kinsoku/>
        <w:wordWrap/>
        <w:overflowPunct/>
        <w:topLinePunct w:val="0"/>
        <w:autoSpaceDE w:val="0"/>
        <w:autoSpaceDN w:val="0"/>
        <w:bidi w:val="0"/>
        <w:adjustRightInd w:val="0"/>
        <w:snapToGrid/>
        <w:spacing w:line="440" w:lineRule="exact"/>
        <w:ind w:firstLine="479"/>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en-US" w:eastAsia="zh-CN"/>
        </w:rPr>
        <w:t>2</w:t>
      </w:r>
      <w:r>
        <w:rPr>
          <w:rFonts w:hint="eastAsia" w:ascii="宋体" w:hAnsi="宋体" w:eastAsia="宋体" w:cs="宋体"/>
          <w:color w:val="auto"/>
          <w:kern w:val="0"/>
          <w:szCs w:val="21"/>
          <w:lang w:val="zh-CN"/>
        </w:rPr>
        <w:t>．我方已详细研究了磋商文件的所有内容包括修正文（如有）和所有已提供的参考资料以及有关附件，并完全明白，我方放弃在此方面提出含糊意见或误解的一切权利。</w:t>
      </w:r>
    </w:p>
    <w:p w14:paraId="52B43592">
      <w:pPr>
        <w:keepNext w:val="0"/>
        <w:keepLines w:val="0"/>
        <w:pageBreakBefore w:val="0"/>
        <w:widowControl/>
        <w:kinsoku/>
        <w:wordWrap/>
        <w:overflowPunct/>
        <w:topLinePunct w:val="0"/>
        <w:autoSpaceDE w:val="0"/>
        <w:autoSpaceDN w:val="0"/>
        <w:bidi w:val="0"/>
        <w:adjustRightInd w:val="0"/>
        <w:snapToGrid/>
        <w:spacing w:line="440" w:lineRule="exact"/>
        <w:ind w:firstLine="42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．如我方中标：</w:t>
      </w:r>
    </w:p>
    <w:p w14:paraId="3A8663F4">
      <w:pPr>
        <w:keepNext w:val="0"/>
        <w:keepLines w:val="0"/>
        <w:pageBreakBefore w:val="0"/>
        <w:widowControl/>
        <w:kinsoku/>
        <w:wordWrap/>
        <w:overflowPunct/>
        <w:topLinePunct w:val="0"/>
        <w:autoSpaceDE w:val="0"/>
        <w:autoSpaceDN w:val="0"/>
        <w:bidi w:val="0"/>
        <w:adjustRightInd w:val="0"/>
        <w:snapToGrid/>
        <w:spacing w:line="440" w:lineRule="exact"/>
        <w:ind w:firstLine="42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zh-CN"/>
        </w:rPr>
        <w:t>(l）我方承诺在收到中标通知书后，在中标通知书规定的期限内与你方签订合同。</w:t>
      </w:r>
    </w:p>
    <w:p w14:paraId="50E75095">
      <w:pPr>
        <w:keepNext w:val="0"/>
        <w:keepLines w:val="0"/>
        <w:pageBreakBefore w:val="0"/>
        <w:widowControl/>
        <w:kinsoku/>
        <w:wordWrap/>
        <w:overflowPunct/>
        <w:topLinePunct w:val="0"/>
        <w:autoSpaceDE w:val="0"/>
        <w:autoSpaceDN w:val="0"/>
        <w:bidi w:val="0"/>
        <w:adjustRightInd w:val="0"/>
        <w:snapToGrid/>
        <w:spacing w:line="440" w:lineRule="exact"/>
        <w:ind w:firstLine="42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zh-CN"/>
        </w:rPr>
        <w:t>(2）我方承诺按照磋商文件规定向你方递交履约担保。</w:t>
      </w:r>
    </w:p>
    <w:p w14:paraId="09009073">
      <w:pPr>
        <w:keepNext w:val="0"/>
        <w:keepLines w:val="0"/>
        <w:pageBreakBefore w:val="0"/>
        <w:widowControl/>
        <w:kinsoku/>
        <w:wordWrap/>
        <w:overflowPunct/>
        <w:topLinePunct w:val="0"/>
        <w:autoSpaceDE w:val="0"/>
        <w:autoSpaceDN w:val="0"/>
        <w:bidi w:val="0"/>
        <w:adjustRightInd w:val="0"/>
        <w:snapToGrid/>
        <w:spacing w:line="440" w:lineRule="exact"/>
        <w:ind w:firstLine="42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zh-CN"/>
        </w:rPr>
        <w:t>(3）我方承诺在合同约定的期限内完成并移交全部合同项目。</w:t>
      </w:r>
    </w:p>
    <w:p w14:paraId="2D45CF98">
      <w:pPr>
        <w:keepNext w:val="0"/>
        <w:keepLines w:val="0"/>
        <w:pageBreakBefore w:val="0"/>
        <w:widowControl/>
        <w:kinsoku/>
        <w:wordWrap/>
        <w:overflowPunct/>
        <w:topLinePunct w:val="0"/>
        <w:autoSpaceDE w:val="0"/>
        <w:autoSpaceDN w:val="0"/>
        <w:bidi w:val="0"/>
        <w:adjustRightInd w:val="0"/>
        <w:snapToGrid/>
        <w:spacing w:line="440" w:lineRule="exact"/>
        <w:ind w:firstLine="525"/>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en-US" w:eastAsia="zh-CN"/>
        </w:rPr>
        <w:t>4</w:t>
      </w:r>
      <w:r>
        <w:rPr>
          <w:rFonts w:hint="eastAsia" w:ascii="宋体" w:hAnsi="宋体" w:eastAsia="宋体" w:cs="宋体"/>
          <w:color w:val="auto"/>
          <w:kern w:val="0"/>
          <w:szCs w:val="21"/>
          <w:lang w:val="zh-CN"/>
        </w:rPr>
        <w:t>．我方在此声明，所递交的响应文件及有关资料内容完整、真实和准确，并愿承担由此带来的相关法律责任。</w:t>
      </w:r>
    </w:p>
    <w:p w14:paraId="00C5E92A">
      <w:pPr>
        <w:keepNext w:val="0"/>
        <w:keepLines w:val="0"/>
        <w:pageBreakBefore w:val="0"/>
        <w:widowControl/>
        <w:kinsoku/>
        <w:wordWrap/>
        <w:overflowPunct/>
        <w:topLinePunct w:val="0"/>
        <w:autoSpaceDE w:val="0"/>
        <w:autoSpaceDN w:val="0"/>
        <w:bidi w:val="0"/>
        <w:adjustRightInd w:val="0"/>
        <w:snapToGrid/>
        <w:spacing w:line="440" w:lineRule="exact"/>
        <w:ind w:firstLine="420"/>
        <w:textAlignment w:val="auto"/>
        <w:rPr>
          <w:rFonts w:ascii="宋体" w:hAnsi="宋体" w:eastAsia="宋体" w:cs="宋体"/>
          <w:color w:val="auto"/>
          <w:kern w:val="0"/>
          <w:szCs w:val="21"/>
          <w:lang w:val="zh-CN"/>
        </w:rPr>
      </w:pPr>
      <w:r>
        <w:rPr>
          <w:rFonts w:hint="eastAsia" w:ascii="宋体" w:hAnsi="宋体" w:eastAsia="宋体" w:cs="宋体"/>
          <w:color w:val="auto"/>
          <w:kern w:val="0"/>
          <w:szCs w:val="21"/>
          <w:lang w:val="zh-CN"/>
        </w:rPr>
        <w:t xml:space="preserve"> </w:t>
      </w:r>
      <w:r>
        <w:rPr>
          <w:rFonts w:hint="eastAsia" w:ascii="宋体" w:hAnsi="宋体" w:eastAsia="宋体" w:cs="宋体"/>
          <w:color w:val="auto"/>
          <w:kern w:val="0"/>
          <w:szCs w:val="21"/>
          <w:lang w:val="en-US" w:eastAsia="zh-CN"/>
        </w:rPr>
        <w:t>5</w:t>
      </w:r>
      <w:r>
        <w:rPr>
          <w:rFonts w:hint="eastAsia" w:ascii="宋体" w:hAnsi="宋体" w:eastAsia="宋体" w:cs="宋体"/>
          <w:color w:val="auto"/>
          <w:kern w:val="0"/>
          <w:szCs w:val="21"/>
          <w:lang w:val="zh-CN"/>
        </w:rPr>
        <w:t xml:space="preserve">. </w:t>
      </w:r>
      <w:r>
        <w:rPr>
          <w:rFonts w:hint="eastAsia" w:ascii="宋体" w:hAnsi="宋体" w:eastAsia="宋体" w:cs="宋体"/>
          <w:color w:val="auto"/>
          <w:kern w:val="0"/>
          <w:szCs w:val="21"/>
          <w:u w:val="single"/>
          <w:lang w:val="en-US" w:eastAsia="zh-CN"/>
        </w:rPr>
        <w:t xml:space="preserve">      </w:t>
      </w:r>
      <w:r>
        <w:rPr>
          <w:rFonts w:hint="eastAsia" w:ascii="宋体" w:hAnsi="宋体" w:eastAsia="宋体" w:cs="宋体"/>
          <w:color w:val="auto"/>
          <w:kern w:val="0"/>
          <w:szCs w:val="21"/>
          <w:lang w:val="zh-CN"/>
        </w:rPr>
        <w:t>（其他补充说明）。</w:t>
      </w:r>
    </w:p>
    <w:p w14:paraId="155B3604">
      <w:pPr>
        <w:keepNext w:val="0"/>
        <w:keepLines w:val="0"/>
        <w:pageBreakBefore w:val="0"/>
        <w:widowControl/>
        <w:kinsoku/>
        <w:wordWrap/>
        <w:overflowPunct/>
        <w:topLinePunct w:val="0"/>
        <w:autoSpaceDE w:val="0"/>
        <w:autoSpaceDN w:val="0"/>
        <w:bidi w:val="0"/>
        <w:adjustRightInd w:val="0"/>
        <w:snapToGrid/>
        <w:spacing w:line="440" w:lineRule="exact"/>
        <w:ind w:firstLine="420" w:firstLineChars="200"/>
        <w:textAlignment w:val="auto"/>
        <w:rPr>
          <w:rFonts w:ascii="宋体" w:hAnsi="宋体" w:eastAsia="宋体" w:cs="宋体"/>
          <w:color w:val="auto"/>
          <w:kern w:val="0"/>
          <w:szCs w:val="21"/>
        </w:rPr>
      </w:pPr>
      <w:r>
        <w:rPr>
          <w:rFonts w:hint="eastAsia" w:ascii="宋体" w:hAnsi="宋体" w:cs="宋体"/>
          <w:color w:val="auto"/>
          <w:kern w:val="0"/>
          <w:szCs w:val="21"/>
        </w:rPr>
        <w:t>供应商</w:t>
      </w:r>
      <w:r>
        <w:rPr>
          <w:rFonts w:hint="eastAsia" w:ascii="宋体" w:hAnsi="宋体" w:eastAsia="宋体" w:cs="宋体"/>
          <w:color w:val="auto"/>
          <w:kern w:val="0"/>
          <w:szCs w:val="21"/>
        </w:rPr>
        <w:t>：</w:t>
      </w:r>
      <w:r>
        <w:rPr>
          <w:rFonts w:hint="eastAsia" w:ascii="宋体" w:hAnsi="宋体" w:eastAsia="宋体" w:cs="宋体"/>
          <w:color w:val="auto"/>
          <w:kern w:val="0"/>
          <w:szCs w:val="21"/>
          <w:u w:val="single"/>
          <w:lang w:val="en-US" w:eastAsia="zh-CN"/>
        </w:rPr>
        <w:t xml:space="preserve">      </w:t>
      </w:r>
      <w:r>
        <w:rPr>
          <w:rFonts w:hint="eastAsia" w:ascii="宋体" w:hAnsi="宋体" w:eastAsia="宋体" w:cs="宋体"/>
          <w:color w:val="auto"/>
          <w:kern w:val="0"/>
          <w:szCs w:val="21"/>
        </w:rPr>
        <w:t>(盖单位章)</w:t>
      </w:r>
    </w:p>
    <w:p w14:paraId="599D8653">
      <w:pPr>
        <w:keepNext w:val="0"/>
        <w:keepLines w:val="0"/>
        <w:pageBreakBefore w:val="0"/>
        <w:widowControl/>
        <w:kinsoku/>
        <w:wordWrap/>
        <w:overflowPunct/>
        <w:topLinePunct w:val="0"/>
        <w:autoSpaceDE w:val="0"/>
        <w:autoSpaceDN w:val="0"/>
        <w:bidi w:val="0"/>
        <w:adjustRightInd w:val="0"/>
        <w:snapToGrid/>
        <w:spacing w:line="440" w:lineRule="exact"/>
        <w:ind w:firstLine="420" w:firstLineChars="200"/>
        <w:textAlignment w:val="auto"/>
        <w:rPr>
          <w:rFonts w:ascii="宋体" w:hAnsi="宋体" w:eastAsia="宋体" w:cs="宋体"/>
          <w:color w:val="auto"/>
          <w:kern w:val="0"/>
          <w:szCs w:val="21"/>
        </w:rPr>
      </w:pPr>
      <w:r>
        <w:rPr>
          <w:rFonts w:hint="eastAsia" w:ascii="宋体" w:hAnsi="宋体" w:eastAsia="宋体" w:cs="宋体"/>
          <w:color w:val="auto"/>
          <w:kern w:val="0"/>
          <w:szCs w:val="21"/>
        </w:rPr>
        <w:t>法定代表人或其授权委托代理人：</w:t>
      </w:r>
      <w:r>
        <w:rPr>
          <w:rFonts w:hint="eastAsia" w:ascii="宋体" w:hAnsi="宋体" w:eastAsia="宋体" w:cs="宋体"/>
          <w:color w:val="auto"/>
          <w:kern w:val="0"/>
          <w:szCs w:val="21"/>
          <w:u w:val="single"/>
          <w:lang w:val="en-US" w:eastAsia="zh-CN"/>
        </w:rPr>
        <w:t xml:space="preserve">      </w:t>
      </w:r>
      <w:r>
        <w:rPr>
          <w:rFonts w:hint="eastAsia" w:ascii="宋体" w:hAnsi="宋体" w:eastAsia="宋体" w:cs="宋体"/>
          <w:color w:val="auto"/>
          <w:kern w:val="0"/>
          <w:szCs w:val="21"/>
        </w:rPr>
        <w:t>(签字)</w:t>
      </w:r>
    </w:p>
    <w:p w14:paraId="7BBE35C2">
      <w:pPr>
        <w:autoSpaceDE w:val="0"/>
        <w:autoSpaceDN w:val="0"/>
        <w:adjustRightInd w:val="0"/>
        <w:spacing w:line="50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地    址：</w:t>
      </w:r>
    </w:p>
    <w:p w14:paraId="0C9CB0D7">
      <w:pPr>
        <w:autoSpaceDE w:val="0"/>
        <w:autoSpaceDN w:val="0"/>
        <w:adjustRightInd w:val="0"/>
        <w:spacing w:line="50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网    址：</w:t>
      </w:r>
    </w:p>
    <w:p w14:paraId="12BD262E">
      <w:pPr>
        <w:autoSpaceDE w:val="0"/>
        <w:autoSpaceDN w:val="0"/>
        <w:adjustRightInd w:val="0"/>
        <w:spacing w:line="50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电    话：</w:t>
      </w:r>
    </w:p>
    <w:p w14:paraId="595EC3E1">
      <w:pPr>
        <w:autoSpaceDE w:val="0"/>
        <w:autoSpaceDN w:val="0"/>
        <w:adjustRightInd w:val="0"/>
        <w:spacing w:line="50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传    真：</w:t>
      </w:r>
    </w:p>
    <w:p w14:paraId="509F27FA">
      <w:pPr>
        <w:autoSpaceDE w:val="0"/>
        <w:autoSpaceDN w:val="0"/>
        <w:adjustRightInd w:val="0"/>
        <w:spacing w:line="500" w:lineRule="exact"/>
        <w:ind w:firstLine="420" w:firstLineChars="200"/>
        <w:rPr>
          <w:rFonts w:ascii="宋体" w:hAnsi="宋体" w:eastAsia="宋体" w:cs="宋体"/>
          <w:color w:val="auto"/>
          <w:kern w:val="0"/>
          <w:szCs w:val="21"/>
        </w:rPr>
      </w:pPr>
      <w:r>
        <w:rPr>
          <w:rFonts w:hint="eastAsia" w:ascii="宋体" w:hAnsi="宋体" w:eastAsia="宋体" w:cs="宋体"/>
          <w:color w:val="auto"/>
          <w:kern w:val="0"/>
          <w:szCs w:val="21"/>
        </w:rPr>
        <w:t>邮政编码：</w:t>
      </w:r>
    </w:p>
    <w:p w14:paraId="708FDD3C">
      <w:pPr>
        <w:wordWrap w:val="0"/>
        <w:ind w:right="420" w:firstLine="3498" w:firstLineChars="1666"/>
        <w:jc w:val="right"/>
        <w:rPr>
          <w:rFonts w:ascii="宋体" w:hAnsi="宋体"/>
          <w:color w:val="auto"/>
          <w:szCs w:val="21"/>
        </w:rPr>
      </w:pPr>
      <w:r>
        <w:rPr>
          <w:rFonts w:hint="eastAsia" w:ascii="宋体" w:hAnsi="宋体" w:eastAsia="宋体" w:cs="宋体"/>
          <w:color w:val="auto"/>
          <w:kern w:val="0"/>
          <w:szCs w:val="21"/>
        </w:rPr>
        <w:t>年   月   日</w:t>
      </w:r>
    </w:p>
    <w:p w14:paraId="5D71F209">
      <w:pPr>
        <w:rPr>
          <w:rFonts w:hint="eastAsia" w:ascii="宋体" w:hAnsi="宋体" w:eastAsia="宋体" w:cs="宋体"/>
          <w:b/>
          <w:color w:val="auto"/>
        </w:rPr>
      </w:pPr>
      <w:r>
        <w:rPr>
          <w:rFonts w:hint="eastAsia" w:ascii="宋体" w:hAnsi="宋体" w:eastAsia="宋体" w:cs="宋体"/>
          <w:b/>
          <w:color w:val="auto"/>
        </w:rPr>
        <w:br w:type="page"/>
      </w:r>
    </w:p>
    <w:p w14:paraId="2F4BFAEC">
      <w:pPr>
        <w:pStyle w:val="204"/>
        <w:numPr>
          <w:ilvl w:val="1"/>
          <w:numId w:val="0"/>
        </w:numPr>
        <w:jc w:val="center"/>
        <w:outlineLvl w:val="0"/>
        <w:rPr>
          <w:rFonts w:hint="eastAsia" w:ascii="宋体" w:hAnsi="宋体" w:eastAsia="宋体" w:cs="宋体"/>
          <w:b/>
          <w:color w:val="auto"/>
        </w:rPr>
      </w:pPr>
      <w:r>
        <w:rPr>
          <w:rFonts w:hint="eastAsia" w:ascii="宋体" w:hAnsi="宋体" w:eastAsia="宋体" w:cs="宋体"/>
          <w:b/>
          <w:color w:val="auto"/>
        </w:rPr>
        <w:t>二、法定代表人身份证明</w:t>
      </w:r>
    </w:p>
    <w:p w14:paraId="0FA68FEF">
      <w:pPr>
        <w:pStyle w:val="8"/>
        <w:spacing w:line="360" w:lineRule="auto"/>
        <w:ind w:firstLineChars="200"/>
        <w:rPr>
          <w:rFonts w:hint="eastAsia" w:ascii="宋体" w:hAnsi="宋体" w:eastAsia="宋体" w:cs="宋体"/>
          <w:bCs/>
          <w:color w:val="auto"/>
          <w:sz w:val="21"/>
          <w:szCs w:val="21"/>
        </w:rPr>
      </w:pPr>
    </w:p>
    <w:p w14:paraId="34F88EF6">
      <w:pPr>
        <w:pStyle w:val="8"/>
        <w:spacing w:line="360" w:lineRule="auto"/>
        <w:ind w:firstLine="630" w:firstLineChars="300"/>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名称：______________________________.</w:t>
      </w:r>
    </w:p>
    <w:p w14:paraId="58A753EF">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单位性质：_________________________________.</w:t>
      </w:r>
    </w:p>
    <w:p w14:paraId="391DDA6E">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地址：_____________________________________.</w:t>
      </w:r>
    </w:p>
    <w:p w14:paraId="67D1A79A">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成立时间：_________________________________.</w:t>
      </w:r>
    </w:p>
    <w:p w14:paraId="0C76ADC1">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经营期限：_________________________________.</w:t>
      </w:r>
    </w:p>
    <w:p w14:paraId="1B4A1B63">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姓名：_______性别：______年龄：_____职务：______</w:t>
      </w:r>
    </w:p>
    <w:p w14:paraId="4160CF4E">
      <w:pPr>
        <w:pStyle w:val="8"/>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系_____________________（</w:t>
      </w: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名称）的法定代表人。</w:t>
      </w:r>
    </w:p>
    <w:p w14:paraId="61FB9DF6">
      <w:pPr>
        <w:pStyle w:val="8"/>
        <w:spacing w:line="360" w:lineRule="auto"/>
        <w:ind w:firstLine="3045" w:firstLineChars="1450"/>
        <w:rPr>
          <w:rFonts w:hint="eastAsia" w:ascii="宋体" w:hAnsi="宋体" w:eastAsia="宋体" w:cs="宋体"/>
          <w:bCs/>
          <w:color w:val="auto"/>
          <w:sz w:val="21"/>
          <w:szCs w:val="21"/>
        </w:rPr>
      </w:pPr>
    </w:p>
    <w:p w14:paraId="24E187F5">
      <w:pPr>
        <w:spacing w:line="360" w:lineRule="auto"/>
        <w:ind w:firstLine="630" w:firstLineChars="300"/>
        <w:rPr>
          <w:rFonts w:hint="eastAsia" w:ascii="宋体" w:hAnsi="宋体" w:eastAsia="宋体" w:cs="宋体"/>
          <w:color w:val="auto"/>
          <w:szCs w:val="28"/>
          <w:lang w:eastAsia="zh-CN"/>
        </w:rPr>
      </w:pPr>
      <w:r>
        <w:rPr>
          <w:rFonts w:hint="eastAsia" w:ascii="宋体" w:hAnsi="宋体" w:cs="宋体"/>
          <w:color w:val="auto"/>
          <w:szCs w:val="28"/>
          <w:lang w:eastAsia="zh-CN"/>
        </w:rPr>
        <w:t>附法人身份证正反面</w:t>
      </w:r>
    </w:p>
    <w:p w14:paraId="56142F8B">
      <w:pPr>
        <w:pStyle w:val="8"/>
        <w:spacing w:line="360" w:lineRule="auto"/>
        <w:ind w:firstLine="3045" w:firstLineChars="1450"/>
        <w:rPr>
          <w:rFonts w:hint="eastAsia" w:ascii="宋体" w:hAnsi="宋体" w:eastAsia="宋体" w:cs="宋体"/>
          <w:bCs/>
          <w:color w:val="auto"/>
          <w:sz w:val="21"/>
          <w:szCs w:val="21"/>
        </w:rPr>
      </w:pPr>
    </w:p>
    <w:p w14:paraId="3CC57A98">
      <w:pPr>
        <w:pStyle w:val="8"/>
        <w:spacing w:line="360" w:lineRule="auto"/>
        <w:ind w:firstLine="3045" w:firstLineChars="1450"/>
        <w:rPr>
          <w:rFonts w:hint="eastAsia" w:ascii="宋体" w:hAnsi="宋体" w:eastAsia="宋体" w:cs="宋体"/>
          <w:bCs/>
          <w:color w:val="auto"/>
          <w:sz w:val="21"/>
          <w:szCs w:val="21"/>
        </w:rPr>
      </w:pPr>
    </w:p>
    <w:p w14:paraId="1426EA3B">
      <w:pPr>
        <w:pStyle w:val="8"/>
        <w:spacing w:line="360" w:lineRule="auto"/>
        <w:ind w:firstLine="3255" w:firstLineChars="1550"/>
        <w:rPr>
          <w:rFonts w:hint="eastAsia" w:ascii="宋体" w:hAnsi="宋体" w:eastAsia="宋体" w:cs="宋体"/>
          <w:bCs/>
          <w:color w:val="auto"/>
          <w:sz w:val="21"/>
          <w:szCs w:val="21"/>
        </w:rPr>
      </w:pPr>
      <w:r>
        <w:rPr>
          <w:rFonts w:hint="eastAsia" w:ascii="宋体" w:hAnsi="宋体" w:eastAsia="宋体" w:cs="宋体"/>
          <w:bCs/>
          <w:color w:val="auto"/>
          <w:sz w:val="21"/>
          <w:szCs w:val="21"/>
        </w:rPr>
        <w:t>特此证明</w:t>
      </w:r>
    </w:p>
    <w:p w14:paraId="5A1818FB">
      <w:pPr>
        <w:pStyle w:val="8"/>
        <w:spacing w:line="360" w:lineRule="auto"/>
        <w:rPr>
          <w:rFonts w:hint="eastAsia" w:ascii="宋体" w:hAnsi="宋体" w:eastAsia="宋体" w:cs="宋体"/>
          <w:b/>
          <w:bCs/>
          <w:color w:val="auto"/>
        </w:rPr>
      </w:pPr>
    </w:p>
    <w:p w14:paraId="5FB9A1D2">
      <w:pPr>
        <w:pStyle w:val="8"/>
        <w:spacing w:line="360" w:lineRule="auto"/>
        <w:rPr>
          <w:rFonts w:hint="eastAsia" w:ascii="宋体" w:hAnsi="宋体" w:eastAsia="宋体" w:cs="宋体"/>
          <w:b/>
          <w:bCs/>
          <w:color w:val="auto"/>
        </w:rPr>
      </w:pPr>
    </w:p>
    <w:p w14:paraId="75993929">
      <w:pPr>
        <w:pStyle w:val="8"/>
        <w:spacing w:line="360" w:lineRule="auto"/>
        <w:rPr>
          <w:rFonts w:hint="eastAsia" w:ascii="宋体" w:hAnsi="宋体" w:eastAsia="宋体" w:cs="宋体"/>
          <w:b/>
          <w:bCs/>
          <w:color w:val="auto"/>
        </w:rPr>
      </w:pPr>
    </w:p>
    <w:p w14:paraId="4D8E97B4">
      <w:pPr>
        <w:pStyle w:val="8"/>
        <w:spacing w:line="360" w:lineRule="auto"/>
        <w:ind w:firstLine="3990" w:firstLineChars="1900"/>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供应商</w:t>
      </w:r>
      <w:r>
        <w:rPr>
          <w:rFonts w:hint="eastAsia" w:ascii="宋体" w:hAnsi="宋体" w:eastAsia="宋体" w:cs="宋体"/>
          <w:bCs/>
          <w:color w:val="auto"/>
          <w:sz w:val="21"/>
          <w:szCs w:val="21"/>
        </w:rPr>
        <w:t>：_______________（盖单位章）</w:t>
      </w:r>
    </w:p>
    <w:p w14:paraId="07EF5316">
      <w:pPr>
        <w:pStyle w:val="8"/>
        <w:spacing w:line="360" w:lineRule="auto"/>
        <w:ind w:firstLine="4095" w:firstLineChars="1950"/>
        <w:rPr>
          <w:rFonts w:hint="eastAsia" w:ascii="宋体" w:hAnsi="宋体" w:eastAsia="宋体" w:cs="宋体"/>
          <w:bCs/>
          <w:color w:val="auto"/>
          <w:sz w:val="21"/>
          <w:szCs w:val="21"/>
        </w:rPr>
      </w:pPr>
      <w:r>
        <w:rPr>
          <w:rFonts w:hint="eastAsia" w:ascii="宋体" w:hAnsi="宋体" w:eastAsia="宋体" w:cs="宋体"/>
          <w:bCs/>
          <w:color w:val="auto"/>
          <w:sz w:val="21"/>
          <w:szCs w:val="21"/>
        </w:rPr>
        <w:t>_________年_________月_______日</w:t>
      </w:r>
    </w:p>
    <w:p w14:paraId="47AF832C">
      <w:pPr>
        <w:pStyle w:val="8"/>
        <w:spacing w:line="360" w:lineRule="auto"/>
        <w:ind w:firstLine="4095" w:firstLineChars="1950"/>
        <w:rPr>
          <w:rFonts w:hint="eastAsia" w:ascii="宋体" w:hAnsi="宋体" w:eastAsia="宋体" w:cs="宋体"/>
          <w:bCs/>
          <w:color w:val="auto"/>
          <w:sz w:val="21"/>
          <w:szCs w:val="21"/>
        </w:rPr>
      </w:pPr>
    </w:p>
    <w:p w14:paraId="661E0FEE">
      <w:pPr>
        <w:pStyle w:val="8"/>
        <w:spacing w:line="360" w:lineRule="auto"/>
        <w:ind w:firstLine="4095" w:firstLineChars="1950"/>
        <w:rPr>
          <w:rFonts w:hint="eastAsia" w:ascii="宋体" w:hAnsi="宋体" w:eastAsia="宋体" w:cs="宋体"/>
          <w:bCs/>
          <w:color w:val="auto"/>
          <w:sz w:val="21"/>
          <w:szCs w:val="21"/>
        </w:rPr>
      </w:pPr>
    </w:p>
    <w:p w14:paraId="76586685">
      <w:pPr>
        <w:pStyle w:val="8"/>
        <w:spacing w:line="360" w:lineRule="auto"/>
        <w:ind w:firstLine="4095" w:firstLineChars="1950"/>
        <w:rPr>
          <w:rFonts w:hint="eastAsia" w:ascii="宋体" w:hAnsi="宋体" w:eastAsia="宋体" w:cs="宋体"/>
          <w:bCs/>
          <w:color w:val="auto"/>
          <w:sz w:val="21"/>
          <w:szCs w:val="21"/>
        </w:rPr>
      </w:pPr>
    </w:p>
    <w:p w14:paraId="64BCA46D">
      <w:pPr>
        <w:pStyle w:val="8"/>
        <w:spacing w:line="360" w:lineRule="auto"/>
        <w:ind w:firstLine="4095" w:firstLineChars="1950"/>
        <w:rPr>
          <w:rFonts w:hint="eastAsia" w:ascii="宋体" w:hAnsi="宋体" w:eastAsia="宋体" w:cs="宋体"/>
          <w:bCs/>
          <w:color w:val="auto"/>
          <w:sz w:val="21"/>
          <w:szCs w:val="21"/>
        </w:rPr>
      </w:pPr>
    </w:p>
    <w:p w14:paraId="231EC18D">
      <w:pPr>
        <w:pStyle w:val="8"/>
        <w:spacing w:line="360" w:lineRule="auto"/>
        <w:ind w:firstLine="4095" w:firstLineChars="1950"/>
        <w:rPr>
          <w:rFonts w:hint="eastAsia" w:ascii="宋体" w:hAnsi="宋体" w:eastAsia="宋体" w:cs="宋体"/>
          <w:bCs/>
          <w:color w:val="auto"/>
          <w:sz w:val="21"/>
          <w:szCs w:val="21"/>
        </w:rPr>
      </w:pPr>
    </w:p>
    <w:p w14:paraId="25EAEF21">
      <w:pPr>
        <w:rPr>
          <w:rFonts w:hint="eastAsia" w:ascii="宋体" w:hAnsi="宋体" w:eastAsia="宋体" w:cs="宋体"/>
          <w:b/>
          <w:color w:val="auto"/>
        </w:rPr>
      </w:pPr>
      <w:r>
        <w:rPr>
          <w:rFonts w:hint="eastAsia" w:ascii="宋体" w:hAnsi="宋体" w:eastAsia="宋体" w:cs="宋体"/>
          <w:b/>
          <w:color w:val="auto"/>
        </w:rPr>
        <w:br w:type="page"/>
      </w:r>
    </w:p>
    <w:p w14:paraId="720BF7E9">
      <w:pPr>
        <w:pStyle w:val="204"/>
        <w:numPr>
          <w:ilvl w:val="1"/>
          <w:numId w:val="0"/>
        </w:numPr>
        <w:jc w:val="center"/>
        <w:outlineLvl w:val="0"/>
        <w:rPr>
          <w:rFonts w:hint="eastAsia" w:ascii="宋体" w:hAnsi="宋体" w:eastAsia="宋体" w:cs="宋体"/>
          <w:b/>
          <w:color w:val="auto"/>
        </w:rPr>
      </w:pPr>
      <w:r>
        <w:rPr>
          <w:rFonts w:hint="eastAsia" w:ascii="宋体" w:hAnsi="宋体" w:eastAsia="宋体" w:cs="宋体"/>
          <w:b/>
          <w:color w:val="auto"/>
        </w:rPr>
        <w:t>三、法定代表人授权书</w:t>
      </w:r>
    </w:p>
    <w:p w14:paraId="2508116C">
      <w:pPr>
        <w:jc w:val="center"/>
        <w:rPr>
          <w:rFonts w:hint="eastAsia" w:ascii="宋体" w:hAnsi="宋体" w:cs="宋体"/>
          <w:b/>
          <w:bCs/>
          <w:color w:val="auto"/>
        </w:rPr>
      </w:pPr>
    </w:p>
    <w:p w14:paraId="48EF523F">
      <w:pPr>
        <w:spacing w:line="360" w:lineRule="auto"/>
        <w:rPr>
          <w:rFonts w:hint="eastAsia" w:ascii="宋体" w:hAnsi="宋体" w:cs="宋体"/>
          <w:bCs/>
          <w:color w:val="auto"/>
          <w:szCs w:val="28"/>
          <w:u w:val="single"/>
        </w:rPr>
      </w:pPr>
      <w:r>
        <w:rPr>
          <w:rFonts w:hint="eastAsia" w:ascii="宋体" w:hAnsi="宋体" w:cs="宋体"/>
          <w:bCs/>
          <w:color w:val="auto"/>
          <w:kern w:val="11"/>
          <w:u w:val="single"/>
        </w:rPr>
        <w:t>（采购人）</w:t>
      </w:r>
      <w:r>
        <w:rPr>
          <w:rFonts w:hint="eastAsia" w:ascii="宋体" w:hAnsi="宋体" w:cs="宋体"/>
          <w:bCs/>
          <w:color w:val="auto"/>
          <w:szCs w:val="28"/>
          <w:u w:val="single"/>
        </w:rPr>
        <w:t>：</w:t>
      </w:r>
    </w:p>
    <w:p w14:paraId="372C0767">
      <w:pPr>
        <w:spacing w:line="360" w:lineRule="auto"/>
        <w:ind w:firstLine="630" w:firstLineChars="300"/>
        <w:rPr>
          <w:rFonts w:hint="eastAsia" w:ascii="宋体" w:hAnsi="宋体" w:cs="宋体"/>
          <w:color w:val="auto"/>
          <w:szCs w:val="28"/>
        </w:rPr>
      </w:pPr>
      <w:r>
        <w:rPr>
          <w:rFonts w:hint="eastAsia" w:ascii="宋体" w:hAnsi="宋体" w:cs="宋体"/>
          <w:color w:val="auto"/>
          <w:szCs w:val="28"/>
          <w:u w:val="single"/>
        </w:rPr>
        <w:t xml:space="preserve">                    </w:t>
      </w:r>
      <w:r>
        <w:rPr>
          <w:rFonts w:hint="eastAsia" w:ascii="宋体" w:hAnsi="宋体" w:cs="宋体"/>
          <w:color w:val="auto"/>
          <w:szCs w:val="28"/>
        </w:rPr>
        <w:t>（</w:t>
      </w:r>
      <w:r>
        <w:rPr>
          <w:rFonts w:hint="eastAsia" w:ascii="宋体" w:hAnsi="宋体" w:eastAsia="宋体" w:cs="宋体"/>
          <w:color w:val="auto"/>
          <w:szCs w:val="28"/>
          <w:lang w:eastAsia="zh-CN"/>
        </w:rPr>
        <w:t>供应商</w:t>
      </w:r>
      <w:r>
        <w:rPr>
          <w:rFonts w:hint="eastAsia" w:ascii="宋体" w:hAnsi="宋体" w:cs="宋体"/>
          <w:color w:val="auto"/>
          <w:szCs w:val="28"/>
        </w:rPr>
        <w:t>名称）法定代表人</w:t>
      </w:r>
      <w:r>
        <w:rPr>
          <w:rFonts w:hint="eastAsia" w:ascii="宋体" w:hAnsi="宋体" w:cs="宋体"/>
          <w:color w:val="auto"/>
          <w:szCs w:val="28"/>
          <w:u w:val="single"/>
        </w:rPr>
        <w:t xml:space="preserve">            </w:t>
      </w:r>
      <w:r>
        <w:rPr>
          <w:rFonts w:hint="eastAsia" w:ascii="宋体" w:hAnsi="宋体" w:cs="宋体"/>
          <w:color w:val="auto"/>
          <w:szCs w:val="28"/>
        </w:rPr>
        <w:t>授权我单位（职务或职称）</w:t>
      </w:r>
      <w:r>
        <w:rPr>
          <w:rFonts w:hint="eastAsia" w:ascii="宋体" w:hAnsi="宋体" w:cs="宋体"/>
          <w:color w:val="auto"/>
          <w:szCs w:val="28"/>
          <w:u w:val="single"/>
        </w:rPr>
        <w:t xml:space="preserve">              </w:t>
      </w:r>
      <w:r>
        <w:rPr>
          <w:rFonts w:hint="eastAsia" w:ascii="宋体" w:hAnsi="宋体" w:cs="宋体"/>
          <w:color w:val="auto"/>
          <w:szCs w:val="28"/>
        </w:rPr>
        <w:t xml:space="preserve"> （姓名）为我单位本次投标委托代理人，全权处理</w:t>
      </w:r>
      <w:r>
        <w:rPr>
          <w:rFonts w:hint="eastAsia" w:ascii="宋体" w:hAnsi="宋体" w:cs="宋体"/>
          <w:color w:val="auto"/>
          <w:szCs w:val="28"/>
          <w:u w:val="single"/>
        </w:rPr>
        <w:t xml:space="preserve">                  </w:t>
      </w:r>
      <w:r>
        <w:rPr>
          <w:rFonts w:hint="eastAsia" w:ascii="宋体" w:hAnsi="宋体" w:cs="宋体"/>
          <w:color w:val="auto"/>
          <w:szCs w:val="28"/>
        </w:rPr>
        <w:t>采购项目投标活动的一切事宜。该委托代理人作出的所有承诺说明，我单位均予以认可并承担全部责任。</w:t>
      </w:r>
    </w:p>
    <w:p w14:paraId="4F8A46CB">
      <w:pPr>
        <w:spacing w:line="360" w:lineRule="auto"/>
        <w:rPr>
          <w:rFonts w:hint="eastAsia" w:ascii="宋体" w:hAnsi="宋体" w:cs="宋体"/>
          <w:color w:val="auto"/>
          <w:szCs w:val="28"/>
        </w:rPr>
      </w:pPr>
      <w:r>
        <w:rPr>
          <w:rFonts w:hint="eastAsia" w:ascii="宋体" w:hAnsi="宋体" w:cs="宋体"/>
          <w:color w:val="auto"/>
          <w:szCs w:val="28"/>
        </w:rPr>
        <w:t xml:space="preserve">    特此授权。</w:t>
      </w:r>
    </w:p>
    <w:p w14:paraId="6425DFA3">
      <w:pPr>
        <w:spacing w:line="360" w:lineRule="auto"/>
        <w:ind w:firstLine="630" w:firstLineChars="300"/>
        <w:rPr>
          <w:rFonts w:hint="eastAsia" w:ascii="宋体" w:hAnsi="宋体" w:cs="宋体"/>
          <w:color w:val="auto"/>
          <w:szCs w:val="28"/>
        </w:rPr>
      </w:pPr>
    </w:p>
    <w:p w14:paraId="7D33CE77">
      <w:pPr>
        <w:spacing w:line="360" w:lineRule="auto"/>
        <w:ind w:firstLine="630" w:firstLineChars="300"/>
        <w:rPr>
          <w:rFonts w:hint="eastAsia" w:ascii="宋体" w:hAnsi="宋体" w:eastAsia="宋体" w:cs="宋体"/>
          <w:color w:val="auto"/>
          <w:szCs w:val="28"/>
          <w:lang w:eastAsia="zh-CN"/>
        </w:rPr>
      </w:pPr>
      <w:r>
        <w:rPr>
          <w:rFonts w:hint="eastAsia" w:ascii="宋体" w:hAnsi="宋体" w:cs="宋体"/>
          <w:color w:val="auto"/>
          <w:szCs w:val="28"/>
          <w:lang w:eastAsia="zh-CN"/>
        </w:rPr>
        <w:t>附授权人身份证正反面</w:t>
      </w:r>
    </w:p>
    <w:p w14:paraId="0CF5427D">
      <w:pPr>
        <w:spacing w:line="360" w:lineRule="auto"/>
        <w:ind w:firstLine="630" w:firstLineChars="300"/>
        <w:rPr>
          <w:rFonts w:hint="eastAsia" w:ascii="宋体" w:hAnsi="宋体" w:cs="宋体"/>
          <w:color w:val="auto"/>
          <w:szCs w:val="28"/>
        </w:rPr>
      </w:pPr>
    </w:p>
    <w:p w14:paraId="3EE2253A">
      <w:pPr>
        <w:spacing w:line="360" w:lineRule="auto"/>
        <w:ind w:firstLine="630" w:firstLineChars="300"/>
        <w:rPr>
          <w:rFonts w:hint="eastAsia" w:ascii="宋体" w:hAnsi="宋体" w:cs="宋体"/>
          <w:color w:val="auto"/>
          <w:szCs w:val="28"/>
        </w:rPr>
      </w:pPr>
    </w:p>
    <w:p w14:paraId="6EB58644">
      <w:pPr>
        <w:spacing w:after="120" w:line="360" w:lineRule="auto"/>
        <w:ind w:left="3360"/>
        <w:rPr>
          <w:rFonts w:hint="eastAsia" w:ascii="宋体" w:hAnsi="宋体" w:cs="宋体"/>
          <w:color w:val="auto"/>
          <w:szCs w:val="21"/>
        </w:rPr>
      </w:pPr>
      <w:r>
        <w:rPr>
          <w:rFonts w:hint="eastAsia" w:ascii="宋体" w:hAnsi="宋体" w:eastAsia="宋体" w:cs="宋体"/>
          <w:color w:val="auto"/>
          <w:szCs w:val="21"/>
          <w:lang w:eastAsia="zh-CN"/>
        </w:rPr>
        <w:t>供应商</w:t>
      </w:r>
      <w:r>
        <w:rPr>
          <w:rFonts w:hint="eastAsia" w:ascii="宋体" w:hAnsi="宋体" w:cs="宋体"/>
          <w:color w:val="auto"/>
          <w:szCs w:val="21"/>
        </w:rPr>
        <w:t>名称：</w:t>
      </w:r>
      <w:r>
        <w:rPr>
          <w:rFonts w:hint="eastAsia" w:ascii="宋体" w:hAnsi="宋体" w:cs="宋体"/>
          <w:color w:val="auto"/>
          <w:szCs w:val="21"/>
          <w:u w:val="single"/>
        </w:rPr>
        <w:t xml:space="preserve">                           </w:t>
      </w:r>
      <w:r>
        <w:rPr>
          <w:rFonts w:hint="eastAsia" w:ascii="宋体" w:hAnsi="宋体" w:cs="宋体"/>
          <w:color w:val="auto"/>
          <w:szCs w:val="21"/>
        </w:rPr>
        <w:t>（盖单位章）</w:t>
      </w:r>
    </w:p>
    <w:p w14:paraId="5607AEE6">
      <w:pPr>
        <w:spacing w:after="120" w:line="360" w:lineRule="auto"/>
        <w:ind w:left="3392"/>
        <w:rPr>
          <w:rFonts w:hint="eastAsia" w:ascii="宋体" w:hAnsi="宋体" w:cs="宋体"/>
          <w:color w:val="auto"/>
          <w:szCs w:val="21"/>
        </w:rPr>
      </w:pPr>
      <w:r>
        <w:rPr>
          <w:rFonts w:hint="eastAsia" w:ascii="宋体" w:hAnsi="宋体" w:cs="宋体"/>
          <w:color w:val="auto"/>
          <w:szCs w:val="21"/>
        </w:rPr>
        <w:t>法定代表人：</w:t>
      </w:r>
      <w:r>
        <w:rPr>
          <w:rFonts w:hint="eastAsia" w:ascii="宋体" w:hAnsi="宋体" w:cs="宋体"/>
          <w:color w:val="auto"/>
          <w:szCs w:val="21"/>
          <w:u w:val="single"/>
        </w:rPr>
        <w:t xml:space="preserve">                             </w:t>
      </w:r>
      <w:r>
        <w:rPr>
          <w:rFonts w:hint="eastAsia" w:ascii="宋体" w:hAnsi="宋体" w:cs="宋体"/>
          <w:color w:val="auto"/>
          <w:szCs w:val="21"/>
        </w:rPr>
        <w:t>（签字）</w:t>
      </w:r>
    </w:p>
    <w:p w14:paraId="5B2B0563">
      <w:pPr>
        <w:spacing w:after="120" w:line="360" w:lineRule="auto"/>
        <w:ind w:right="-143" w:rightChars="-68"/>
        <w:jc w:val="right"/>
        <w:rPr>
          <w:rFonts w:hint="eastAsia" w:ascii="宋体" w:hAnsi="宋体" w:cs="宋体"/>
          <w:color w:val="auto"/>
          <w:szCs w:val="21"/>
        </w:rPr>
      </w:pPr>
      <w:r>
        <w:rPr>
          <w:rFonts w:hint="eastAsia" w:ascii="宋体" w:hAnsi="宋体" w:cs="宋体"/>
          <w:color w:val="auto"/>
          <w:szCs w:val="21"/>
        </w:rPr>
        <w:t xml:space="preserve"> 委托代理人：</w:t>
      </w:r>
      <w:r>
        <w:rPr>
          <w:rFonts w:hint="eastAsia" w:ascii="宋体" w:hAnsi="宋体" w:cs="宋体"/>
          <w:color w:val="auto"/>
          <w:szCs w:val="21"/>
          <w:u w:val="single"/>
        </w:rPr>
        <w:t xml:space="preserve">                               </w:t>
      </w:r>
      <w:r>
        <w:rPr>
          <w:rFonts w:hint="eastAsia" w:ascii="宋体" w:hAnsi="宋体" w:cs="宋体"/>
          <w:color w:val="auto"/>
          <w:szCs w:val="21"/>
        </w:rPr>
        <w:t>（签字）</w:t>
      </w:r>
    </w:p>
    <w:p w14:paraId="0712E731">
      <w:pPr>
        <w:pStyle w:val="204"/>
        <w:numPr>
          <w:ilvl w:val="1"/>
          <w:numId w:val="0"/>
        </w:numPr>
        <w:jc w:val="right"/>
        <w:outlineLvl w:val="0"/>
        <w:rPr>
          <w:rFonts w:hint="eastAsia" w:ascii="宋体" w:hAnsi="宋体" w:cs="宋体"/>
          <w:color w:val="auto"/>
          <w:szCs w:val="21"/>
        </w:rPr>
      </w:pPr>
      <w:r>
        <w:rPr>
          <w:rFonts w:hint="eastAsia"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cs="宋体"/>
          <w:color w:val="auto"/>
          <w:sz w:val="21"/>
          <w:szCs w:val="21"/>
          <w:u w:val="single"/>
        </w:rPr>
        <w:t xml:space="preserve">       </w:t>
      </w:r>
      <w:r>
        <w:rPr>
          <w:rFonts w:hint="eastAsia" w:ascii="宋体" w:hAnsi="宋体" w:cs="宋体"/>
          <w:color w:val="auto"/>
          <w:sz w:val="21"/>
          <w:szCs w:val="21"/>
        </w:rPr>
        <w:t>月</w:t>
      </w:r>
      <w:r>
        <w:rPr>
          <w:rFonts w:hint="eastAsia" w:ascii="宋体" w:hAnsi="宋体" w:cs="宋体"/>
          <w:color w:val="auto"/>
          <w:sz w:val="21"/>
          <w:szCs w:val="21"/>
          <w:u w:val="single"/>
        </w:rPr>
        <w:t xml:space="preserve">       </w:t>
      </w:r>
      <w:r>
        <w:rPr>
          <w:rFonts w:hint="eastAsia" w:ascii="宋体" w:hAnsi="宋体" w:cs="宋体"/>
          <w:color w:val="auto"/>
          <w:sz w:val="21"/>
          <w:szCs w:val="21"/>
        </w:rPr>
        <w:t>日</w:t>
      </w:r>
    </w:p>
    <w:p w14:paraId="5FE5B28B">
      <w:pPr>
        <w:jc w:val="right"/>
        <w:rPr>
          <w:rFonts w:hint="eastAsia" w:ascii="宋体" w:hAnsi="宋体" w:cs="宋体"/>
          <w:color w:val="auto"/>
          <w:szCs w:val="21"/>
        </w:rPr>
      </w:pPr>
      <w:r>
        <w:rPr>
          <w:rFonts w:hint="eastAsia" w:ascii="宋体" w:hAnsi="宋体" w:cs="宋体"/>
          <w:color w:val="auto"/>
          <w:szCs w:val="21"/>
        </w:rPr>
        <w:br w:type="page"/>
      </w:r>
    </w:p>
    <w:p w14:paraId="6A6AC567">
      <w:pPr>
        <w:pStyle w:val="204"/>
        <w:numPr>
          <w:ilvl w:val="1"/>
          <w:numId w:val="0"/>
        </w:numPr>
        <w:jc w:val="center"/>
        <w:outlineLvl w:val="0"/>
        <w:rPr>
          <w:rFonts w:hint="eastAsia" w:ascii="宋体" w:hAnsi="宋体" w:eastAsia="宋体" w:cs="宋体"/>
          <w:b/>
          <w:color w:val="auto"/>
        </w:rPr>
      </w:pPr>
      <w:r>
        <w:rPr>
          <w:rFonts w:hint="eastAsia" w:ascii="宋体" w:hAnsi="宋体" w:eastAsia="宋体" w:cs="宋体"/>
          <w:b/>
          <w:color w:val="auto"/>
        </w:rPr>
        <w:t>四、</w:t>
      </w:r>
      <w:r>
        <w:rPr>
          <w:rFonts w:hint="eastAsia" w:ascii="宋体" w:hAnsi="宋体" w:eastAsia="宋体" w:cs="宋体"/>
          <w:b/>
          <w:color w:val="auto"/>
          <w:lang w:eastAsia="zh-CN"/>
        </w:rPr>
        <w:t>磋商</w:t>
      </w:r>
      <w:r>
        <w:rPr>
          <w:rFonts w:hint="eastAsia" w:ascii="宋体" w:hAnsi="宋体" w:eastAsia="宋体" w:cs="宋体"/>
          <w:b/>
          <w:color w:val="auto"/>
        </w:rPr>
        <w:t>一览表</w:t>
      </w:r>
    </w:p>
    <w:p w14:paraId="6F49C7CE">
      <w:pPr>
        <w:widowControl/>
        <w:rPr>
          <w:rFonts w:hint="eastAsia" w:ascii="宋体" w:hAnsi="宋体" w:cs="宋体"/>
          <w:color w:val="auto"/>
          <w:szCs w:val="21"/>
        </w:rPr>
      </w:pPr>
    </w:p>
    <w:p w14:paraId="53E905B7">
      <w:pPr>
        <w:rPr>
          <w:rFonts w:hint="eastAsia"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537DE277">
      <w:pPr>
        <w:rPr>
          <w:rFonts w:hint="eastAsia" w:ascii="宋体" w:hAnsi="宋体" w:cs="宋体"/>
          <w:color w:val="auto"/>
        </w:rPr>
      </w:pPr>
      <w:r>
        <w:rPr>
          <w:rFonts w:hint="eastAsia" w:ascii="宋体" w:hAnsi="宋体" w:eastAsia="宋体" w:cs="宋体"/>
          <w:color w:val="auto"/>
          <w:szCs w:val="21"/>
          <w:lang w:eastAsia="zh-CN"/>
        </w:rPr>
        <w:t>项目编号</w:t>
      </w:r>
      <w:r>
        <w:rPr>
          <w:rFonts w:hint="eastAsia" w:ascii="宋体" w:hAnsi="宋体" w:cs="宋体"/>
          <w:color w:val="auto"/>
          <w:szCs w:val="21"/>
        </w:rPr>
        <w:t>：</w:t>
      </w:r>
      <w:r>
        <w:rPr>
          <w:rFonts w:hint="eastAsia" w:ascii="宋体" w:hAnsi="宋体" w:cs="宋体"/>
          <w:color w:val="auto"/>
          <w:szCs w:val="21"/>
          <w:u w:val="single"/>
        </w:rPr>
        <w:t xml:space="preserve">                   </w:t>
      </w:r>
    </w:p>
    <w:tbl>
      <w:tblPr>
        <w:tblStyle w:val="47"/>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1486"/>
        <w:gridCol w:w="1321"/>
        <w:gridCol w:w="1664"/>
        <w:gridCol w:w="1157"/>
        <w:gridCol w:w="2129"/>
      </w:tblGrid>
      <w:tr w14:paraId="0027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2220" w:type="dxa"/>
            <w:noWrap w:val="0"/>
            <w:vAlign w:val="center"/>
          </w:tcPr>
          <w:p w14:paraId="0FEA5F1B">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lang w:val="zh-CN"/>
              </w:rPr>
            </w:pPr>
            <w:r>
              <w:rPr>
                <w:rFonts w:hint="eastAsia" w:ascii="宋体" w:hAnsi="宋体" w:cs="宋体"/>
                <w:b/>
                <w:bCs/>
                <w:color w:val="auto"/>
                <w:szCs w:val="21"/>
                <w:lang w:val="zh-CN"/>
              </w:rPr>
              <w:t>供应商名称</w:t>
            </w:r>
          </w:p>
        </w:tc>
        <w:tc>
          <w:tcPr>
            <w:tcW w:w="1486" w:type="dxa"/>
            <w:noWrap w:val="0"/>
            <w:vAlign w:val="center"/>
          </w:tcPr>
          <w:p w14:paraId="31F87868">
            <w:pPr>
              <w:keepNext w:val="0"/>
              <w:keepLines w:val="0"/>
              <w:pageBreakBefore w:val="0"/>
              <w:widowControl/>
              <w:kinsoku/>
              <w:wordWrap w:val="0"/>
              <w:overflowPunct/>
              <w:topLinePunct w:val="0"/>
              <w:bidi w:val="0"/>
              <w:snapToGrid/>
              <w:spacing w:line="360" w:lineRule="auto"/>
              <w:jc w:val="center"/>
              <w:textAlignment w:val="auto"/>
              <w:rPr>
                <w:rFonts w:hint="eastAsia" w:ascii="宋体" w:hAnsi="宋体" w:cs="宋体"/>
                <w:b/>
                <w:bCs/>
                <w:color w:val="auto"/>
                <w:szCs w:val="21"/>
                <w:highlight w:val="none"/>
                <w:lang w:val="zh-CN"/>
              </w:rPr>
            </w:pPr>
            <w:r>
              <w:rPr>
                <w:rFonts w:hint="eastAsia" w:eastAsia="宋体"/>
                <w:b/>
                <w:bCs/>
                <w:color w:val="auto"/>
                <w:szCs w:val="21"/>
                <w:highlight w:val="none"/>
                <w:lang w:val="en-US" w:eastAsia="zh-CN"/>
              </w:rPr>
              <w:t>投标报价</w:t>
            </w:r>
          </w:p>
        </w:tc>
        <w:tc>
          <w:tcPr>
            <w:tcW w:w="1321" w:type="dxa"/>
            <w:noWrap w:val="0"/>
            <w:vAlign w:val="center"/>
          </w:tcPr>
          <w:p w14:paraId="3DC9B6E1">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highlight w:val="none"/>
                <w:lang w:val="zh-CN"/>
              </w:rPr>
            </w:pPr>
            <w:r>
              <w:rPr>
                <w:rFonts w:hint="eastAsia" w:ascii="宋体" w:hAnsi="宋体" w:cs="宋体"/>
                <w:b/>
                <w:bCs/>
                <w:color w:val="auto"/>
                <w:szCs w:val="21"/>
                <w:highlight w:val="none"/>
                <w:lang w:val="zh-CN"/>
              </w:rPr>
              <w:t>质量标准</w:t>
            </w:r>
          </w:p>
        </w:tc>
        <w:tc>
          <w:tcPr>
            <w:tcW w:w="1664" w:type="dxa"/>
            <w:noWrap w:val="0"/>
            <w:vAlign w:val="center"/>
          </w:tcPr>
          <w:p w14:paraId="462E14C2">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合同履行期限</w:t>
            </w:r>
          </w:p>
        </w:tc>
        <w:tc>
          <w:tcPr>
            <w:tcW w:w="1157" w:type="dxa"/>
            <w:noWrap w:val="0"/>
            <w:vAlign w:val="center"/>
          </w:tcPr>
          <w:p w14:paraId="20625334">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质保期</w:t>
            </w:r>
          </w:p>
        </w:tc>
        <w:tc>
          <w:tcPr>
            <w:tcW w:w="2129" w:type="dxa"/>
            <w:noWrap w:val="0"/>
            <w:vAlign w:val="center"/>
          </w:tcPr>
          <w:p w14:paraId="08ED334E">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优惠条件及服务承诺</w:t>
            </w:r>
          </w:p>
        </w:tc>
      </w:tr>
      <w:tr w14:paraId="7787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2220" w:type="dxa"/>
            <w:noWrap w:val="0"/>
            <w:vAlign w:val="center"/>
          </w:tcPr>
          <w:p w14:paraId="487C20CD">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lang w:val="zh-CN"/>
              </w:rPr>
            </w:pPr>
          </w:p>
        </w:tc>
        <w:tc>
          <w:tcPr>
            <w:tcW w:w="1486" w:type="dxa"/>
            <w:noWrap w:val="0"/>
            <w:vAlign w:val="center"/>
          </w:tcPr>
          <w:p w14:paraId="102A10D5">
            <w:pPr>
              <w:keepNext w:val="0"/>
              <w:keepLines w:val="0"/>
              <w:pageBreakBefore w:val="0"/>
              <w:widowControl/>
              <w:kinsoku/>
              <w:wordWrap w:val="0"/>
              <w:overflowPunct/>
              <w:topLinePunct w:val="0"/>
              <w:bidi w:val="0"/>
              <w:snapToGrid/>
              <w:spacing w:line="360" w:lineRule="auto"/>
              <w:jc w:val="center"/>
              <w:textAlignment w:val="auto"/>
              <w:rPr>
                <w:rFonts w:hint="default" w:eastAsia="宋体"/>
                <w:bCs/>
                <w:color w:val="auto"/>
                <w:szCs w:val="21"/>
                <w:highlight w:val="none"/>
                <w:lang w:val="en-US" w:eastAsia="zh-CN"/>
              </w:rPr>
            </w:pPr>
            <w:r>
              <w:rPr>
                <w:rFonts w:hint="eastAsia"/>
                <w:bCs/>
                <w:color w:val="auto"/>
                <w:szCs w:val="21"/>
                <w:highlight w:val="none"/>
                <w:lang w:val="zh-CN"/>
              </w:rPr>
              <w:t>元</w:t>
            </w:r>
          </w:p>
        </w:tc>
        <w:tc>
          <w:tcPr>
            <w:tcW w:w="1321" w:type="dxa"/>
            <w:noWrap w:val="0"/>
            <w:vAlign w:val="center"/>
          </w:tcPr>
          <w:p w14:paraId="6D8F1660">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highlight w:val="none"/>
                <w:lang w:val="zh-CN"/>
              </w:rPr>
            </w:pPr>
          </w:p>
        </w:tc>
        <w:tc>
          <w:tcPr>
            <w:tcW w:w="1664" w:type="dxa"/>
            <w:noWrap w:val="0"/>
            <w:vAlign w:val="center"/>
          </w:tcPr>
          <w:p w14:paraId="2B48D8B8">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highlight w:val="none"/>
                <w:lang w:val="zh-CN"/>
              </w:rPr>
            </w:pPr>
          </w:p>
        </w:tc>
        <w:tc>
          <w:tcPr>
            <w:tcW w:w="1157" w:type="dxa"/>
            <w:noWrap w:val="0"/>
            <w:vAlign w:val="center"/>
          </w:tcPr>
          <w:p w14:paraId="57B5D3B1">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highlight w:val="none"/>
                <w:lang w:val="zh-CN"/>
              </w:rPr>
            </w:pPr>
          </w:p>
        </w:tc>
        <w:tc>
          <w:tcPr>
            <w:tcW w:w="2129" w:type="dxa"/>
            <w:noWrap w:val="0"/>
            <w:vAlign w:val="center"/>
          </w:tcPr>
          <w:p w14:paraId="45FCA073">
            <w:pPr>
              <w:keepNext w:val="0"/>
              <w:keepLines w:val="0"/>
              <w:pageBreakBefore w:val="0"/>
              <w:widowControl/>
              <w:kinsoku/>
              <w:overflowPunct/>
              <w:topLinePunct w:val="0"/>
              <w:autoSpaceDE w:val="0"/>
              <w:autoSpaceDN w:val="0"/>
              <w:bidi w:val="0"/>
              <w:adjustRightInd w:val="0"/>
              <w:snapToGrid/>
              <w:spacing w:line="360" w:lineRule="auto"/>
              <w:jc w:val="center"/>
              <w:textAlignment w:val="auto"/>
              <w:rPr>
                <w:rFonts w:hint="eastAsia" w:ascii="宋体" w:hAnsi="宋体" w:cs="宋体"/>
                <w:b/>
                <w:bCs/>
                <w:color w:val="auto"/>
                <w:szCs w:val="21"/>
                <w:lang w:val="zh-CN"/>
              </w:rPr>
            </w:pPr>
            <w:r>
              <w:rPr>
                <w:rFonts w:hint="eastAsia" w:ascii="宋体" w:hAnsi="宋体" w:cs="宋体"/>
                <w:b w:val="0"/>
                <w:bCs w:val="0"/>
                <w:color w:val="auto"/>
                <w:szCs w:val="21"/>
                <w:lang w:val="zh-CN"/>
              </w:rPr>
              <w:t>有</w:t>
            </w:r>
            <w:r>
              <w:rPr>
                <w:rFonts w:hint="eastAsia" w:ascii="宋体" w:hAnsi="宋体" w:eastAsia="宋体" w:cs="宋体"/>
                <w:b w:val="0"/>
                <w:bCs w:val="0"/>
                <w:color w:val="auto"/>
                <w:szCs w:val="21"/>
                <w:lang w:val="en-US" w:eastAsia="zh-CN"/>
              </w:rPr>
              <w:t>/</w:t>
            </w:r>
            <w:r>
              <w:rPr>
                <w:rFonts w:hint="eastAsia" w:ascii="宋体" w:hAnsi="宋体" w:cs="宋体"/>
                <w:b w:val="0"/>
                <w:bCs w:val="0"/>
                <w:color w:val="auto"/>
                <w:szCs w:val="21"/>
                <w:lang w:val="zh-CN"/>
              </w:rPr>
              <w:t>无</w:t>
            </w:r>
          </w:p>
        </w:tc>
      </w:tr>
    </w:tbl>
    <w:p w14:paraId="471C36B5">
      <w:pPr>
        <w:widowControl/>
        <w:jc w:val="left"/>
        <w:rPr>
          <w:rFonts w:hint="eastAsia" w:ascii="宋体" w:hAnsi="宋体" w:cs="宋体"/>
          <w:color w:val="auto"/>
        </w:rPr>
      </w:pPr>
    </w:p>
    <w:p w14:paraId="56603A6B">
      <w:pPr>
        <w:widowControl/>
        <w:jc w:val="left"/>
        <w:rPr>
          <w:rFonts w:hint="eastAsia" w:ascii="宋体" w:hAnsi="宋体" w:cs="宋体"/>
          <w:color w:val="auto"/>
        </w:rPr>
      </w:pPr>
    </w:p>
    <w:p w14:paraId="1B382003">
      <w:pPr>
        <w:widowControl/>
        <w:jc w:val="right"/>
        <w:rPr>
          <w:rFonts w:hint="eastAsia" w:ascii="宋体" w:hAnsi="宋体" w:cs="宋体"/>
          <w:color w:val="auto"/>
          <w:szCs w:val="21"/>
        </w:rPr>
      </w:pPr>
      <w:r>
        <w:rPr>
          <w:rFonts w:hint="eastAsia" w:ascii="宋体" w:hAnsi="宋体" w:cs="宋体"/>
          <w:color w:val="auto"/>
          <w:szCs w:val="21"/>
        </w:rPr>
        <w:t>法定代表人或其委托代理人：</w:t>
      </w:r>
      <w:r>
        <w:rPr>
          <w:rFonts w:hint="eastAsia" w:ascii="宋体" w:hAnsi="宋体" w:cs="宋体"/>
          <w:color w:val="auto"/>
          <w:szCs w:val="21"/>
          <w:u w:val="single"/>
        </w:rPr>
        <w:t xml:space="preserve">               </w:t>
      </w:r>
      <w:r>
        <w:rPr>
          <w:rFonts w:hint="eastAsia" w:ascii="宋体" w:hAnsi="宋体" w:cs="宋体"/>
          <w:color w:val="auto"/>
          <w:szCs w:val="21"/>
        </w:rPr>
        <w:t>（签字并加盖单位章）</w:t>
      </w:r>
    </w:p>
    <w:p w14:paraId="1E85AA7A">
      <w:pPr>
        <w:widowControl/>
        <w:jc w:val="right"/>
        <w:rPr>
          <w:rFonts w:hint="eastAsia" w:ascii="宋体" w:hAnsi="宋体" w:cs="宋体"/>
          <w:color w:val="auto"/>
          <w:szCs w:val="21"/>
        </w:rPr>
      </w:pPr>
    </w:p>
    <w:p w14:paraId="2F6C74D8">
      <w:pPr>
        <w:widowControl/>
        <w:jc w:val="right"/>
        <w:rPr>
          <w:rFonts w:hint="eastAsia" w:ascii="宋体" w:hAnsi="宋体" w:cs="宋体"/>
          <w:color w:val="auto"/>
          <w:szCs w:val="21"/>
        </w:rPr>
      </w:pPr>
      <w:r>
        <w:rPr>
          <w:rFonts w:hint="eastAsia" w:ascii="宋体" w:hAnsi="宋体" w:cs="宋体"/>
          <w:color w:val="auto"/>
          <w:szCs w:val="21"/>
        </w:rPr>
        <w:t>________年______月________日</w:t>
      </w:r>
    </w:p>
    <w:p w14:paraId="79852FA3">
      <w:pPr>
        <w:widowControl/>
        <w:jc w:val="right"/>
        <w:rPr>
          <w:rFonts w:hint="eastAsia" w:ascii="宋体" w:hAnsi="宋体" w:cs="宋体"/>
          <w:color w:val="auto"/>
          <w:szCs w:val="21"/>
        </w:rPr>
      </w:pPr>
    </w:p>
    <w:p w14:paraId="7297C2AC">
      <w:pPr>
        <w:widowControl/>
        <w:rPr>
          <w:rFonts w:hint="eastAsia" w:ascii="宋体" w:hAnsi="宋体" w:cs="宋体"/>
          <w:i/>
          <w:color w:val="auto"/>
          <w:szCs w:val="21"/>
        </w:rPr>
      </w:pPr>
    </w:p>
    <w:p w14:paraId="5A60E63A">
      <w:pPr>
        <w:widowControl/>
        <w:rPr>
          <w:rFonts w:hint="eastAsia" w:ascii="宋体" w:hAnsi="宋体" w:cs="宋体"/>
          <w:color w:val="auto"/>
          <w:szCs w:val="21"/>
        </w:rPr>
      </w:pPr>
      <w:r>
        <w:rPr>
          <w:rFonts w:hint="eastAsia" w:ascii="宋体" w:hAnsi="宋体" w:cs="宋体"/>
          <w:color w:val="auto"/>
          <w:szCs w:val="21"/>
        </w:rPr>
        <w:t>注：</w:t>
      </w:r>
    </w:p>
    <w:p w14:paraId="5DAB6E7F">
      <w:pPr>
        <w:autoSpaceDE w:val="0"/>
        <w:autoSpaceDN w:val="0"/>
        <w:rPr>
          <w:rFonts w:hint="eastAsia" w:ascii="宋体" w:hAnsi="宋体" w:cs="宋体"/>
          <w:b w:val="0"/>
          <w:bCs w:val="0"/>
          <w:color w:val="auto"/>
          <w:szCs w:val="21"/>
        </w:rPr>
      </w:pPr>
      <w:r>
        <w:rPr>
          <w:rFonts w:hint="eastAsia" w:ascii="宋体" w:hAnsi="宋体" w:eastAsia="宋体" w:cs="宋体"/>
          <w:b w:val="0"/>
          <w:bCs w:val="0"/>
          <w:color w:val="auto"/>
          <w:szCs w:val="21"/>
          <w:lang w:val="en-US" w:eastAsia="zh-CN"/>
        </w:rPr>
        <w:t>1</w:t>
      </w:r>
      <w:r>
        <w:rPr>
          <w:rFonts w:hint="eastAsia" w:ascii="宋体" w:hAnsi="宋体" w:cs="宋体"/>
          <w:b w:val="0"/>
          <w:bCs w:val="0"/>
          <w:color w:val="auto"/>
          <w:szCs w:val="21"/>
        </w:rPr>
        <w:t>.超出</w:t>
      </w:r>
      <w:r>
        <w:rPr>
          <w:rFonts w:hint="eastAsia" w:ascii="宋体" w:hAnsi="宋体" w:eastAsia="宋体" w:cs="宋体"/>
          <w:b w:val="0"/>
          <w:bCs w:val="0"/>
          <w:color w:val="auto"/>
          <w:szCs w:val="21"/>
          <w:lang w:eastAsia="zh-CN"/>
        </w:rPr>
        <w:t>采购预算</w:t>
      </w:r>
      <w:r>
        <w:rPr>
          <w:rFonts w:hint="eastAsia" w:ascii="宋体" w:hAnsi="宋体" w:cs="宋体"/>
          <w:b w:val="0"/>
          <w:bCs w:val="0"/>
          <w:color w:val="auto"/>
          <w:szCs w:val="21"/>
        </w:rPr>
        <w:t>的投标报价将导致投标被否决；</w:t>
      </w:r>
    </w:p>
    <w:p w14:paraId="01C56C98">
      <w:pPr>
        <w:autoSpaceDE w:val="0"/>
        <w:autoSpaceDN w:val="0"/>
        <w:rPr>
          <w:rFonts w:hint="default" w:eastAsia="宋体"/>
          <w:color w:val="auto"/>
          <w:lang w:val="en-US" w:eastAsia="zh-CN"/>
        </w:rPr>
      </w:pPr>
      <w:r>
        <w:rPr>
          <w:rFonts w:hint="eastAsia" w:ascii="宋体" w:hAnsi="宋体" w:eastAsia="宋体" w:cs="宋体"/>
          <w:b w:val="0"/>
          <w:bCs w:val="0"/>
          <w:color w:val="auto"/>
          <w:szCs w:val="21"/>
          <w:lang w:val="en-US" w:eastAsia="zh-CN"/>
        </w:rPr>
        <w:t>2</w:t>
      </w:r>
      <w:r>
        <w:rPr>
          <w:rFonts w:hint="eastAsia" w:ascii="宋体" w:hAnsi="宋体" w:cs="宋体"/>
          <w:b w:val="0"/>
          <w:bCs w:val="0"/>
          <w:color w:val="auto"/>
          <w:szCs w:val="21"/>
        </w:rPr>
        <w:t>.</w:t>
      </w:r>
      <w:r>
        <w:rPr>
          <w:rFonts w:hint="eastAsia" w:ascii="宋体" w:hAnsi="宋体" w:cs="宋体"/>
          <w:color w:val="auto"/>
          <w:szCs w:val="21"/>
        </w:rPr>
        <w:t xml:space="preserve">如果按单价计算的结果与总价不一致，以单价为准修正总价。 </w:t>
      </w:r>
    </w:p>
    <w:p w14:paraId="2C2C95EC">
      <w:pPr>
        <w:pStyle w:val="17"/>
        <w:rPr>
          <w:rFonts w:hint="eastAsia"/>
          <w:color w:val="auto"/>
        </w:rPr>
      </w:pPr>
    </w:p>
    <w:p w14:paraId="0C0A4136">
      <w:pPr>
        <w:jc w:val="right"/>
        <w:rPr>
          <w:rFonts w:hint="eastAsia" w:ascii="宋体" w:hAnsi="宋体" w:eastAsia="宋体" w:cs="宋体"/>
          <w:color w:val="auto"/>
          <w:szCs w:val="21"/>
        </w:rPr>
        <w:sectPr>
          <w:footerReference r:id="rId13" w:type="first"/>
          <w:headerReference r:id="rId11" w:type="default"/>
          <w:footerReference r:id="rId12" w:type="default"/>
          <w:pgSz w:w="11906" w:h="16838"/>
          <w:pgMar w:top="1588" w:right="1418" w:bottom="1531" w:left="1418" w:header="1191" w:footer="794" w:gutter="284"/>
          <w:pgBorders>
            <w:top w:val="none" w:sz="0" w:space="0"/>
            <w:left w:val="none" w:sz="0" w:space="0"/>
            <w:bottom w:val="thickThinSmallGap" w:color="auto" w:sz="18" w:space="1"/>
            <w:right w:val="none" w:sz="0" w:space="0"/>
          </w:pgBorders>
          <w:pgNumType w:fmt="decimal"/>
          <w:cols w:space="720" w:num="1"/>
          <w:docGrid w:linePitch="312" w:charSpace="0"/>
        </w:sectPr>
      </w:pPr>
    </w:p>
    <w:p w14:paraId="6B54BB6E">
      <w:pPr>
        <w:pStyle w:val="204"/>
        <w:numPr>
          <w:ilvl w:val="1"/>
          <w:numId w:val="0"/>
        </w:numPr>
        <w:jc w:val="center"/>
        <w:rPr>
          <w:rFonts w:ascii="宋体" w:hAnsi="宋体" w:eastAsia="宋体" w:cs="宋体"/>
          <w:b/>
          <w:color w:val="auto"/>
        </w:rPr>
      </w:pPr>
      <w:bookmarkStart w:id="13" w:name="_Toc479578091"/>
      <w:r>
        <w:rPr>
          <w:rFonts w:hint="eastAsia" w:ascii="宋体" w:hAnsi="宋体" w:eastAsia="宋体" w:cs="宋体"/>
          <w:b/>
          <w:color w:val="auto"/>
          <w:szCs w:val="21"/>
        </w:rPr>
        <w:t>（</w:t>
      </w:r>
      <w:r>
        <w:rPr>
          <w:rFonts w:hint="eastAsia" w:ascii="宋体" w:hAnsi="宋体" w:eastAsia="宋体" w:cs="宋体"/>
          <w:b/>
          <w:color w:val="auto"/>
        </w:rPr>
        <w:t>二）</w:t>
      </w:r>
      <w:bookmarkEnd w:id="13"/>
      <w:r>
        <w:rPr>
          <w:rFonts w:hint="eastAsia" w:ascii="宋体" w:hAnsi="宋体" w:eastAsia="宋体" w:cs="宋体"/>
          <w:b/>
          <w:color w:val="auto"/>
          <w:lang w:val="en-US" w:eastAsia="zh-CN"/>
        </w:rPr>
        <w:t>磋商</w:t>
      </w:r>
      <w:r>
        <w:rPr>
          <w:rFonts w:hint="eastAsia" w:ascii="宋体" w:hAnsi="宋体" w:eastAsia="宋体" w:cs="宋体"/>
          <w:b/>
          <w:color w:val="auto"/>
        </w:rPr>
        <w:t>报价明细表</w:t>
      </w:r>
    </w:p>
    <w:p w14:paraId="232AB2B2">
      <w:pPr>
        <w:widowControl/>
        <w:rPr>
          <w:rFonts w:ascii="宋体" w:hAnsi="宋体" w:cs="宋体"/>
          <w:color w:val="auto"/>
          <w:szCs w:val="21"/>
        </w:rPr>
      </w:pPr>
    </w:p>
    <w:p w14:paraId="0D6AC6A3">
      <w:pPr>
        <w:rPr>
          <w:rFonts w:ascii="宋体" w:hAnsi="宋体" w:cs="宋体"/>
          <w:color w:val="auto"/>
          <w:szCs w:val="21"/>
        </w:rPr>
      </w:pPr>
      <w:r>
        <w:rPr>
          <w:rFonts w:hint="eastAsia" w:ascii="宋体" w:hAnsi="宋体" w:cs="宋体"/>
          <w:color w:val="auto"/>
          <w:szCs w:val="21"/>
        </w:rPr>
        <w:t xml:space="preserve">项目名称：   </w:t>
      </w:r>
    </w:p>
    <w:p w14:paraId="2EEB237C">
      <w:pPr>
        <w:rPr>
          <w:rFonts w:ascii="宋体" w:hAnsi="宋体" w:cs="宋体"/>
          <w:color w:val="auto"/>
          <w:szCs w:val="21"/>
        </w:rPr>
      </w:pPr>
      <w:r>
        <w:rPr>
          <w:rFonts w:hint="eastAsia" w:ascii="宋体" w:hAnsi="宋体" w:eastAsia="宋体" w:cs="宋体"/>
          <w:color w:val="auto"/>
          <w:szCs w:val="21"/>
          <w:lang w:val="en-US" w:eastAsia="zh-CN"/>
        </w:rPr>
        <w:t>项目</w:t>
      </w:r>
      <w:r>
        <w:rPr>
          <w:rFonts w:hint="eastAsia" w:ascii="宋体" w:hAnsi="宋体" w:cs="宋体"/>
          <w:color w:val="auto"/>
          <w:szCs w:val="21"/>
        </w:rPr>
        <w:t>编号：</w:t>
      </w:r>
    </w:p>
    <w:tbl>
      <w:tblPr>
        <w:tblStyle w:val="47"/>
        <w:tblW w:w="14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568"/>
        <w:gridCol w:w="2295"/>
        <w:gridCol w:w="1680"/>
        <w:gridCol w:w="1020"/>
        <w:gridCol w:w="2055"/>
        <w:gridCol w:w="1875"/>
        <w:gridCol w:w="1695"/>
      </w:tblGrid>
      <w:tr w14:paraId="469B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22" w:type="dxa"/>
            <w:noWrap/>
            <w:vAlign w:val="center"/>
          </w:tcPr>
          <w:p w14:paraId="648170FF">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序号</w:t>
            </w:r>
          </w:p>
        </w:tc>
        <w:tc>
          <w:tcPr>
            <w:tcW w:w="2568" w:type="dxa"/>
            <w:noWrap/>
            <w:vAlign w:val="center"/>
          </w:tcPr>
          <w:p w14:paraId="242DDDAC">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产品名称</w:t>
            </w:r>
          </w:p>
        </w:tc>
        <w:tc>
          <w:tcPr>
            <w:tcW w:w="2295" w:type="dxa"/>
            <w:noWrap/>
            <w:vAlign w:val="center"/>
          </w:tcPr>
          <w:p w14:paraId="27F4DC1D">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规格/型号</w:t>
            </w:r>
          </w:p>
        </w:tc>
        <w:tc>
          <w:tcPr>
            <w:tcW w:w="1680" w:type="dxa"/>
            <w:noWrap/>
            <w:vAlign w:val="center"/>
          </w:tcPr>
          <w:p w14:paraId="70BDF1C5">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品牌</w:t>
            </w:r>
          </w:p>
        </w:tc>
        <w:tc>
          <w:tcPr>
            <w:tcW w:w="1020" w:type="dxa"/>
            <w:noWrap/>
            <w:vAlign w:val="center"/>
          </w:tcPr>
          <w:p w14:paraId="04889276">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数量</w:t>
            </w:r>
          </w:p>
        </w:tc>
        <w:tc>
          <w:tcPr>
            <w:tcW w:w="2055" w:type="dxa"/>
            <w:noWrap/>
            <w:vAlign w:val="center"/>
          </w:tcPr>
          <w:p w14:paraId="2B0DF733">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单位</w:t>
            </w:r>
          </w:p>
        </w:tc>
        <w:tc>
          <w:tcPr>
            <w:tcW w:w="1875" w:type="dxa"/>
            <w:noWrap/>
            <w:vAlign w:val="center"/>
          </w:tcPr>
          <w:p w14:paraId="3B665938">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单价（元）</w:t>
            </w:r>
          </w:p>
        </w:tc>
        <w:tc>
          <w:tcPr>
            <w:tcW w:w="1695" w:type="dxa"/>
            <w:noWrap/>
            <w:vAlign w:val="center"/>
          </w:tcPr>
          <w:p w14:paraId="025F5016">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总价</w:t>
            </w:r>
          </w:p>
        </w:tc>
      </w:tr>
      <w:tr w14:paraId="50BD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trPr>
        <w:tc>
          <w:tcPr>
            <w:tcW w:w="822" w:type="dxa"/>
            <w:noWrap/>
            <w:vAlign w:val="center"/>
          </w:tcPr>
          <w:p w14:paraId="03DB8EB6">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1</w:t>
            </w:r>
          </w:p>
        </w:tc>
        <w:tc>
          <w:tcPr>
            <w:tcW w:w="2568" w:type="dxa"/>
            <w:noWrap/>
            <w:vAlign w:val="center"/>
          </w:tcPr>
          <w:p w14:paraId="6B2DAFE0">
            <w:pPr>
              <w:adjustRightInd w:val="0"/>
              <w:snapToGrid w:val="0"/>
              <w:spacing w:line="360" w:lineRule="auto"/>
              <w:jc w:val="center"/>
              <w:textAlignment w:val="baseline"/>
              <w:rPr>
                <w:rFonts w:ascii="宋体" w:hAnsi="宋体" w:cs="宋体"/>
                <w:color w:val="auto"/>
                <w:kern w:val="0"/>
                <w:sz w:val="24"/>
              </w:rPr>
            </w:pPr>
          </w:p>
        </w:tc>
        <w:tc>
          <w:tcPr>
            <w:tcW w:w="2295" w:type="dxa"/>
            <w:noWrap/>
            <w:vAlign w:val="center"/>
          </w:tcPr>
          <w:p w14:paraId="458F0C98">
            <w:pPr>
              <w:adjustRightInd w:val="0"/>
              <w:snapToGrid w:val="0"/>
              <w:spacing w:line="360" w:lineRule="auto"/>
              <w:jc w:val="center"/>
              <w:textAlignment w:val="baseline"/>
              <w:rPr>
                <w:rFonts w:ascii="宋体" w:hAnsi="宋体" w:cs="宋体"/>
                <w:color w:val="auto"/>
                <w:kern w:val="0"/>
                <w:sz w:val="24"/>
              </w:rPr>
            </w:pPr>
          </w:p>
        </w:tc>
        <w:tc>
          <w:tcPr>
            <w:tcW w:w="1680" w:type="dxa"/>
            <w:noWrap/>
            <w:vAlign w:val="center"/>
          </w:tcPr>
          <w:p w14:paraId="61378DEF">
            <w:pPr>
              <w:adjustRightInd w:val="0"/>
              <w:snapToGrid w:val="0"/>
              <w:spacing w:line="360" w:lineRule="auto"/>
              <w:jc w:val="center"/>
              <w:textAlignment w:val="baseline"/>
              <w:rPr>
                <w:rFonts w:ascii="宋体" w:hAnsi="宋体" w:cs="宋体"/>
                <w:color w:val="auto"/>
                <w:kern w:val="0"/>
                <w:sz w:val="24"/>
              </w:rPr>
            </w:pPr>
          </w:p>
        </w:tc>
        <w:tc>
          <w:tcPr>
            <w:tcW w:w="1020" w:type="dxa"/>
            <w:noWrap/>
            <w:vAlign w:val="center"/>
          </w:tcPr>
          <w:p w14:paraId="1FE7DF17">
            <w:pPr>
              <w:adjustRightInd w:val="0"/>
              <w:snapToGrid w:val="0"/>
              <w:spacing w:line="360" w:lineRule="auto"/>
              <w:jc w:val="center"/>
              <w:textAlignment w:val="baseline"/>
              <w:rPr>
                <w:rFonts w:ascii="宋体" w:hAnsi="宋体" w:cs="宋体"/>
                <w:color w:val="auto"/>
                <w:kern w:val="0"/>
                <w:sz w:val="24"/>
              </w:rPr>
            </w:pPr>
          </w:p>
        </w:tc>
        <w:tc>
          <w:tcPr>
            <w:tcW w:w="2055" w:type="dxa"/>
            <w:noWrap/>
            <w:vAlign w:val="center"/>
          </w:tcPr>
          <w:p w14:paraId="60FDD395">
            <w:pPr>
              <w:adjustRightInd w:val="0"/>
              <w:snapToGrid w:val="0"/>
              <w:spacing w:line="360" w:lineRule="auto"/>
              <w:jc w:val="center"/>
              <w:textAlignment w:val="baseline"/>
              <w:rPr>
                <w:rFonts w:ascii="宋体" w:hAnsi="宋体" w:cs="宋体"/>
                <w:color w:val="auto"/>
                <w:kern w:val="0"/>
                <w:sz w:val="24"/>
              </w:rPr>
            </w:pPr>
          </w:p>
        </w:tc>
        <w:tc>
          <w:tcPr>
            <w:tcW w:w="1875" w:type="dxa"/>
            <w:noWrap/>
            <w:vAlign w:val="center"/>
          </w:tcPr>
          <w:p w14:paraId="4E03BD12">
            <w:pPr>
              <w:adjustRightInd w:val="0"/>
              <w:snapToGrid w:val="0"/>
              <w:spacing w:line="360" w:lineRule="auto"/>
              <w:jc w:val="center"/>
              <w:textAlignment w:val="baseline"/>
              <w:rPr>
                <w:rFonts w:ascii="宋体" w:hAnsi="宋体" w:cs="宋体"/>
                <w:color w:val="auto"/>
                <w:kern w:val="0"/>
                <w:sz w:val="24"/>
              </w:rPr>
            </w:pPr>
          </w:p>
        </w:tc>
        <w:tc>
          <w:tcPr>
            <w:tcW w:w="1695" w:type="dxa"/>
            <w:noWrap/>
            <w:vAlign w:val="center"/>
          </w:tcPr>
          <w:p w14:paraId="35219E1E">
            <w:pPr>
              <w:adjustRightInd w:val="0"/>
              <w:snapToGrid w:val="0"/>
              <w:spacing w:line="360" w:lineRule="auto"/>
              <w:jc w:val="center"/>
              <w:textAlignment w:val="baseline"/>
              <w:rPr>
                <w:rFonts w:ascii="宋体" w:hAnsi="宋体" w:cs="宋体"/>
                <w:color w:val="auto"/>
                <w:kern w:val="0"/>
                <w:sz w:val="24"/>
              </w:rPr>
            </w:pPr>
          </w:p>
        </w:tc>
      </w:tr>
      <w:tr w14:paraId="2F2B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trPr>
        <w:tc>
          <w:tcPr>
            <w:tcW w:w="822" w:type="dxa"/>
            <w:noWrap/>
            <w:vAlign w:val="center"/>
          </w:tcPr>
          <w:p w14:paraId="335DDEAB">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2</w:t>
            </w:r>
          </w:p>
        </w:tc>
        <w:tc>
          <w:tcPr>
            <w:tcW w:w="2568" w:type="dxa"/>
            <w:noWrap/>
            <w:vAlign w:val="center"/>
          </w:tcPr>
          <w:p w14:paraId="423D8F8F">
            <w:pPr>
              <w:adjustRightInd w:val="0"/>
              <w:snapToGrid w:val="0"/>
              <w:spacing w:line="360" w:lineRule="auto"/>
              <w:jc w:val="center"/>
              <w:textAlignment w:val="baseline"/>
              <w:rPr>
                <w:rFonts w:ascii="宋体" w:hAnsi="宋体" w:cs="宋体"/>
                <w:color w:val="auto"/>
                <w:kern w:val="0"/>
                <w:sz w:val="24"/>
              </w:rPr>
            </w:pPr>
          </w:p>
        </w:tc>
        <w:tc>
          <w:tcPr>
            <w:tcW w:w="2295" w:type="dxa"/>
            <w:noWrap/>
            <w:vAlign w:val="center"/>
          </w:tcPr>
          <w:p w14:paraId="54B251A4">
            <w:pPr>
              <w:adjustRightInd w:val="0"/>
              <w:snapToGrid w:val="0"/>
              <w:spacing w:line="360" w:lineRule="auto"/>
              <w:jc w:val="center"/>
              <w:textAlignment w:val="baseline"/>
              <w:rPr>
                <w:rFonts w:ascii="宋体" w:hAnsi="宋体" w:cs="宋体"/>
                <w:color w:val="auto"/>
                <w:kern w:val="0"/>
                <w:sz w:val="24"/>
              </w:rPr>
            </w:pPr>
          </w:p>
        </w:tc>
        <w:tc>
          <w:tcPr>
            <w:tcW w:w="1680" w:type="dxa"/>
            <w:noWrap/>
            <w:vAlign w:val="center"/>
          </w:tcPr>
          <w:p w14:paraId="2661F14D">
            <w:pPr>
              <w:adjustRightInd w:val="0"/>
              <w:snapToGrid w:val="0"/>
              <w:spacing w:line="360" w:lineRule="auto"/>
              <w:jc w:val="center"/>
              <w:textAlignment w:val="baseline"/>
              <w:rPr>
                <w:rFonts w:ascii="宋体" w:hAnsi="宋体" w:cs="宋体"/>
                <w:color w:val="auto"/>
                <w:kern w:val="0"/>
                <w:sz w:val="24"/>
              </w:rPr>
            </w:pPr>
          </w:p>
        </w:tc>
        <w:tc>
          <w:tcPr>
            <w:tcW w:w="1020" w:type="dxa"/>
            <w:noWrap/>
            <w:vAlign w:val="center"/>
          </w:tcPr>
          <w:p w14:paraId="29AA2AE1">
            <w:pPr>
              <w:adjustRightInd w:val="0"/>
              <w:snapToGrid w:val="0"/>
              <w:spacing w:line="360" w:lineRule="auto"/>
              <w:jc w:val="center"/>
              <w:textAlignment w:val="baseline"/>
              <w:rPr>
                <w:rFonts w:ascii="宋体" w:hAnsi="宋体" w:cs="宋体"/>
                <w:color w:val="auto"/>
                <w:kern w:val="0"/>
                <w:sz w:val="24"/>
              </w:rPr>
            </w:pPr>
          </w:p>
        </w:tc>
        <w:tc>
          <w:tcPr>
            <w:tcW w:w="2055" w:type="dxa"/>
            <w:noWrap/>
            <w:vAlign w:val="center"/>
          </w:tcPr>
          <w:p w14:paraId="71D02141">
            <w:pPr>
              <w:adjustRightInd w:val="0"/>
              <w:snapToGrid w:val="0"/>
              <w:spacing w:line="360" w:lineRule="auto"/>
              <w:jc w:val="center"/>
              <w:textAlignment w:val="baseline"/>
              <w:rPr>
                <w:rFonts w:ascii="宋体" w:hAnsi="宋体" w:cs="宋体"/>
                <w:color w:val="auto"/>
                <w:kern w:val="0"/>
                <w:sz w:val="24"/>
              </w:rPr>
            </w:pPr>
          </w:p>
        </w:tc>
        <w:tc>
          <w:tcPr>
            <w:tcW w:w="1875" w:type="dxa"/>
            <w:noWrap/>
            <w:vAlign w:val="center"/>
          </w:tcPr>
          <w:p w14:paraId="739CCC71">
            <w:pPr>
              <w:adjustRightInd w:val="0"/>
              <w:snapToGrid w:val="0"/>
              <w:spacing w:line="360" w:lineRule="auto"/>
              <w:jc w:val="center"/>
              <w:textAlignment w:val="baseline"/>
              <w:rPr>
                <w:rFonts w:ascii="宋体" w:hAnsi="宋体" w:cs="宋体"/>
                <w:color w:val="auto"/>
                <w:kern w:val="0"/>
                <w:sz w:val="24"/>
              </w:rPr>
            </w:pPr>
          </w:p>
        </w:tc>
        <w:tc>
          <w:tcPr>
            <w:tcW w:w="1695" w:type="dxa"/>
            <w:noWrap/>
            <w:vAlign w:val="center"/>
          </w:tcPr>
          <w:p w14:paraId="149FACEA">
            <w:pPr>
              <w:adjustRightInd w:val="0"/>
              <w:snapToGrid w:val="0"/>
              <w:spacing w:line="360" w:lineRule="auto"/>
              <w:jc w:val="center"/>
              <w:textAlignment w:val="baseline"/>
              <w:rPr>
                <w:rFonts w:ascii="宋体" w:hAnsi="宋体" w:cs="宋体"/>
                <w:color w:val="auto"/>
                <w:kern w:val="0"/>
                <w:sz w:val="24"/>
              </w:rPr>
            </w:pPr>
          </w:p>
        </w:tc>
      </w:tr>
      <w:tr w14:paraId="59EA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trPr>
        <w:tc>
          <w:tcPr>
            <w:tcW w:w="822" w:type="dxa"/>
            <w:noWrap/>
            <w:vAlign w:val="center"/>
          </w:tcPr>
          <w:p w14:paraId="7F690ADE">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3</w:t>
            </w:r>
          </w:p>
        </w:tc>
        <w:tc>
          <w:tcPr>
            <w:tcW w:w="2568" w:type="dxa"/>
            <w:noWrap/>
            <w:vAlign w:val="center"/>
          </w:tcPr>
          <w:p w14:paraId="146128B0">
            <w:pPr>
              <w:adjustRightInd w:val="0"/>
              <w:snapToGrid w:val="0"/>
              <w:spacing w:line="360" w:lineRule="auto"/>
              <w:jc w:val="center"/>
              <w:textAlignment w:val="baseline"/>
              <w:rPr>
                <w:rFonts w:ascii="宋体" w:hAnsi="宋体" w:cs="宋体"/>
                <w:color w:val="auto"/>
                <w:kern w:val="0"/>
                <w:sz w:val="24"/>
              </w:rPr>
            </w:pPr>
          </w:p>
        </w:tc>
        <w:tc>
          <w:tcPr>
            <w:tcW w:w="2295" w:type="dxa"/>
            <w:noWrap/>
            <w:vAlign w:val="center"/>
          </w:tcPr>
          <w:p w14:paraId="6A5D1D9E">
            <w:pPr>
              <w:adjustRightInd w:val="0"/>
              <w:snapToGrid w:val="0"/>
              <w:spacing w:line="360" w:lineRule="auto"/>
              <w:jc w:val="center"/>
              <w:textAlignment w:val="baseline"/>
              <w:rPr>
                <w:rFonts w:ascii="宋体" w:hAnsi="宋体" w:cs="宋体"/>
                <w:color w:val="auto"/>
                <w:kern w:val="0"/>
                <w:sz w:val="24"/>
              </w:rPr>
            </w:pPr>
          </w:p>
        </w:tc>
        <w:tc>
          <w:tcPr>
            <w:tcW w:w="1680" w:type="dxa"/>
            <w:noWrap/>
            <w:vAlign w:val="center"/>
          </w:tcPr>
          <w:p w14:paraId="21CBEE05">
            <w:pPr>
              <w:adjustRightInd w:val="0"/>
              <w:snapToGrid w:val="0"/>
              <w:spacing w:line="360" w:lineRule="auto"/>
              <w:jc w:val="center"/>
              <w:textAlignment w:val="baseline"/>
              <w:rPr>
                <w:rFonts w:ascii="宋体" w:hAnsi="宋体" w:cs="宋体"/>
                <w:color w:val="auto"/>
                <w:kern w:val="0"/>
                <w:sz w:val="24"/>
              </w:rPr>
            </w:pPr>
          </w:p>
        </w:tc>
        <w:tc>
          <w:tcPr>
            <w:tcW w:w="1020" w:type="dxa"/>
            <w:noWrap/>
            <w:vAlign w:val="center"/>
          </w:tcPr>
          <w:p w14:paraId="0184C024">
            <w:pPr>
              <w:adjustRightInd w:val="0"/>
              <w:snapToGrid w:val="0"/>
              <w:spacing w:line="360" w:lineRule="auto"/>
              <w:jc w:val="center"/>
              <w:textAlignment w:val="baseline"/>
              <w:rPr>
                <w:rFonts w:ascii="宋体" w:hAnsi="宋体" w:cs="宋体"/>
                <w:color w:val="auto"/>
                <w:kern w:val="0"/>
                <w:sz w:val="24"/>
              </w:rPr>
            </w:pPr>
          </w:p>
        </w:tc>
        <w:tc>
          <w:tcPr>
            <w:tcW w:w="2055" w:type="dxa"/>
            <w:noWrap/>
            <w:vAlign w:val="center"/>
          </w:tcPr>
          <w:p w14:paraId="74359B97">
            <w:pPr>
              <w:adjustRightInd w:val="0"/>
              <w:snapToGrid w:val="0"/>
              <w:spacing w:line="360" w:lineRule="auto"/>
              <w:jc w:val="center"/>
              <w:textAlignment w:val="baseline"/>
              <w:rPr>
                <w:rFonts w:ascii="宋体" w:hAnsi="宋体" w:cs="宋体"/>
                <w:color w:val="auto"/>
                <w:kern w:val="0"/>
                <w:sz w:val="24"/>
              </w:rPr>
            </w:pPr>
          </w:p>
        </w:tc>
        <w:tc>
          <w:tcPr>
            <w:tcW w:w="1875" w:type="dxa"/>
            <w:noWrap/>
            <w:vAlign w:val="center"/>
          </w:tcPr>
          <w:p w14:paraId="42CE121D">
            <w:pPr>
              <w:adjustRightInd w:val="0"/>
              <w:snapToGrid w:val="0"/>
              <w:spacing w:line="360" w:lineRule="auto"/>
              <w:jc w:val="center"/>
              <w:textAlignment w:val="baseline"/>
              <w:rPr>
                <w:rFonts w:ascii="宋体" w:hAnsi="宋体" w:cs="宋体"/>
                <w:color w:val="auto"/>
                <w:kern w:val="0"/>
                <w:sz w:val="24"/>
              </w:rPr>
            </w:pPr>
          </w:p>
        </w:tc>
        <w:tc>
          <w:tcPr>
            <w:tcW w:w="1695" w:type="dxa"/>
            <w:noWrap/>
            <w:vAlign w:val="center"/>
          </w:tcPr>
          <w:p w14:paraId="767D0FE1">
            <w:pPr>
              <w:adjustRightInd w:val="0"/>
              <w:snapToGrid w:val="0"/>
              <w:spacing w:line="360" w:lineRule="auto"/>
              <w:jc w:val="center"/>
              <w:textAlignment w:val="baseline"/>
              <w:rPr>
                <w:rFonts w:ascii="宋体" w:hAnsi="宋体" w:cs="宋体"/>
                <w:color w:val="auto"/>
                <w:kern w:val="0"/>
                <w:sz w:val="24"/>
              </w:rPr>
            </w:pPr>
          </w:p>
        </w:tc>
      </w:tr>
      <w:tr w14:paraId="063E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trPr>
        <w:tc>
          <w:tcPr>
            <w:tcW w:w="822" w:type="dxa"/>
            <w:noWrap/>
            <w:vAlign w:val="center"/>
          </w:tcPr>
          <w:p w14:paraId="681F989F">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5</w:t>
            </w:r>
          </w:p>
        </w:tc>
        <w:tc>
          <w:tcPr>
            <w:tcW w:w="2568" w:type="dxa"/>
            <w:noWrap/>
            <w:vAlign w:val="center"/>
          </w:tcPr>
          <w:p w14:paraId="6A3DC884">
            <w:pPr>
              <w:adjustRightInd w:val="0"/>
              <w:snapToGrid w:val="0"/>
              <w:spacing w:line="360" w:lineRule="auto"/>
              <w:jc w:val="center"/>
              <w:textAlignment w:val="baseline"/>
              <w:rPr>
                <w:rFonts w:ascii="宋体" w:hAnsi="宋体" w:cs="宋体"/>
                <w:color w:val="auto"/>
                <w:kern w:val="0"/>
                <w:sz w:val="24"/>
              </w:rPr>
            </w:pPr>
          </w:p>
        </w:tc>
        <w:tc>
          <w:tcPr>
            <w:tcW w:w="2295" w:type="dxa"/>
            <w:noWrap/>
            <w:vAlign w:val="center"/>
          </w:tcPr>
          <w:p w14:paraId="788A6FDC">
            <w:pPr>
              <w:adjustRightInd w:val="0"/>
              <w:snapToGrid w:val="0"/>
              <w:spacing w:line="360" w:lineRule="auto"/>
              <w:jc w:val="center"/>
              <w:textAlignment w:val="baseline"/>
              <w:rPr>
                <w:rFonts w:ascii="宋体" w:hAnsi="宋体" w:cs="宋体"/>
                <w:color w:val="auto"/>
                <w:kern w:val="0"/>
                <w:sz w:val="24"/>
              </w:rPr>
            </w:pPr>
          </w:p>
        </w:tc>
        <w:tc>
          <w:tcPr>
            <w:tcW w:w="1680" w:type="dxa"/>
            <w:noWrap/>
            <w:vAlign w:val="center"/>
          </w:tcPr>
          <w:p w14:paraId="2E13AAD7">
            <w:pPr>
              <w:adjustRightInd w:val="0"/>
              <w:snapToGrid w:val="0"/>
              <w:spacing w:line="360" w:lineRule="auto"/>
              <w:jc w:val="center"/>
              <w:textAlignment w:val="baseline"/>
              <w:rPr>
                <w:rFonts w:ascii="宋体" w:hAnsi="宋体" w:cs="宋体"/>
                <w:color w:val="auto"/>
                <w:kern w:val="0"/>
                <w:sz w:val="24"/>
              </w:rPr>
            </w:pPr>
          </w:p>
        </w:tc>
        <w:tc>
          <w:tcPr>
            <w:tcW w:w="1020" w:type="dxa"/>
            <w:noWrap/>
            <w:vAlign w:val="center"/>
          </w:tcPr>
          <w:p w14:paraId="3E0AD26C">
            <w:pPr>
              <w:adjustRightInd w:val="0"/>
              <w:snapToGrid w:val="0"/>
              <w:spacing w:line="360" w:lineRule="auto"/>
              <w:jc w:val="center"/>
              <w:textAlignment w:val="baseline"/>
              <w:rPr>
                <w:rFonts w:ascii="宋体" w:hAnsi="宋体" w:cs="宋体"/>
                <w:color w:val="auto"/>
                <w:kern w:val="0"/>
                <w:sz w:val="24"/>
              </w:rPr>
            </w:pPr>
          </w:p>
        </w:tc>
        <w:tc>
          <w:tcPr>
            <w:tcW w:w="2055" w:type="dxa"/>
            <w:noWrap/>
            <w:vAlign w:val="center"/>
          </w:tcPr>
          <w:p w14:paraId="6BD6FFD6">
            <w:pPr>
              <w:adjustRightInd w:val="0"/>
              <w:snapToGrid w:val="0"/>
              <w:spacing w:line="360" w:lineRule="auto"/>
              <w:jc w:val="center"/>
              <w:textAlignment w:val="baseline"/>
              <w:rPr>
                <w:rFonts w:ascii="宋体" w:hAnsi="宋体" w:cs="宋体"/>
                <w:color w:val="auto"/>
                <w:kern w:val="0"/>
                <w:sz w:val="24"/>
              </w:rPr>
            </w:pPr>
          </w:p>
        </w:tc>
        <w:tc>
          <w:tcPr>
            <w:tcW w:w="1875" w:type="dxa"/>
            <w:noWrap/>
            <w:vAlign w:val="center"/>
          </w:tcPr>
          <w:p w14:paraId="2EFC7A9F">
            <w:pPr>
              <w:adjustRightInd w:val="0"/>
              <w:snapToGrid w:val="0"/>
              <w:spacing w:line="360" w:lineRule="auto"/>
              <w:jc w:val="center"/>
              <w:textAlignment w:val="baseline"/>
              <w:rPr>
                <w:rFonts w:ascii="宋体" w:hAnsi="宋体" w:cs="宋体"/>
                <w:color w:val="auto"/>
                <w:kern w:val="0"/>
                <w:sz w:val="24"/>
              </w:rPr>
            </w:pPr>
          </w:p>
        </w:tc>
        <w:tc>
          <w:tcPr>
            <w:tcW w:w="1695" w:type="dxa"/>
            <w:noWrap/>
            <w:vAlign w:val="center"/>
          </w:tcPr>
          <w:p w14:paraId="2DB89764">
            <w:pPr>
              <w:adjustRightInd w:val="0"/>
              <w:snapToGrid w:val="0"/>
              <w:spacing w:line="360" w:lineRule="auto"/>
              <w:jc w:val="center"/>
              <w:textAlignment w:val="baseline"/>
              <w:rPr>
                <w:rFonts w:ascii="宋体" w:hAnsi="宋体" w:cs="宋体"/>
                <w:color w:val="auto"/>
                <w:kern w:val="0"/>
                <w:sz w:val="24"/>
              </w:rPr>
            </w:pPr>
          </w:p>
        </w:tc>
      </w:tr>
      <w:tr w14:paraId="0DB7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822" w:type="dxa"/>
            <w:noWrap/>
            <w:vAlign w:val="center"/>
          </w:tcPr>
          <w:p w14:paraId="23BF411A">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w:t>
            </w:r>
          </w:p>
        </w:tc>
        <w:tc>
          <w:tcPr>
            <w:tcW w:w="2568" w:type="dxa"/>
            <w:noWrap/>
            <w:vAlign w:val="center"/>
          </w:tcPr>
          <w:p w14:paraId="263A48B0">
            <w:pPr>
              <w:adjustRightInd w:val="0"/>
              <w:snapToGrid w:val="0"/>
              <w:spacing w:line="360" w:lineRule="auto"/>
              <w:jc w:val="center"/>
              <w:textAlignment w:val="baseline"/>
              <w:rPr>
                <w:rFonts w:ascii="宋体" w:hAnsi="宋体" w:cs="宋体"/>
                <w:color w:val="auto"/>
                <w:kern w:val="0"/>
                <w:sz w:val="24"/>
              </w:rPr>
            </w:pPr>
          </w:p>
        </w:tc>
        <w:tc>
          <w:tcPr>
            <w:tcW w:w="2295" w:type="dxa"/>
            <w:noWrap/>
            <w:vAlign w:val="center"/>
          </w:tcPr>
          <w:p w14:paraId="338ABD95">
            <w:pPr>
              <w:adjustRightInd w:val="0"/>
              <w:snapToGrid w:val="0"/>
              <w:spacing w:line="360" w:lineRule="auto"/>
              <w:jc w:val="center"/>
              <w:textAlignment w:val="baseline"/>
              <w:rPr>
                <w:rFonts w:ascii="宋体" w:hAnsi="宋体" w:cs="宋体"/>
                <w:color w:val="auto"/>
                <w:kern w:val="0"/>
                <w:sz w:val="24"/>
              </w:rPr>
            </w:pPr>
          </w:p>
        </w:tc>
        <w:tc>
          <w:tcPr>
            <w:tcW w:w="1680" w:type="dxa"/>
            <w:noWrap/>
            <w:vAlign w:val="center"/>
          </w:tcPr>
          <w:p w14:paraId="24C036DC">
            <w:pPr>
              <w:adjustRightInd w:val="0"/>
              <w:snapToGrid w:val="0"/>
              <w:spacing w:line="360" w:lineRule="auto"/>
              <w:jc w:val="center"/>
              <w:textAlignment w:val="baseline"/>
              <w:rPr>
                <w:rFonts w:ascii="宋体" w:hAnsi="宋体" w:cs="宋体"/>
                <w:color w:val="auto"/>
                <w:kern w:val="0"/>
                <w:sz w:val="24"/>
              </w:rPr>
            </w:pPr>
          </w:p>
        </w:tc>
        <w:tc>
          <w:tcPr>
            <w:tcW w:w="1020" w:type="dxa"/>
            <w:noWrap/>
            <w:vAlign w:val="center"/>
          </w:tcPr>
          <w:p w14:paraId="38778130">
            <w:pPr>
              <w:adjustRightInd w:val="0"/>
              <w:snapToGrid w:val="0"/>
              <w:spacing w:line="360" w:lineRule="auto"/>
              <w:jc w:val="center"/>
              <w:textAlignment w:val="baseline"/>
              <w:rPr>
                <w:rFonts w:ascii="宋体" w:hAnsi="宋体" w:cs="宋体"/>
                <w:color w:val="auto"/>
                <w:kern w:val="0"/>
                <w:sz w:val="24"/>
              </w:rPr>
            </w:pPr>
          </w:p>
        </w:tc>
        <w:tc>
          <w:tcPr>
            <w:tcW w:w="2055" w:type="dxa"/>
            <w:noWrap/>
            <w:vAlign w:val="center"/>
          </w:tcPr>
          <w:p w14:paraId="0C6062D7">
            <w:pPr>
              <w:adjustRightInd w:val="0"/>
              <w:snapToGrid w:val="0"/>
              <w:spacing w:line="360" w:lineRule="auto"/>
              <w:jc w:val="center"/>
              <w:textAlignment w:val="baseline"/>
              <w:rPr>
                <w:rFonts w:ascii="宋体" w:hAnsi="宋体" w:cs="宋体"/>
                <w:color w:val="auto"/>
                <w:kern w:val="0"/>
                <w:sz w:val="24"/>
              </w:rPr>
            </w:pPr>
          </w:p>
        </w:tc>
        <w:tc>
          <w:tcPr>
            <w:tcW w:w="1875" w:type="dxa"/>
            <w:noWrap/>
            <w:vAlign w:val="center"/>
          </w:tcPr>
          <w:p w14:paraId="664A661F">
            <w:pPr>
              <w:adjustRightInd w:val="0"/>
              <w:snapToGrid w:val="0"/>
              <w:spacing w:line="360" w:lineRule="auto"/>
              <w:jc w:val="center"/>
              <w:textAlignment w:val="baseline"/>
              <w:rPr>
                <w:rFonts w:ascii="宋体" w:hAnsi="宋体" w:cs="宋体"/>
                <w:color w:val="auto"/>
                <w:kern w:val="0"/>
                <w:sz w:val="24"/>
              </w:rPr>
            </w:pPr>
          </w:p>
        </w:tc>
        <w:tc>
          <w:tcPr>
            <w:tcW w:w="1695" w:type="dxa"/>
            <w:noWrap/>
            <w:vAlign w:val="center"/>
          </w:tcPr>
          <w:p w14:paraId="5505BF6F">
            <w:pPr>
              <w:adjustRightInd w:val="0"/>
              <w:snapToGrid w:val="0"/>
              <w:spacing w:line="360" w:lineRule="auto"/>
              <w:jc w:val="center"/>
              <w:textAlignment w:val="baseline"/>
              <w:rPr>
                <w:rFonts w:ascii="宋体" w:hAnsi="宋体" w:cs="宋体"/>
                <w:color w:val="auto"/>
                <w:kern w:val="0"/>
                <w:sz w:val="24"/>
              </w:rPr>
            </w:pPr>
          </w:p>
        </w:tc>
      </w:tr>
      <w:tr w14:paraId="7555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12315" w:type="dxa"/>
            <w:gridSpan w:val="7"/>
            <w:noWrap/>
            <w:vAlign w:val="center"/>
          </w:tcPr>
          <w:p w14:paraId="2BF6125D">
            <w:pPr>
              <w:adjustRightInd w:val="0"/>
              <w:snapToGrid w:val="0"/>
              <w:spacing w:line="360" w:lineRule="auto"/>
              <w:jc w:val="center"/>
              <w:textAlignment w:val="baseline"/>
              <w:rPr>
                <w:rFonts w:ascii="宋体" w:hAnsi="宋体" w:cs="宋体"/>
                <w:color w:val="auto"/>
                <w:kern w:val="0"/>
                <w:sz w:val="24"/>
              </w:rPr>
            </w:pPr>
            <w:r>
              <w:rPr>
                <w:rFonts w:hint="eastAsia" w:ascii="宋体" w:hAnsi="宋体" w:cs="宋体"/>
                <w:color w:val="auto"/>
                <w:kern w:val="0"/>
                <w:sz w:val="24"/>
              </w:rPr>
              <w:t>合计总价</w:t>
            </w:r>
          </w:p>
        </w:tc>
        <w:tc>
          <w:tcPr>
            <w:tcW w:w="1695" w:type="dxa"/>
            <w:noWrap/>
            <w:vAlign w:val="center"/>
          </w:tcPr>
          <w:p w14:paraId="0186E47F">
            <w:pPr>
              <w:adjustRightInd w:val="0"/>
              <w:snapToGrid w:val="0"/>
              <w:spacing w:line="360" w:lineRule="auto"/>
              <w:jc w:val="center"/>
              <w:textAlignment w:val="baseline"/>
              <w:rPr>
                <w:rFonts w:ascii="宋体" w:hAnsi="宋体" w:cs="宋体"/>
                <w:color w:val="auto"/>
                <w:kern w:val="0"/>
                <w:sz w:val="24"/>
              </w:rPr>
            </w:pPr>
          </w:p>
        </w:tc>
      </w:tr>
    </w:tbl>
    <w:p w14:paraId="1E8EBD39">
      <w:pPr>
        <w:widowControl/>
        <w:jc w:val="right"/>
        <w:rPr>
          <w:rFonts w:ascii="宋体" w:hAnsi="宋体" w:cs="宋体"/>
          <w:color w:val="auto"/>
          <w:szCs w:val="21"/>
        </w:rPr>
      </w:pPr>
    </w:p>
    <w:p w14:paraId="0EE5CC84">
      <w:pPr>
        <w:widowControl/>
        <w:jc w:val="right"/>
        <w:rPr>
          <w:rFonts w:ascii="宋体" w:hAnsi="宋体" w:cs="宋体"/>
          <w:color w:val="auto"/>
          <w:szCs w:val="21"/>
        </w:rPr>
      </w:pPr>
      <w:r>
        <w:rPr>
          <w:rFonts w:hint="eastAsia" w:ascii="宋体" w:hAnsi="宋体" w:cs="宋体"/>
          <w:color w:val="auto"/>
          <w:szCs w:val="21"/>
        </w:rPr>
        <w:t>法定代表人或其委托代理人：（签字并加盖单位章）</w:t>
      </w:r>
    </w:p>
    <w:p w14:paraId="5E3E2B9F">
      <w:pPr>
        <w:widowControl/>
        <w:jc w:val="right"/>
        <w:rPr>
          <w:rFonts w:ascii="宋体" w:hAnsi="宋体" w:cs="宋体"/>
          <w:color w:val="auto"/>
          <w:szCs w:val="21"/>
        </w:rPr>
      </w:pPr>
    </w:p>
    <w:p w14:paraId="789C078B">
      <w:pPr>
        <w:jc w:val="right"/>
        <w:rPr>
          <w:rFonts w:hint="eastAsia" w:ascii="宋体" w:hAnsi="宋体" w:eastAsia="宋体" w:cs="宋体"/>
          <w:color w:val="auto"/>
          <w:szCs w:val="21"/>
        </w:rPr>
        <w:sectPr>
          <w:type w:val="continuous"/>
          <w:pgSz w:w="16838" w:h="11906" w:orient="landscape"/>
          <w:pgMar w:top="1418" w:right="1588" w:bottom="1418" w:left="1531" w:header="1191" w:footer="794" w:gutter="284"/>
          <w:pgBorders>
            <w:top w:val="none" w:sz="0" w:space="0"/>
            <w:left w:val="none" w:sz="0" w:space="0"/>
            <w:bottom w:val="thickThinSmallGap" w:color="auto" w:sz="18" w:space="1"/>
            <w:right w:val="none" w:sz="0" w:space="0"/>
          </w:pgBorders>
          <w:pgNumType w:fmt="decimal"/>
          <w:cols w:space="720" w:num="1"/>
          <w:docGrid w:linePitch="312" w:charSpace="0"/>
        </w:sectPr>
      </w:pPr>
      <w:r>
        <w:rPr>
          <w:rFonts w:hint="eastAsia" w:ascii="宋体" w:hAnsi="宋体" w:cs="宋体"/>
          <w:color w:val="auto"/>
          <w:szCs w:val="21"/>
        </w:rPr>
        <w:t>________年______月________日</w:t>
      </w:r>
    </w:p>
    <w:p w14:paraId="2D17B7B6">
      <w:pPr>
        <w:pStyle w:val="37"/>
        <w:rPr>
          <w:rFonts w:hint="eastAsia"/>
          <w:color w:val="auto"/>
        </w:rPr>
      </w:pPr>
    </w:p>
    <w:p w14:paraId="2995D34B">
      <w:pPr>
        <w:wordWrap w:val="0"/>
        <w:jc w:val="right"/>
        <w:rPr>
          <w:rFonts w:hint="eastAsia" w:ascii="宋体" w:hAnsi="宋体" w:eastAsia="宋体" w:cs="宋体"/>
          <w:color w:val="auto"/>
          <w:szCs w:val="21"/>
        </w:rPr>
      </w:pPr>
    </w:p>
    <w:p w14:paraId="6D2CC487">
      <w:pPr>
        <w:jc w:val="center"/>
        <w:rPr>
          <w:rFonts w:hint="eastAsia" w:ascii="宋体" w:hAnsi="宋体" w:eastAsia="宋体" w:cs="宋体"/>
          <w:color w:val="auto"/>
          <w:szCs w:val="21"/>
          <w:lang w:eastAsia="zh-CN"/>
        </w:rPr>
      </w:pPr>
      <w:r>
        <w:rPr>
          <w:rFonts w:hint="eastAsia" w:ascii="宋体" w:hAnsi="宋体" w:cs="宋体"/>
          <w:b/>
          <w:color w:val="auto"/>
          <w:sz w:val="30"/>
          <w:szCs w:val="30"/>
        </w:rPr>
        <w:t>五、</w:t>
      </w:r>
      <w:r>
        <w:rPr>
          <w:rFonts w:hint="eastAsia" w:ascii="宋体" w:hAnsi="宋体" w:eastAsia="宋体" w:cs="宋体"/>
          <w:b/>
          <w:color w:val="auto"/>
          <w:sz w:val="30"/>
          <w:szCs w:val="30"/>
          <w:lang w:eastAsia="zh-CN"/>
        </w:rPr>
        <w:t>磋商保证金（如有）</w:t>
      </w:r>
    </w:p>
    <w:p w14:paraId="63CBFD74">
      <w:pPr>
        <w:autoSpaceDE w:val="0"/>
        <w:autoSpaceDN w:val="0"/>
        <w:adjustRightInd w:val="0"/>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如有，</w:t>
      </w:r>
      <w:r>
        <w:rPr>
          <w:rFonts w:hint="eastAsia" w:ascii="宋体" w:hAnsi="宋体" w:cs="宋体"/>
          <w:color w:val="auto"/>
          <w:szCs w:val="21"/>
          <w:highlight w:val="none"/>
          <w:lang w:val="zh-CN"/>
        </w:rPr>
        <w:t>后附投标保证金汇款凭据及基本账户开户许可证复印件（基本账户开户许可证取消后新开立基本账户的供应商，可以按照相关文件规定提供银行打印并加盖印章的《基本存款账户信息》。）</w:t>
      </w:r>
    </w:p>
    <w:p w14:paraId="1312E479">
      <w:pPr>
        <w:autoSpaceDE w:val="0"/>
        <w:autoSpaceDN w:val="0"/>
        <w:adjustRightInd w:val="0"/>
        <w:rPr>
          <w:rFonts w:hint="eastAsia" w:ascii="宋体" w:hAnsi="宋体" w:cs="宋体"/>
          <w:bCs/>
          <w:color w:val="auto"/>
          <w:szCs w:val="21"/>
          <w:highlight w:val="none"/>
        </w:rPr>
      </w:pPr>
    </w:p>
    <w:p w14:paraId="7F4F8550">
      <w:pPr>
        <w:spacing w:line="480" w:lineRule="auto"/>
        <w:rPr>
          <w:rFonts w:ascii="宋体" w:hAnsi="宋体"/>
          <w:b/>
          <w:bCs/>
          <w:color w:val="auto"/>
          <w:szCs w:val="21"/>
          <w:highlight w:val="none"/>
        </w:rPr>
      </w:pPr>
      <w:r>
        <w:rPr>
          <w:rFonts w:hint="eastAsia" w:ascii="宋体" w:hAnsi="宋体"/>
          <w:b/>
          <w:bCs/>
          <w:color w:val="auto"/>
          <w:szCs w:val="21"/>
          <w:highlight w:val="none"/>
        </w:rPr>
        <w:t>注：1.执行“长财采购【2021】695号”文件，不向诚信记录良好的</w:t>
      </w:r>
      <w:r>
        <w:rPr>
          <w:rFonts w:hint="eastAsia" w:ascii="宋体" w:hAnsi="宋体" w:eastAsia="宋体"/>
          <w:b/>
          <w:bCs/>
          <w:color w:val="auto"/>
          <w:szCs w:val="21"/>
          <w:highlight w:val="none"/>
          <w:lang w:eastAsia="zh-CN"/>
        </w:rPr>
        <w:t>供应商</w:t>
      </w:r>
      <w:r>
        <w:rPr>
          <w:rFonts w:hint="eastAsia" w:ascii="宋体" w:hAnsi="宋体"/>
          <w:b/>
          <w:bCs/>
          <w:color w:val="auto"/>
          <w:szCs w:val="21"/>
          <w:highlight w:val="none"/>
        </w:rPr>
        <w:t>收取投标保证金。2.如不交纳投标保证金，需提供本企业的诚信记录良好的承诺书及</w:t>
      </w:r>
      <w:r>
        <w:rPr>
          <w:rFonts w:hint="eastAsia" w:ascii="Tahoma" w:hAnsi="Tahoma" w:eastAsia="Tahoma" w:cs="Tahoma"/>
          <w:b/>
          <w:bCs/>
          <w:color w:val="auto"/>
          <w:szCs w:val="21"/>
          <w:highlight w:val="none"/>
          <w:shd w:val="clear" w:color="auto" w:fill="FFFFFF"/>
        </w:rPr>
        <w:t>“</w:t>
      </w:r>
      <w:r>
        <w:rPr>
          <w:rFonts w:hint="eastAsia" w:ascii="宋体" w:hAnsi="宋体" w:cs="宋体"/>
          <w:b/>
          <w:bCs/>
          <w:color w:val="auto"/>
          <w:szCs w:val="21"/>
          <w:highlight w:val="none"/>
          <w:shd w:val="clear" w:color="auto" w:fill="FFFFFF"/>
        </w:rPr>
        <w:t>信用中国</w:t>
      </w:r>
      <w:r>
        <w:rPr>
          <w:rFonts w:ascii="Tahoma" w:hAnsi="Tahoma" w:eastAsia="Tahoma" w:cs="Tahoma"/>
          <w:b/>
          <w:bCs/>
          <w:color w:val="auto"/>
          <w:szCs w:val="21"/>
          <w:highlight w:val="none"/>
          <w:shd w:val="clear" w:color="auto" w:fill="FFFFFF"/>
        </w:rPr>
        <w:t>”</w:t>
      </w:r>
      <w:r>
        <w:rPr>
          <w:rFonts w:hint="eastAsia" w:ascii="宋体" w:hAnsi="宋体" w:cs="宋体"/>
          <w:b/>
          <w:bCs/>
          <w:color w:val="auto"/>
          <w:szCs w:val="21"/>
          <w:highlight w:val="none"/>
          <w:shd w:val="clear" w:color="auto" w:fill="FFFFFF"/>
        </w:rPr>
        <w:t>网站查询不存在行政处罚信息截图等证明材料。</w:t>
      </w:r>
    </w:p>
    <w:p w14:paraId="586708B6">
      <w:pPr>
        <w:ind w:firstLine="420" w:firstLineChars="200"/>
        <w:jc w:val="left"/>
        <w:rPr>
          <w:rFonts w:hint="eastAsia" w:ascii="宋体" w:hAnsi="宋体" w:cs="宋体"/>
          <w:color w:val="auto"/>
          <w:szCs w:val="21"/>
        </w:rPr>
      </w:pPr>
    </w:p>
    <w:p w14:paraId="362A7DBF">
      <w:pPr>
        <w:jc w:val="left"/>
        <w:rPr>
          <w:rFonts w:hint="eastAsia" w:ascii="宋体" w:hAnsi="宋体" w:cs="宋体"/>
          <w:color w:val="auto"/>
          <w:szCs w:val="21"/>
        </w:rPr>
      </w:pPr>
    </w:p>
    <w:p w14:paraId="4E4977D0">
      <w:pPr>
        <w:jc w:val="left"/>
        <w:rPr>
          <w:rFonts w:hint="eastAsia" w:ascii="宋体" w:hAnsi="宋体" w:cs="宋体"/>
          <w:color w:val="auto"/>
          <w:szCs w:val="21"/>
        </w:rPr>
      </w:pPr>
    </w:p>
    <w:p w14:paraId="662C847A">
      <w:pPr>
        <w:jc w:val="left"/>
        <w:rPr>
          <w:rFonts w:hint="eastAsia" w:ascii="宋体" w:hAnsi="宋体" w:cs="宋体"/>
          <w:color w:val="auto"/>
          <w:szCs w:val="21"/>
        </w:rPr>
      </w:pPr>
    </w:p>
    <w:p w14:paraId="11832AD3">
      <w:pPr>
        <w:jc w:val="left"/>
        <w:rPr>
          <w:rFonts w:hint="eastAsia" w:ascii="宋体" w:hAnsi="宋体" w:cs="宋体"/>
          <w:color w:val="auto"/>
          <w:szCs w:val="21"/>
        </w:rPr>
      </w:pPr>
    </w:p>
    <w:p w14:paraId="588093CB">
      <w:pPr>
        <w:jc w:val="left"/>
        <w:rPr>
          <w:rFonts w:hint="eastAsia" w:ascii="宋体" w:hAnsi="宋体" w:cs="宋体"/>
          <w:color w:val="auto"/>
          <w:szCs w:val="21"/>
        </w:rPr>
      </w:pPr>
    </w:p>
    <w:p w14:paraId="68A3C701">
      <w:pPr>
        <w:jc w:val="left"/>
        <w:rPr>
          <w:rFonts w:hint="eastAsia" w:ascii="宋体" w:hAnsi="宋体" w:cs="宋体"/>
          <w:color w:val="auto"/>
          <w:szCs w:val="21"/>
        </w:rPr>
      </w:pPr>
    </w:p>
    <w:p w14:paraId="154CBC46">
      <w:pPr>
        <w:rPr>
          <w:rFonts w:hint="eastAsia" w:ascii="宋体" w:hAnsi="宋体" w:cs="宋体"/>
          <w:color w:val="auto"/>
          <w:szCs w:val="21"/>
        </w:rPr>
      </w:pPr>
      <w:r>
        <w:rPr>
          <w:rFonts w:hint="eastAsia" w:ascii="宋体" w:hAnsi="宋体" w:cs="宋体"/>
          <w:color w:val="auto"/>
          <w:szCs w:val="21"/>
        </w:rPr>
        <w:br w:type="page"/>
      </w:r>
    </w:p>
    <w:p w14:paraId="41BC7309">
      <w:pPr>
        <w:pStyle w:val="4"/>
        <w:spacing w:line="363" w:lineRule="exact"/>
        <w:ind w:left="217" w:right="175"/>
        <w:jc w:val="center"/>
        <w:rPr>
          <w:rFonts w:hint="default" w:ascii="宋体" w:hAnsi="宋体" w:eastAsia="宋体" w:cs="宋体"/>
          <w:b/>
          <w:bCs/>
          <w:color w:val="auto"/>
          <w:highlight w:val="none"/>
          <w:lang w:val="en-US" w:eastAsia="zh-CN"/>
        </w:rPr>
      </w:pPr>
      <w:r>
        <w:rPr>
          <w:rFonts w:hint="eastAsia" w:ascii="宋体" w:hAnsi="宋体" w:cs="宋体"/>
          <w:b/>
          <w:bCs/>
          <w:color w:val="auto"/>
          <w:highlight w:val="none"/>
          <w:lang w:eastAsia="zh-CN"/>
        </w:rPr>
        <w:t>资格条件承诺函</w:t>
      </w:r>
    </w:p>
    <w:p w14:paraId="341E1C8C">
      <w:pPr>
        <w:pStyle w:val="4"/>
        <w:spacing w:line="363" w:lineRule="exact"/>
        <w:jc w:val="left"/>
        <w:rPr>
          <w:rFonts w:hint="eastAsia" w:ascii="宋体" w:hAnsi="宋体" w:cs="宋体"/>
          <w:b w:val="0"/>
          <w:bCs w:val="0"/>
          <w:color w:val="auto"/>
          <w:sz w:val="24"/>
          <w:szCs w:val="24"/>
          <w:highlight w:val="none"/>
        </w:rPr>
      </w:pPr>
    </w:p>
    <w:p w14:paraId="7FC91985">
      <w:pPr>
        <w:pStyle w:val="4"/>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rPr>
        <w:t>致：</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（采购人、采购代理机构）</w:t>
      </w:r>
      <w:r>
        <w:rPr>
          <w:rFonts w:hint="eastAsia" w:ascii="宋体" w:hAnsi="宋体" w:cs="宋体"/>
          <w:b w:val="0"/>
          <w:bCs w:val="0"/>
          <w:color w:val="auto"/>
          <w:sz w:val="24"/>
          <w:szCs w:val="24"/>
          <w:highlight w:val="none"/>
          <w:u w:val="none"/>
          <w:lang w:eastAsia="zh-CN"/>
        </w:rPr>
        <w:t>：</w:t>
      </w:r>
    </w:p>
    <w:p w14:paraId="44F0897C">
      <w:pPr>
        <w:pStyle w:val="4"/>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我单位（公司）参与</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（采购项目名称 项目编号）</w:t>
      </w:r>
      <w:r>
        <w:rPr>
          <w:rFonts w:hint="eastAsia" w:ascii="宋体" w:hAnsi="宋体" w:cs="宋体"/>
          <w:b w:val="0"/>
          <w:bCs w:val="0"/>
          <w:color w:val="auto"/>
          <w:sz w:val="24"/>
          <w:szCs w:val="24"/>
          <w:highlight w:val="none"/>
        </w:rPr>
        <w:t>采购项目的政府采购活动，现承诺如下：</w:t>
      </w:r>
    </w:p>
    <w:p w14:paraId="2D4567A1">
      <w:pPr>
        <w:pStyle w:val="4"/>
        <w:pageBreakBefore w:val="0"/>
        <w:widowControl/>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1.具有良好的商业信誉和健全的财务会计制度；</w:t>
      </w:r>
    </w:p>
    <w:p w14:paraId="6DEBB4C9">
      <w:pPr>
        <w:pStyle w:val="4"/>
        <w:pageBreakBefore w:val="0"/>
        <w:widowControl/>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2.具有依法缴纳税收的良好记录；</w:t>
      </w:r>
    </w:p>
    <w:p w14:paraId="0947E9F4">
      <w:pPr>
        <w:pStyle w:val="4"/>
        <w:pageBreakBefore w:val="0"/>
        <w:widowControl/>
        <w:kinsoku/>
        <w:wordWrap/>
        <w:overflowPunct/>
        <w:topLinePunct w:val="0"/>
        <w:autoSpaceDE/>
        <w:autoSpaceDN/>
        <w:bidi w:val="0"/>
        <w:adjustRightInd/>
        <w:snapToGrid/>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3.具有依法缴纳社会保障金的良好记录。</w:t>
      </w:r>
    </w:p>
    <w:p w14:paraId="6E09D537">
      <w:pPr>
        <w:pStyle w:val="4"/>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我方在采购项目评审(评标)环节结束后，随时接受采购人、采购代理机构的检查验证，配合提供相关证明材料，证明符合《中华人民共和国政府采购法》规定的供应商基本资格条件。</w:t>
      </w:r>
    </w:p>
    <w:p w14:paraId="2901D7AB">
      <w:pPr>
        <w:pStyle w:val="4"/>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我单位（公司）对上述承诺的真实性负责。如有虚假，将依法承担相应责任。</w:t>
      </w:r>
    </w:p>
    <w:p w14:paraId="0941A823">
      <w:pPr>
        <w:pStyle w:val="4"/>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特此承诺。</w:t>
      </w:r>
    </w:p>
    <w:p w14:paraId="1983C9FD">
      <w:pPr>
        <w:pStyle w:val="4"/>
        <w:pageBreakBefore w:val="0"/>
        <w:widowControl/>
        <w:kinsoku/>
        <w:wordWrap/>
        <w:overflowPunct/>
        <w:topLinePunct w:val="0"/>
        <w:autoSpaceDE/>
        <w:autoSpaceDN/>
        <w:bidi w:val="0"/>
        <w:adjustRightInd/>
        <w:snapToGrid/>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p>
    <w:p w14:paraId="28A27EA0">
      <w:pPr>
        <w:pStyle w:val="4"/>
        <w:pageBreakBefore w:val="0"/>
        <w:widowControl/>
        <w:kinsoku/>
        <w:wordWrap/>
        <w:overflowPunct/>
        <w:topLinePunct w:val="0"/>
        <w:autoSpaceDE/>
        <w:autoSpaceDN/>
        <w:bidi w:val="0"/>
        <w:adjustRightInd/>
        <w:snapToGrid/>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盖章：</w:t>
      </w:r>
    </w:p>
    <w:p w14:paraId="47831DE8">
      <w:pPr>
        <w:pStyle w:val="4"/>
        <w:pageBreakBefore w:val="0"/>
        <w:widowControl/>
        <w:kinsoku/>
        <w:wordWrap/>
        <w:overflowPunct/>
        <w:topLinePunct w:val="0"/>
        <w:autoSpaceDE/>
        <w:autoSpaceDN/>
        <w:bidi w:val="0"/>
        <w:adjustRightInd/>
        <w:snapToGrid/>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签字：</w:t>
      </w:r>
    </w:p>
    <w:p w14:paraId="78BCB85F">
      <w:pPr>
        <w:pageBreakBefore w:val="0"/>
        <w:widowControl/>
        <w:kinsoku/>
        <w:wordWrap/>
        <w:overflowPunct/>
        <w:topLinePunct w:val="0"/>
        <w:autoSpaceDE/>
        <w:autoSpaceDN/>
        <w:bidi w:val="0"/>
        <w:adjustRightInd/>
        <w:snapToGrid/>
        <w:spacing w:beforeLines="50" w:afterLines="100" w:line="360" w:lineRule="auto"/>
        <w:jc w:val="center"/>
        <w:textAlignment w:val="auto"/>
        <w:rPr>
          <w:rFonts w:hint="eastAsia" w:ascii="宋体" w:hAnsi="宋体" w:eastAsia="宋体"/>
          <w:b/>
          <w:color w:val="auto"/>
          <w:sz w:val="24"/>
          <w:lang w:val="en-US" w:eastAsia="zh-CN"/>
        </w:rPr>
      </w:pP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日期：</w:t>
      </w:r>
    </w:p>
    <w:p w14:paraId="0945E9A4">
      <w:pP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br w:type="page"/>
      </w:r>
    </w:p>
    <w:p w14:paraId="7A9D2075">
      <w:pPr>
        <w:pStyle w:val="4"/>
        <w:pageBreakBefore w:val="0"/>
        <w:kinsoku/>
        <w:wordWrap/>
        <w:overflowPunct/>
        <w:topLinePunct w:val="0"/>
        <w:autoSpaceDE/>
        <w:autoSpaceDN/>
        <w:bidi w:val="0"/>
        <w:adjustRightInd/>
        <w:snapToGrid w:val="0"/>
        <w:spacing w:line="360" w:lineRule="auto"/>
        <w:ind w:left="217" w:right="175"/>
        <w:jc w:val="center"/>
        <w:textAlignment w:val="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符合提供资格条件承诺函的信用承诺书</w:t>
      </w:r>
    </w:p>
    <w:p w14:paraId="2E872341">
      <w:pPr>
        <w:pageBreakBefore w:val="0"/>
        <w:kinsoku/>
        <w:wordWrap/>
        <w:overflowPunct/>
        <w:topLinePunct w:val="0"/>
        <w:autoSpaceDE/>
        <w:autoSpaceDN/>
        <w:bidi w:val="0"/>
        <w:adjustRightInd/>
        <w:snapToGrid w:val="0"/>
        <w:spacing w:line="360" w:lineRule="auto"/>
        <w:textAlignment w:val="auto"/>
        <w:rPr>
          <w:rFonts w:hint="eastAsia" w:ascii="宋体" w:hAnsi="宋体" w:cs="宋体"/>
          <w:b w:val="0"/>
          <w:bCs w:val="0"/>
          <w:color w:val="auto"/>
          <w:sz w:val="24"/>
          <w:szCs w:val="24"/>
          <w:highlight w:val="none"/>
        </w:rPr>
      </w:pPr>
    </w:p>
    <w:p w14:paraId="65E83EAA">
      <w:pPr>
        <w:pageBreakBefore w:val="0"/>
        <w:widowControl/>
        <w:kinsoku/>
        <w:wordWrap/>
        <w:overflowPunct/>
        <w:topLinePunct w:val="0"/>
        <w:autoSpaceDE/>
        <w:autoSpaceDN/>
        <w:bidi w:val="0"/>
        <w:adjustRightInd/>
        <w:snapToGrid w:val="0"/>
        <w:spacing w:line="360" w:lineRule="auto"/>
        <w:textAlignment w:val="auto"/>
        <w:rPr>
          <w:rFonts w:hint="eastAsia" w:hAnsi="宋体" w:cs="宋体"/>
          <w:color w:val="auto"/>
          <w:szCs w:val="21"/>
          <w:highlight w:val="none"/>
          <w:lang w:eastAsia="zh-CN"/>
        </w:rPr>
      </w:pPr>
      <w:r>
        <w:rPr>
          <w:rFonts w:hint="eastAsia" w:ascii="宋体" w:hAnsi="宋体" w:cs="宋体"/>
          <w:b w:val="0"/>
          <w:bCs w:val="0"/>
          <w:color w:val="auto"/>
          <w:sz w:val="24"/>
          <w:szCs w:val="24"/>
          <w:highlight w:val="none"/>
        </w:rPr>
        <w:t>致：</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（采购人、采购代理机构）</w:t>
      </w:r>
      <w:r>
        <w:rPr>
          <w:rFonts w:hint="eastAsia" w:ascii="宋体" w:hAnsi="宋体" w:cs="宋体"/>
          <w:b w:val="0"/>
          <w:bCs w:val="0"/>
          <w:color w:val="auto"/>
          <w:sz w:val="24"/>
          <w:szCs w:val="24"/>
          <w:highlight w:val="none"/>
          <w:u w:val="none"/>
          <w:lang w:eastAsia="zh-CN"/>
        </w:rPr>
        <w:t>：</w:t>
      </w:r>
    </w:p>
    <w:p w14:paraId="1134FC89">
      <w:pPr>
        <w:pStyle w:val="43"/>
        <w:pageBreakBefore w:val="0"/>
        <w:widowControl/>
        <w:kinsoku/>
        <w:wordWrap/>
        <w:overflowPunct/>
        <w:topLinePunct w:val="0"/>
        <w:autoSpaceDE/>
        <w:autoSpaceDN/>
        <w:bidi w:val="0"/>
        <w:adjustRightInd/>
        <w:snapToGrid w:val="0"/>
        <w:spacing w:line="360" w:lineRule="auto"/>
        <w:ind w:firstLine="480"/>
        <w:jc w:val="left"/>
        <w:textAlignment w:val="auto"/>
        <w:rPr>
          <w:rFonts w:hint="eastAsia" w:eastAsia="宋体"/>
          <w:color w:val="auto"/>
          <w:highlight w:val="none"/>
          <w:lang w:eastAsia="zh-CN"/>
        </w:rPr>
      </w:pPr>
      <w:r>
        <w:rPr>
          <w:rFonts w:hint="eastAsia" w:ascii="宋体" w:hAnsi="宋体" w:cs="宋体"/>
          <w:b w:val="0"/>
          <w:bCs w:val="0"/>
          <w:color w:val="auto"/>
          <w:sz w:val="24"/>
          <w:szCs w:val="24"/>
          <w:highlight w:val="none"/>
        </w:rPr>
        <w:t>我单位（公司）参与</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rPr>
        <w:t>（采购项目名称 项目编号）</w:t>
      </w:r>
      <w:r>
        <w:rPr>
          <w:rFonts w:hint="eastAsia" w:ascii="宋体" w:hAnsi="宋体" w:cs="宋体"/>
          <w:b w:val="0"/>
          <w:bCs w:val="0"/>
          <w:color w:val="auto"/>
          <w:sz w:val="24"/>
          <w:szCs w:val="24"/>
          <w:highlight w:val="none"/>
        </w:rPr>
        <w:t>采购项目的政府采购活动，</w:t>
      </w:r>
      <w:r>
        <w:rPr>
          <w:rFonts w:hint="eastAsia" w:ascii="宋体" w:hAnsi="宋体" w:eastAsia="宋体" w:cs="宋体"/>
          <w:b w:val="0"/>
          <w:bCs w:val="0"/>
          <w:color w:val="auto"/>
          <w:sz w:val="24"/>
          <w:szCs w:val="24"/>
          <w:highlight w:val="none"/>
          <w:lang w:eastAsia="zh-CN"/>
        </w:rPr>
        <w:t>我单位（公司）现承诺不属于下列任何一种情形：</w:t>
      </w:r>
    </w:p>
    <w:p w14:paraId="6DFE745A">
      <w:pPr>
        <w:pStyle w:val="4"/>
        <w:pageBreakBefore w:val="0"/>
        <w:widowControl/>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1.被列入政府采购不良行为记录名单的，被禁止参加政府采购活动且尚在处罚有效期内的；</w:t>
      </w:r>
    </w:p>
    <w:p w14:paraId="5910DB6D">
      <w:pPr>
        <w:pStyle w:val="4"/>
        <w:pageBreakBefore w:val="0"/>
        <w:widowControl/>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2.被有关部门列入失信被执行人、联合惩戒对象、严重违法失信行为记录等情形的；</w:t>
      </w:r>
    </w:p>
    <w:p w14:paraId="77626BE7">
      <w:pPr>
        <w:pStyle w:val="4"/>
        <w:pageBreakBefore w:val="0"/>
        <w:widowControl/>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rPr>
        <w:t>3.其他法律法规规定的不适用于资格条件信用承诺的情</w:t>
      </w:r>
      <w:r>
        <w:rPr>
          <w:rFonts w:hint="eastAsia" w:ascii="宋体" w:hAnsi="宋体" w:cs="宋体"/>
          <w:b w:val="0"/>
          <w:bCs w:val="0"/>
          <w:color w:val="auto"/>
          <w:sz w:val="24"/>
          <w:szCs w:val="24"/>
          <w:highlight w:val="none"/>
          <w:lang w:eastAsia="zh-CN"/>
        </w:rPr>
        <w:t>形。</w:t>
      </w:r>
    </w:p>
    <w:p w14:paraId="2B4ACB1C">
      <w:pPr>
        <w:pStyle w:val="4"/>
        <w:pageBreakBefore w:val="0"/>
        <w:widowControl/>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我单位（公司）对上述承诺的真实性负责。如有虚假，将依法承担相应责任。</w:t>
      </w:r>
    </w:p>
    <w:p w14:paraId="1D93D26B">
      <w:pPr>
        <w:pStyle w:val="4"/>
        <w:pageBreakBefore w:val="0"/>
        <w:widowControl/>
        <w:kinsoku/>
        <w:wordWrap/>
        <w:overflowPunct/>
        <w:topLinePunct w:val="0"/>
        <w:autoSpaceDE/>
        <w:autoSpaceDN/>
        <w:bidi w:val="0"/>
        <w:adjustRightInd/>
        <w:snapToGrid w:val="0"/>
        <w:spacing w:line="360" w:lineRule="auto"/>
        <w:ind w:left="0" w:leftChars="0" w:firstLine="420" w:firstLineChars="1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特此承诺。</w:t>
      </w:r>
    </w:p>
    <w:p w14:paraId="73372CE7">
      <w:pPr>
        <w:pStyle w:val="4"/>
        <w:pageBreakBefore w:val="0"/>
        <w:widowControl/>
        <w:kinsoku/>
        <w:wordWrap/>
        <w:overflowPunct/>
        <w:topLinePunct w:val="0"/>
        <w:autoSpaceDE/>
        <w:autoSpaceDN/>
        <w:bidi w:val="0"/>
        <w:adjustRightInd/>
        <w:snapToGrid w:val="0"/>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p>
    <w:p w14:paraId="5FB01630">
      <w:pPr>
        <w:pStyle w:val="4"/>
        <w:pageBreakBefore w:val="0"/>
        <w:widowControl/>
        <w:kinsoku/>
        <w:wordWrap/>
        <w:overflowPunct/>
        <w:topLinePunct w:val="0"/>
        <w:autoSpaceDE/>
        <w:autoSpaceDN/>
        <w:bidi w:val="0"/>
        <w:adjustRightInd/>
        <w:snapToGrid w:val="0"/>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盖章：</w:t>
      </w:r>
    </w:p>
    <w:p w14:paraId="002087E8">
      <w:pPr>
        <w:pStyle w:val="4"/>
        <w:pageBreakBefore w:val="0"/>
        <w:widowControl/>
        <w:kinsoku/>
        <w:wordWrap/>
        <w:overflowPunct/>
        <w:topLinePunct w:val="0"/>
        <w:autoSpaceDE/>
        <w:autoSpaceDN/>
        <w:bidi w:val="0"/>
        <w:adjustRightInd/>
        <w:snapToGrid w:val="0"/>
        <w:spacing w:line="360" w:lineRule="auto"/>
        <w:ind w:left="0" w:leftChars="0" w:firstLine="5460" w:firstLineChars="2275"/>
        <w:jc w:val="left"/>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签字：</w:t>
      </w:r>
    </w:p>
    <w:p w14:paraId="310A3582">
      <w:pPr>
        <w:pageBreakBefore w:val="0"/>
        <w:widowControl/>
        <w:kinsoku/>
        <w:wordWrap/>
        <w:overflowPunct/>
        <w:topLinePunct w:val="0"/>
        <w:autoSpaceDE/>
        <w:autoSpaceDN/>
        <w:bidi w:val="0"/>
        <w:adjustRightInd/>
        <w:jc w:val="center"/>
        <w:textAlignment w:val="auto"/>
        <w:rPr>
          <w:rFonts w:hint="eastAsia" w:ascii="宋体" w:hAnsi="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rPr>
        <w:t>日期：</w:t>
      </w:r>
    </w:p>
    <w:p w14:paraId="7D1CB22B">
      <w:pPr>
        <w:rPr>
          <w:rFonts w:hint="eastAsia" w:ascii="宋体" w:hAnsi="宋体" w:cs="宋体"/>
          <w:color w:val="auto"/>
          <w:szCs w:val="21"/>
        </w:rPr>
      </w:pPr>
    </w:p>
    <w:p w14:paraId="540EB2A0">
      <w:pPr>
        <w:pStyle w:val="37"/>
        <w:rPr>
          <w:rFonts w:hint="eastAsia"/>
          <w:color w:val="auto"/>
        </w:rPr>
      </w:pPr>
    </w:p>
    <w:p w14:paraId="593BC1E2">
      <w:pPr>
        <w:rPr>
          <w:rFonts w:hint="eastAsia" w:ascii="宋体" w:hAnsi="宋体" w:cs="宋体"/>
          <w:b/>
          <w:color w:val="auto"/>
          <w:lang w:val="en-US" w:eastAsia="zh-CN"/>
        </w:rPr>
      </w:pPr>
      <w:r>
        <w:rPr>
          <w:rFonts w:hint="eastAsia" w:ascii="宋体" w:hAnsi="宋体" w:cs="宋体"/>
          <w:b/>
          <w:color w:val="auto"/>
          <w:lang w:val="en-US" w:eastAsia="zh-CN"/>
        </w:rPr>
        <w:br w:type="page"/>
      </w:r>
    </w:p>
    <w:p w14:paraId="1269D539">
      <w:pPr>
        <w:pStyle w:val="204"/>
        <w:numPr>
          <w:ilvl w:val="1"/>
          <w:numId w:val="0"/>
        </w:numPr>
        <w:jc w:val="center"/>
        <w:outlineLvl w:val="0"/>
        <w:rPr>
          <w:rFonts w:ascii="宋体" w:hAnsi="宋体" w:eastAsia="宋体" w:cs="宋体"/>
          <w:b/>
          <w:color w:val="auto"/>
        </w:rPr>
      </w:pPr>
      <w:r>
        <w:rPr>
          <w:rFonts w:hint="eastAsia" w:ascii="宋体" w:hAnsi="宋体" w:eastAsia="宋体" w:cs="宋体"/>
          <w:b/>
          <w:color w:val="auto"/>
        </w:rPr>
        <w:t>六、偏离表</w:t>
      </w:r>
    </w:p>
    <w:p w14:paraId="53AF0DEB">
      <w:pPr>
        <w:jc w:val="center"/>
        <w:outlineLvl w:val="1"/>
        <w:rPr>
          <w:rFonts w:ascii="宋体" w:hAnsi="宋体" w:cs="宋体"/>
          <w:b/>
          <w:color w:val="auto"/>
          <w:sz w:val="24"/>
        </w:rPr>
      </w:pPr>
      <w:r>
        <w:rPr>
          <w:rFonts w:hint="eastAsia" w:ascii="宋体" w:hAnsi="宋体" w:cs="宋体"/>
          <w:b/>
          <w:color w:val="auto"/>
          <w:sz w:val="24"/>
        </w:rPr>
        <w:t>（一）商务偏离表</w:t>
      </w:r>
    </w:p>
    <w:p w14:paraId="50A65E20">
      <w:pPr>
        <w:jc w:val="center"/>
        <w:rPr>
          <w:rFonts w:ascii="宋体" w:hAnsi="宋体" w:cs="宋体"/>
          <w:b/>
          <w:color w:val="auto"/>
          <w:sz w:val="24"/>
        </w:rPr>
      </w:pPr>
    </w:p>
    <w:p w14:paraId="154C2DDE">
      <w:pPr>
        <w:rPr>
          <w:rFonts w:ascii="宋体" w:hAnsi="宋体" w:cs="宋体"/>
          <w:color w:val="auto"/>
          <w:szCs w:val="21"/>
        </w:rPr>
      </w:pPr>
      <w:r>
        <w:rPr>
          <w:rFonts w:hint="eastAsia" w:ascii="宋体" w:hAnsi="宋体" w:cs="宋体"/>
          <w:color w:val="auto"/>
          <w:szCs w:val="21"/>
        </w:rPr>
        <w:t xml:space="preserve">项目名称：   </w:t>
      </w:r>
    </w:p>
    <w:p w14:paraId="24258974">
      <w:pPr>
        <w:spacing w:after="120"/>
        <w:rPr>
          <w:rFonts w:ascii="宋体" w:hAnsi="宋体" w:cs="宋体"/>
          <w:color w:val="auto"/>
          <w:szCs w:val="21"/>
        </w:rPr>
      </w:pPr>
      <w:r>
        <w:rPr>
          <w:rFonts w:hint="eastAsia" w:ascii="宋体" w:hAnsi="宋体" w:eastAsia="宋体" w:cs="宋体"/>
          <w:color w:val="auto"/>
          <w:szCs w:val="21"/>
          <w:lang w:val="en-US" w:eastAsia="zh-CN"/>
        </w:rPr>
        <w:t>项目</w:t>
      </w:r>
      <w:r>
        <w:rPr>
          <w:rFonts w:hint="eastAsia" w:ascii="宋体" w:hAnsi="宋体" w:cs="宋体"/>
          <w:color w:val="auto"/>
          <w:szCs w:val="21"/>
        </w:rPr>
        <w:t>编号：</w:t>
      </w:r>
    </w:p>
    <w:tbl>
      <w:tblPr>
        <w:tblStyle w:val="47"/>
        <w:tblW w:w="98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6"/>
        <w:gridCol w:w="2032"/>
        <w:gridCol w:w="2569"/>
        <w:gridCol w:w="2633"/>
        <w:gridCol w:w="1788"/>
      </w:tblGrid>
      <w:tr w14:paraId="55F51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796" w:type="dxa"/>
            <w:noWrap/>
            <w:vAlign w:val="center"/>
          </w:tcPr>
          <w:p w14:paraId="6B81CADC">
            <w:pPr>
              <w:jc w:val="center"/>
              <w:rPr>
                <w:rFonts w:ascii="宋体" w:hAnsi="宋体" w:cs="宋体"/>
                <w:color w:val="auto"/>
                <w:szCs w:val="21"/>
              </w:rPr>
            </w:pPr>
            <w:r>
              <w:rPr>
                <w:rFonts w:hint="eastAsia" w:ascii="宋体" w:hAnsi="宋体" w:cs="宋体"/>
                <w:color w:val="auto"/>
                <w:szCs w:val="21"/>
              </w:rPr>
              <w:t>序号</w:t>
            </w:r>
          </w:p>
        </w:tc>
        <w:tc>
          <w:tcPr>
            <w:tcW w:w="2032" w:type="dxa"/>
            <w:noWrap/>
            <w:vAlign w:val="center"/>
          </w:tcPr>
          <w:p w14:paraId="4AB803EC">
            <w:pPr>
              <w:jc w:val="center"/>
              <w:rPr>
                <w:rFonts w:ascii="宋体" w:hAnsi="宋体" w:cs="宋体"/>
                <w:color w:val="auto"/>
                <w:szCs w:val="21"/>
              </w:rPr>
            </w:pPr>
            <w:r>
              <w:rPr>
                <w:rFonts w:hint="eastAsia" w:ascii="宋体" w:hAnsi="宋体" w:eastAsia="宋体" w:cs="宋体"/>
                <w:color w:val="auto"/>
                <w:szCs w:val="21"/>
                <w:lang w:eastAsia="zh-CN"/>
              </w:rPr>
              <w:t>磋商文件</w:t>
            </w:r>
            <w:r>
              <w:rPr>
                <w:rFonts w:hint="eastAsia" w:ascii="宋体" w:hAnsi="宋体" w:cs="宋体"/>
                <w:color w:val="auto"/>
                <w:szCs w:val="21"/>
              </w:rPr>
              <w:t>条目号</w:t>
            </w:r>
          </w:p>
        </w:tc>
        <w:tc>
          <w:tcPr>
            <w:tcW w:w="2569" w:type="dxa"/>
            <w:noWrap/>
            <w:vAlign w:val="center"/>
          </w:tcPr>
          <w:p w14:paraId="54262E8E">
            <w:pPr>
              <w:jc w:val="center"/>
              <w:rPr>
                <w:rFonts w:ascii="宋体" w:hAnsi="宋体" w:cs="宋体"/>
                <w:color w:val="auto"/>
                <w:szCs w:val="21"/>
              </w:rPr>
            </w:pPr>
            <w:r>
              <w:rPr>
                <w:rFonts w:hint="eastAsia" w:ascii="宋体" w:hAnsi="宋体" w:eastAsia="宋体" w:cs="宋体"/>
                <w:color w:val="auto"/>
                <w:szCs w:val="21"/>
                <w:lang w:eastAsia="zh-CN"/>
              </w:rPr>
              <w:t>磋商文件</w:t>
            </w:r>
            <w:r>
              <w:rPr>
                <w:rFonts w:hint="eastAsia" w:ascii="宋体" w:hAnsi="宋体" w:cs="宋体"/>
                <w:color w:val="auto"/>
                <w:szCs w:val="21"/>
              </w:rPr>
              <w:t>的商务条款</w:t>
            </w:r>
          </w:p>
        </w:tc>
        <w:tc>
          <w:tcPr>
            <w:tcW w:w="2633" w:type="dxa"/>
            <w:noWrap/>
            <w:vAlign w:val="center"/>
          </w:tcPr>
          <w:p w14:paraId="02D757FF">
            <w:pPr>
              <w:jc w:val="center"/>
              <w:rPr>
                <w:rFonts w:ascii="宋体" w:hAnsi="宋体" w:cs="宋体"/>
                <w:color w:val="auto"/>
                <w:szCs w:val="21"/>
              </w:rPr>
            </w:pPr>
            <w:r>
              <w:rPr>
                <w:rFonts w:hint="eastAsia" w:ascii="宋体" w:hAnsi="宋体" w:eastAsia="宋体" w:cs="宋体"/>
                <w:color w:val="auto"/>
                <w:szCs w:val="21"/>
                <w:lang w:eastAsia="zh-CN"/>
              </w:rPr>
              <w:t>响应文件</w:t>
            </w:r>
            <w:r>
              <w:rPr>
                <w:rFonts w:hint="eastAsia" w:ascii="宋体" w:hAnsi="宋体" w:cs="宋体"/>
                <w:color w:val="auto"/>
                <w:szCs w:val="21"/>
              </w:rPr>
              <w:t>的商务条款</w:t>
            </w:r>
          </w:p>
        </w:tc>
        <w:tc>
          <w:tcPr>
            <w:tcW w:w="1788" w:type="dxa"/>
            <w:noWrap/>
            <w:vAlign w:val="center"/>
          </w:tcPr>
          <w:p w14:paraId="5F396F9A">
            <w:pPr>
              <w:jc w:val="center"/>
              <w:rPr>
                <w:rFonts w:ascii="宋体" w:hAnsi="宋体" w:cs="宋体"/>
                <w:color w:val="auto"/>
                <w:szCs w:val="21"/>
              </w:rPr>
            </w:pPr>
            <w:r>
              <w:rPr>
                <w:rFonts w:hint="eastAsia" w:ascii="宋体" w:hAnsi="宋体" w:cs="宋体"/>
                <w:color w:val="auto"/>
                <w:szCs w:val="21"/>
              </w:rPr>
              <w:t>说明</w:t>
            </w:r>
          </w:p>
        </w:tc>
      </w:tr>
      <w:tr w14:paraId="7A5901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3F4A236F">
            <w:pPr>
              <w:rPr>
                <w:rFonts w:ascii="宋体" w:hAnsi="宋体" w:cs="宋体"/>
                <w:color w:val="auto"/>
                <w:szCs w:val="21"/>
              </w:rPr>
            </w:pPr>
          </w:p>
          <w:p w14:paraId="7B5C274E">
            <w:pPr>
              <w:rPr>
                <w:rFonts w:ascii="宋体" w:hAnsi="宋体" w:cs="宋体"/>
                <w:color w:val="auto"/>
                <w:szCs w:val="21"/>
              </w:rPr>
            </w:pPr>
          </w:p>
        </w:tc>
        <w:tc>
          <w:tcPr>
            <w:tcW w:w="2032" w:type="dxa"/>
            <w:noWrap/>
          </w:tcPr>
          <w:p w14:paraId="68FF0C17">
            <w:pPr>
              <w:rPr>
                <w:rFonts w:ascii="宋体" w:hAnsi="宋体" w:cs="宋体"/>
                <w:color w:val="auto"/>
                <w:szCs w:val="21"/>
              </w:rPr>
            </w:pPr>
          </w:p>
        </w:tc>
        <w:tc>
          <w:tcPr>
            <w:tcW w:w="2569" w:type="dxa"/>
            <w:noWrap/>
          </w:tcPr>
          <w:p w14:paraId="75EC43F4">
            <w:pPr>
              <w:rPr>
                <w:rFonts w:ascii="宋体" w:hAnsi="宋体" w:cs="宋体"/>
                <w:color w:val="auto"/>
                <w:szCs w:val="21"/>
              </w:rPr>
            </w:pPr>
          </w:p>
        </w:tc>
        <w:tc>
          <w:tcPr>
            <w:tcW w:w="2633" w:type="dxa"/>
            <w:noWrap/>
          </w:tcPr>
          <w:p w14:paraId="2402EACE">
            <w:pPr>
              <w:rPr>
                <w:rFonts w:ascii="宋体" w:hAnsi="宋体" w:cs="宋体"/>
                <w:color w:val="auto"/>
                <w:szCs w:val="21"/>
              </w:rPr>
            </w:pPr>
          </w:p>
        </w:tc>
        <w:tc>
          <w:tcPr>
            <w:tcW w:w="1788" w:type="dxa"/>
            <w:noWrap/>
          </w:tcPr>
          <w:p w14:paraId="045D7C2B">
            <w:pPr>
              <w:rPr>
                <w:rFonts w:ascii="宋体" w:hAnsi="宋体" w:cs="宋体"/>
                <w:color w:val="auto"/>
                <w:szCs w:val="21"/>
              </w:rPr>
            </w:pPr>
          </w:p>
        </w:tc>
      </w:tr>
      <w:tr w14:paraId="011B7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79412C3">
            <w:pPr>
              <w:rPr>
                <w:rFonts w:ascii="宋体" w:hAnsi="宋体" w:cs="宋体"/>
                <w:color w:val="auto"/>
                <w:szCs w:val="21"/>
              </w:rPr>
            </w:pPr>
          </w:p>
          <w:p w14:paraId="1782F207">
            <w:pPr>
              <w:rPr>
                <w:rFonts w:ascii="宋体" w:hAnsi="宋体" w:cs="宋体"/>
                <w:color w:val="auto"/>
                <w:szCs w:val="21"/>
              </w:rPr>
            </w:pPr>
          </w:p>
        </w:tc>
        <w:tc>
          <w:tcPr>
            <w:tcW w:w="2032" w:type="dxa"/>
            <w:noWrap/>
          </w:tcPr>
          <w:p w14:paraId="264F12A6">
            <w:pPr>
              <w:rPr>
                <w:rFonts w:ascii="宋体" w:hAnsi="宋体" w:cs="宋体"/>
                <w:color w:val="auto"/>
                <w:szCs w:val="21"/>
              </w:rPr>
            </w:pPr>
          </w:p>
        </w:tc>
        <w:tc>
          <w:tcPr>
            <w:tcW w:w="2569" w:type="dxa"/>
            <w:noWrap/>
          </w:tcPr>
          <w:p w14:paraId="561D2FFF">
            <w:pPr>
              <w:rPr>
                <w:rFonts w:ascii="宋体" w:hAnsi="宋体" w:cs="宋体"/>
                <w:color w:val="auto"/>
                <w:szCs w:val="21"/>
              </w:rPr>
            </w:pPr>
          </w:p>
        </w:tc>
        <w:tc>
          <w:tcPr>
            <w:tcW w:w="2633" w:type="dxa"/>
            <w:noWrap/>
          </w:tcPr>
          <w:p w14:paraId="65960577">
            <w:pPr>
              <w:rPr>
                <w:rFonts w:ascii="宋体" w:hAnsi="宋体" w:cs="宋体"/>
                <w:color w:val="auto"/>
                <w:szCs w:val="21"/>
              </w:rPr>
            </w:pPr>
          </w:p>
        </w:tc>
        <w:tc>
          <w:tcPr>
            <w:tcW w:w="1788" w:type="dxa"/>
            <w:noWrap/>
          </w:tcPr>
          <w:p w14:paraId="5473A943">
            <w:pPr>
              <w:rPr>
                <w:rFonts w:ascii="宋体" w:hAnsi="宋体" w:cs="宋体"/>
                <w:color w:val="auto"/>
                <w:szCs w:val="21"/>
              </w:rPr>
            </w:pPr>
          </w:p>
        </w:tc>
      </w:tr>
      <w:tr w14:paraId="5F3B2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1F689C8">
            <w:pPr>
              <w:rPr>
                <w:rFonts w:ascii="宋体" w:hAnsi="宋体" w:cs="宋体"/>
                <w:color w:val="auto"/>
                <w:szCs w:val="21"/>
              </w:rPr>
            </w:pPr>
          </w:p>
          <w:p w14:paraId="6BF6AABE">
            <w:pPr>
              <w:rPr>
                <w:rFonts w:ascii="宋体" w:hAnsi="宋体" w:cs="宋体"/>
                <w:color w:val="auto"/>
                <w:szCs w:val="21"/>
              </w:rPr>
            </w:pPr>
          </w:p>
        </w:tc>
        <w:tc>
          <w:tcPr>
            <w:tcW w:w="2032" w:type="dxa"/>
            <w:noWrap/>
          </w:tcPr>
          <w:p w14:paraId="2C7B7B27">
            <w:pPr>
              <w:rPr>
                <w:rFonts w:ascii="宋体" w:hAnsi="宋体" w:cs="宋体"/>
                <w:color w:val="auto"/>
                <w:szCs w:val="21"/>
              </w:rPr>
            </w:pPr>
          </w:p>
        </w:tc>
        <w:tc>
          <w:tcPr>
            <w:tcW w:w="2569" w:type="dxa"/>
            <w:noWrap/>
          </w:tcPr>
          <w:p w14:paraId="66DBC056">
            <w:pPr>
              <w:rPr>
                <w:rFonts w:ascii="宋体" w:hAnsi="宋体" w:cs="宋体"/>
                <w:color w:val="auto"/>
                <w:szCs w:val="21"/>
              </w:rPr>
            </w:pPr>
          </w:p>
        </w:tc>
        <w:tc>
          <w:tcPr>
            <w:tcW w:w="2633" w:type="dxa"/>
            <w:noWrap/>
          </w:tcPr>
          <w:p w14:paraId="086D557B">
            <w:pPr>
              <w:rPr>
                <w:rFonts w:ascii="宋体" w:hAnsi="宋体" w:cs="宋体"/>
                <w:color w:val="auto"/>
                <w:szCs w:val="21"/>
              </w:rPr>
            </w:pPr>
          </w:p>
        </w:tc>
        <w:tc>
          <w:tcPr>
            <w:tcW w:w="1788" w:type="dxa"/>
            <w:noWrap/>
          </w:tcPr>
          <w:p w14:paraId="2A11D916">
            <w:pPr>
              <w:rPr>
                <w:rFonts w:ascii="宋体" w:hAnsi="宋体" w:cs="宋体"/>
                <w:color w:val="auto"/>
                <w:szCs w:val="21"/>
              </w:rPr>
            </w:pPr>
          </w:p>
        </w:tc>
      </w:tr>
      <w:tr w14:paraId="7D403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6476793">
            <w:pPr>
              <w:rPr>
                <w:rFonts w:ascii="宋体" w:hAnsi="宋体" w:cs="宋体"/>
                <w:color w:val="auto"/>
                <w:szCs w:val="21"/>
              </w:rPr>
            </w:pPr>
          </w:p>
          <w:p w14:paraId="50ED085D">
            <w:pPr>
              <w:rPr>
                <w:rFonts w:ascii="宋体" w:hAnsi="宋体" w:cs="宋体"/>
                <w:color w:val="auto"/>
                <w:szCs w:val="21"/>
              </w:rPr>
            </w:pPr>
          </w:p>
        </w:tc>
        <w:tc>
          <w:tcPr>
            <w:tcW w:w="2032" w:type="dxa"/>
            <w:noWrap/>
          </w:tcPr>
          <w:p w14:paraId="50B7304D">
            <w:pPr>
              <w:rPr>
                <w:rFonts w:ascii="宋体" w:hAnsi="宋体" w:cs="宋体"/>
                <w:color w:val="auto"/>
                <w:szCs w:val="21"/>
              </w:rPr>
            </w:pPr>
          </w:p>
        </w:tc>
        <w:tc>
          <w:tcPr>
            <w:tcW w:w="2569" w:type="dxa"/>
            <w:noWrap/>
          </w:tcPr>
          <w:p w14:paraId="44FC5F6B">
            <w:pPr>
              <w:rPr>
                <w:rFonts w:ascii="宋体" w:hAnsi="宋体" w:cs="宋体"/>
                <w:color w:val="auto"/>
                <w:szCs w:val="21"/>
              </w:rPr>
            </w:pPr>
          </w:p>
        </w:tc>
        <w:tc>
          <w:tcPr>
            <w:tcW w:w="2633" w:type="dxa"/>
            <w:noWrap/>
          </w:tcPr>
          <w:p w14:paraId="10E87E02">
            <w:pPr>
              <w:rPr>
                <w:rFonts w:ascii="宋体" w:hAnsi="宋体" w:cs="宋体"/>
                <w:color w:val="auto"/>
                <w:szCs w:val="21"/>
              </w:rPr>
            </w:pPr>
          </w:p>
        </w:tc>
        <w:tc>
          <w:tcPr>
            <w:tcW w:w="1788" w:type="dxa"/>
            <w:noWrap/>
          </w:tcPr>
          <w:p w14:paraId="12972C99">
            <w:pPr>
              <w:rPr>
                <w:rFonts w:ascii="宋体" w:hAnsi="宋体" w:cs="宋体"/>
                <w:color w:val="auto"/>
                <w:szCs w:val="21"/>
              </w:rPr>
            </w:pPr>
          </w:p>
        </w:tc>
      </w:tr>
      <w:tr w14:paraId="7E013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E3038EE">
            <w:pPr>
              <w:rPr>
                <w:rFonts w:ascii="宋体" w:hAnsi="宋体" w:cs="宋体"/>
                <w:color w:val="auto"/>
                <w:szCs w:val="21"/>
              </w:rPr>
            </w:pPr>
          </w:p>
          <w:p w14:paraId="46AABBC0">
            <w:pPr>
              <w:rPr>
                <w:rFonts w:ascii="宋体" w:hAnsi="宋体" w:cs="宋体"/>
                <w:color w:val="auto"/>
                <w:szCs w:val="21"/>
              </w:rPr>
            </w:pPr>
          </w:p>
        </w:tc>
        <w:tc>
          <w:tcPr>
            <w:tcW w:w="2032" w:type="dxa"/>
            <w:noWrap/>
          </w:tcPr>
          <w:p w14:paraId="6CCCD070">
            <w:pPr>
              <w:rPr>
                <w:rFonts w:ascii="宋体" w:hAnsi="宋体" w:cs="宋体"/>
                <w:color w:val="auto"/>
                <w:szCs w:val="21"/>
              </w:rPr>
            </w:pPr>
          </w:p>
        </w:tc>
        <w:tc>
          <w:tcPr>
            <w:tcW w:w="2569" w:type="dxa"/>
            <w:noWrap/>
          </w:tcPr>
          <w:p w14:paraId="7FA8955F">
            <w:pPr>
              <w:rPr>
                <w:rFonts w:ascii="宋体" w:hAnsi="宋体" w:cs="宋体"/>
                <w:color w:val="auto"/>
                <w:szCs w:val="21"/>
              </w:rPr>
            </w:pPr>
          </w:p>
        </w:tc>
        <w:tc>
          <w:tcPr>
            <w:tcW w:w="2633" w:type="dxa"/>
            <w:noWrap/>
          </w:tcPr>
          <w:p w14:paraId="6E15568F">
            <w:pPr>
              <w:rPr>
                <w:rFonts w:ascii="宋体" w:hAnsi="宋体" w:cs="宋体"/>
                <w:color w:val="auto"/>
                <w:szCs w:val="21"/>
              </w:rPr>
            </w:pPr>
          </w:p>
        </w:tc>
        <w:tc>
          <w:tcPr>
            <w:tcW w:w="1788" w:type="dxa"/>
            <w:noWrap/>
          </w:tcPr>
          <w:p w14:paraId="3337143A">
            <w:pPr>
              <w:rPr>
                <w:rFonts w:ascii="宋体" w:hAnsi="宋体" w:cs="宋体"/>
                <w:color w:val="auto"/>
                <w:szCs w:val="21"/>
              </w:rPr>
            </w:pPr>
          </w:p>
        </w:tc>
      </w:tr>
      <w:tr w14:paraId="5009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593EC338">
            <w:pPr>
              <w:rPr>
                <w:rFonts w:ascii="宋体" w:hAnsi="宋体" w:cs="宋体"/>
                <w:color w:val="auto"/>
                <w:szCs w:val="21"/>
              </w:rPr>
            </w:pPr>
          </w:p>
          <w:p w14:paraId="36D5B9C1">
            <w:pPr>
              <w:rPr>
                <w:rFonts w:ascii="宋体" w:hAnsi="宋体" w:cs="宋体"/>
                <w:color w:val="auto"/>
                <w:szCs w:val="21"/>
              </w:rPr>
            </w:pPr>
          </w:p>
        </w:tc>
        <w:tc>
          <w:tcPr>
            <w:tcW w:w="2032" w:type="dxa"/>
            <w:noWrap/>
          </w:tcPr>
          <w:p w14:paraId="2EE8F55F">
            <w:pPr>
              <w:rPr>
                <w:rFonts w:ascii="宋体" w:hAnsi="宋体" w:cs="宋体"/>
                <w:color w:val="auto"/>
                <w:szCs w:val="21"/>
              </w:rPr>
            </w:pPr>
          </w:p>
        </w:tc>
        <w:tc>
          <w:tcPr>
            <w:tcW w:w="2569" w:type="dxa"/>
            <w:noWrap/>
          </w:tcPr>
          <w:p w14:paraId="5F195148">
            <w:pPr>
              <w:rPr>
                <w:rFonts w:ascii="宋体" w:hAnsi="宋体" w:cs="宋体"/>
                <w:color w:val="auto"/>
                <w:szCs w:val="21"/>
              </w:rPr>
            </w:pPr>
          </w:p>
        </w:tc>
        <w:tc>
          <w:tcPr>
            <w:tcW w:w="2633" w:type="dxa"/>
            <w:noWrap/>
          </w:tcPr>
          <w:p w14:paraId="391578AA">
            <w:pPr>
              <w:rPr>
                <w:rFonts w:ascii="宋体" w:hAnsi="宋体" w:cs="宋体"/>
                <w:color w:val="auto"/>
                <w:szCs w:val="21"/>
              </w:rPr>
            </w:pPr>
          </w:p>
        </w:tc>
        <w:tc>
          <w:tcPr>
            <w:tcW w:w="1788" w:type="dxa"/>
            <w:noWrap/>
          </w:tcPr>
          <w:p w14:paraId="3C404769">
            <w:pPr>
              <w:rPr>
                <w:rFonts w:ascii="宋体" w:hAnsi="宋体" w:cs="宋体"/>
                <w:color w:val="auto"/>
                <w:szCs w:val="21"/>
              </w:rPr>
            </w:pPr>
          </w:p>
        </w:tc>
      </w:tr>
      <w:tr w14:paraId="1A3D0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315187E">
            <w:pPr>
              <w:rPr>
                <w:rFonts w:ascii="宋体" w:hAnsi="宋体" w:cs="宋体"/>
                <w:color w:val="auto"/>
                <w:szCs w:val="21"/>
              </w:rPr>
            </w:pPr>
          </w:p>
          <w:p w14:paraId="09A23D2E">
            <w:pPr>
              <w:rPr>
                <w:rFonts w:ascii="宋体" w:hAnsi="宋体" w:cs="宋体"/>
                <w:color w:val="auto"/>
                <w:szCs w:val="21"/>
              </w:rPr>
            </w:pPr>
          </w:p>
        </w:tc>
        <w:tc>
          <w:tcPr>
            <w:tcW w:w="2032" w:type="dxa"/>
            <w:noWrap/>
          </w:tcPr>
          <w:p w14:paraId="5B1F47F5">
            <w:pPr>
              <w:rPr>
                <w:rFonts w:ascii="宋体" w:hAnsi="宋体" w:cs="宋体"/>
                <w:color w:val="auto"/>
                <w:szCs w:val="21"/>
              </w:rPr>
            </w:pPr>
          </w:p>
        </w:tc>
        <w:tc>
          <w:tcPr>
            <w:tcW w:w="2569" w:type="dxa"/>
            <w:noWrap/>
          </w:tcPr>
          <w:p w14:paraId="09ABE690">
            <w:pPr>
              <w:rPr>
                <w:rFonts w:ascii="宋体" w:hAnsi="宋体" w:cs="宋体"/>
                <w:color w:val="auto"/>
                <w:szCs w:val="21"/>
              </w:rPr>
            </w:pPr>
          </w:p>
        </w:tc>
        <w:tc>
          <w:tcPr>
            <w:tcW w:w="2633" w:type="dxa"/>
            <w:noWrap/>
          </w:tcPr>
          <w:p w14:paraId="65625D4C">
            <w:pPr>
              <w:rPr>
                <w:rFonts w:ascii="宋体" w:hAnsi="宋体" w:cs="宋体"/>
                <w:color w:val="auto"/>
                <w:szCs w:val="21"/>
              </w:rPr>
            </w:pPr>
          </w:p>
        </w:tc>
        <w:tc>
          <w:tcPr>
            <w:tcW w:w="1788" w:type="dxa"/>
            <w:noWrap/>
          </w:tcPr>
          <w:p w14:paraId="592724E4">
            <w:pPr>
              <w:rPr>
                <w:rFonts w:ascii="宋体" w:hAnsi="宋体" w:cs="宋体"/>
                <w:color w:val="auto"/>
                <w:szCs w:val="21"/>
              </w:rPr>
            </w:pPr>
          </w:p>
        </w:tc>
      </w:tr>
    </w:tbl>
    <w:p w14:paraId="56DE5AEA">
      <w:pPr>
        <w:spacing w:after="120"/>
        <w:rPr>
          <w:rFonts w:ascii="宋体" w:hAnsi="宋体" w:cs="宋体"/>
          <w:color w:val="auto"/>
          <w:szCs w:val="21"/>
        </w:rPr>
      </w:pPr>
    </w:p>
    <w:p w14:paraId="5828E7AB">
      <w:pPr>
        <w:spacing w:after="120"/>
        <w:rPr>
          <w:rFonts w:ascii="宋体" w:hAnsi="宋体" w:cs="宋体"/>
          <w:color w:val="auto"/>
          <w:szCs w:val="21"/>
        </w:rPr>
      </w:pPr>
    </w:p>
    <w:p w14:paraId="7F41F38E">
      <w:pPr>
        <w:widowControl/>
        <w:ind w:firstLine="3570" w:firstLineChars="1700"/>
        <w:rPr>
          <w:rFonts w:ascii="宋体" w:hAnsi="宋体" w:cs="宋体"/>
          <w:color w:val="auto"/>
          <w:szCs w:val="21"/>
        </w:rPr>
      </w:pPr>
      <w:r>
        <w:rPr>
          <w:rFonts w:hint="eastAsia" w:ascii="宋体" w:hAnsi="宋体" w:cs="宋体"/>
          <w:color w:val="auto"/>
          <w:szCs w:val="21"/>
        </w:rPr>
        <w:t>法定代表人或其委托代理人：（签字或盖章）</w:t>
      </w:r>
    </w:p>
    <w:p w14:paraId="29AA8BB9">
      <w:pPr>
        <w:pStyle w:val="204"/>
        <w:numPr>
          <w:ilvl w:val="1"/>
          <w:numId w:val="0"/>
        </w:numPr>
        <w:jc w:val="center"/>
        <w:rPr>
          <w:rFonts w:ascii="宋体" w:hAnsi="宋体" w:eastAsia="宋体" w:cs="宋体"/>
          <w:color w:val="auto"/>
          <w:sz w:val="21"/>
          <w:szCs w:val="21"/>
        </w:rPr>
      </w:pPr>
      <w:r>
        <w:rPr>
          <w:rFonts w:hint="eastAsia" w:ascii="宋体" w:hAnsi="宋体" w:eastAsia="宋体" w:cs="宋体"/>
          <w:color w:val="auto"/>
          <w:sz w:val="21"/>
          <w:szCs w:val="21"/>
        </w:rPr>
        <w:t xml:space="preserve">   _______年________月______日</w:t>
      </w:r>
    </w:p>
    <w:p w14:paraId="27CB7A1F">
      <w:pPr>
        <w:pStyle w:val="204"/>
        <w:numPr>
          <w:ilvl w:val="1"/>
          <w:numId w:val="0"/>
        </w:numPr>
        <w:jc w:val="center"/>
        <w:outlineLvl w:val="9"/>
        <w:rPr>
          <w:rFonts w:ascii="宋体" w:hAnsi="宋体" w:eastAsia="宋体" w:cs="宋体"/>
          <w:color w:val="auto"/>
          <w:szCs w:val="21"/>
        </w:rPr>
      </w:pPr>
    </w:p>
    <w:p w14:paraId="2608870D">
      <w:pPr>
        <w:pStyle w:val="204"/>
        <w:numPr>
          <w:ilvl w:val="1"/>
          <w:numId w:val="0"/>
        </w:numPr>
        <w:jc w:val="center"/>
        <w:outlineLvl w:val="9"/>
        <w:rPr>
          <w:rFonts w:ascii="宋体" w:hAnsi="宋体" w:eastAsia="宋体" w:cs="宋体"/>
          <w:b/>
          <w:color w:val="auto"/>
        </w:rPr>
      </w:pPr>
    </w:p>
    <w:p w14:paraId="3C856E15">
      <w:pPr>
        <w:jc w:val="center"/>
        <w:rPr>
          <w:rFonts w:ascii="宋体" w:hAnsi="宋体" w:cs="宋体"/>
          <w:b/>
          <w:color w:val="auto"/>
          <w:sz w:val="24"/>
        </w:rPr>
      </w:pPr>
    </w:p>
    <w:p w14:paraId="46FD77AC">
      <w:pPr>
        <w:spacing w:after="120"/>
        <w:jc w:val="center"/>
        <w:outlineLvl w:val="1"/>
        <w:rPr>
          <w:rFonts w:hint="eastAsia" w:ascii="宋体" w:hAnsi="宋体" w:eastAsia="宋体" w:cs="宋体"/>
          <w:b/>
          <w:color w:val="auto"/>
          <w:sz w:val="28"/>
          <w:szCs w:val="28"/>
          <w:lang w:eastAsia="zh-CN"/>
        </w:rPr>
      </w:pPr>
    </w:p>
    <w:p w14:paraId="705C5D62">
      <w:pPr>
        <w:spacing w:after="120"/>
        <w:jc w:val="center"/>
        <w:outlineLvl w:val="1"/>
        <w:rPr>
          <w:rFonts w:hint="eastAsia" w:ascii="宋体" w:hAnsi="宋体" w:eastAsia="宋体" w:cs="宋体"/>
          <w:b/>
          <w:color w:val="auto"/>
          <w:sz w:val="28"/>
          <w:szCs w:val="28"/>
          <w:lang w:eastAsia="zh-CN"/>
        </w:rPr>
      </w:pPr>
    </w:p>
    <w:p w14:paraId="1E3D286B">
      <w:pPr>
        <w:spacing w:after="120"/>
        <w:jc w:val="center"/>
        <w:outlineLvl w:val="1"/>
        <w:rPr>
          <w:rFonts w:hint="eastAsia" w:ascii="宋体" w:hAnsi="宋体" w:eastAsia="宋体" w:cs="宋体"/>
          <w:b/>
          <w:color w:val="auto"/>
          <w:sz w:val="28"/>
          <w:szCs w:val="28"/>
          <w:lang w:eastAsia="zh-CN"/>
        </w:rPr>
      </w:pPr>
    </w:p>
    <w:p w14:paraId="46296319">
      <w:pPr>
        <w:spacing w:after="120"/>
        <w:jc w:val="center"/>
        <w:outlineLvl w:val="1"/>
        <w:rPr>
          <w:rFonts w:ascii="宋体" w:hAnsi="宋体" w:cs="宋体"/>
          <w:b/>
          <w:color w:val="auto"/>
          <w:sz w:val="28"/>
          <w:szCs w:val="28"/>
        </w:rPr>
      </w:pPr>
      <w:r>
        <w:rPr>
          <w:rFonts w:hint="eastAsia" w:ascii="宋体" w:hAnsi="宋体" w:cs="宋体"/>
          <w:b/>
          <w:color w:val="auto"/>
          <w:sz w:val="28"/>
          <w:szCs w:val="28"/>
        </w:rPr>
        <w:t>（二）技术规格偏离表</w:t>
      </w:r>
    </w:p>
    <w:p w14:paraId="6047B3E5">
      <w:pPr>
        <w:rPr>
          <w:rFonts w:ascii="宋体" w:hAnsi="宋体" w:cs="宋体"/>
          <w:color w:val="auto"/>
          <w:szCs w:val="21"/>
        </w:rPr>
      </w:pPr>
      <w:r>
        <w:rPr>
          <w:rFonts w:hint="eastAsia" w:ascii="宋体" w:hAnsi="宋体" w:cs="宋体"/>
          <w:color w:val="auto"/>
          <w:szCs w:val="21"/>
        </w:rPr>
        <w:t xml:space="preserve">项目名称：   </w:t>
      </w:r>
    </w:p>
    <w:p w14:paraId="06564E83">
      <w:pPr>
        <w:spacing w:after="120"/>
        <w:rPr>
          <w:rFonts w:ascii="宋体" w:hAnsi="宋体" w:cs="宋体"/>
          <w:color w:val="auto"/>
          <w:szCs w:val="21"/>
        </w:rPr>
      </w:pPr>
      <w:r>
        <w:rPr>
          <w:rFonts w:hint="eastAsia" w:ascii="宋体" w:hAnsi="宋体" w:eastAsia="宋体" w:cs="宋体"/>
          <w:color w:val="auto"/>
          <w:szCs w:val="21"/>
          <w:lang w:val="en-US" w:eastAsia="zh-CN"/>
        </w:rPr>
        <w:t>项目</w:t>
      </w:r>
      <w:r>
        <w:rPr>
          <w:rFonts w:hint="eastAsia" w:ascii="宋体" w:hAnsi="宋体" w:cs="宋体"/>
          <w:color w:val="auto"/>
          <w:szCs w:val="21"/>
        </w:rPr>
        <w:t>编号：</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1"/>
        <w:gridCol w:w="1289"/>
        <w:gridCol w:w="1862"/>
        <w:gridCol w:w="1432"/>
        <w:gridCol w:w="1415"/>
        <w:gridCol w:w="1018"/>
        <w:gridCol w:w="1990"/>
      </w:tblGrid>
      <w:tr w14:paraId="4E52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651" w:type="dxa"/>
            <w:noWrap/>
            <w:vAlign w:val="center"/>
          </w:tcPr>
          <w:p w14:paraId="655D690A">
            <w:pPr>
              <w:jc w:val="center"/>
              <w:rPr>
                <w:rFonts w:ascii="宋体" w:hAnsi="宋体" w:cs="宋体"/>
                <w:color w:val="auto"/>
                <w:szCs w:val="21"/>
              </w:rPr>
            </w:pPr>
            <w:r>
              <w:rPr>
                <w:rFonts w:hint="eastAsia" w:ascii="宋体" w:hAnsi="宋体" w:cs="宋体"/>
                <w:color w:val="auto"/>
                <w:szCs w:val="21"/>
              </w:rPr>
              <w:t>序号</w:t>
            </w:r>
          </w:p>
        </w:tc>
        <w:tc>
          <w:tcPr>
            <w:tcW w:w="1289" w:type="dxa"/>
            <w:noWrap/>
            <w:vAlign w:val="center"/>
          </w:tcPr>
          <w:p w14:paraId="0DA6E0C9">
            <w:pPr>
              <w:jc w:val="center"/>
              <w:rPr>
                <w:rFonts w:ascii="宋体" w:hAnsi="宋体" w:cs="宋体"/>
                <w:color w:val="auto"/>
                <w:szCs w:val="21"/>
              </w:rPr>
            </w:pPr>
            <w:r>
              <w:rPr>
                <w:rFonts w:hint="eastAsia" w:ascii="宋体" w:hAnsi="宋体" w:cs="宋体"/>
                <w:color w:val="auto"/>
                <w:szCs w:val="21"/>
              </w:rPr>
              <w:t>品目名称</w:t>
            </w:r>
          </w:p>
        </w:tc>
        <w:tc>
          <w:tcPr>
            <w:tcW w:w="1862" w:type="dxa"/>
            <w:noWrap/>
            <w:vAlign w:val="center"/>
          </w:tcPr>
          <w:p w14:paraId="37E03855">
            <w:pPr>
              <w:jc w:val="center"/>
              <w:rPr>
                <w:rFonts w:ascii="宋体" w:hAnsi="宋体" w:cs="宋体"/>
                <w:color w:val="auto"/>
                <w:szCs w:val="21"/>
              </w:rPr>
            </w:pPr>
            <w:r>
              <w:rPr>
                <w:rFonts w:hint="eastAsia" w:ascii="宋体" w:hAnsi="宋体" w:eastAsia="宋体" w:cs="宋体"/>
                <w:color w:val="auto"/>
                <w:szCs w:val="21"/>
                <w:lang w:eastAsia="zh-CN"/>
              </w:rPr>
              <w:t>磋商文件</w:t>
            </w:r>
            <w:r>
              <w:rPr>
                <w:rFonts w:hint="eastAsia" w:ascii="宋体" w:hAnsi="宋体" w:cs="宋体"/>
                <w:color w:val="auto"/>
                <w:szCs w:val="21"/>
              </w:rPr>
              <w:t>条目号</w:t>
            </w:r>
          </w:p>
        </w:tc>
        <w:tc>
          <w:tcPr>
            <w:tcW w:w="1432" w:type="dxa"/>
            <w:noWrap/>
            <w:vAlign w:val="center"/>
          </w:tcPr>
          <w:p w14:paraId="77C82DD6">
            <w:pPr>
              <w:jc w:val="center"/>
              <w:rPr>
                <w:rFonts w:ascii="宋体" w:hAnsi="宋体" w:cs="宋体"/>
                <w:color w:val="auto"/>
                <w:szCs w:val="21"/>
              </w:rPr>
            </w:pPr>
            <w:r>
              <w:rPr>
                <w:rFonts w:hint="eastAsia" w:ascii="宋体" w:hAnsi="宋体" w:cs="宋体"/>
                <w:color w:val="auto"/>
                <w:szCs w:val="21"/>
              </w:rPr>
              <w:t>招标规格</w:t>
            </w:r>
          </w:p>
        </w:tc>
        <w:tc>
          <w:tcPr>
            <w:tcW w:w="1415" w:type="dxa"/>
            <w:noWrap/>
            <w:vAlign w:val="center"/>
          </w:tcPr>
          <w:p w14:paraId="183A30F2">
            <w:pPr>
              <w:jc w:val="center"/>
              <w:rPr>
                <w:rFonts w:ascii="宋体" w:hAnsi="宋体" w:cs="宋体"/>
                <w:color w:val="auto"/>
                <w:szCs w:val="21"/>
              </w:rPr>
            </w:pPr>
            <w:r>
              <w:rPr>
                <w:rFonts w:hint="eastAsia" w:ascii="宋体" w:hAnsi="宋体" w:cs="宋体"/>
                <w:color w:val="auto"/>
                <w:szCs w:val="21"/>
              </w:rPr>
              <w:t>投标规格</w:t>
            </w:r>
          </w:p>
        </w:tc>
        <w:tc>
          <w:tcPr>
            <w:tcW w:w="1018" w:type="dxa"/>
            <w:noWrap/>
            <w:vAlign w:val="center"/>
          </w:tcPr>
          <w:p w14:paraId="65F9307A">
            <w:pPr>
              <w:jc w:val="center"/>
              <w:rPr>
                <w:rFonts w:ascii="宋体" w:hAnsi="宋体" w:cs="宋体"/>
                <w:color w:val="auto"/>
                <w:szCs w:val="21"/>
              </w:rPr>
            </w:pPr>
            <w:r>
              <w:rPr>
                <w:rFonts w:hint="eastAsia" w:ascii="宋体" w:hAnsi="宋体" w:cs="宋体"/>
                <w:color w:val="auto"/>
                <w:szCs w:val="21"/>
              </w:rPr>
              <w:t>偏离</w:t>
            </w:r>
          </w:p>
        </w:tc>
        <w:tc>
          <w:tcPr>
            <w:tcW w:w="1990" w:type="dxa"/>
            <w:noWrap/>
            <w:vAlign w:val="center"/>
          </w:tcPr>
          <w:p w14:paraId="3E48D574">
            <w:pPr>
              <w:jc w:val="center"/>
              <w:rPr>
                <w:rFonts w:ascii="宋体" w:hAnsi="宋体" w:cs="宋体"/>
                <w:color w:val="auto"/>
                <w:szCs w:val="21"/>
              </w:rPr>
            </w:pPr>
            <w:r>
              <w:rPr>
                <w:rFonts w:hint="eastAsia" w:ascii="宋体" w:hAnsi="宋体" w:cs="宋体"/>
                <w:color w:val="auto"/>
                <w:szCs w:val="21"/>
              </w:rPr>
              <w:t>说明</w:t>
            </w:r>
          </w:p>
        </w:tc>
      </w:tr>
      <w:tr w14:paraId="1301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D704DA3">
            <w:pPr>
              <w:spacing w:after="120"/>
              <w:rPr>
                <w:rFonts w:ascii="宋体" w:hAnsi="宋体" w:cs="宋体"/>
                <w:color w:val="auto"/>
                <w:szCs w:val="21"/>
              </w:rPr>
            </w:pPr>
          </w:p>
          <w:p w14:paraId="3C4E83F7">
            <w:pPr>
              <w:spacing w:after="120"/>
              <w:rPr>
                <w:rFonts w:ascii="宋体" w:hAnsi="宋体" w:cs="宋体"/>
                <w:color w:val="auto"/>
                <w:szCs w:val="21"/>
              </w:rPr>
            </w:pPr>
          </w:p>
        </w:tc>
        <w:tc>
          <w:tcPr>
            <w:tcW w:w="1289" w:type="dxa"/>
            <w:noWrap/>
          </w:tcPr>
          <w:p w14:paraId="24E307ED">
            <w:pPr>
              <w:spacing w:after="120"/>
              <w:rPr>
                <w:rFonts w:ascii="宋体" w:hAnsi="宋体" w:cs="宋体"/>
                <w:color w:val="auto"/>
                <w:szCs w:val="21"/>
              </w:rPr>
            </w:pPr>
          </w:p>
        </w:tc>
        <w:tc>
          <w:tcPr>
            <w:tcW w:w="1862" w:type="dxa"/>
            <w:noWrap/>
          </w:tcPr>
          <w:p w14:paraId="405B1ADE">
            <w:pPr>
              <w:spacing w:after="120"/>
              <w:rPr>
                <w:rFonts w:ascii="宋体" w:hAnsi="宋体" w:cs="宋体"/>
                <w:color w:val="auto"/>
                <w:szCs w:val="21"/>
              </w:rPr>
            </w:pPr>
          </w:p>
        </w:tc>
        <w:tc>
          <w:tcPr>
            <w:tcW w:w="1432" w:type="dxa"/>
            <w:noWrap/>
          </w:tcPr>
          <w:p w14:paraId="7C2C7CE3">
            <w:pPr>
              <w:spacing w:after="120"/>
              <w:rPr>
                <w:rFonts w:ascii="宋体" w:hAnsi="宋体" w:cs="宋体"/>
                <w:color w:val="auto"/>
                <w:szCs w:val="21"/>
              </w:rPr>
            </w:pPr>
          </w:p>
        </w:tc>
        <w:tc>
          <w:tcPr>
            <w:tcW w:w="1415" w:type="dxa"/>
            <w:noWrap/>
          </w:tcPr>
          <w:p w14:paraId="720C0112">
            <w:pPr>
              <w:spacing w:after="120"/>
              <w:rPr>
                <w:rFonts w:ascii="宋体" w:hAnsi="宋体" w:cs="宋体"/>
                <w:color w:val="auto"/>
                <w:szCs w:val="21"/>
              </w:rPr>
            </w:pPr>
          </w:p>
        </w:tc>
        <w:tc>
          <w:tcPr>
            <w:tcW w:w="1018" w:type="dxa"/>
            <w:noWrap/>
          </w:tcPr>
          <w:p w14:paraId="31478BA5">
            <w:pPr>
              <w:spacing w:after="120"/>
              <w:rPr>
                <w:rFonts w:ascii="宋体" w:hAnsi="宋体" w:cs="宋体"/>
                <w:color w:val="auto"/>
                <w:szCs w:val="21"/>
              </w:rPr>
            </w:pPr>
          </w:p>
        </w:tc>
        <w:tc>
          <w:tcPr>
            <w:tcW w:w="1990" w:type="dxa"/>
            <w:noWrap/>
          </w:tcPr>
          <w:p w14:paraId="1D58B253">
            <w:pPr>
              <w:spacing w:after="120"/>
              <w:rPr>
                <w:rFonts w:ascii="宋体" w:hAnsi="宋体" w:cs="宋体"/>
                <w:color w:val="auto"/>
                <w:szCs w:val="21"/>
              </w:rPr>
            </w:pPr>
          </w:p>
        </w:tc>
      </w:tr>
      <w:tr w14:paraId="34CF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F17BBFE">
            <w:pPr>
              <w:spacing w:after="120"/>
              <w:rPr>
                <w:rFonts w:ascii="宋体" w:hAnsi="宋体" w:cs="宋体"/>
                <w:color w:val="auto"/>
                <w:szCs w:val="21"/>
              </w:rPr>
            </w:pPr>
          </w:p>
          <w:p w14:paraId="3CAC2380">
            <w:pPr>
              <w:spacing w:after="120"/>
              <w:rPr>
                <w:rFonts w:ascii="宋体" w:hAnsi="宋体" w:cs="宋体"/>
                <w:color w:val="auto"/>
                <w:szCs w:val="21"/>
              </w:rPr>
            </w:pPr>
          </w:p>
        </w:tc>
        <w:tc>
          <w:tcPr>
            <w:tcW w:w="1289" w:type="dxa"/>
            <w:noWrap/>
          </w:tcPr>
          <w:p w14:paraId="47463342">
            <w:pPr>
              <w:spacing w:after="120"/>
              <w:rPr>
                <w:rFonts w:ascii="宋体" w:hAnsi="宋体" w:cs="宋体"/>
                <w:color w:val="auto"/>
                <w:szCs w:val="21"/>
              </w:rPr>
            </w:pPr>
          </w:p>
        </w:tc>
        <w:tc>
          <w:tcPr>
            <w:tcW w:w="1862" w:type="dxa"/>
            <w:noWrap/>
          </w:tcPr>
          <w:p w14:paraId="241AF392">
            <w:pPr>
              <w:spacing w:after="120"/>
              <w:rPr>
                <w:rFonts w:ascii="宋体" w:hAnsi="宋体" w:cs="宋体"/>
                <w:color w:val="auto"/>
                <w:szCs w:val="21"/>
              </w:rPr>
            </w:pPr>
          </w:p>
        </w:tc>
        <w:tc>
          <w:tcPr>
            <w:tcW w:w="1432" w:type="dxa"/>
            <w:noWrap/>
          </w:tcPr>
          <w:p w14:paraId="57C6F6DB">
            <w:pPr>
              <w:spacing w:after="120"/>
              <w:rPr>
                <w:rFonts w:ascii="宋体" w:hAnsi="宋体" w:cs="宋体"/>
                <w:color w:val="auto"/>
                <w:szCs w:val="21"/>
              </w:rPr>
            </w:pPr>
          </w:p>
        </w:tc>
        <w:tc>
          <w:tcPr>
            <w:tcW w:w="1415" w:type="dxa"/>
            <w:noWrap/>
          </w:tcPr>
          <w:p w14:paraId="5ED122AD">
            <w:pPr>
              <w:spacing w:after="120"/>
              <w:rPr>
                <w:rFonts w:ascii="宋体" w:hAnsi="宋体" w:cs="宋体"/>
                <w:color w:val="auto"/>
                <w:szCs w:val="21"/>
              </w:rPr>
            </w:pPr>
          </w:p>
        </w:tc>
        <w:tc>
          <w:tcPr>
            <w:tcW w:w="1018" w:type="dxa"/>
            <w:noWrap/>
          </w:tcPr>
          <w:p w14:paraId="2073A736">
            <w:pPr>
              <w:spacing w:after="120"/>
              <w:rPr>
                <w:rFonts w:ascii="宋体" w:hAnsi="宋体" w:cs="宋体"/>
                <w:color w:val="auto"/>
                <w:szCs w:val="21"/>
              </w:rPr>
            </w:pPr>
          </w:p>
        </w:tc>
        <w:tc>
          <w:tcPr>
            <w:tcW w:w="1990" w:type="dxa"/>
            <w:noWrap/>
          </w:tcPr>
          <w:p w14:paraId="000FEDDD">
            <w:pPr>
              <w:spacing w:after="120"/>
              <w:rPr>
                <w:rFonts w:ascii="宋体" w:hAnsi="宋体" w:cs="宋体"/>
                <w:color w:val="auto"/>
                <w:szCs w:val="21"/>
              </w:rPr>
            </w:pPr>
          </w:p>
        </w:tc>
      </w:tr>
      <w:tr w14:paraId="4202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78F5A95">
            <w:pPr>
              <w:spacing w:after="120"/>
              <w:rPr>
                <w:rFonts w:ascii="宋体" w:hAnsi="宋体" w:cs="宋体"/>
                <w:color w:val="auto"/>
                <w:szCs w:val="21"/>
              </w:rPr>
            </w:pPr>
          </w:p>
          <w:p w14:paraId="3FFF9A69">
            <w:pPr>
              <w:spacing w:after="120"/>
              <w:rPr>
                <w:rFonts w:ascii="宋体" w:hAnsi="宋体" w:cs="宋体"/>
                <w:color w:val="auto"/>
                <w:szCs w:val="21"/>
              </w:rPr>
            </w:pPr>
          </w:p>
        </w:tc>
        <w:tc>
          <w:tcPr>
            <w:tcW w:w="1289" w:type="dxa"/>
            <w:noWrap/>
          </w:tcPr>
          <w:p w14:paraId="621493C0">
            <w:pPr>
              <w:spacing w:after="120"/>
              <w:rPr>
                <w:rFonts w:ascii="宋体" w:hAnsi="宋体" w:cs="宋体"/>
                <w:color w:val="auto"/>
                <w:szCs w:val="21"/>
              </w:rPr>
            </w:pPr>
          </w:p>
        </w:tc>
        <w:tc>
          <w:tcPr>
            <w:tcW w:w="1862" w:type="dxa"/>
            <w:noWrap/>
          </w:tcPr>
          <w:p w14:paraId="1609E1DB">
            <w:pPr>
              <w:spacing w:after="120"/>
              <w:rPr>
                <w:rFonts w:ascii="宋体" w:hAnsi="宋体" w:cs="宋体"/>
                <w:color w:val="auto"/>
                <w:szCs w:val="21"/>
              </w:rPr>
            </w:pPr>
          </w:p>
        </w:tc>
        <w:tc>
          <w:tcPr>
            <w:tcW w:w="1432" w:type="dxa"/>
            <w:noWrap/>
          </w:tcPr>
          <w:p w14:paraId="2D6FE5CC">
            <w:pPr>
              <w:spacing w:after="120"/>
              <w:rPr>
                <w:rFonts w:ascii="宋体" w:hAnsi="宋体" w:cs="宋体"/>
                <w:color w:val="auto"/>
                <w:szCs w:val="21"/>
              </w:rPr>
            </w:pPr>
          </w:p>
        </w:tc>
        <w:tc>
          <w:tcPr>
            <w:tcW w:w="1415" w:type="dxa"/>
            <w:noWrap/>
          </w:tcPr>
          <w:p w14:paraId="1284632D">
            <w:pPr>
              <w:spacing w:after="120"/>
              <w:rPr>
                <w:rFonts w:ascii="宋体" w:hAnsi="宋体" w:cs="宋体"/>
                <w:color w:val="auto"/>
                <w:szCs w:val="21"/>
              </w:rPr>
            </w:pPr>
          </w:p>
        </w:tc>
        <w:tc>
          <w:tcPr>
            <w:tcW w:w="1018" w:type="dxa"/>
            <w:noWrap/>
          </w:tcPr>
          <w:p w14:paraId="13DCB020">
            <w:pPr>
              <w:spacing w:after="120"/>
              <w:rPr>
                <w:rFonts w:ascii="宋体" w:hAnsi="宋体" w:cs="宋体"/>
                <w:color w:val="auto"/>
                <w:szCs w:val="21"/>
              </w:rPr>
            </w:pPr>
          </w:p>
        </w:tc>
        <w:tc>
          <w:tcPr>
            <w:tcW w:w="1990" w:type="dxa"/>
            <w:noWrap/>
          </w:tcPr>
          <w:p w14:paraId="015495E1">
            <w:pPr>
              <w:spacing w:after="120"/>
              <w:rPr>
                <w:rFonts w:ascii="宋体" w:hAnsi="宋体" w:cs="宋体"/>
                <w:color w:val="auto"/>
                <w:szCs w:val="21"/>
              </w:rPr>
            </w:pPr>
          </w:p>
        </w:tc>
      </w:tr>
      <w:tr w14:paraId="5642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5317000">
            <w:pPr>
              <w:spacing w:after="120"/>
              <w:rPr>
                <w:rFonts w:ascii="宋体" w:hAnsi="宋体" w:cs="宋体"/>
                <w:color w:val="auto"/>
                <w:szCs w:val="21"/>
              </w:rPr>
            </w:pPr>
          </w:p>
          <w:p w14:paraId="66EFB544">
            <w:pPr>
              <w:spacing w:after="120"/>
              <w:rPr>
                <w:rFonts w:ascii="宋体" w:hAnsi="宋体" w:cs="宋体"/>
                <w:color w:val="auto"/>
                <w:szCs w:val="21"/>
              </w:rPr>
            </w:pPr>
          </w:p>
        </w:tc>
        <w:tc>
          <w:tcPr>
            <w:tcW w:w="1289" w:type="dxa"/>
            <w:noWrap/>
          </w:tcPr>
          <w:p w14:paraId="327D12A1">
            <w:pPr>
              <w:spacing w:after="120"/>
              <w:rPr>
                <w:rFonts w:ascii="宋体" w:hAnsi="宋体" w:cs="宋体"/>
                <w:color w:val="auto"/>
                <w:szCs w:val="21"/>
              </w:rPr>
            </w:pPr>
          </w:p>
        </w:tc>
        <w:tc>
          <w:tcPr>
            <w:tcW w:w="1862" w:type="dxa"/>
            <w:noWrap/>
          </w:tcPr>
          <w:p w14:paraId="2F6FE372">
            <w:pPr>
              <w:spacing w:after="120"/>
              <w:rPr>
                <w:rFonts w:ascii="宋体" w:hAnsi="宋体" w:cs="宋体"/>
                <w:color w:val="auto"/>
                <w:szCs w:val="21"/>
              </w:rPr>
            </w:pPr>
          </w:p>
        </w:tc>
        <w:tc>
          <w:tcPr>
            <w:tcW w:w="1432" w:type="dxa"/>
            <w:noWrap/>
          </w:tcPr>
          <w:p w14:paraId="656260DF">
            <w:pPr>
              <w:spacing w:after="120"/>
              <w:rPr>
                <w:rFonts w:ascii="宋体" w:hAnsi="宋体" w:cs="宋体"/>
                <w:color w:val="auto"/>
                <w:szCs w:val="21"/>
              </w:rPr>
            </w:pPr>
          </w:p>
        </w:tc>
        <w:tc>
          <w:tcPr>
            <w:tcW w:w="1415" w:type="dxa"/>
            <w:noWrap/>
          </w:tcPr>
          <w:p w14:paraId="4AFFAC2F">
            <w:pPr>
              <w:spacing w:after="120"/>
              <w:rPr>
                <w:rFonts w:ascii="宋体" w:hAnsi="宋体" w:cs="宋体"/>
                <w:color w:val="auto"/>
                <w:szCs w:val="21"/>
              </w:rPr>
            </w:pPr>
          </w:p>
        </w:tc>
        <w:tc>
          <w:tcPr>
            <w:tcW w:w="1018" w:type="dxa"/>
            <w:noWrap/>
          </w:tcPr>
          <w:p w14:paraId="2B821901">
            <w:pPr>
              <w:spacing w:after="120"/>
              <w:rPr>
                <w:rFonts w:ascii="宋体" w:hAnsi="宋体" w:cs="宋体"/>
                <w:color w:val="auto"/>
                <w:szCs w:val="21"/>
              </w:rPr>
            </w:pPr>
          </w:p>
        </w:tc>
        <w:tc>
          <w:tcPr>
            <w:tcW w:w="1990" w:type="dxa"/>
            <w:noWrap/>
          </w:tcPr>
          <w:p w14:paraId="172AF4A4">
            <w:pPr>
              <w:spacing w:after="120"/>
              <w:rPr>
                <w:rFonts w:ascii="宋体" w:hAnsi="宋体" w:cs="宋体"/>
                <w:color w:val="auto"/>
                <w:szCs w:val="21"/>
              </w:rPr>
            </w:pPr>
          </w:p>
        </w:tc>
      </w:tr>
      <w:tr w14:paraId="30FC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3DBB1F39">
            <w:pPr>
              <w:spacing w:after="120"/>
              <w:rPr>
                <w:rFonts w:ascii="宋体" w:hAnsi="宋体" w:cs="宋体"/>
                <w:color w:val="auto"/>
                <w:szCs w:val="21"/>
              </w:rPr>
            </w:pPr>
          </w:p>
          <w:p w14:paraId="311F5A57">
            <w:pPr>
              <w:spacing w:after="120"/>
              <w:rPr>
                <w:rFonts w:ascii="宋体" w:hAnsi="宋体" w:cs="宋体"/>
                <w:color w:val="auto"/>
                <w:szCs w:val="21"/>
              </w:rPr>
            </w:pPr>
          </w:p>
        </w:tc>
        <w:tc>
          <w:tcPr>
            <w:tcW w:w="1289" w:type="dxa"/>
            <w:noWrap/>
          </w:tcPr>
          <w:p w14:paraId="018F9A36">
            <w:pPr>
              <w:spacing w:after="120"/>
              <w:rPr>
                <w:rFonts w:ascii="宋体" w:hAnsi="宋体" w:cs="宋体"/>
                <w:color w:val="auto"/>
                <w:szCs w:val="21"/>
              </w:rPr>
            </w:pPr>
          </w:p>
        </w:tc>
        <w:tc>
          <w:tcPr>
            <w:tcW w:w="1862" w:type="dxa"/>
            <w:noWrap/>
          </w:tcPr>
          <w:p w14:paraId="3EBA15E0">
            <w:pPr>
              <w:spacing w:after="120"/>
              <w:rPr>
                <w:rFonts w:ascii="宋体" w:hAnsi="宋体" w:cs="宋体"/>
                <w:color w:val="auto"/>
                <w:szCs w:val="21"/>
              </w:rPr>
            </w:pPr>
          </w:p>
        </w:tc>
        <w:tc>
          <w:tcPr>
            <w:tcW w:w="1432" w:type="dxa"/>
            <w:noWrap/>
          </w:tcPr>
          <w:p w14:paraId="7B6D07B8">
            <w:pPr>
              <w:spacing w:after="120"/>
              <w:rPr>
                <w:rFonts w:ascii="宋体" w:hAnsi="宋体" w:cs="宋体"/>
                <w:color w:val="auto"/>
                <w:szCs w:val="21"/>
              </w:rPr>
            </w:pPr>
          </w:p>
        </w:tc>
        <w:tc>
          <w:tcPr>
            <w:tcW w:w="1415" w:type="dxa"/>
            <w:noWrap/>
          </w:tcPr>
          <w:p w14:paraId="67FABEA5">
            <w:pPr>
              <w:spacing w:after="120"/>
              <w:rPr>
                <w:rFonts w:ascii="宋体" w:hAnsi="宋体" w:cs="宋体"/>
                <w:color w:val="auto"/>
                <w:szCs w:val="21"/>
              </w:rPr>
            </w:pPr>
          </w:p>
        </w:tc>
        <w:tc>
          <w:tcPr>
            <w:tcW w:w="1018" w:type="dxa"/>
            <w:noWrap/>
          </w:tcPr>
          <w:p w14:paraId="49338AAA">
            <w:pPr>
              <w:spacing w:after="120"/>
              <w:rPr>
                <w:rFonts w:ascii="宋体" w:hAnsi="宋体" w:cs="宋体"/>
                <w:color w:val="auto"/>
                <w:szCs w:val="21"/>
              </w:rPr>
            </w:pPr>
          </w:p>
        </w:tc>
        <w:tc>
          <w:tcPr>
            <w:tcW w:w="1990" w:type="dxa"/>
            <w:noWrap/>
          </w:tcPr>
          <w:p w14:paraId="37E9B7DC">
            <w:pPr>
              <w:spacing w:after="120"/>
              <w:rPr>
                <w:rFonts w:ascii="宋体" w:hAnsi="宋体" w:cs="宋体"/>
                <w:color w:val="auto"/>
                <w:szCs w:val="21"/>
              </w:rPr>
            </w:pPr>
          </w:p>
        </w:tc>
      </w:tr>
      <w:tr w14:paraId="6A42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AC1AF21">
            <w:pPr>
              <w:spacing w:after="120"/>
              <w:rPr>
                <w:rFonts w:ascii="宋体" w:hAnsi="宋体" w:cs="宋体"/>
                <w:color w:val="auto"/>
                <w:szCs w:val="21"/>
              </w:rPr>
            </w:pPr>
          </w:p>
          <w:p w14:paraId="49CA6C60">
            <w:pPr>
              <w:spacing w:after="120"/>
              <w:rPr>
                <w:rFonts w:ascii="宋体" w:hAnsi="宋体" w:cs="宋体"/>
                <w:color w:val="auto"/>
                <w:szCs w:val="21"/>
              </w:rPr>
            </w:pPr>
          </w:p>
        </w:tc>
        <w:tc>
          <w:tcPr>
            <w:tcW w:w="1289" w:type="dxa"/>
            <w:noWrap/>
          </w:tcPr>
          <w:p w14:paraId="04FCD53C">
            <w:pPr>
              <w:spacing w:after="120"/>
              <w:rPr>
                <w:rFonts w:ascii="宋体" w:hAnsi="宋体" w:cs="宋体"/>
                <w:color w:val="auto"/>
                <w:szCs w:val="21"/>
              </w:rPr>
            </w:pPr>
          </w:p>
        </w:tc>
        <w:tc>
          <w:tcPr>
            <w:tcW w:w="1862" w:type="dxa"/>
            <w:noWrap/>
          </w:tcPr>
          <w:p w14:paraId="7B46928F">
            <w:pPr>
              <w:spacing w:after="120"/>
              <w:rPr>
                <w:rFonts w:ascii="宋体" w:hAnsi="宋体" w:cs="宋体"/>
                <w:color w:val="auto"/>
                <w:szCs w:val="21"/>
              </w:rPr>
            </w:pPr>
          </w:p>
        </w:tc>
        <w:tc>
          <w:tcPr>
            <w:tcW w:w="1432" w:type="dxa"/>
            <w:noWrap/>
          </w:tcPr>
          <w:p w14:paraId="2A2214A6">
            <w:pPr>
              <w:spacing w:after="120"/>
              <w:rPr>
                <w:rFonts w:ascii="宋体" w:hAnsi="宋体" w:cs="宋体"/>
                <w:color w:val="auto"/>
                <w:szCs w:val="21"/>
              </w:rPr>
            </w:pPr>
          </w:p>
        </w:tc>
        <w:tc>
          <w:tcPr>
            <w:tcW w:w="1415" w:type="dxa"/>
            <w:noWrap/>
          </w:tcPr>
          <w:p w14:paraId="417D98CA">
            <w:pPr>
              <w:spacing w:after="120"/>
              <w:rPr>
                <w:rFonts w:ascii="宋体" w:hAnsi="宋体" w:cs="宋体"/>
                <w:color w:val="auto"/>
                <w:szCs w:val="21"/>
              </w:rPr>
            </w:pPr>
          </w:p>
        </w:tc>
        <w:tc>
          <w:tcPr>
            <w:tcW w:w="1018" w:type="dxa"/>
            <w:noWrap/>
          </w:tcPr>
          <w:p w14:paraId="34AA902F">
            <w:pPr>
              <w:spacing w:after="120"/>
              <w:rPr>
                <w:rFonts w:ascii="宋体" w:hAnsi="宋体" w:cs="宋体"/>
                <w:color w:val="auto"/>
                <w:szCs w:val="21"/>
              </w:rPr>
            </w:pPr>
          </w:p>
        </w:tc>
        <w:tc>
          <w:tcPr>
            <w:tcW w:w="1990" w:type="dxa"/>
            <w:noWrap/>
          </w:tcPr>
          <w:p w14:paraId="565ED16E">
            <w:pPr>
              <w:spacing w:after="120"/>
              <w:rPr>
                <w:rFonts w:ascii="宋体" w:hAnsi="宋体" w:cs="宋体"/>
                <w:color w:val="auto"/>
                <w:szCs w:val="21"/>
              </w:rPr>
            </w:pPr>
          </w:p>
        </w:tc>
      </w:tr>
      <w:tr w14:paraId="7473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3104985F">
            <w:pPr>
              <w:spacing w:after="120"/>
              <w:rPr>
                <w:rFonts w:ascii="宋体" w:hAnsi="宋体" w:cs="宋体"/>
                <w:color w:val="auto"/>
                <w:szCs w:val="21"/>
              </w:rPr>
            </w:pPr>
          </w:p>
          <w:p w14:paraId="75C5F68B">
            <w:pPr>
              <w:spacing w:after="120"/>
              <w:rPr>
                <w:rFonts w:ascii="宋体" w:hAnsi="宋体" w:cs="宋体"/>
                <w:color w:val="auto"/>
                <w:szCs w:val="21"/>
              </w:rPr>
            </w:pPr>
          </w:p>
        </w:tc>
        <w:tc>
          <w:tcPr>
            <w:tcW w:w="1289" w:type="dxa"/>
            <w:noWrap/>
          </w:tcPr>
          <w:p w14:paraId="747DEBF6">
            <w:pPr>
              <w:spacing w:after="120"/>
              <w:rPr>
                <w:rFonts w:ascii="宋体" w:hAnsi="宋体" w:cs="宋体"/>
                <w:color w:val="auto"/>
                <w:szCs w:val="21"/>
              </w:rPr>
            </w:pPr>
          </w:p>
        </w:tc>
        <w:tc>
          <w:tcPr>
            <w:tcW w:w="1862" w:type="dxa"/>
            <w:noWrap/>
          </w:tcPr>
          <w:p w14:paraId="3D6BAD37">
            <w:pPr>
              <w:spacing w:after="120"/>
              <w:rPr>
                <w:rFonts w:ascii="宋体" w:hAnsi="宋体" w:cs="宋体"/>
                <w:color w:val="auto"/>
                <w:szCs w:val="21"/>
              </w:rPr>
            </w:pPr>
          </w:p>
        </w:tc>
        <w:tc>
          <w:tcPr>
            <w:tcW w:w="1432" w:type="dxa"/>
            <w:noWrap/>
          </w:tcPr>
          <w:p w14:paraId="3484B042">
            <w:pPr>
              <w:spacing w:after="120"/>
              <w:rPr>
                <w:rFonts w:ascii="宋体" w:hAnsi="宋体" w:cs="宋体"/>
                <w:color w:val="auto"/>
                <w:szCs w:val="21"/>
              </w:rPr>
            </w:pPr>
          </w:p>
        </w:tc>
        <w:tc>
          <w:tcPr>
            <w:tcW w:w="1415" w:type="dxa"/>
            <w:noWrap/>
          </w:tcPr>
          <w:p w14:paraId="3D80AF17">
            <w:pPr>
              <w:spacing w:after="120"/>
              <w:rPr>
                <w:rFonts w:ascii="宋体" w:hAnsi="宋体" w:cs="宋体"/>
                <w:color w:val="auto"/>
                <w:szCs w:val="21"/>
              </w:rPr>
            </w:pPr>
          </w:p>
        </w:tc>
        <w:tc>
          <w:tcPr>
            <w:tcW w:w="1018" w:type="dxa"/>
            <w:noWrap/>
          </w:tcPr>
          <w:p w14:paraId="3E1202D0">
            <w:pPr>
              <w:spacing w:after="120"/>
              <w:rPr>
                <w:rFonts w:ascii="宋体" w:hAnsi="宋体" w:cs="宋体"/>
                <w:color w:val="auto"/>
                <w:szCs w:val="21"/>
              </w:rPr>
            </w:pPr>
          </w:p>
        </w:tc>
        <w:tc>
          <w:tcPr>
            <w:tcW w:w="1990" w:type="dxa"/>
            <w:noWrap/>
          </w:tcPr>
          <w:p w14:paraId="3BD4FC84">
            <w:pPr>
              <w:spacing w:after="120"/>
              <w:rPr>
                <w:rFonts w:ascii="宋体" w:hAnsi="宋体" w:cs="宋体"/>
                <w:color w:val="auto"/>
                <w:szCs w:val="21"/>
              </w:rPr>
            </w:pPr>
          </w:p>
        </w:tc>
      </w:tr>
      <w:tr w14:paraId="1E7D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225DBC14">
            <w:pPr>
              <w:spacing w:after="120"/>
              <w:rPr>
                <w:rFonts w:ascii="宋体" w:hAnsi="宋体" w:cs="宋体"/>
                <w:color w:val="auto"/>
                <w:szCs w:val="21"/>
              </w:rPr>
            </w:pPr>
          </w:p>
          <w:p w14:paraId="23994018">
            <w:pPr>
              <w:spacing w:after="120"/>
              <w:rPr>
                <w:rFonts w:ascii="宋体" w:hAnsi="宋体" w:cs="宋体"/>
                <w:color w:val="auto"/>
                <w:szCs w:val="21"/>
              </w:rPr>
            </w:pPr>
          </w:p>
        </w:tc>
        <w:tc>
          <w:tcPr>
            <w:tcW w:w="1289" w:type="dxa"/>
            <w:noWrap/>
          </w:tcPr>
          <w:p w14:paraId="70BD804A">
            <w:pPr>
              <w:spacing w:after="120"/>
              <w:rPr>
                <w:rFonts w:ascii="宋体" w:hAnsi="宋体" w:cs="宋体"/>
                <w:color w:val="auto"/>
                <w:szCs w:val="21"/>
              </w:rPr>
            </w:pPr>
          </w:p>
        </w:tc>
        <w:tc>
          <w:tcPr>
            <w:tcW w:w="1862" w:type="dxa"/>
            <w:noWrap/>
          </w:tcPr>
          <w:p w14:paraId="6B4FF64E">
            <w:pPr>
              <w:spacing w:after="120"/>
              <w:rPr>
                <w:rFonts w:ascii="宋体" w:hAnsi="宋体" w:cs="宋体"/>
                <w:color w:val="auto"/>
                <w:szCs w:val="21"/>
              </w:rPr>
            </w:pPr>
          </w:p>
        </w:tc>
        <w:tc>
          <w:tcPr>
            <w:tcW w:w="1432" w:type="dxa"/>
            <w:noWrap/>
          </w:tcPr>
          <w:p w14:paraId="49F58666">
            <w:pPr>
              <w:spacing w:after="120"/>
              <w:rPr>
                <w:rFonts w:ascii="宋体" w:hAnsi="宋体" w:cs="宋体"/>
                <w:color w:val="auto"/>
                <w:szCs w:val="21"/>
              </w:rPr>
            </w:pPr>
          </w:p>
        </w:tc>
        <w:tc>
          <w:tcPr>
            <w:tcW w:w="1415" w:type="dxa"/>
            <w:noWrap/>
          </w:tcPr>
          <w:p w14:paraId="3244121D">
            <w:pPr>
              <w:spacing w:after="120"/>
              <w:rPr>
                <w:rFonts w:ascii="宋体" w:hAnsi="宋体" w:cs="宋体"/>
                <w:color w:val="auto"/>
                <w:szCs w:val="21"/>
              </w:rPr>
            </w:pPr>
          </w:p>
        </w:tc>
        <w:tc>
          <w:tcPr>
            <w:tcW w:w="1018" w:type="dxa"/>
            <w:noWrap/>
          </w:tcPr>
          <w:p w14:paraId="5B53E54F">
            <w:pPr>
              <w:spacing w:after="120"/>
              <w:rPr>
                <w:rFonts w:ascii="宋体" w:hAnsi="宋体" w:cs="宋体"/>
                <w:color w:val="auto"/>
                <w:szCs w:val="21"/>
              </w:rPr>
            </w:pPr>
          </w:p>
        </w:tc>
        <w:tc>
          <w:tcPr>
            <w:tcW w:w="1990" w:type="dxa"/>
            <w:noWrap/>
          </w:tcPr>
          <w:p w14:paraId="5E799E07">
            <w:pPr>
              <w:spacing w:after="120"/>
              <w:rPr>
                <w:rFonts w:ascii="宋体" w:hAnsi="宋体" w:cs="宋体"/>
                <w:color w:val="auto"/>
                <w:szCs w:val="21"/>
              </w:rPr>
            </w:pPr>
          </w:p>
        </w:tc>
      </w:tr>
      <w:tr w14:paraId="0FEF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51" w:type="dxa"/>
            <w:noWrap/>
          </w:tcPr>
          <w:p w14:paraId="71EEBD28">
            <w:pPr>
              <w:spacing w:after="120"/>
              <w:rPr>
                <w:rFonts w:ascii="宋体" w:hAnsi="宋体" w:cs="宋体"/>
                <w:color w:val="auto"/>
                <w:szCs w:val="21"/>
              </w:rPr>
            </w:pPr>
          </w:p>
          <w:p w14:paraId="5AD0EEFC">
            <w:pPr>
              <w:spacing w:after="120"/>
              <w:rPr>
                <w:rFonts w:ascii="宋体" w:hAnsi="宋体" w:cs="宋体"/>
                <w:color w:val="auto"/>
                <w:szCs w:val="21"/>
              </w:rPr>
            </w:pPr>
          </w:p>
        </w:tc>
        <w:tc>
          <w:tcPr>
            <w:tcW w:w="1289" w:type="dxa"/>
            <w:noWrap/>
          </w:tcPr>
          <w:p w14:paraId="03FB41C5">
            <w:pPr>
              <w:spacing w:after="120"/>
              <w:rPr>
                <w:rFonts w:ascii="宋体" w:hAnsi="宋体" w:cs="宋体"/>
                <w:color w:val="auto"/>
                <w:szCs w:val="21"/>
              </w:rPr>
            </w:pPr>
          </w:p>
        </w:tc>
        <w:tc>
          <w:tcPr>
            <w:tcW w:w="1862" w:type="dxa"/>
            <w:noWrap/>
          </w:tcPr>
          <w:p w14:paraId="2B6D61F9">
            <w:pPr>
              <w:spacing w:after="120"/>
              <w:rPr>
                <w:rFonts w:ascii="宋体" w:hAnsi="宋体" w:cs="宋体"/>
                <w:color w:val="auto"/>
                <w:szCs w:val="21"/>
              </w:rPr>
            </w:pPr>
          </w:p>
        </w:tc>
        <w:tc>
          <w:tcPr>
            <w:tcW w:w="1432" w:type="dxa"/>
            <w:noWrap/>
          </w:tcPr>
          <w:p w14:paraId="6620B058">
            <w:pPr>
              <w:spacing w:after="120"/>
              <w:rPr>
                <w:rFonts w:ascii="宋体" w:hAnsi="宋体" w:cs="宋体"/>
                <w:color w:val="auto"/>
                <w:szCs w:val="21"/>
              </w:rPr>
            </w:pPr>
          </w:p>
        </w:tc>
        <w:tc>
          <w:tcPr>
            <w:tcW w:w="1415" w:type="dxa"/>
            <w:noWrap/>
          </w:tcPr>
          <w:p w14:paraId="0061446A">
            <w:pPr>
              <w:spacing w:after="120"/>
              <w:rPr>
                <w:rFonts w:ascii="宋体" w:hAnsi="宋体" w:cs="宋体"/>
                <w:color w:val="auto"/>
                <w:szCs w:val="21"/>
              </w:rPr>
            </w:pPr>
          </w:p>
        </w:tc>
        <w:tc>
          <w:tcPr>
            <w:tcW w:w="1018" w:type="dxa"/>
            <w:noWrap/>
          </w:tcPr>
          <w:p w14:paraId="3D91C0A6">
            <w:pPr>
              <w:spacing w:after="120"/>
              <w:rPr>
                <w:rFonts w:ascii="宋体" w:hAnsi="宋体" w:cs="宋体"/>
                <w:color w:val="auto"/>
                <w:szCs w:val="21"/>
              </w:rPr>
            </w:pPr>
          </w:p>
        </w:tc>
        <w:tc>
          <w:tcPr>
            <w:tcW w:w="1990" w:type="dxa"/>
            <w:noWrap/>
          </w:tcPr>
          <w:p w14:paraId="471D4430">
            <w:pPr>
              <w:spacing w:after="120"/>
              <w:rPr>
                <w:rFonts w:ascii="宋体" w:hAnsi="宋体" w:cs="宋体"/>
                <w:color w:val="auto"/>
                <w:szCs w:val="21"/>
              </w:rPr>
            </w:pPr>
          </w:p>
        </w:tc>
      </w:tr>
    </w:tbl>
    <w:p w14:paraId="64AE40E1">
      <w:pPr>
        <w:spacing w:after="120"/>
        <w:jc w:val="right"/>
        <w:rPr>
          <w:rFonts w:ascii="宋体" w:hAnsi="宋体" w:cs="宋体"/>
          <w:color w:val="auto"/>
          <w:szCs w:val="21"/>
        </w:rPr>
      </w:pPr>
    </w:p>
    <w:p w14:paraId="4018BBEF">
      <w:pPr>
        <w:widowControl/>
        <w:ind w:firstLine="3150" w:firstLineChars="1500"/>
        <w:jc w:val="right"/>
        <w:rPr>
          <w:rFonts w:ascii="宋体" w:hAnsi="宋体" w:cs="宋体"/>
          <w:color w:val="auto"/>
        </w:rPr>
      </w:pPr>
      <w:r>
        <w:rPr>
          <w:rFonts w:hint="eastAsia" w:ascii="宋体" w:hAnsi="宋体" w:cs="宋体"/>
          <w:color w:val="auto"/>
        </w:rPr>
        <w:t>法定代表人或其委托代理人：（签字或盖章）</w:t>
      </w:r>
    </w:p>
    <w:p w14:paraId="1816D0A4">
      <w:pPr>
        <w:widowControl/>
        <w:ind w:firstLine="3150" w:firstLineChars="1500"/>
        <w:rPr>
          <w:rFonts w:ascii="宋体" w:hAnsi="宋体" w:cs="宋体"/>
          <w:color w:val="auto"/>
        </w:rPr>
      </w:pPr>
    </w:p>
    <w:p w14:paraId="6446780E">
      <w:pPr>
        <w:jc w:val="right"/>
        <w:rPr>
          <w:rFonts w:hint="eastAsia" w:ascii="宋体" w:hAnsi="宋体" w:cs="宋体"/>
          <w:b/>
          <w:color w:val="auto"/>
          <w:lang w:val="en-US" w:eastAsia="zh-CN"/>
        </w:rPr>
      </w:pPr>
      <w:r>
        <w:rPr>
          <w:rFonts w:hint="eastAsia" w:ascii="宋体" w:hAnsi="宋体" w:cs="宋体"/>
          <w:color w:val="auto"/>
        </w:rPr>
        <w:t xml:space="preserve">                 _________年_________月_______日</w:t>
      </w:r>
    </w:p>
    <w:p w14:paraId="009E8FF7">
      <w:pPr>
        <w:pStyle w:val="204"/>
        <w:numPr>
          <w:ilvl w:val="1"/>
          <w:numId w:val="0"/>
        </w:numPr>
        <w:jc w:val="center"/>
        <w:outlineLvl w:val="0"/>
        <w:rPr>
          <w:rFonts w:hint="eastAsia" w:ascii="宋体" w:hAnsi="宋体" w:eastAsia="宋体" w:cs="宋体"/>
          <w:b/>
          <w:color w:val="auto"/>
        </w:rPr>
      </w:pPr>
      <w:r>
        <w:rPr>
          <w:rFonts w:hint="eastAsia" w:ascii="宋体" w:hAnsi="宋体" w:cs="宋体"/>
          <w:b/>
          <w:color w:val="auto"/>
          <w:lang w:val="en-US" w:eastAsia="zh-CN"/>
        </w:rPr>
        <w:t>七</w:t>
      </w:r>
      <w:r>
        <w:rPr>
          <w:rFonts w:hint="eastAsia" w:ascii="宋体" w:hAnsi="宋体" w:eastAsia="宋体" w:cs="宋体"/>
          <w:b/>
          <w:color w:val="auto"/>
        </w:rPr>
        <w:t>、资格审查资料</w:t>
      </w:r>
    </w:p>
    <w:p w14:paraId="5D8E3883">
      <w:pPr>
        <w:spacing w:line="360" w:lineRule="auto"/>
        <w:ind w:left="1120" w:hanging="1120" w:hangingChars="400"/>
        <w:jc w:val="center"/>
        <w:rPr>
          <w:rFonts w:hint="eastAsia" w:ascii="宋体" w:hAnsi="宋体" w:eastAsia="宋体" w:cs="宋体"/>
          <w:b/>
          <w:bCs/>
          <w:color w:val="auto"/>
          <w:kern w:val="0"/>
          <w:sz w:val="24"/>
          <w:highlight w:val="none"/>
        </w:rPr>
      </w:pPr>
      <w:r>
        <w:rPr>
          <w:rFonts w:hint="eastAsia" w:ascii="宋体" w:hAnsi="宋体" w:eastAsia="宋体" w:cs="宋体"/>
          <w:color w:val="auto"/>
          <w:kern w:val="0"/>
          <w:sz w:val="28"/>
          <w:szCs w:val="28"/>
        </w:rPr>
        <w:t>(一)</w:t>
      </w:r>
      <w:r>
        <w:rPr>
          <w:rFonts w:hint="eastAsia" w:ascii="宋体" w:hAnsi="宋体" w:eastAsia="宋体" w:cs="宋体"/>
          <w:color w:val="auto"/>
          <w:kern w:val="0"/>
          <w:sz w:val="28"/>
          <w:szCs w:val="28"/>
          <w:lang w:eastAsia="zh-CN"/>
        </w:rPr>
        <w:t>供应商</w:t>
      </w:r>
      <w:r>
        <w:rPr>
          <w:rFonts w:hint="eastAsia" w:ascii="宋体" w:hAnsi="宋体" w:eastAsia="宋体" w:cs="宋体"/>
          <w:color w:val="auto"/>
          <w:kern w:val="0"/>
          <w:sz w:val="28"/>
          <w:szCs w:val="28"/>
        </w:rPr>
        <w:t>基本情况表</w:t>
      </w:r>
    </w:p>
    <w:tbl>
      <w:tblPr>
        <w:tblStyle w:val="47"/>
        <w:tblW w:w="8927"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943"/>
        <w:gridCol w:w="2409"/>
        <w:gridCol w:w="1134"/>
        <w:gridCol w:w="2267"/>
      </w:tblGrid>
      <w:tr w14:paraId="704F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188F8DBE">
            <w:pPr>
              <w:pStyle w:val="102"/>
              <w:spacing w:before="142"/>
              <w:ind w:left="123" w:right="111"/>
              <w:jc w:val="center"/>
              <w:rPr>
                <w:rFonts w:ascii="宋体" w:hAnsi="宋体" w:cs="宋体"/>
                <w:bCs/>
                <w:color w:val="auto"/>
              </w:rPr>
            </w:pPr>
            <w:r>
              <w:rPr>
                <w:rFonts w:hint="eastAsia" w:ascii="宋体" w:hAnsi="宋体" w:cs="宋体"/>
                <w:bCs/>
                <w:color w:val="auto"/>
              </w:rPr>
              <w:t>供应商名称</w:t>
            </w:r>
          </w:p>
        </w:tc>
        <w:tc>
          <w:tcPr>
            <w:tcW w:w="6753" w:type="dxa"/>
            <w:gridSpan w:val="4"/>
          </w:tcPr>
          <w:p w14:paraId="346EE6D3">
            <w:pPr>
              <w:pStyle w:val="102"/>
              <w:rPr>
                <w:rFonts w:ascii="宋体" w:hAnsi="宋体" w:cs="宋体"/>
                <w:bCs/>
                <w:color w:val="auto"/>
              </w:rPr>
            </w:pPr>
          </w:p>
        </w:tc>
      </w:tr>
      <w:tr w14:paraId="012AC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2ABA9C42">
            <w:pPr>
              <w:pStyle w:val="102"/>
              <w:spacing w:before="142"/>
              <w:ind w:left="120" w:right="111"/>
              <w:jc w:val="center"/>
              <w:rPr>
                <w:rFonts w:ascii="宋体" w:hAnsi="宋体" w:cs="宋体"/>
                <w:bCs/>
                <w:color w:val="auto"/>
              </w:rPr>
            </w:pPr>
            <w:r>
              <w:rPr>
                <w:rFonts w:hint="eastAsia" w:ascii="宋体" w:hAnsi="宋体" w:cs="宋体"/>
                <w:bCs/>
                <w:color w:val="auto"/>
              </w:rPr>
              <w:t>注册资金</w:t>
            </w:r>
          </w:p>
        </w:tc>
        <w:tc>
          <w:tcPr>
            <w:tcW w:w="3352" w:type="dxa"/>
            <w:gridSpan w:val="2"/>
          </w:tcPr>
          <w:p w14:paraId="49C8AA45">
            <w:pPr>
              <w:pStyle w:val="102"/>
              <w:rPr>
                <w:rFonts w:ascii="宋体" w:hAnsi="宋体" w:cs="宋体"/>
                <w:bCs/>
                <w:color w:val="auto"/>
              </w:rPr>
            </w:pPr>
          </w:p>
        </w:tc>
        <w:tc>
          <w:tcPr>
            <w:tcW w:w="1134" w:type="dxa"/>
          </w:tcPr>
          <w:p w14:paraId="1E78B87C">
            <w:pPr>
              <w:pStyle w:val="102"/>
              <w:spacing w:before="142"/>
              <w:ind w:left="129" w:right="114"/>
              <w:jc w:val="center"/>
              <w:rPr>
                <w:rFonts w:ascii="宋体" w:hAnsi="宋体" w:cs="宋体"/>
                <w:bCs/>
                <w:color w:val="auto"/>
              </w:rPr>
            </w:pPr>
            <w:r>
              <w:rPr>
                <w:rFonts w:hint="eastAsia" w:ascii="宋体" w:hAnsi="宋体" w:cs="宋体"/>
                <w:bCs/>
                <w:color w:val="auto"/>
              </w:rPr>
              <w:t>成立时间</w:t>
            </w:r>
          </w:p>
        </w:tc>
        <w:tc>
          <w:tcPr>
            <w:tcW w:w="2267" w:type="dxa"/>
          </w:tcPr>
          <w:p w14:paraId="35C923B0">
            <w:pPr>
              <w:pStyle w:val="102"/>
              <w:rPr>
                <w:rFonts w:ascii="宋体" w:hAnsi="宋体" w:cs="宋体"/>
                <w:bCs/>
                <w:color w:val="auto"/>
              </w:rPr>
            </w:pPr>
          </w:p>
        </w:tc>
      </w:tr>
      <w:tr w14:paraId="265E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6821B677">
            <w:pPr>
              <w:pStyle w:val="102"/>
              <w:spacing w:before="142"/>
              <w:ind w:left="123" w:right="111"/>
              <w:jc w:val="center"/>
              <w:rPr>
                <w:rFonts w:ascii="宋体" w:hAnsi="宋体" w:cs="宋体"/>
                <w:bCs/>
                <w:color w:val="auto"/>
              </w:rPr>
            </w:pPr>
            <w:r>
              <w:rPr>
                <w:rFonts w:hint="eastAsia" w:ascii="宋体" w:hAnsi="宋体" w:cs="宋体"/>
                <w:bCs/>
                <w:color w:val="auto"/>
              </w:rPr>
              <w:t>注册地址</w:t>
            </w:r>
          </w:p>
        </w:tc>
        <w:tc>
          <w:tcPr>
            <w:tcW w:w="6753" w:type="dxa"/>
            <w:gridSpan w:val="4"/>
          </w:tcPr>
          <w:p w14:paraId="31C97ABD">
            <w:pPr>
              <w:pStyle w:val="102"/>
              <w:rPr>
                <w:rFonts w:ascii="宋体" w:hAnsi="宋体" w:cs="宋体"/>
                <w:bCs/>
                <w:color w:val="auto"/>
              </w:rPr>
            </w:pPr>
          </w:p>
        </w:tc>
      </w:tr>
      <w:tr w14:paraId="65953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174" w:type="dxa"/>
          </w:tcPr>
          <w:p w14:paraId="5007951C">
            <w:pPr>
              <w:pStyle w:val="102"/>
              <w:spacing w:before="143"/>
              <w:ind w:left="123" w:right="111"/>
              <w:jc w:val="center"/>
              <w:rPr>
                <w:rFonts w:ascii="宋体" w:hAnsi="宋体" w:cs="宋体"/>
                <w:bCs/>
                <w:color w:val="auto"/>
              </w:rPr>
            </w:pPr>
            <w:r>
              <w:rPr>
                <w:rFonts w:hint="eastAsia" w:ascii="宋体" w:hAnsi="宋体" w:cs="宋体"/>
                <w:bCs/>
                <w:color w:val="auto"/>
              </w:rPr>
              <w:t>邮政编码</w:t>
            </w:r>
          </w:p>
        </w:tc>
        <w:tc>
          <w:tcPr>
            <w:tcW w:w="3352" w:type="dxa"/>
            <w:gridSpan w:val="2"/>
          </w:tcPr>
          <w:p w14:paraId="210035A2">
            <w:pPr>
              <w:pStyle w:val="102"/>
              <w:rPr>
                <w:rFonts w:ascii="宋体" w:hAnsi="宋体" w:cs="宋体"/>
                <w:bCs/>
                <w:color w:val="auto"/>
              </w:rPr>
            </w:pPr>
          </w:p>
        </w:tc>
        <w:tc>
          <w:tcPr>
            <w:tcW w:w="1134" w:type="dxa"/>
          </w:tcPr>
          <w:p w14:paraId="457CC082">
            <w:pPr>
              <w:pStyle w:val="102"/>
              <w:spacing w:before="143"/>
              <w:ind w:left="129" w:right="114"/>
              <w:jc w:val="center"/>
              <w:rPr>
                <w:rFonts w:ascii="宋体" w:hAnsi="宋体" w:cs="宋体"/>
                <w:bCs/>
                <w:color w:val="auto"/>
              </w:rPr>
            </w:pPr>
            <w:r>
              <w:rPr>
                <w:rFonts w:hint="eastAsia" w:ascii="宋体" w:hAnsi="宋体" w:cs="宋体"/>
                <w:bCs/>
                <w:color w:val="auto"/>
              </w:rPr>
              <w:t>员工总数</w:t>
            </w:r>
          </w:p>
        </w:tc>
        <w:tc>
          <w:tcPr>
            <w:tcW w:w="2267" w:type="dxa"/>
          </w:tcPr>
          <w:p w14:paraId="185F36A2">
            <w:pPr>
              <w:pStyle w:val="102"/>
              <w:rPr>
                <w:rFonts w:ascii="宋体" w:hAnsi="宋体" w:cs="宋体"/>
                <w:bCs/>
                <w:color w:val="auto"/>
              </w:rPr>
            </w:pPr>
          </w:p>
        </w:tc>
      </w:tr>
      <w:tr w14:paraId="7BC6C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vMerge w:val="restart"/>
          </w:tcPr>
          <w:p w14:paraId="1360A54E">
            <w:pPr>
              <w:pStyle w:val="102"/>
              <w:spacing w:before="9"/>
              <w:rPr>
                <w:rFonts w:ascii="宋体" w:hAnsi="宋体" w:cs="宋体"/>
                <w:bCs/>
                <w:color w:val="auto"/>
              </w:rPr>
            </w:pPr>
          </w:p>
          <w:p w14:paraId="490ADC31">
            <w:pPr>
              <w:pStyle w:val="102"/>
              <w:ind w:left="666"/>
              <w:rPr>
                <w:rFonts w:ascii="宋体" w:hAnsi="宋体" w:cs="宋体"/>
                <w:bCs/>
                <w:color w:val="auto"/>
              </w:rPr>
            </w:pPr>
            <w:r>
              <w:rPr>
                <w:rFonts w:hint="eastAsia" w:ascii="宋体" w:hAnsi="宋体" w:cs="宋体"/>
                <w:bCs/>
                <w:color w:val="auto"/>
              </w:rPr>
              <w:t>联系方式</w:t>
            </w:r>
          </w:p>
        </w:tc>
        <w:tc>
          <w:tcPr>
            <w:tcW w:w="943" w:type="dxa"/>
          </w:tcPr>
          <w:p w14:paraId="141E70BC">
            <w:pPr>
              <w:pStyle w:val="102"/>
              <w:spacing w:before="142"/>
              <w:ind w:left="135" w:right="127"/>
              <w:jc w:val="center"/>
              <w:rPr>
                <w:rFonts w:ascii="宋体" w:hAnsi="宋体" w:cs="宋体"/>
                <w:bCs/>
                <w:color w:val="auto"/>
              </w:rPr>
            </w:pPr>
            <w:r>
              <w:rPr>
                <w:rFonts w:hint="eastAsia" w:ascii="宋体" w:hAnsi="宋体" w:cs="宋体"/>
                <w:bCs/>
                <w:color w:val="auto"/>
              </w:rPr>
              <w:t>联系人</w:t>
            </w:r>
          </w:p>
        </w:tc>
        <w:tc>
          <w:tcPr>
            <w:tcW w:w="2409" w:type="dxa"/>
          </w:tcPr>
          <w:p w14:paraId="1B1C2216">
            <w:pPr>
              <w:pStyle w:val="102"/>
              <w:rPr>
                <w:rFonts w:ascii="宋体" w:hAnsi="宋体" w:cs="宋体"/>
                <w:bCs/>
                <w:color w:val="auto"/>
              </w:rPr>
            </w:pPr>
          </w:p>
        </w:tc>
        <w:tc>
          <w:tcPr>
            <w:tcW w:w="1134" w:type="dxa"/>
          </w:tcPr>
          <w:p w14:paraId="659C0470">
            <w:pPr>
              <w:pStyle w:val="102"/>
              <w:spacing w:before="142"/>
              <w:ind w:left="129" w:right="112"/>
              <w:jc w:val="center"/>
              <w:rPr>
                <w:rFonts w:ascii="宋体" w:hAnsi="宋体" w:cs="宋体"/>
                <w:bCs/>
                <w:color w:val="auto"/>
              </w:rPr>
            </w:pPr>
            <w:r>
              <w:rPr>
                <w:rFonts w:hint="eastAsia" w:ascii="宋体" w:hAnsi="宋体" w:cs="宋体"/>
                <w:bCs/>
                <w:color w:val="auto"/>
              </w:rPr>
              <w:t>电话</w:t>
            </w:r>
          </w:p>
        </w:tc>
        <w:tc>
          <w:tcPr>
            <w:tcW w:w="2267" w:type="dxa"/>
          </w:tcPr>
          <w:p w14:paraId="5F6E2DD8">
            <w:pPr>
              <w:pStyle w:val="102"/>
              <w:rPr>
                <w:rFonts w:ascii="宋体" w:hAnsi="宋体" w:cs="宋体"/>
                <w:bCs/>
                <w:color w:val="auto"/>
              </w:rPr>
            </w:pPr>
          </w:p>
        </w:tc>
      </w:tr>
      <w:tr w14:paraId="29684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Merge w:val="continue"/>
            <w:tcBorders>
              <w:top w:val="nil"/>
            </w:tcBorders>
          </w:tcPr>
          <w:p w14:paraId="56E158B9">
            <w:pPr>
              <w:rPr>
                <w:rFonts w:ascii="宋体" w:hAnsi="宋体" w:cs="宋体"/>
                <w:bCs/>
                <w:color w:val="auto"/>
              </w:rPr>
            </w:pPr>
          </w:p>
        </w:tc>
        <w:tc>
          <w:tcPr>
            <w:tcW w:w="943" w:type="dxa"/>
          </w:tcPr>
          <w:p w14:paraId="0D082BA6">
            <w:pPr>
              <w:pStyle w:val="102"/>
              <w:spacing w:before="142"/>
              <w:ind w:left="135" w:right="127"/>
              <w:jc w:val="center"/>
              <w:rPr>
                <w:rFonts w:ascii="宋体" w:hAnsi="宋体" w:cs="宋体"/>
                <w:bCs/>
                <w:color w:val="auto"/>
              </w:rPr>
            </w:pPr>
            <w:r>
              <w:rPr>
                <w:rFonts w:hint="eastAsia" w:ascii="宋体" w:hAnsi="宋体" w:cs="宋体"/>
                <w:bCs/>
                <w:color w:val="auto"/>
              </w:rPr>
              <w:t>网址</w:t>
            </w:r>
          </w:p>
        </w:tc>
        <w:tc>
          <w:tcPr>
            <w:tcW w:w="2409" w:type="dxa"/>
          </w:tcPr>
          <w:p w14:paraId="4646AF45">
            <w:pPr>
              <w:pStyle w:val="102"/>
              <w:rPr>
                <w:rFonts w:ascii="宋体" w:hAnsi="宋体" w:cs="宋体"/>
                <w:bCs/>
                <w:color w:val="auto"/>
              </w:rPr>
            </w:pPr>
          </w:p>
        </w:tc>
        <w:tc>
          <w:tcPr>
            <w:tcW w:w="1134" w:type="dxa"/>
          </w:tcPr>
          <w:p w14:paraId="12B9B1C8">
            <w:pPr>
              <w:pStyle w:val="102"/>
              <w:spacing w:before="142"/>
              <w:ind w:left="129" w:right="112"/>
              <w:jc w:val="center"/>
              <w:rPr>
                <w:rFonts w:ascii="宋体" w:hAnsi="宋体" w:cs="宋体"/>
                <w:bCs/>
                <w:color w:val="auto"/>
              </w:rPr>
            </w:pPr>
            <w:r>
              <w:rPr>
                <w:rFonts w:hint="eastAsia" w:ascii="宋体" w:hAnsi="宋体" w:cs="宋体"/>
                <w:bCs/>
                <w:color w:val="auto"/>
              </w:rPr>
              <w:t>传真</w:t>
            </w:r>
          </w:p>
        </w:tc>
        <w:tc>
          <w:tcPr>
            <w:tcW w:w="2267" w:type="dxa"/>
          </w:tcPr>
          <w:p w14:paraId="2A61334B">
            <w:pPr>
              <w:pStyle w:val="102"/>
              <w:rPr>
                <w:rFonts w:ascii="宋体" w:hAnsi="宋体" w:cs="宋体"/>
                <w:bCs/>
                <w:color w:val="auto"/>
              </w:rPr>
            </w:pPr>
          </w:p>
        </w:tc>
      </w:tr>
      <w:tr w14:paraId="02597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174" w:type="dxa"/>
          </w:tcPr>
          <w:p w14:paraId="71E2F78F">
            <w:pPr>
              <w:pStyle w:val="102"/>
              <w:spacing w:before="142"/>
              <w:ind w:left="561"/>
              <w:rPr>
                <w:rFonts w:ascii="宋体" w:hAnsi="宋体" w:cs="宋体"/>
                <w:bCs/>
                <w:color w:val="auto"/>
              </w:rPr>
            </w:pPr>
            <w:r>
              <w:rPr>
                <w:rFonts w:hint="eastAsia" w:ascii="宋体" w:hAnsi="宋体" w:cs="宋体"/>
                <w:bCs/>
                <w:color w:val="auto"/>
              </w:rPr>
              <w:t>法定代表人</w:t>
            </w:r>
          </w:p>
          <w:p w14:paraId="32CC57A5">
            <w:pPr>
              <w:pStyle w:val="102"/>
              <w:spacing w:before="173"/>
              <w:ind w:left="297"/>
              <w:rPr>
                <w:rFonts w:ascii="宋体" w:hAnsi="宋体" w:cs="宋体"/>
                <w:bCs/>
                <w:color w:val="auto"/>
              </w:rPr>
            </w:pPr>
            <w:r>
              <w:rPr>
                <w:rFonts w:hint="eastAsia" w:ascii="宋体" w:hAnsi="宋体" w:cs="宋体"/>
                <w:bCs/>
                <w:color w:val="auto"/>
              </w:rPr>
              <w:t>（单位负责人）</w:t>
            </w:r>
          </w:p>
        </w:tc>
        <w:tc>
          <w:tcPr>
            <w:tcW w:w="943" w:type="dxa"/>
          </w:tcPr>
          <w:p w14:paraId="66508938">
            <w:pPr>
              <w:pStyle w:val="102"/>
              <w:spacing w:before="4"/>
              <w:rPr>
                <w:rFonts w:ascii="宋体" w:hAnsi="宋体" w:cs="宋体"/>
                <w:bCs/>
                <w:color w:val="auto"/>
              </w:rPr>
            </w:pPr>
          </w:p>
          <w:p w14:paraId="6FA027BF">
            <w:pPr>
              <w:pStyle w:val="102"/>
              <w:ind w:left="135" w:right="127"/>
              <w:jc w:val="center"/>
              <w:rPr>
                <w:rFonts w:ascii="宋体" w:hAnsi="宋体" w:cs="宋体"/>
                <w:bCs/>
                <w:color w:val="auto"/>
              </w:rPr>
            </w:pPr>
            <w:r>
              <w:rPr>
                <w:rFonts w:hint="eastAsia" w:ascii="宋体" w:hAnsi="宋体" w:cs="宋体"/>
                <w:bCs/>
                <w:color w:val="auto"/>
              </w:rPr>
              <w:t>姓名</w:t>
            </w:r>
          </w:p>
        </w:tc>
        <w:tc>
          <w:tcPr>
            <w:tcW w:w="2409" w:type="dxa"/>
          </w:tcPr>
          <w:p w14:paraId="0154F137">
            <w:pPr>
              <w:pStyle w:val="102"/>
              <w:rPr>
                <w:rFonts w:ascii="宋体" w:hAnsi="宋体" w:cs="宋体"/>
                <w:bCs/>
                <w:color w:val="auto"/>
              </w:rPr>
            </w:pPr>
          </w:p>
        </w:tc>
        <w:tc>
          <w:tcPr>
            <w:tcW w:w="1134" w:type="dxa"/>
          </w:tcPr>
          <w:p w14:paraId="2EB15CBD">
            <w:pPr>
              <w:pStyle w:val="102"/>
              <w:spacing w:before="4"/>
              <w:rPr>
                <w:rFonts w:ascii="宋体" w:hAnsi="宋体" w:cs="宋体"/>
                <w:bCs/>
                <w:color w:val="auto"/>
              </w:rPr>
            </w:pPr>
          </w:p>
          <w:p w14:paraId="5A2B0734">
            <w:pPr>
              <w:pStyle w:val="102"/>
              <w:ind w:left="129" w:right="112"/>
              <w:jc w:val="center"/>
              <w:rPr>
                <w:rFonts w:ascii="宋体" w:hAnsi="宋体" w:cs="宋体"/>
                <w:bCs/>
                <w:color w:val="auto"/>
              </w:rPr>
            </w:pPr>
            <w:r>
              <w:rPr>
                <w:rFonts w:hint="eastAsia" w:ascii="宋体" w:hAnsi="宋体" w:cs="宋体"/>
                <w:bCs/>
                <w:color w:val="auto"/>
              </w:rPr>
              <w:t>电话</w:t>
            </w:r>
          </w:p>
        </w:tc>
        <w:tc>
          <w:tcPr>
            <w:tcW w:w="2267" w:type="dxa"/>
          </w:tcPr>
          <w:p w14:paraId="17FE94BB">
            <w:pPr>
              <w:pStyle w:val="102"/>
              <w:rPr>
                <w:rFonts w:ascii="宋体" w:hAnsi="宋体" w:cs="宋体"/>
                <w:bCs/>
                <w:color w:val="auto"/>
              </w:rPr>
            </w:pPr>
          </w:p>
        </w:tc>
      </w:tr>
      <w:tr w14:paraId="4B7A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2174" w:type="dxa"/>
            <w:vAlign w:val="center"/>
          </w:tcPr>
          <w:p w14:paraId="6AEEB3A8">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供应商须知要求投标</w:t>
            </w:r>
          </w:p>
          <w:p w14:paraId="44B66949">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人需具有的各类资质证书</w:t>
            </w:r>
          </w:p>
        </w:tc>
        <w:tc>
          <w:tcPr>
            <w:tcW w:w="6753" w:type="dxa"/>
            <w:gridSpan w:val="4"/>
          </w:tcPr>
          <w:p w14:paraId="4C72E594">
            <w:pPr>
              <w:pStyle w:val="102"/>
              <w:rPr>
                <w:rFonts w:ascii="宋体" w:hAnsi="宋体" w:cs="宋体"/>
                <w:bCs/>
                <w:color w:val="auto"/>
              </w:rPr>
            </w:pPr>
          </w:p>
          <w:p w14:paraId="6EF8CA5D">
            <w:pPr>
              <w:pStyle w:val="102"/>
              <w:spacing w:before="7"/>
              <w:rPr>
                <w:rFonts w:ascii="宋体" w:hAnsi="宋体" w:cs="宋体"/>
                <w:bCs/>
                <w:color w:val="auto"/>
              </w:rPr>
            </w:pPr>
          </w:p>
          <w:p w14:paraId="008DD115">
            <w:pPr>
              <w:pStyle w:val="102"/>
              <w:tabs>
                <w:tab w:val="left" w:pos="2314"/>
                <w:tab w:val="left" w:pos="4414"/>
              </w:tabs>
              <w:ind w:left="211"/>
              <w:rPr>
                <w:rFonts w:ascii="宋体" w:hAnsi="宋体" w:cs="宋体"/>
                <w:bCs/>
                <w:color w:val="auto"/>
              </w:rPr>
            </w:pPr>
            <w:r>
              <w:rPr>
                <w:rFonts w:hint="eastAsia" w:ascii="宋体" w:hAnsi="宋体" w:cs="宋体"/>
                <w:bCs/>
                <w:color w:val="auto"/>
              </w:rPr>
              <w:t>类型：</w:t>
            </w:r>
            <w:r>
              <w:rPr>
                <w:rFonts w:hint="eastAsia" w:ascii="宋体" w:hAnsi="宋体" w:cs="宋体"/>
                <w:bCs/>
                <w:color w:val="auto"/>
              </w:rPr>
              <w:tab/>
            </w:r>
            <w:r>
              <w:rPr>
                <w:rFonts w:hint="eastAsia" w:ascii="宋体" w:hAnsi="宋体" w:cs="宋体"/>
                <w:bCs/>
                <w:color w:val="auto"/>
              </w:rPr>
              <w:t>等级：</w:t>
            </w:r>
            <w:r>
              <w:rPr>
                <w:rFonts w:hint="eastAsia" w:ascii="宋体" w:hAnsi="宋体" w:cs="宋体"/>
                <w:bCs/>
                <w:color w:val="auto"/>
              </w:rPr>
              <w:tab/>
            </w:r>
            <w:r>
              <w:rPr>
                <w:rFonts w:hint="eastAsia" w:ascii="宋体" w:hAnsi="宋体" w:cs="宋体"/>
                <w:bCs/>
                <w:color w:val="auto"/>
              </w:rPr>
              <w:t>证书号：</w:t>
            </w:r>
          </w:p>
        </w:tc>
      </w:tr>
      <w:tr w14:paraId="3C32F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vAlign w:val="center"/>
          </w:tcPr>
          <w:p w14:paraId="400F3A42">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基本账户开户银行</w:t>
            </w:r>
          </w:p>
        </w:tc>
        <w:tc>
          <w:tcPr>
            <w:tcW w:w="6753" w:type="dxa"/>
            <w:gridSpan w:val="4"/>
          </w:tcPr>
          <w:p w14:paraId="25F88C88">
            <w:pPr>
              <w:pStyle w:val="102"/>
              <w:rPr>
                <w:rFonts w:ascii="宋体" w:hAnsi="宋体" w:cs="宋体"/>
                <w:bCs/>
                <w:color w:val="auto"/>
              </w:rPr>
            </w:pPr>
          </w:p>
        </w:tc>
      </w:tr>
      <w:tr w14:paraId="690CF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Align w:val="center"/>
          </w:tcPr>
          <w:p w14:paraId="56DB5A45">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基本账户银行账号</w:t>
            </w:r>
          </w:p>
        </w:tc>
        <w:tc>
          <w:tcPr>
            <w:tcW w:w="6753" w:type="dxa"/>
            <w:gridSpan w:val="4"/>
          </w:tcPr>
          <w:p w14:paraId="04FDBD1B">
            <w:pPr>
              <w:pStyle w:val="102"/>
              <w:rPr>
                <w:rFonts w:ascii="宋体" w:hAnsi="宋体" w:cs="宋体"/>
                <w:bCs/>
                <w:color w:val="auto"/>
              </w:rPr>
            </w:pPr>
          </w:p>
        </w:tc>
      </w:tr>
      <w:tr w14:paraId="679EB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vAlign w:val="center"/>
          </w:tcPr>
          <w:p w14:paraId="04A7F21E">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近三年营业额</w:t>
            </w:r>
          </w:p>
        </w:tc>
        <w:tc>
          <w:tcPr>
            <w:tcW w:w="6753" w:type="dxa"/>
            <w:gridSpan w:val="4"/>
          </w:tcPr>
          <w:p w14:paraId="5C19C57A">
            <w:pPr>
              <w:pStyle w:val="102"/>
              <w:rPr>
                <w:rFonts w:ascii="宋体" w:hAnsi="宋体" w:cs="宋体"/>
                <w:bCs/>
                <w:color w:val="auto"/>
              </w:rPr>
            </w:pPr>
          </w:p>
        </w:tc>
      </w:tr>
      <w:tr w14:paraId="19EAC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2174" w:type="dxa"/>
            <w:vAlign w:val="center"/>
          </w:tcPr>
          <w:p w14:paraId="5B7F4F10">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sz w:val="20"/>
                <w:szCs w:val="22"/>
              </w:rPr>
            </w:pPr>
            <w:r>
              <w:rPr>
                <w:rFonts w:hint="eastAsia" w:ascii="宋体" w:hAnsi="宋体" w:cs="宋体"/>
                <w:bCs/>
                <w:color w:val="auto"/>
                <w:sz w:val="20"/>
                <w:szCs w:val="22"/>
              </w:rPr>
              <w:t>供应商关联企业情况</w:t>
            </w:r>
          </w:p>
          <w:p w14:paraId="658FACC7">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sz w:val="20"/>
                <w:szCs w:val="22"/>
              </w:rPr>
            </w:pPr>
            <w:r>
              <w:rPr>
                <w:rFonts w:hint="eastAsia" w:ascii="宋体" w:hAnsi="宋体" w:cs="宋体"/>
                <w:bCs/>
                <w:color w:val="auto"/>
                <w:sz w:val="20"/>
                <w:szCs w:val="22"/>
              </w:rPr>
              <w:t>（包括但不限于与供应商法定代表人（单位负责人）为同一人或者存在控股、管理</w:t>
            </w:r>
          </w:p>
          <w:p w14:paraId="5A2B7C79">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sz w:val="20"/>
                <w:szCs w:val="22"/>
              </w:rPr>
              <w:t>关系的不同单位）</w:t>
            </w:r>
          </w:p>
        </w:tc>
        <w:tc>
          <w:tcPr>
            <w:tcW w:w="6753" w:type="dxa"/>
            <w:gridSpan w:val="4"/>
          </w:tcPr>
          <w:p w14:paraId="3F4F107D">
            <w:pPr>
              <w:pStyle w:val="102"/>
              <w:rPr>
                <w:rFonts w:ascii="宋体" w:hAnsi="宋体" w:cs="宋体"/>
                <w:bCs/>
                <w:color w:val="auto"/>
              </w:rPr>
            </w:pPr>
          </w:p>
        </w:tc>
      </w:tr>
      <w:tr w14:paraId="00523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Align w:val="center"/>
          </w:tcPr>
          <w:p w14:paraId="513E2C97">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投标设备制造商名称</w:t>
            </w:r>
          </w:p>
        </w:tc>
        <w:tc>
          <w:tcPr>
            <w:tcW w:w="6753" w:type="dxa"/>
            <w:gridSpan w:val="4"/>
          </w:tcPr>
          <w:p w14:paraId="2BFC815F">
            <w:pPr>
              <w:pStyle w:val="102"/>
              <w:rPr>
                <w:rFonts w:ascii="宋体" w:hAnsi="宋体" w:cs="宋体"/>
                <w:bCs/>
                <w:color w:val="auto"/>
              </w:rPr>
            </w:pPr>
          </w:p>
        </w:tc>
      </w:tr>
      <w:tr w14:paraId="45922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174" w:type="dxa"/>
            <w:vAlign w:val="center"/>
          </w:tcPr>
          <w:p w14:paraId="71299D65">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供应商须知要求 投标设备制造商需具</w:t>
            </w:r>
          </w:p>
          <w:p w14:paraId="28684573">
            <w:pPr>
              <w:pStyle w:val="102"/>
              <w:keepNext w:val="0"/>
              <w:keepLines w:val="0"/>
              <w:pageBreakBefore w:val="0"/>
              <w:widowControl/>
              <w:kinsoku/>
              <w:wordWrap/>
              <w:overflowPunct/>
              <w:topLinePunct w:val="0"/>
              <w:autoSpaceDE/>
              <w:autoSpaceDN/>
              <w:bidi w:val="0"/>
              <w:adjustRightInd/>
              <w:snapToGrid w:val="0"/>
              <w:spacing w:line="240" w:lineRule="auto"/>
              <w:ind w:left="0" w:right="0" w:firstLine="0"/>
              <w:jc w:val="center"/>
              <w:textAlignment w:val="auto"/>
              <w:rPr>
                <w:rFonts w:ascii="宋体" w:hAnsi="宋体" w:cs="宋体"/>
                <w:bCs/>
                <w:color w:val="auto"/>
              </w:rPr>
            </w:pPr>
            <w:r>
              <w:rPr>
                <w:rFonts w:hint="eastAsia" w:ascii="宋体" w:hAnsi="宋体" w:cs="宋体"/>
                <w:bCs/>
                <w:color w:val="auto"/>
              </w:rPr>
              <w:t>有的资质证书</w:t>
            </w:r>
          </w:p>
        </w:tc>
        <w:tc>
          <w:tcPr>
            <w:tcW w:w="6753" w:type="dxa"/>
            <w:gridSpan w:val="4"/>
          </w:tcPr>
          <w:p w14:paraId="5CE4A46B">
            <w:pPr>
              <w:pStyle w:val="102"/>
              <w:rPr>
                <w:rFonts w:ascii="宋体" w:hAnsi="宋体" w:cs="宋体"/>
                <w:bCs/>
                <w:color w:val="auto"/>
              </w:rPr>
            </w:pPr>
          </w:p>
        </w:tc>
      </w:tr>
      <w:tr w14:paraId="744CE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AFEF8F1">
            <w:pPr>
              <w:pStyle w:val="102"/>
              <w:spacing w:before="142"/>
              <w:ind w:left="120" w:right="111"/>
              <w:jc w:val="center"/>
              <w:rPr>
                <w:rFonts w:ascii="宋体" w:hAnsi="宋体" w:cs="宋体"/>
                <w:bCs/>
                <w:color w:val="auto"/>
              </w:rPr>
            </w:pPr>
            <w:r>
              <w:rPr>
                <w:rFonts w:hint="eastAsia" w:ascii="宋体" w:hAnsi="宋体" w:cs="宋体"/>
                <w:bCs/>
                <w:color w:val="auto"/>
              </w:rPr>
              <w:t>备注</w:t>
            </w:r>
          </w:p>
        </w:tc>
        <w:tc>
          <w:tcPr>
            <w:tcW w:w="6753" w:type="dxa"/>
            <w:gridSpan w:val="4"/>
          </w:tcPr>
          <w:p w14:paraId="5A55ED64">
            <w:pPr>
              <w:pStyle w:val="102"/>
              <w:rPr>
                <w:rFonts w:ascii="宋体" w:hAnsi="宋体" w:cs="宋体"/>
                <w:bCs/>
                <w:color w:val="auto"/>
              </w:rPr>
            </w:pPr>
          </w:p>
        </w:tc>
      </w:tr>
    </w:tbl>
    <w:p w14:paraId="4C67221A">
      <w:pPr>
        <w:rPr>
          <w:rFonts w:hint="eastAsia" w:ascii="宋体" w:hAnsi="宋体" w:eastAsia="宋体" w:cs="宋体"/>
          <w:color w:val="auto"/>
        </w:rPr>
      </w:pPr>
      <w:r>
        <w:rPr>
          <w:rFonts w:hint="eastAsia" w:ascii="宋体" w:hAnsi="宋体" w:eastAsia="宋体" w:cs="宋体"/>
          <w:color w:val="auto"/>
          <w:lang w:val="zh-CN"/>
        </w:rPr>
        <w:t>注：</w:t>
      </w:r>
      <w:r>
        <w:rPr>
          <w:rFonts w:hint="eastAsia" w:ascii="宋体" w:hAnsi="宋体" w:eastAsia="宋体" w:cs="宋体"/>
          <w:color w:val="auto"/>
        </w:rPr>
        <w:t>1.附企业营业执照</w:t>
      </w:r>
      <w:r>
        <w:rPr>
          <w:rFonts w:hint="eastAsia" w:ascii="宋体" w:hAnsi="宋体" w:cs="宋体"/>
          <w:color w:val="auto"/>
          <w:lang w:val="en-US" w:eastAsia="zh-CN"/>
        </w:rPr>
        <w:t>、</w:t>
      </w:r>
      <w:r>
        <w:rPr>
          <w:rFonts w:hint="eastAsia" w:ascii="宋体" w:hAnsi="宋体" w:eastAsia="宋体" w:cs="宋体"/>
          <w:color w:val="auto"/>
        </w:rPr>
        <w:t>开户许可证</w:t>
      </w:r>
      <w:r>
        <w:rPr>
          <w:rFonts w:hint="eastAsia" w:ascii="宋体" w:hAnsi="宋体" w:eastAsia="宋体" w:cs="宋体"/>
          <w:color w:val="auto"/>
          <w:lang w:eastAsia="zh-CN"/>
        </w:rPr>
        <w:t>或</w:t>
      </w:r>
      <w:r>
        <w:rPr>
          <w:rFonts w:hint="eastAsia" w:ascii="宋体" w:hAnsi="宋体" w:eastAsia="宋体" w:cs="宋体"/>
          <w:color w:val="auto"/>
          <w:lang w:val="zh-CN" w:eastAsia="zh-CN"/>
        </w:rPr>
        <w:t>银行打印的基本存款账户信息</w:t>
      </w:r>
      <w:r>
        <w:rPr>
          <w:rFonts w:hint="eastAsia" w:ascii="宋体" w:hAnsi="宋体" w:eastAsia="宋体" w:cs="宋体"/>
          <w:color w:val="auto"/>
        </w:rPr>
        <w:t>等企业证明文件</w:t>
      </w:r>
      <w:r>
        <w:rPr>
          <w:rFonts w:hint="eastAsia" w:ascii="宋体" w:hAnsi="宋体" w:eastAsia="宋体" w:cs="宋体"/>
          <w:color w:val="auto"/>
          <w:lang w:val="zh-CN"/>
        </w:rPr>
        <w:t>复印件加盖公章</w:t>
      </w:r>
      <w:r>
        <w:rPr>
          <w:rFonts w:hint="eastAsia" w:ascii="宋体" w:hAnsi="宋体" w:eastAsia="宋体" w:cs="宋体"/>
          <w:color w:val="auto"/>
        </w:rPr>
        <w:t>。</w:t>
      </w:r>
    </w:p>
    <w:p w14:paraId="2163ADE2">
      <w:pPr>
        <w:autoSpaceDE w:val="0"/>
        <w:autoSpaceDN w:val="0"/>
        <w:adjustRightInd w:val="0"/>
        <w:spacing w:line="340" w:lineRule="atLeast"/>
        <w:ind w:firstLine="388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供应商全称（盖章）：</w:t>
      </w:r>
    </w:p>
    <w:p w14:paraId="1EBB5751">
      <w:pPr>
        <w:autoSpaceDE w:val="0"/>
        <w:autoSpaceDN w:val="0"/>
        <w:adjustRightInd w:val="0"/>
        <w:spacing w:line="400" w:lineRule="atLeast"/>
        <w:ind w:firstLine="3885" w:firstLineChars="185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法定代表人或其委托代理人（签字或盖章）：</w:t>
      </w:r>
    </w:p>
    <w:p w14:paraId="4F27E819">
      <w:pPr>
        <w:autoSpaceDE w:val="0"/>
        <w:autoSpaceDN w:val="0"/>
        <w:adjustRightInd w:val="0"/>
        <w:spacing w:line="400" w:lineRule="atLeast"/>
        <w:ind w:firstLine="3990" w:firstLineChars="1900"/>
        <w:jc w:val="both"/>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年月日</w:t>
      </w:r>
    </w:p>
    <w:p w14:paraId="47C86D1E">
      <w:pPr>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br w:type="page"/>
      </w:r>
      <w:r>
        <w:rPr>
          <w:rFonts w:hint="eastAsia" w:ascii="宋体" w:hAnsi="宋体" w:eastAsia="宋体" w:cs="宋体"/>
          <w:color w:val="auto"/>
          <w:kern w:val="0"/>
          <w:sz w:val="28"/>
          <w:szCs w:val="28"/>
        </w:rPr>
        <w:t>(二)</w:t>
      </w:r>
      <w:r>
        <w:rPr>
          <w:rFonts w:hint="eastAsia" w:ascii="宋体" w:hAnsi="宋体" w:eastAsia="宋体" w:cs="宋体"/>
          <w:color w:val="auto"/>
          <w:kern w:val="0"/>
          <w:sz w:val="28"/>
          <w:szCs w:val="28"/>
          <w:lang w:eastAsia="zh-CN"/>
        </w:rPr>
        <w:t>供应商</w:t>
      </w:r>
      <w:r>
        <w:rPr>
          <w:rFonts w:hint="eastAsia" w:ascii="宋体" w:hAnsi="宋体" w:eastAsia="宋体" w:cs="宋体"/>
          <w:color w:val="auto"/>
          <w:kern w:val="0"/>
          <w:sz w:val="28"/>
          <w:szCs w:val="28"/>
        </w:rPr>
        <w:t>已完成类似</w:t>
      </w:r>
      <w:r>
        <w:rPr>
          <w:rFonts w:hint="eastAsia" w:ascii="宋体" w:hAnsi="宋体" w:eastAsia="宋体" w:cs="宋体"/>
          <w:color w:val="auto"/>
          <w:kern w:val="0"/>
          <w:sz w:val="28"/>
          <w:szCs w:val="28"/>
          <w:lang w:val="en-US" w:eastAsia="zh-CN"/>
        </w:rPr>
        <w:t>供货</w:t>
      </w:r>
      <w:r>
        <w:rPr>
          <w:rFonts w:hint="eastAsia" w:ascii="宋体" w:hAnsi="宋体" w:eastAsia="宋体" w:cs="宋体"/>
          <w:color w:val="auto"/>
          <w:kern w:val="0"/>
          <w:sz w:val="28"/>
          <w:szCs w:val="28"/>
        </w:rPr>
        <w:t>项目情况</w:t>
      </w:r>
    </w:p>
    <w:tbl>
      <w:tblPr>
        <w:tblStyle w:val="47"/>
        <w:tblpPr w:leftFromText="180" w:rightFromText="180" w:vertAnchor="text" w:horzAnchor="page" w:tblpX="938" w:tblpY="333"/>
        <w:tblOverlap w:val="never"/>
        <w:tblW w:w="10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20"/>
        <w:gridCol w:w="1362"/>
        <w:gridCol w:w="1380"/>
        <w:gridCol w:w="1365"/>
        <w:gridCol w:w="1725"/>
        <w:gridCol w:w="1875"/>
      </w:tblGrid>
      <w:tr w14:paraId="393D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7" w:type="dxa"/>
            <w:noWrap/>
            <w:vAlign w:val="center"/>
          </w:tcPr>
          <w:p w14:paraId="42FB6F2B">
            <w:pPr>
              <w:adjustRightInd w:val="0"/>
              <w:snapToGrid w:val="0"/>
              <w:jc w:val="center"/>
              <w:rPr>
                <w:rFonts w:ascii="宋体" w:hAnsi="宋体" w:cs="宋体"/>
                <w:b/>
                <w:color w:val="auto"/>
                <w:szCs w:val="21"/>
              </w:rPr>
            </w:pPr>
            <w:r>
              <w:rPr>
                <w:rFonts w:hint="eastAsia" w:ascii="宋体" w:hAnsi="宋体" w:cs="宋体"/>
                <w:b/>
                <w:color w:val="auto"/>
                <w:szCs w:val="21"/>
              </w:rPr>
              <w:t>序号</w:t>
            </w:r>
          </w:p>
        </w:tc>
        <w:tc>
          <w:tcPr>
            <w:tcW w:w="1620" w:type="dxa"/>
            <w:noWrap/>
            <w:vAlign w:val="center"/>
          </w:tcPr>
          <w:p w14:paraId="3A3493C9">
            <w:pPr>
              <w:adjustRightInd w:val="0"/>
              <w:snapToGrid w:val="0"/>
              <w:jc w:val="center"/>
              <w:rPr>
                <w:rFonts w:ascii="宋体" w:hAnsi="宋体" w:cs="宋体"/>
                <w:b/>
                <w:color w:val="auto"/>
                <w:szCs w:val="21"/>
              </w:rPr>
            </w:pPr>
            <w:r>
              <w:rPr>
                <w:rFonts w:ascii="宋体" w:hAnsi="宋体" w:cs="宋体"/>
                <w:color w:val="auto"/>
                <w:spacing w:val="-2"/>
                <w:szCs w:val="21"/>
              </w:rPr>
              <w:t>设备名称</w:t>
            </w:r>
          </w:p>
        </w:tc>
        <w:tc>
          <w:tcPr>
            <w:tcW w:w="1362" w:type="dxa"/>
            <w:noWrap/>
            <w:vAlign w:val="center"/>
          </w:tcPr>
          <w:p w14:paraId="38CDF181">
            <w:pPr>
              <w:adjustRightInd w:val="0"/>
              <w:snapToGrid w:val="0"/>
              <w:jc w:val="center"/>
              <w:rPr>
                <w:rFonts w:ascii="宋体" w:hAnsi="宋体" w:cs="宋体"/>
                <w:b/>
                <w:color w:val="auto"/>
                <w:szCs w:val="21"/>
              </w:rPr>
            </w:pPr>
            <w:r>
              <w:rPr>
                <w:rFonts w:ascii="宋体" w:hAnsi="宋体" w:cs="宋体"/>
                <w:color w:val="auto"/>
                <w:spacing w:val="-1"/>
                <w:szCs w:val="21"/>
              </w:rPr>
              <w:t>规格和型号</w:t>
            </w:r>
          </w:p>
        </w:tc>
        <w:tc>
          <w:tcPr>
            <w:tcW w:w="1380" w:type="dxa"/>
            <w:noWrap/>
            <w:vAlign w:val="center"/>
          </w:tcPr>
          <w:p w14:paraId="4FAA1F24">
            <w:pPr>
              <w:adjustRightInd w:val="0"/>
              <w:snapToGrid w:val="0"/>
              <w:jc w:val="center"/>
              <w:rPr>
                <w:rFonts w:ascii="宋体" w:hAnsi="宋体" w:cs="宋体"/>
                <w:b/>
                <w:color w:val="auto"/>
                <w:szCs w:val="21"/>
              </w:rPr>
            </w:pPr>
            <w:r>
              <w:rPr>
                <w:rFonts w:ascii="宋体" w:hAnsi="宋体" w:cs="宋体"/>
                <w:color w:val="auto"/>
                <w:spacing w:val="-1"/>
                <w:szCs w:val="21"/>
              </w:rPr>
              <w:t>项目名称</w:t>
            </w:r>
          </w:p>
        </w:tc>
        <w:tc>
          <w:tcPr>
            <w:tcW w:w="1365" w:type="dxa"/>
            <w:noWrap/>
            <w:vAlign w:val="center"/>
          </w:tcPr>
          <w:p w14:paraId="779F2EDE">
            <w:pPr>
              <w:adjustRightInd w:val="0"/>
              <w:snapToGrid w:val="0"/>
              <w:jc w:val="center"/>
              <w:rPr>
                <w:rFonts w:ascii="宋体" w:hAnsi="宋体" w:cs="宋体"/>
                <w:b/>
                <w:color w:val="auto"/>
                <w:szCs w:val="21"/>
              </w:rPr>
            </w:pPr>
            <w:r>
              <w:rPr>
                <w:rFonts w:ascii="宋体" w:hAnsi="宋体" w:cs="宋体"/>
                <w:color w:val="auto"/>
                <w:spacing w:val="-1"/>
                <w:szCs w:val="21"/>
              </w:rPr>
              <w:t>买方名称</w:t>
            </w:r>
          </w:p>
        </w:tc>
        <w:tc>
          <w:tcPr>
            <w:tcW w:w="1725" w:type="dxa"/>
            <w:noWrap/>
            <w:vAlign w:val="center"/>
          </w:tcPr>
          <w:p w14:paraId="714D74C6">
            <w:pPr>
              <w:adjustRightInd w:val="0"/>
              <w:snapToGrid w:val="0"/>
              <w:jc w:val="center"/>
              <w:rPr>
                <w:rFonts w:ascii="宋体" w:hAnsi="宋体" w:cs="宋体"/>
                <w:b/>
                <w:color w:val="auto"/>
                <w:szCs w:val="21"/>
              </w:rPr>
            </w:pPr>
            <w:r>
              <w:rPr>
                <w:rFonts w:hint="eastAsia" w:ascii="宋体" w:hAnsi="宋体" w:cs="宋体"/>
                <w:color w:val="auto"/>
                <w:spacing w:val="-1"/>
                <w:szCs w:val="21"/>
              </w:rPr>
              <w:t>合同签约价</w:t>
            </w:r>
          </w:p>
        </w:tc>
        <w:tc>
          <w:tcPr>
            <w:tcW w:w="1875" w:type="dxa"/>
            <w:noWrap/>
            <w:vAlign w:val="center"/>
          </w:tcPr>
          <w:p w14:paraId="3DFBC820">
            <w:pPr>
              <w:adjustRightInd w:val="0"/>
              <w:snapToGrid w:val="0"/>
              <w:jc w:val="center"/>
              <w:rPr>
                <w:rFonts w:ascii="宋体" w:hAnsi="宋体" w:cs="宋体"/>
                <w:b/>
                <w:color w:val="auto"/>
                <w:szCs w:val="21"/>
              </w:rPr>
            </w:pPr>
            <w:r>
              <w:rPr>
                <w:rFonts w:hint="eastAsia" w:ascii="宋体" w:hAnsi="宋体" w:cs="宋体"/>
                <w:bCs/>
                <w:color w:val="auto"/>
                <w:szCs w:val="21"/>
              </w:rPr>
              <w:t>合同履约完成年限</w:t>
            </w:r>
          </w:p>
        </w:tc>
      </w:tr>
      <w:tr w14:paraId="3E8B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1EA6D752">
            <w:pPr>
              <w:adjustRightInd w:val="0"/>
              <w:snapToGrid w:val="0"/>
              <w:jc w:val="center"/>
              <w:rPr>
                <w:rFonts w:ascii="宋体" w:hAnsi="宋体" w:cs="宋体"/>
                <w:color w:val="auto"/>
                <w:sz w:val="28"/>
              </w:rPr>
            </w:pPr>
          </w:p>
        </w:tc>
        <w:tc>
          <w:tcPr>
            <w:tcW w:w="1620" w:type="dxa"/>
            <w:noWrap/>
            <w:vAlign w:val="center"/>
          </w:tcPr>
          <w:p w14:paraId="5FC79043">
            <w:pPr>
              <w:adjustRightInd w:val="0"/>
              <w:snapToGrid w:val="0"/>
              <w:jc w:val="center"/>
              <w:rPr>
                <w:rFonts w:ascii="宋体" w:hAnsi="宋体" w:cs="宋体"/>
                <w:color w:val="auto"/>
                <w:sz w:val="28"/>
              </w:rPr>
            </w:pPr>
          </w:p>
        </w:tc>
        <w:tc>
          <w:tcPr>
            <w:tcW w:w="1362" w:type="dxa"/>
            <w:noWrap/>
            <w:vAlign w:val="center"/>
          </w:tcPr>
          <w:p w14:paraId="5CA777DB">
            <w:pPr>
              <w:adjustRightInd w:val="0"/>
              <w:snapToGrid w:val="0"/>
              <w:jc w:val="center"/>
              <w:rPr>
                <w:rFonts w:ascii="宋体" w:hAnsi="宋体" w:cs="宋体"/>
                <w:color w:val="auto"/>
                <w:sz w:val="28"/>
              </w:rPr>
            </w:pPr>
          </w:p>
        </w:tc>
        <w:tc>
          <w:tcPr>
            <w:tcW w:w="1380" w:type="dxa"/>
            <w:noWrap/>
            <w:vAlign w:val="center"/>
          </w:tcPr>
          <w:p w14:paraId="52B94E02">
            <w:pPr>
              <w:adjustRightInd w:val="0"/>
              <w:snapToGrid w:val="0"/>
              <w:jc w:val="center"/>
              <w:rPr>
                <w:rFonts w:ascii="宋体" w:hAnsi="宋体" w:cs="宋体"/>
                <w:color w:val="auto"/>
                <w:sz w:val="28"/>
              </w:rPr>
            </w:pPr>
          </w:p>
        </w:tc>
        <w:tc>
          <w:tcPr>
            <w:tcW w:w="1365" w:type="dxa"/>
            <w:noWrap/>
            <w:vAlign w:val="center"/>
          </w:tcPr>
          <w:p w14:paraId="56E3C539">
            <w:pPr>
              <w:adjustRightInd w:val="0"/>
              <w:snapToGrid w:val="0"/>
              <w:jc w:val="center"/>
              <w:rPr>
                <w:rFonts w:ascii="宋体" w:hAnsi="宋体" w:cs="宋体"/>
                <w:color w:val="auto"/>
                <w:sz w:val="28"/>
              </w:rPr>
            </w:pPr>
          </w:p>
        </w:tc>
        <w:tc>
          <w:tcPr>
            <w:tcW w:w="1725" w:type="dxa"/>
            <w:noWrap/>
            <w:vAlign w:val="center"/>
          </w:tcPr>
          <w:p w14:paraId="6414D6B7">
            <w:pPr>
              <w:adjustRightInd w:val="0"/>
              <w:snapToGrid w:val="0"/>
              <w:jc w:val="center"/>
              <w:rPr>
                <w:rFonts w:ascii="宋体" w:hAnsi="宋体" w:cs="宋体"/>
                <w:color w:val="auto"/>
                <w:sz w:val="28"/>
              </w:rPr>
            </w:pPr>
          </w:p>
        </w:tc>
        <w:tc>
          <w:tcPr>
            <w:tcW w:w="1875" w:type="dxa"/>
            <w:noWrap/>
            <w:vAlign w:val="center"/>
          </w:tcPr>
          <w:p w14:paraId="432D8C7C">
            <w:pPr>
              <w:adjustRightInd w:val="0"/>
              <w:snapToGrid w:val="0"/>
              <w:jc w:val="center"/>
              <w:rPr>
                <w:rFonts w:ascii="宋体" w:hAnsi="宋体" w:cs="宋体"/>
                <w:color w:val="auto"/>
                <w:sz w:val="28"/>
              </w:rPr>
            </w:pPr>
          </w:p>
        </w:tc>
      </w:tr>
      <w:tr w14:paraId="6B57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6C760DCB">
            <w:pPr>
              <w:adjustRightInd w:val="0"/>
              <w:snapToGrid w:val="0"/>
              <w:jc w:val="center"/>
              <w:rPr>
                <w:rFonts w:ascii="宋体" w:hAnsi="宋体" w:cs="宋体"/>
                <w:color w:val="auto"/>
                <w:sz w:val="28"/>
              </w:rPr>
            </w:pPr>
          </w:p>
        </w:tc>
        <w:tc>
          <w:tcPr>
            <w:tcW w:w="1620" w:type="dxa"/>
            <w:noWrap/>
            <w:vAlign w:val="center"/>
          </w:tcPr>
          <w:p w14:paraId="02BEE323">
            <w:pPr>
              <w:adjustRightInd w:val="0"/>
              <w:snapToGrid w:val="0"/>
              <w:jc w:val="center"/>
              <w:rPr>
                <w:rFonts w:ascii="宋体" w:hAnsi="宋体" w:cs="宋体"/>
                <w:color w:val="auto"/>
                <w:sz w:val="28"/>
              </w:rPr>
            </w:pPr>
          </w:p>
        </w:tc>
        <w:tc>
          <w:tcPr>
            <w:tcW w:w="1362" w:type="dxa"/>
            <w:noWrap/>
            <w:vAlign w:val="center"/>
          </w:tcPr>
          <w:p w14:paraId="79E5AEDB">
            <w:pPr>
              <w:adjustRightInd w:val="0"/>
              <w:snapToGrid w:val="0"/>
              <w:jc w:val="center"/>
              <w:rPr>
                <w:rFonts w:ascii="宋体" w:hAnsi="宋体" w:cs="宋体"/>
                <w:color w:val="auto"/>
                <w:sz w:val="28"/>
              </w:rPr>
            </w:pPr>
          </w:p>
        </w:tc>
        <w:tc>
          <w:tcPr>
            <w:tcW w:w="1380" w:type="dxa"/>
            <w:noWrap/>
            <w:vAlign w:val="center"/>
          </w:tcPr>
          <w:p w14:paraId="14588874">
            <w:pPr>
              <w:adjustRightInd w:val="0"/>
              <w:snapToGrid w:val="0"/>
              <w:jc w:val="center"/>
              <w:rPr>
                <w:rFonts w:ascii="宋体" w:hAnsi="宋体" w:cs="宋体"/>
                <w:color w:val="auto"/>
                <w:sz w:val="28"/>
              </w:rPr>
            </w:pPr>
          </w:p>
        </w:tc>
        <w:tc>
          <w:tcPr>
            <w:tcW w:w="1365" w:type="dxa"/>
            <w:noWrap/>
            <w:vAlign w:val="center"/>
          </w:tcPr>
          <w:p w14:paraId="6FAA6B5A">
            <w:pPr>
              <w:adjustRightInd w:val="0"/>
              <w:snapToGrid w:val="0"/>
              <w:jc w:val="center"/>
              <w:rPr>
                <w:rFonts w:ascii="宋体" w:hAnsi="宋体" w:cs="宋体"/>
                <w:color w:val="auto"/>
                <w:sz w:val="28"/>
              </w:rPr>
            </w:pPr>
          </w:p>
        </w:tc>
        <w:tc>
          <w:tcPr>
            <w:tcW w:w="1725" w:type="dxa"/>
            <w:noWrap/>
            <w:vAlign w:val="center"/>
          </w:tcPr>
          <w:p w14:paraId="6457725D">
            <w:pPr>
              <w:adjustRightInd w:val="0"/>
              <w:snapToGrid w:val="0"/>
              <w:jc w:val="center"/>
              <w:rPr>
                <w:rFonts w:ascii="宋体" w:hAnsi="宋体" w:cs="宋体"/>
                <w:color w:val="auto"/>
                <w:sz w:val="28"/>
              </w:rPr>
            </w:pPr>
          </w:p>
        </w:tc>
        <w:tc>
          <w:tcPr>
            <w:tcW w:w="1875" w:type="dxa"/>
            <w:noWrap/>
            <w:vAlign w:val="center"/>
          </w:tcPr>
          <w:p w14:paraId="31350E21">
            <w:pPr>
              <w:adjustRightInd w:val="0"/>
              <w:snapToGrid w:val="0"/>
              <w:jc w:val="center"/>
              <w:rPr>
                <w:rFonts w:ascii="宋体" w:hAnsi="宋体" w:cs="宋体"/>
                <w:color w:val="auto"/>
                <w:sz w:val="28"/>
              </w:rPr>
            </w:pPr>
          </w:p>
        </w:tc>
      </w:tr>
      <w:tr w14:paraId="57EF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7FA49E99">
            <w:pPr>
              <w:adjustRightInd w:val="0"/>
              <w:snapToGrid w:val="0"/>
              <w:jc w:val="center"/>
              <w:rPr>
                <w:rFonts w:ascii="宋体" w:hAnsi="宋体" w:cs="宋体"/>
                <w:color w:val="auto"/>
                <w:sz w:val="28"/>
              </w:rPr>
            </w:pPr>
          </w:p>
        </w:tc>
        <w:tc>
          <w:tcPr>
            <w:tcW w:w="1620" w:type="dxa"/>
            <w:noWrap/>
            <w:vAlign w:val="center"/>
          </w:tcPr>
          <w:p w14:paraId="2F949300">
            <w:pPr>
              <w:adjustRightInd w:val="0"/>
              <w:snapToGrid w:val="0"/>
              <w:jc w:val="center"/>
              <w:rPr>
                <w:rFonts w:ascii="宋体" w:hAnsi="宋体" w:cs="宋体"/>
                <w:color w:val="auto"/>
                <w:sz w:val="28"/>
              </w:rPr>
            </w:pPr>
          </w:p>
        </w:tc>
        <w:tc>
          <w:tcPr>
            <w:tcW w:w="1362" w:type="dxa"/>
            <w:noWrap/>
            <w:vAlign w:val="center"/>
          </w:tcPr>
          <w:p w14:paraId="35667C33">
            <w:pPr>
              <w:adjustRightInd w:val="0"/>
              <w:snapToGrid w:val="0"/>
              <w:jc w:val="center"/>
              <w:rPr>
                <w:rFonts w:ascii="宋体" w:hAnsi="宋体" w:cs="宋体"/>
                <w:color w:val="auto"/>
                <w:sz w:val="28"/>
              </w:rPr>
            </w:pPr>
          </w:p>
        </w:tc>
        <w:tc>
          <w:tcPr>
            <w:tcW w:w="1380" w:type="dxa"/>
            <w:noWrap/>
            <w:vAlign w:val="center"/>
          </w:tcPr>
          <w:p w14:paraId="5C54F57A">
            <w:pPr>
              <w:adjustRightInd w:val="0"/>
              <w:snapToGrid w:val="0"/>
              <w:jc w:val="center"/>
              <w:rPr>
                <w:rFonts w:ascii="宋体" w:hAnsi="宋体" w:cs="宋体"/>
                <w:color w:val="auto"/>
                <w:sz w:val="28"/>
              </w:rPr>
            </w:pPr>
          </w:p>
        </w:tc>
        <w:tc>
          <w:tcPr>
            <w:tcW w:w="1365" w:type="dxa"/>
            <w:noWrap/>
            <w:vAlign w:val="center"/>
          </w:tcPr>
          <w:p w14:paraId="41BC64EC">
            <w:pPr>
              <w:adjustRightInd w:val="0"/>
              <w:snapToGrid w:val="0"/>
              <w:jc w:val="center"/>
              <w:rPr>
                <w:rFonts w:ascii="宋体" w:hAnsi="宋体" w:cs="宋体"/>
                <w:color w:val="auto"/>
                <w:sz w:val="28"/>
              </w:rPr>
            </w:pPr>
          </w:p>
        </w:tc>
        <w:tc>
          <w:tcPr>
            <w:tcW w:w="1725" w:type="dxa"/>
            <w:noWrap/>
            <w:vAlign w:val="center"/>
          </w:tcPr>
          <w:p w14:paraId="0802C838">
            <w:pPr>
              <w:adjustRightInd w:val="0"/>
              <w:snapToGrid w:val="0"/>
              <w:jc w:val="center"/>
              <w:rPr>
                <w:rFonts w:ascii="宋体" w:hAnsi="宋体" w:cs="宋体"/>
                <w:color w:val="auto"/>
                <w:sz w:val="28"/>
              </w:rPr>
            </w:pPr>
          </w:p>
        </w:tc>
        <w:tc>
          <w:tcPr>
            <w:tcW w:w="1875" w:type="dxa"/>
            <w:noWrap/>
            <w:vAlign w:val="center"/>
          </w:tcPr>
          <w:p w14:paraId="61A2659C">
            <w:pPr>
              <w:adjustRightInd w:val="0"/>
              <w:snapToGrid w:val="0"/>
              <w:jc w:val="center"/>
              <w:rPr>
                <w:rFonts w:ascii="宋体" w:hAnsi="宋体" w:cs="宋体"/>
                <w:color w:val="auto"/>
                <w:sz w:val="28"/>
              </w:rPr>
            </w:pPr>
          </w:p>
        </w:tc>
      </w:tr>
      <w:tr w14:paraId="0053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058519C4">
            <w:pPr>
              <w:adjustRightInd w:val="0"/>
              <w:snapToGrid w:val="0"/>
              <w:jc w:val="center"/>
              <w:rPr>
                <w:rFonts w:ascii="宋体" w:hAnsi="宋体" w:cs="宋体"/>
                <w:color w:val="auto"/>
                <w:sz w:val="28"/>
              </w:rPr>
            </w:pPr>
          </w:p>
        </w:tc>
        <w:tc>
          <w:tcPr>
            <w:tcW w:w="1620" w:type="dxa"/>
            <w:noWrap/>
            <w:vAlign w:val="center"/>
          </w:tcPr>
          <w:p w14:paraId="56C9040B">
            <w:pPr>
              <w:adjustRightInd w:val="0"/>
              <w:snapToGrid w:val="0"/>
              <w:jc w:val="center"/>
              <w:rPr>
                <w:rFonts w:ascii="宋体" w:hAnsi="宋体" w:cs="宋体"/>
                <w:color w:val="auto"/>
                <w:sz w:val="28"/>
              </w:rPr>
            </w:pPr>
          </w:p>
        </w:tc>
        <w:tc>
          <w:tcPr>
            <w:tcW w:w="1362" w:type="dxa"/>
            <w:noWrap/>
            <w:vAlign w:val="center"/>
          </w:tcPr>
          <w:p w14:paraId="096967DD">
            <w:pPr>
              <w:adjustRightInd w:val="0"/>
              <w:snapToGrid w:val="0"/>
              <w:jc w:val="center"/>
              <w:rPr>
                <w:rFonts w:ascii="宋体" w:hAnsi="宋体" w:cs="宋体"/>
                <w:color w:val="auto"/>
                <w:sz w:val="28"/>
              </w:rPr>
            </w:pPr>
          </w:p>
        </w:tc>
        <w:tc>
          <w:tcPr>
            <w:tcW w:w="1380" w:type="dxa"/>
            <w:noWrap/>
            <w:vAlign w:val="center"/>
          </w:tcPr>
          <w:p w14:paraId="4BD0428A">
            <w:pPr>
              <w:adjustRightInd w:val="0"/>
              <w:snapToGrid w:val="0"/>
              <w:jc w:val="center"/>
              <w:rPr>
                <w:rFonts w:ascii="宋体" w:hAnsi="宋体" w:cs="宋体"/>
                <w:color w:val="auto"/>
                <w:sz w:val="28"/>
              </w:rPr>
            </w:pPr>
          </w:p>
        </w:tc>
        <w:tc>
          <w:tcPr>
            <w:tcW w:w="1365" w:type="dxa"/>
            <w:noWrap/>
            <w:vAlign w:val="center"/>
          </w:tcPr>
          <w:p w14:paraId="4CDFEF14">
            <w:pPr>
              <w:adjustRightInd w:val="0"/>
              <w:snapToGrid w:val="0"/>
              <w:jc w:val="center"/>
              <w:rPr>
                <w:rFonts w:ascii="宋体" w:hAnsi="宋体" w:cs="宋体"/>
                <w:color w:val="auto"/>
                <w:sz w:val="28"/>
              </w:rPr>
            </w:pPr>
          </w:p>
        </w:tc>
        <w:tc>
          <w:tcPr>
            <w:tcW w:w="1725" w:type="dxa"/>
            <w:noWrap/>
            <w:vAlign w:val="center"/>
          </w:tcPr>
          <w:p w14:paraId="3A04744D">
            <w:pPr>
              <w:adjustRightInd w:val="0"/>
              <w:snapToGrid w:val="0"/>
              <w:jc w:val="center"/>
              <w:rPr>
                <w:rFonts w:ascii="宋体" w:hAnsi="宋体" w:cs="宋体"/>
                <w:color w:val="auto"/>
                <w:sz w:val="28"/>
              </w:rPr>
            </w:pPr>
          </w:p>
        </w:tc>
        <w:tc>
          <w:tcPr>
            <w:tcW w:w="1875" w:type="dxa"/>
            <w:noWrap/>
            <w:vAlign w:val="center"/>
          </w:tcPr>
          <w:p w14:paraId="112B6604">
            <w:pPr>
              <w:adjustRightInd w:val="0"/>
              <w:snapToGrid w:val="0"/>
              <w:jc w:val="center"/>
              <w:rPr>
                <w:rFonts w:ascii="宋体" w:hAnsi="宋体" w:cs="宋体"/>
                <w:color w:val="auto"/>
                <w:sz w:val="28"/>
              </w:rPr>
            </w:pPr>
          </w:p>
        </w:tc>
      </w:tr>
      <w:tr w14:paraId="577C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12D2A669">
            <w:pPr>
              <w:adjustRightInd w:val="0"/>
              <w:snapToGrid w:val="0"/>
              <w:jc w:val="center"/>
              <w:rPr>
                <w:rFonts w:ascii="宋体" w:hAnsi="宋体" w:cs="宋体"/>
                <w:color w:val="auto"/>
                <w:sz w:val="28"/>
              </w:rPr>
            </w:pPr>
          </w:p>
        </w:tc>
        <w:tc>
          <w:tcPr>
            <w:tcW w:w="1620" w:type="dxa"/>
            <w:noWrap/>
            <w:vAlign w:val="center"/>
          </w:tcPr>
          <w:p w14:paraId="6EC3A549">
            <w:pPr>
              <w:adjustRightInd w:val="0"/>
              <w:snapToGrid w:val="0"/>
              <w:jc w:val="center"/>
              <w:rPr>
                <w:rFonts w:ascii="宋体" w:hAnsi="宋体" w:cs="宋体"/>
                <w:color w:val="auto"/>
                <w:sz w:val="28"/>
              </w:rPr>
            </w:pPr>
          </w:p>
        </w:tc>
        <w:tc>
          <w:tcPr>
            <w:tcW w:w="1362" w:type="dxa"/>
            <w:noWrap/>
            <w:vAlign w:val="center"/>
          </w:tcPr>
          <w:p w14:paraId="28DE5786">
            <w:pPr>
              <w:adjustRightInd w:val="0"/>
              <w:snapToGrid w:val="0"/>
              <w:jc w:val="center"/>
              <w:rPr>
                <w:rFonts w:ascii="宋体" w:hAnsi="宋体" w:cs="宋体"/>
                <w:color w:val="auto"/>
                <w:sz w:val="28"/>
              </w:rPr>
            </w:pPr>
          </w:p>
        </w:tc>
        <w:tc>
          <w:tcPr>
            <w:tcW w:w="1380" w:type="dxa"/>
            <w:noWrap/>
            <w:vAlign w:val="center"/>
          </w:tcPr>
          <w:p w14:paraId="4F7279FC">
            <w:pPr>
              <w:adjustRightInd w:val="0"/>
              <w:snapToGrid w:val="0"/>
              <w:jc w:val="center"/>
              <w:rPr>
                <w:rFonts w:ascii="宋体" w:hAnsi="宋体" w:cs="宋体"/>
                <w:color w:val="auto"/>
                <w:sz w:val="28"/>
              </w:rPr>
            </w:pPr>
          </w:p>
        </w:tc>
        <w:tc>
          <w:tcPr>
            <w:tcW w:w="1365" w:type="dxa"/>
            <w:noWrap/>
            <w:vAlign w:val="center"/>
          </w:tcPr>
          <w:p w14:paraId="3250B84D">
            <w:pPr>
              <w:adjustRightInd w:val="0"/>
              <w:snapToGrid w:val="0"/>
              <w:jc w:val="center"/>
              <w:rPr>
                <w:rFonts w:ascii="宋体" w:hAnsi="宋体" w:cs="宋体"/>
                <w:color w:val="auto"/>
                <w:sz w:val="28"/>
              </w:rPr>
            </w:pPr>
          </w:p>
        </w:tc>
        <w:tc>
          <w:tcPr>
            <w:tcW w:w="1725" w:type="dxa"/>
            <w:noWrap/>
            <w:vAlign w:val="center"/>
          </w:tcPr>
          <w:p w14:paraId="5AE196C8">
            <w:pPr>
              <w:adjustRightInd w:val="0"/>
              <w:snapToGrid w:val="0"/>
              <w:jc w:val="center"/>
              <w:rPr>
                <w:rFonts w:ascii="宋体" w:hAnsi="宋体" w:cs="宋体"/>
                <w:color w:val="auto"/>
                <w:sz w:val="28"/>
              </w:rPr>
            </w:pPr>
          </w:p>
        </w:tc>
        <w:tc>
          <w:tcPr>
            <w:tcW w:w="1875" w:type="dxa"/>
            <w:noWrap/>
            <w:vAlign w:val="center"/>
          </w:tcPr>
          <w:p w14:paraId="2FD1E94D">
            <w:pPr>
              <w:adjustRightInd w:val="0"/>
              <w:snapToGrid w:val="0"/>
              <w:jc w:val="center"/>
              <w:rPr>
                <w:rFonts w:ascii="宋体" w:hAnsi="宋体" w:cs="宋体"/>
                <w:color w:val="auto"/>
                <w:sz w:val="28"/>
              </w:rPr>
            </w:pPr>
          </w:p>
        </w:tc>
      </w:tr>
      <w:tr w14:paraId="4AD8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6609941F">
            <w:pPr>
              <w:adjustRightInd w:val="0"/>
              <w:snapToGrid w:val="0"/>
              <w:jc w:val="center"/>
              <w:rPr>
                <w:rFonts w:ascii="宋体" w:hAnsi="宋体" w:cs="宋体"/>
                <w:color w:val="auto"/>
                <w:sz w:val="28"/>
              </w:rPr>
            </w:pPr>
          </w:p>
        </w:tc>
        <w:tc>
          <w:tcPr>
            <w:tcW w:w="1620" w:type="dxa"/>
            <w:noWrap/>
            <w:vAlign w:val="center"/>
          </w:tcPr>
          <w:p w14:paraId="738E8DB9">
            <w:pPr>
              <w:adjustRightInd w:val="0"/>
              <w:snapToGrid w:val="0"/>
              <w:jc w:val="center"/>
              <w:rPr>
                <w:rFonts w:ascii="宋体" w:hAnsi="宋体" w:cs="宋体"/>
                <w:color w:val="auto"/>
                <w:sz w:val="28"/>
              </w:rPr>
            </w:pPr>
          </w:p>
        </w:tc>
        <w:tc>
          <w:tcPr>
            <w:tcW w:w="1362" w:type="dxa"/>
            <w:noWrap/>
            <w:vAlign w:val="center"/>
          </w:tcPr>
          <w:p w14:paraId="7FCF76D7">
            <w:pPr>
              <w:adjustRightInd w:val="0"/>
              <w:snapToGrid w:val="0"/>
              <w:jc w:val="center"/>
              <w:rPr>
                <w:rFonts w:ascii="宋体" w:hAnsi="宋体" w:cs="宋体"/>
                <w:color w:val="auto"/>
                <w:sz w:val="28"/>
              </w:rPr>
            </w:pPr>
          </w:p>
        </w:tc>
        <w:tc>
          <w:tcPr>
            <w:tcW w:w="1380" w:type="dxa"/>
            <w:noWrap/>
            <w:vAlign w:val="center"/>
          </w:tcPr>
          <w:p w14:paraId="736940E6">
            <w:pPr>
              <w:adjustRightInd w:val="0"/>
              <w:snapToGrid w:val="0"/>
              <w:jc w:val="center"/>
              <w:rPr>
                <w:rFonts w:ascii="宋体" w:hAnsi="宋体" w:cs="宋体"/>
                <w:color w:val="auto"/>
                <w:sz w:val="28"/>
              </w:rPr>
            </w:pPr>
          </w:p>
        </w:tc>
        <w:tc>
          <w:tcPr>
            <w:tcW w:w="1365" w:type="dxa"/>
            <w:noWrap/>
            <w:vAlign w:val="center"/>
          </w:tcPr>
          <w:p w14:paraId="502A5EFB">
            <w:pPr>
              <w:adjustRightInd w:val="0"/>
              <w:snapToGrid w:val="0"/>
              <w:jc w:val="center"/>
              <w:rPr>
                <w:rFonts w:ascii="宋体" w:hAnsi="宋体" w:cs="宋体"/>
                <w:color w:val="auto"/>
                <w:sz w:val="28"/>
              </w:rPr>
            </w:pPr>
          </w:p>
        </w:tc>
        <w:tc>
          <w:tcPr>
            <w:tcW w:w="1725" w:type="dxa"/>
            <w:noWrap/>
            <w:vAlign w:val="center"/>
          </w:tcPr>
          <w:p w14:paraId="2C5BD206">
            <w:pPr>
              <w:adjustRightInd w:val="0"/>
              <w:snapToGrid w:val="0"/>
              <w:jc w:val="center"/>
              <w:rPr>
                <w:rFonts w:ascii="宋体" w:hAnsi="宋体" w:cs="宋体"/>
                <w:color w:val="auto"/>
                <w:sz w:val="28"/>
              </w:rPr>
            </w:pPr>
          </w:p>
        </w:tc>
        <w:tc>
          <w:tcPr>
            <w:tcW w:w="1875" w:type="dxa"/>
            <w:noWrap/>
            <w:vAlign w:val="center"/>
          </w:tcPr>
          <w:p w14:paraId="21F85211">
            <w:pPr>
              <w:adjustRightInd w:val="0"/>
              <w:snapToGrid w:val="0"/>
              <w:jc w:val="center"/>
              <w:rPr>
                <w:rFonts w:ascii="宋体" w:hAnsi="宋体" w:cs="宋体"/>
                <w:color w:val="auto"/>
                <w:sz w:val="28"/>
              </w:rPr>
            </w:pPr>
          </w:p>
        </w:tc>
      </w:tr>
      <w:tr w14:paraId="1CE4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E9FBA63">
            <w:pPr>
              <w:adjustRightInd w:val="0"/>
              <w:snapToGrid w:val="0"/>
              <w:jc w:val="center"/>
              <w:rPr>
                <w:rFonts w:ascii="宋体" w:hAnsi="宋体" w:cs="宋体"/>
                <w:color w:val="auto"/>
                <w:sz w:val="28"/>
              </w:rPr>
            </w:pPr>
          </w:p>
        </w:tc>
        <w:tc>
          <w:tcPr>
            <w:tcW w:w="1620" w:type="dxa"/>
            <w:noWrap/>
            <w:vAlign w:val="center"/>
          </w:tcPr>
          <w:p w14:paraId="02577B28">
            <w:pPr>
              <w:adjustRightInd w:val="0"/>
              <w:snapToGrid w:val="0"/>
              <w:jc w:val="center"/>
              <w:rPr>
                <w:rFonts w:ascii="宋体" w:hAnsi="宋体" w:cs="宋体"/>
                <w:color w:val="auto"/>
                <w:sz w:val="28"/>
              </w:rPr>
            </w:pPr>
          </w:p>
        </w:tc>
        <w:tc>
          <w:tcPr>
            <w:tcW w:w="1362" w:type="dxa"/>
            <w:noWrap/>
            <w:vAlign w:val="center"/>
          </w:tcPr>
          <w:p w14:paraId="17A4FA16">
            <w:pPr>
              <w:adjustRightInd w:val="0"/>
              <w:snapToGrid w:val="0"/>
              <w:jc w:val="center"/>
              <w:rPr>
                <w:rFonts w:ascii="宋体" w:hAnsi="宋体" w:cs="宋体"/>
                <w:color w:val="auto"/>
                <w:sz w:val="28"/>
              </w:rPr>
            </w:pPr>
          </w:p>
        </w:tc>
        <w:tc>
          <w:tcPr>
            <w:tcW w:w="1380" w:type="dxa"/>
            <w:noWrap/>
            <w:vAlign w:val="center"/>
          </w:tcPr>
          <w:p w14:paraId="26EEB45B">
            <w:pPr>
              <w:adjustRightInd w:val="0"/>
              <w:snapToGrid w:val="0"/>
              <w:jc w:val="center"/>
              <w:rPr>
                <w:rFonts w:ascii="宋体" w:hAnsi="宋体" w:cs="宋体"/>
                <w:color w:val="auto"/>
                <w:sz w:val="28"/>
              </w:rPr>
            </w:pPr>
          </w:p>
        </w:tc>
        <w:tc>
          <w:tcPr>
            <w:tcW w:w="1365" w:type="dxa"/>
            <w:noWrap/>
            <w:vAlign w:val="center"/>
          </w:tcPr>
          <w:p w14:paraId="598645C1">
            <w:pPr>
              <w:adjustRightInd w:val="0"/>
              <w:snapToGrid w:val="0"/>
              <w:jc w:val="center"/>
              <w:rPr>
                <w:rFonts w:ascii="宋体" w:hAnsi="宋体" w:cs="宋体"/>
                <w:color w:val="auto"/>
                <w:sz w:val="28"/>
              </w:rPr>
            </w:pPr>
          </w:p>
        </w:tc>
        <w:tc>
          <w:tcPr>
            <w:tcW w:w="1725" w:type="dxa"/>
            <w:noWrap/>
            <w:vAlign w:val="center"/>
          </w:tcPr>
          <w:p w14:paraId="2BE3D4DC">
            <w:pPr>
              <w:adjustRightInd w:val="0"/>
              <w:snapToGrid w:val="0"/>
              <w:jc w:val="center"/>
              <w:rPr>
                <w:rFonts w:ascii="宋体" w:hAnsi="宋体" w:cs="宋体"/>
                <w:color w:val="auto"/>
                <w:sz w:val="28"/>
              </w:rPr>
            </w:pPr>
          </w:p>
        </w:tc>
        <w:tc>
          <w:tcPr>
            <w:tcW w:w="1875" w:type="dxa"/>
            <w:noWrap/>
            <w:vAlign w:val="center"/>
          </w:tcPr>
          <w:p w14:paraId="61BFAC2D">
            <w:pPr>
              <w:adjustRightInd w:val="0"/>
              <w:snapToGrid w:val="0"/>
              <w:jc w:val="center"/>
              <w:rPr>
                <w:rFonts w:ascii="宋体" w:hAnsi="宋体" w:cs="宋体"/>
                <w:color w:val="auto"/>
                <w:sz w:val="28"/>
              </w:rPr>
            </w:pPr>
          </w:p>
        </w:tc>
      </w:tr>
      <w:tr w14:paraId="3DEB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2D69A9A7">
            <w:pPr>
              <w:adjustRightInd w:val="0"/>
              <w:snapToGrid w:val="0"/>
              <w:jc w:val="center"/>
              <w:rPr>
                <w:rFonts w:ascii="宋体" w:hAnsi="宋体" w:cs="宋体"/>
                <w:color w:val="auto"/>
                <w:sz w:val="28"/>
              </w:rPr>
            </w:pPr>
          </w:p>
        </w:tc>
        <w:tc>
          <w:tcPr>
            <w:tcW w:w="1620" w:type="dxa"/>
            <w:noWrap/>
            <w:vAlign w:val="center"/>
          </w:tcPr>
          <w:p w14:paraId="3B608DF0">
            <w:pPr>
              <w:adjustRightInd w:val="0"/>
              <w:snapToGrid w:val="0"/>
              <w:jc w:val="center"/>
              <w:rPr>
                <w:rFonts w:ascii="宋体" w:hAnsi="宋体" w:cs="宋体"/>
                <w:color w:val="auto"/>
                <w:sz w:val="28"/>
              </w:rPr>
            </w:pPr>
          </w:p>
        </w:tc>
        <w:tc>
          <w:tcPr>
            <w:tcW w:w="1362" w:type="dxa"/>
            <w:noWrap/>
            <w:vAlign w:val="center"/>
          </w:tcPr>
          <w:p w14:paraId="4D425AD3">
            <w:pPr>
              <w:adjustRightInd w:val="0"/>
              <w:snapToGrid w:val="0"/>
              <w:jc w:val="center"/>
              <w:rPr>
                <w:rFonts w:ascii="宋体" w:hAnsi="宋体" w:cs="宋体"/>
                <w:color w:val="auto"/>
                <w:sz w:val="28"/>
              </w:rPr>
            </w:pPr>
          </w:p>
        </w:tc>
        <w:tc>
          <w:tcPr>
            <w:tcW w:w="1380" w:type="dxa"/>
            <w:noWrap/>
            <w:vAlign w:val="center"/>
          </w:tcPr>
          <w:p w14:paraId="3581E38A">
            <w:pPr>
              <w:adjustRightInd w:val="0"/>
              <w:snapToGrid w:val="0"/>
              <w:jc w:val="center"/>
              <w:rPr>
                <w:rFonts w:ascii="宋体" w:hAnsi="宋体" w:cs="宋体"/>
                <w:color w:val="auto"/>
                <w:sz w:val="28"/>
              </w:rPr>
            </w:pPr>
          </w:p>
        </w:tc>
        <w:tc>
          <w:tcPr>
            <w:tcW w:w="1365" w:type="dxa"/>
            <w:noWrap/>
            <w:vAlign w:val="center"/>
          </w:tcPr>
          <w:p w14:paraId="36993B69">
            <w:pPr>
              <w:adjustRightInd w:val="0"/>
              <w:snapToGrid w:val="0"/>
              <w:jc w:val="center"/>
              <w:rPr>
                <w:rFonts w:ascii="宋体" w:hAnsi="宋体" w:cs="宋体"/>
                <w:color w:val="auto"/>
                <w:sz w:val="28"/>
              </w:rPr>
            </w:pPr>
          </w:p>
        </w:tc>
        <w:tc>
          <w:tcPr>
            <w:tcW w:w="1725" w:type="dxa"/>
            <w:noWrap/>
            <w:vAlign w:val="center"/>
          </w:tcPr>
          <w:p w14:paraId="4318C688">
            <w:pPr>
              <w:adjustRightInd w:val="0"/>
              <w:snapToGrid w:val="0"/>
              <w:jc w:val="center"/>
              <w:rPr>
                <w:rFonts w:ascii="宋体" w:hAnsi="宋体" w:cs="宋体"/>
                <w:color w:val="auto"/>
                <w:sz w:val="28"/>
              </w:rPr>
            </w:pPr>
          </w:p>
        </w:tc>
        <w:tc>
          <w:tcPr>
            <w:tcW w:w="1875" w:type="dxa"/>
            <w:noWrap/>
            <w:vAlign w:val="center"/>
          </w:tcPr>
          <w:p w14:paraId="5EA43DB7">
            <w:pPr>
              <w:adjustRightInd w:val="0"/>
              <w:snapToGrid w:val="0"/>
              <w:jc w:val="center"/>
              <w:rPr>
                <w:rFonts w:ascii="宋体" w:hAnsi="宋体" w:cs="宋体"/>
                <w:color w:val="auto"/>
                <w:sz w:val="28"/>
              </w:rPr>
            </w:pPr>
          </w:p>
        </w:tc>
      </w:tr>
    </w:tbl>
    <w:p w14:paraId="70FEDACC">
      <w:pPr>
        <w:spacing w:beforeLines="50" w:afterLines="50"/>
        <w:jc w:val="left"/>
        <w:rPr>
          <w:rFonts w:hint="eastAsia" w:ascii="宋体" w:hAnsi="宋体" w:eastAsia="宋体" w:cs="宋体"/>
          <w:color w:val="auto"/>
          <w:kern w:val="0"/>
          <w:szCs w:val="21"/>
        </w:rPr>
      </w:pPr>
      <w:r>
        <w:rPr>
          <w:rFonts w:hint="eastAsia" w:ascii="宋体" w:hAnsi="宋体" w:eastAsia="宋体" w:cs="宋体"/>
          <w:color w:val="auto"/>
          <w:kern w:val="0"/>
          <w:szCs w:val="21"/>
        </w:rPr>
        <w:t>注：1、</w:t>
      </w:r>
      <w:r>
        <w:rPr>
          <w:rFonts w:hint="eastAsia" w:ascii="宋体" w:hAnsi="宋体" w:eastAsia="宋体" w:cs="宋体"/>
          <w:color w:val="auto"/>
          <w:kern w:val="0"/>
          <w:szCs w:val="21"/>
          <w:lang w:eastAsia="zh-CN"/>
        </w:rPr>
        <w:t>近</w:t>
      </w:r>
      <w:r>
        <w:rPr>
          <w:rFonts w:hint="eastAsia" w:ascii="宋体" w:hAnsi="宋体" w:eastAsia="宋体" w:cs="宋体"/>
          <w:color w:val="auto"/>
          <w:kern w:val="0"/>
          <w:szCs w:val="21"/>
          <w:lang w:val="zh-CN" w:eastAsia="zh-CN"/>
        </w:rPr>
        <w:t>三年（202</w:t>
      </w:r>
      <w:r>
        <w:rPr>
          <w:rFonts w:hint="eastAsia" w:ascii="宋体" w:hAnsi="宋体" w:eastAsia="宋体" w:cs="宋体"/>
          <w:color w:val="auto"/>
          <w:kern w:val="0"/>
          <w:szCs w:val="21"/>
          <w:lang w:val="en-US" w:eastAsia="zh-CN"/>
        </w:rPr>
        <w:t>1</w:t>
      </w:r>
      <w:r>
        <w:rPr>
          <w:rFonts w:hint="eastAsia" w:ascii="宋体" w:hAnsi="宋体" w:eastAsia="宋体" w:cs="宋体"/>
          <w:color w:val="auto"/>
          <w:kern w:val="0"/>
          <w:szCs w:val="21"/>
          <w:lang w:val="zh-CN" w:eastAsia="zh-CN"/>
        </w:rPr>
        <w:t>年至今）完成的</w:t>
      </w:r>
      <w:r>
        <w:rPr>
          <w:rFonts w:hint="eastAsia" w:ascii="宋体" w:hAnsi="宋体" w:eastAsia="宋体" w:cs="宋体"/>
          <w:color w:val="auto"/>
          <w:kern w:val="0"/>
          <w:szCs w:val="21"/>
          <w:lang w:val="zh-CN"/>
        </w:rPr>
        <w:t>同类或类似业绩</w:t>
      </w:r>
      <w:r>
        <w:rPr>
          <w:rFonts w:hint="eastAsia" w:ascii="宋体" w:hAnsi="宋体" w:eastAsia="宋体" w:cs="宋体"/>
          <w:color w:val="auto"/>
          <w:kern w:val="0"/>
          <w:szCs w:val="21"/>
        </w:rPr>
        <w:t>。</w:t>
      </w:r>
    </w:p>
    <w:p w14:paraId="7CD99745">
      <w:pPr>
        <w:spacing w:beforeLines="50" w:afterLines="50" w:line="360" w:lineRule="auto"/>
        <w:ind w:firstLine="420" w:firstLineChars="200"/>
        <w:jc w:val="left"/>
        <w:rPr>
          <w:rFonts w:hint="eastAsia" w:ascii="宋体" w:hAnsi="宋体" w:eastAsia="宋体" w:cs="宋体"/>
          <w:color w:val="auto"/>
          <w:kern w:val="0"/>
          <w:szCs w:val="21"/>
        </w:rPr>
      </w:pPr>
      <w:r>
        <w:rPr>
          <w:rFonts w:hint="eastAsia" w:ascii="宋体" w:hAnsi="宋体" w:eastAsia="宋体" w:cs="宋体"/>
          <w:color w:val="auto"/>
          <w:kern w:val="0"/>
          <w:szCs w:val="21"/>
        </w:rPr>
        <w:t>3、</w:t>
      </w:r>
      <w:r>
        <w:rPr>
          <w:rFonts w:hint="eastAsia" w:ascii="宋体" w:hAnsi="宋体" w:eastAsia="宋体" w:cs="宋体"/>
          <w:color w:val="auto"/>
          <w:kern w:val="0"/>
          <w:szCs w:val="21"/>
          <w:lang w:eastAsia="zh-CN"/>
        </w:rPr>
        <w:t>供应商</w:t>
      </w:r>
      <w:r>
        <w:rPr>
          <w:rFonts w:hint="eastAsia" w:ascii="宋体" w:hAnsi="宋体" w:eastAsia="宋体" w:cs="宋体"/>
          <w:color w:val="auto"/>
          <w:kern w:val="0"/>
          <w:szCs w:val="21"/>
        </w:rPr>
        <w:t>应随本表出具所填项目的中标通知书或合同协议书的复印件，否则，</w:t>
      </w:r>
      <w:r>
        <w:rPr>
          <w:rFonts w:hint="eastAsia" w:ascii="宋体" w:hAnsi="宋体" w:cs="宋体"/>
          <w:color w:val="auto"/>
          <w:kern w:val="0"/>
          <w:szCs w:val="21"/>
          <w:lang w:eastAsia="zh-CN"/>
        </w:rPr>
        <w:t>采购人</w:t>
      </w:r>
      <w:r>
        <w:rPr>
          <w:rFonts w:hint="eastAsia" w:ascii="宋体" w:hAnsi="宋体" w:eastAsia="宋体" w:cs="宋体"/>
          <w:color w:val="auto"/>
          <w:kern w:val="0"/>
          <w:szCs w:val="21"/>
        </w:rPr>
        <w:t>将不考虑</w:t>
      </w:r>
      <w:r>
        <w:rPr>
          <w:rFonts w:hint="eastAsia" w:ascii="宋体" w:hAnsi="宋体" w:eastAsia="宋体" w:cs="宋体"/>
          <w:color w:val="auto"/>
          <w:kern w:val="0"/>
          <w:szCs w:val="21"/>
          <w:lang w:eastAsia="zh-CN"/>
        </w:rPr>
        <w:t>供应商</w:t>
      </w:r>
      <w:r>
        <w:rPr>
          <w:rFonts w:hint="eastAsia" w:ascii="宋体" w:hAnsi="宋体" w:eastAsia="宋体" w:cs="宋体"/>
          <w:color w:val="auto"/>
          <w:kern w:val="0"/>
          <w:szCs w:val="21"/>
        </w:rPr>
        <w:t>所填项目的业绩。合同文本应含有：项目名称，甲、乙方单位名称，工作内容、工作时间，甲、乙方单位签约人签字及单位公章等内容。</w:t>
      </w:r>
    </w:p>
    <w:p w14:paraId="6774F8A4">
      <w:pPr>
        <w:shd w:val="clear"/>
        <w:adjustRightInd w:val="0"/>
        <w:snapToGrid w:val="0"/>
        <w:ind w:firstLine="480" w:firstLineChars="200"/>
        <w:rPr>
          <w:rFonts w:hint="eastAsia" w:ascii="宋体"/>
          <w:color w:val="auto"/>
          <w:sz w:val="24"/>
          <w:highlight w:val="none"/>
          <w:lang w:eastAsia="zh-CN"/>
        </w:rPr>
      </w:pPr>
    </w:p>
    <w:p w14:paraId="20A0C31C">
      <w:pPr>
        <w:shd w:val="clear"/>
        <w:adjustRightInd w:val="0"/>
        <w:snapToGrid w:val="0"/>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7DE5797">
      <w:pPr>
        <w:shd w:val="clear"/>
        <w:adjustRightInd w:val="0"/>
        <w:snapToGrid w:val="0"/>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法定代表人（单位负责人）或授权代表（</w:t>
      </w:r>
      <w:r>
        <w:rPr>
          <w:rFonts w:hint="eastAsia" w:ascii="宋体" w:hAnsi="宋体" w:eastAsia="宋体" w:cs="宋体"/>
          <w:snapToGrid w:val="0"/>
          <w:color w:val="auto"/>
          <w:kern w:val="0"/>
          <w:sz w:val="21"/>
          <w:szCs w:val="21"/>
          <w:highlight w:val="none"/>
          <w:lang w:eastAsia="zh-CN"/>
        </w:rPr>
        <w:t>签字或盖章</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7BDB8868">
      <w:pPr>
        <w:shd w:val="clear"/>
        <w:adjustRightInd w:val="0"/>
        <w:snapToGrid w:val="0"/>
        <w:ind w:firstLine="1890" w:firstLineChars="90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7C06ED20">
      <w:pPr>
        <w:rPr>
          <w:rFonts w:hint="eastAsia" w:ascii="宋体" w:hAnsi="宋体" w:eastAsia="宋体" w:cs="宋体"/>
          <w:color w:val="auto"/>
          <w:kern w:val="0"/>
          <w:sz w:val="21"/>
          <w:szCs w:val="21"/>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4B2BD1D">
      <w:pPr>
        <w:rPr>
          <w:rFonts w:hint="eastAsia" w:ascii="黑体" w:hAnsi="黑体" w:eastAsia="黑体"/>
          <w:b w:val="0"/>
          <w:bCs w:val="0"/>
          <w:color w:val="auto"/>
          <w:kern w:val="0"/>
          <w:sz w:val="30"/>
          <w:szCs w:val="30"/>
          <w:highlight w:val="none"/>
          <w:lang w:eastAsia="zh-CN"/>
        </w:rPr>
      </w:pPr>
      <w:r>
        <w:rPr>
          <w:rFonts w:hint="eastAsia" w:ascii="黑体" w:hAnsi="黑体" w:eastAsia="黑体"/>
          <w:b w:val="0"/>
          <w:bCs w:val="0"/>
          <w:color w:val="auto"/>
          <w:kern w:val="0"/>
          <w:sz w:val="30"/>
          <w:szCs w:val="30"/>
          <w:highlight w:val="none"/>
          <w:lang w:eastAsia="zh-CN"/>
        </w:rPr>
        <w:br w:type="page"/>
      </w:r>
    </w:p>
    <w:p w14:paraId="1A4BAD0A">
      <w:pPr>
        <w:pStyle w:val="5"/>
        <w:snapToGrid w:val="0"/>
        <w:spacing w:line="360" w:lineRule="auto"/>
        <w:jc w:val="center"/>
        <w:rPr>
          <w:rFonts w:hint="eastAsia" w:ascii="宋体" w:hAnsi="宋体" w:eastAsia="宋体" w:cs="宋体"/>
          <w:b w:val="0"/>
          <w:bCs w:val="0"/>
          <w:color w:val="auto"/>
          <w:kern w:val="0"/>
          <w:sz w:val="28"/>
          <w:szCs w:val="28"/>
          <w:lang w:val="en-US" w:eastAsia="zh-CN" w:bidi="ar-SA"/>
        </w:rPr>
      </w:pPr>
      <w:r>
        <w:rPr>
          <w:rFonts w:hint="eastAsia" w:ascii="宋体" w:hAnsi="宋体" w:eastAsia="宋体" w:cs="宋体"/>
          <w:b w:val="0"/>
          <w:bCs w:val="0"/>
          <w:color w:val="auto"/>
          <w:kern w:val="0"/>
          <w:sz w:val="28"/>
          <w:szCs w:val="28"/>
          <w:lang w:val="en-US" w:eastAsia="zh-CN" w:bidi="ar-SA"/>
        </w:rPr>
        <w:t>（</w:t>
      </w:r>
      <w:r>
        <w:rPr>
          <w:rFonts w:hint="eastAsia" w:cs="宋体"/>
          <w:b w:val="0"/>
          <w:bCs w:val="0"/>
          <w:color w:val="auto"/>
          <w:kern w:val="0"/>
          <w:sz w:val="28"/>
          <w:szCs w:val="28"/>
          <w:lang w:val="en-US" w:eastAsia="zh-CN" w:bidi="ar-SA"/>
        </w:rPr>
        <w:t>三</w:t>
      </w:r>
      <w:r>
        <w:rPr>
          <w:rFonts w:hint="eastAsia" w:ascii="宋体" w:hAnsi="宋体" w:eastAsia="宋体" w:cs="宋体"/>
          <w:b w:val="0"/>
          <w:bCs w:val="0"/>
          <w:color w:val="auto"/>
          <w:kern w:val="0"/>
          <w:sz w:val="28"/>
          <w:szCs w:val="28"/>
          <w:lang w:val="en-US" w:eastAsia="zh-CN" w:bidi="ar-SA"/>
        </w:rPr>
        <w:t>）制造商授权书（如有）</w:t>
      </w:r>
    </w:p>
    <w:p w14:paraId="1059AAA9">
      <w:pPr>
        <w:snapToGrid w:val="0"/>
        <w:spacing w:line="360" w:lineRule="auto"/>
        <w:rPr>
          <w:rFonts w:ascii="宋体" w:hAnsi="宋体" w:cs="宋体"/>
          <w:color w:val="auto"/>
          <w:szCs w:val="21"/>
        </w:rPr>
      </w:pPr>
    </w:p>
    <w:p w14:paraId="31D7F25D">
      <w:pPr>
        <w:snapToGrid w:val="0"/>
        <w:spacing w:line="360" w:lineRule="auto"/>
        <w:ind w:left="220" w:right="333"/>
        <w:jc w:val="center"/>
        <w:rPr>
          <w:rFonts w:ascii="宋体" w:hAnsi="宋体" w:cs="宋体"/>
          <w:color w:val="auto"/>
          <w:szCs w:val="21"/>
        </w:rPr>
      </w:pPr>
      <w:r>
        <w:rPr>
          <w:rFonts w:hint="eastAsia" w:ascii="宋体" w:hAnsi="宋体" w:cs="宋体"/>
          <w:color w:val="auto"/>
          <w:spacing w:val="-1"/>
          <w:szCs w:val="21"/>
        </w:rPr>
        <w:t>制造商授权书</w:t>
      </w:r>
    </w:p>
    <w:p w14:paraId="577DAE27">
      <w:pPr>
        <w:snapToGrid w:val="0"/>
        <w:spacing w:line="360" w:lineRule="auto"/>
        <w:rPr>
          <w:rFonts w:ascii="宋体" w:hAnsi="宋体" w:cs="宋体"/>
          <w:color w:val="auto"/>
          <w:szCs w:val="21"/>
        </w:rPr>
      </w:pPr>
    </w:p>
    <w:p w14:paraId="235F1F8D">
      <w:pPr>
        <w:snapToGrid w:val="0"/>
        <w:spacing w:line="360" w:lineRule="auto"/>
        <w:rPr>
          <w:rFonts w:ascii="宋体" w:hAnsi="宋体" w:cs="宋体"/>
          <w:color w:val="auto"/>
          <w:szCs w:val="21"/>
        </w:rPr>
      </w:pPr>
    </w:p>
    <w:p w14:paraId="4B9B4755">
      <w:pPr>
        <w:pStyle w:val="17"/>
        <w:rPr>
          <w:color w:val="auto"/>
        </w:rPr>
      </w:pPr>
      <w:r>
        <w:rPr>
          <w:rFonts w:hint="eastAsia"/>
          <w:color w:val="auto"/>
        </w:rPr>
        <w:t>致：</w:t>
      </w:r>
      <w:r>
        <w:rPr>
          <w:rFonts w:hint="eastAsia"/>
          <w:color w:val="auto"/>
          <w:u w:val="single" w:color="000000"/>
        </w:rPr>
        <w:tab/>
      </w:r>
      <w:r>
        <w:rPr>
          <w:rFonts w:hint="eastAsia"/>
          <w:color w:val="auto"/>
        </w:rPr>
        <w:t>（采购人）</w:t>
      </w:r>
    </w:p>
    <w:p w14:paraId="0AB6BC91">
      <w:pPr>
        <w:pStyle w:val="17"/>
        <w:rPr>
          <w:color w:val="auto"/>
        </w:rPr>
      </w:pPr>
      <w:r>
        <w:rPr>
          <w:rFonts w:hint="eastAsia"/>
          <w:color w:val="auto"/>
        </w:rPr>
        <w:t>我单位</w:t>
      </w:r>
      <w:r>
        <w:rPr>
          <w:rFonts w:hint="eastAsia"/>
          <w:color w:val="auto"/>
          <w:u w:val="single" w:color="000000"/>
        </w:rPr>
        <w:tab/>
      </w:r>
      <w:r>
        <w:rPr>
          <w:rFonts w:hint="eastAsia"/>
          <w:color w:val="auto"/>
        </w:rPr>
        <w:t>（制造商名称）是按</w:t>
      </w:r>
      <w:r>
        <w:rPr>
          <w:rFonts w:hint="eastAsia"/>
          <w:color w:val="auto"/>
          <w:w w:val="95"/>
          <w:u w:val="single" w:color="000000"/>
        </w:rPr>
        <w:tab/>
      </w:r>
      <w:r>
        <w:rPr>
          <w:rFonts w:hint="eastAsia"/>
          <w:color w:val="auto"/>
        </w:rPr>
        <w:t>（国家／地区名称）法律成立的一</w:t>
      </w:r>
    </w:p>
    <w:p w14:paraId="43E1DC86">
      <w:pPr>
        <w:pStyle w:val="17"/>
        <w:rPr>
          <w:color w:val="auto"/>
        </w:rPr>
      </w:pPr>
      <w:r>
        <w:rPr>
          <w:rFonts w:hint="eastAsia"/>
          <w:color w:val="auto"/>
        </w:rPr>
        <w:t>家制造商，主要营业地点设在</w:t>
      </w:r>
      <w:r>
        <w:rPr>
          <w:rFonts w:hint="eastAsia"/>
          <w:color w:val="auto"/>
          <w:u w:val="single" w:color="000000"/>
        </w:rPr>
        <w:tab/>
      </w:r>
      <w:r>
        <w:rPr>
          <w:rFonts w:hint="eastAsia"/>
          <w:color w:val="auto"/>
        </w:rPr>
        <w:t>（制造商地址）。兹授权按</w:t>
      </w:r>
      <w:r>
        <w:rPr>
          <w:rFonts w:hint="eastAsia"/>
          <w:color w:val="auto"/>
          <w:u w:val="single" w:color="000000"/>
        </w:rPr>
        <w:tab/>
      </w:r>
      <w:r>
        <w:rPr>
          <w:rFonts w:hint="eastAsia"/>
          <w:color w:val="auto"/>
        </w:rPr>
        <w:t>（国家／地区名称）的法律正式成立的，主要营业地点设在</w:t>
      </w:r>
      <w:r>
        <w:rPr>
          <w:rFonts w:hint="eastAsia"/>
          <w:color w:val="auto"/>
          <w:u w:val="single" w:color="000000"/>
        </w:rPr>
        <w:tab/>
      </w:r>
      <w:r>
        <w:rPr>
          <w:rFonts w:hint="eastAsia"/>
          <w:color w:val="auto"/>
          <w:u w:val="single" w:color="000000"/>
        </w:rPr>
        <w:t>（</w:t>
      </w:r>
      <w:r>
        <w:rPr>
          <w:rFonts w:hint="eastAsia"/>
          <w:color w:val="auto"/>
          <w:lang w:eastAsia="zh-CN"/>
        </w:rPr>
        <w:t>供应商</w:t>
      </w:r>
      <w:r>
        <w:rPr>
          <w:rFonts w:hint="eastAsia"/>
          <w:color w:val="auto"/>
        </w:rPr>
        <w:t>的单位地址）的</w:t>
      </w:r>
      <w:r>
        <w:rPr>
          <w:rFonts w:hint="eastAsia"/>
          <w:color w:val="auto"/>
          <w:u w:val="single" w:color="000000"/>
        </w:rPr>
        <w:tab/>
      </w:r>
      <w:r>
        <w:rPr>
          <w:rFonts w:hint="eastAsia"/>
          <w:color w:val="auto"/>
          <w:u w:val="single" w:color="000000"/>
        </w:rPr>
        <w:t>（</w:t>
      </w:r>
      <w:r>
        <w:rPr>
          <w:rFonts w:hint="eastAsia"/>
          <w:color w:val="auto"/>
          <w:lang w:eastAsia="zh-CN"/>
        </w:rPr>
        <w:t>供应商</w:t>
      </w:r>
      <w:r>
        <w:rPr>
          <w:rFonts w:hint="eastAsia"/>
          <w:color w:val="auto"/>
        </w:rPr>
        <w:t>名称）以我单位制造的</w:t>
      </w:r>
      <w:r>
        <w:rPr>
          <w:rFonts w:hint="eastAsia"/>
          <w:color w:val="auto"/>
          <w:w w:val="95"/>
          <w:u w:val="single" w:color="000000"/>
        </w:rPr>
        <w:tab/>
      </w:r>
      <w:r>
        <w:rPr>
          <w:rFonts w:hint="eastAsia"/>
          <w:color w:val="auto"/>
        </w:rPr>
        <w:t>（设备名称）进行</w:t>
      </w:r>
      <w:r>
        <w:rPr>
          <w:rFonts w:hint="eastAsia"/>
          <w:color w:val="auto"/>
          <w:u w:val="single" w:color="000000"/>
        </w:rPr>
        <w:tab/>
      </w:r>
      <w:r>
        <w:rPr>
          <w:rFonts w:hint="eastAsia"/>
          <w:color w:val="auto"/>
        </w:rPr>
        <w:t>（项目名称）投标活动。我单位同意按照中标合同供货，并对产品质量承担责任。 授权期限：</w:t>
      </w:r>
      <w:r>
        <w:rPr>
          <w:rFonts w:hint="eastAsia"/>
          <w:color w:val="auto"/>
          <w:u w:val="single" w:color="000000"/>
        </w:rPr>
        <w:tab/>
      </w:r>
      <w:r>
        <w:rPr>
          <w:rFonts w:hint="eastAsia"/>
          <w:color w:val="auto"/>
        </w:rPr>
        <w:t>。</w:t>
      </w:r>
    </w:p>
    <w:p w14:paraId="1C4536C5">
      <w:pPr>
        <w:snapToGrid w:val="0"/>
        <w:spacing w:line="360" w:lineRule="auto"/>
        <w:rPr>
          <w:rFonts w:ascii="宋体" w:hAnsi="宋体" w:cs="宋体"/>
          <w:color w:val="auto"/>
          <w:szCs w:val="21"/>
        </w:rPr>
      </w:pPr>
    </w:p>
    <w:p w14:paraId="7287F55A">
      <w:pPr>
        <w:snapToGrid w:val="0"/>
        <w:spacing w:line="360" w:lineRule="auto"/>
        <w:rPr>
          <w:rFonts w:ascii="宋体" w:hAnsi="宋体" w:cs="宋体"/>
          <w:color w:val="auto"/>
          <w:szCs w:val="21"/>
        </w:rPr>
      </w:pPr>
    </w:p>
    <w:p w14:paraId="7BA6FFDB">
      <w:pPr>
        <w:snapToGrid w:val="0"/>
        <w:spacing w:line="360" w:lineRule="auto"/>
        <w:rPr>
          <w:rFonts w:ascii="宋体" w:hAnsi="宋体" w:cs="宋体"/>
          <w:color w:val="auto"/>
          <w:szCs w:val="21"/>
        </w:rPr>
      </w:pPr>
    </w:p>
    <w:p w14:paraId="349D08B2">
      <w:pPr>
        <w:pStyle w:val="17"/>
        <w:rPr>
          <w:color w:val="auto"/>
        </w:rPr>
      </w:pPr>
      <w:r>
        <w:rPr>
          <w:rFonts w:hint="eastAsia"/>
          <w:color w:val="auto"/>
          <w:lang w:eastAsia="zh-CN"/>
        </w:rPr>
        <w:t>供应商</w:t>
      </w:r>
      <w:r>
        <w:rPr>
          <w:rFonts w:hint="eastAsia"/>
          <w:color w:val="auto"/>
        </w:rPr>
        <w:t>名称：</w:t>
      </w:r>
      <w:r>
        <w:rPr>
          <w:rFonts w:hint="eastAsia"/>
          <w:color w:val="auto"/>
          <w:u w:val="single" w:color="000000"/>
        </w:rPr>
        <w:tab/>
      </w:r>
      <w:r>
        <w:rPr>
          <w:rFonts w:hint="eastAsia"/>
          <w:color w:val="auto"/>
        </w:rPr>
        <w:t>（盖单位章）</w:t>
      </w:r>
      <w:r>
        <w:rPr>
          <w:rFonts w:hint="eastAsia"/>
          <w:color w:val="auto"/>
          <w:spacing w:val="-1"/>
          <w:w w:val="95"/>
        </w:rPr>
        <w:tab/>
      </w:r>
      <w:r>
        <w:rPr>
          <w:rFonts w:hint="eastAsia"/>
          <w:color w:val="auto"/>
        </w:rPr>
        <w:t>制造商名称：</w:t>
      </w:r>
      <w:r>
        <w:rPr>
          <w:rFonts w:hint="eastAsia"/>
          <w:color w:val="auto"/>
          <w:u w:val="single" w:color="000000"/>
        </w:rPr>
        <w:tab/>
      </w:r>
      <w:r>
        <w:rPr>
          <w:rFonts w:hint="eastAsia"/>
          <w:color w:val="auto"/>
          <w:spacing w:val="1"/>
        </w:rPr>
        <w:t>（盖单位章）</w:t>
      </w:r>
    </w:p>
    <w:p w14:paraId="60179153">
      <w:pPr>
        <w:snapToGrid w:val="0"/>
        <w:spacing w:line="360" w:lineRule="auto"/>
        <w:rPr>
          <w:rFonts w:ascii="宋体" w:hAnsi="宋体" w:cs="宋体"/>
          <w:color w:val="auto"/>
          <w:szCs w:val="21"/>
        </w:rPr>
      </w:pPr>
    </w:p>
    <w:p w14:paraId="5F6642E9">
      <w:pPr>
        <w:pStyle w:val="17"/>
        <w:rPr>
          <w:color w:val="auto"/>
        </w:rPr>
      </w:pPr>
      <w:r>
        <w:rPr>
          <w:rFonts w:hint="eastAsia"/>
          <w:color w:val="auto"/>
        </w:rPr>
        <w:t>签字人职务：</w:t>
      </w:r>
      <w:r>
        <w:rPr>
          <w:rFonts w:hint="eastAsia"/>
          <w:color w:val="auto"/>
          <w:u w:val="single" w:color="000000"/>
        </w:rPr>
        <w:tab/>
      </w:r>
      <w:r>
        <w:rPr>
          <w:rFonts w:hint="eastAsia"/>
          <w:color w:val="auto"/>
        </w:rPr>
        <w:t>签字人职务：</w:t>
      </w:r>
      <w:r>
        <w:rPr>
          <w:rFonts w:hint="eastAsia"/>
          <w:color w:val="auto"/>
          <w:u w:val="single" w:color="000000"/>
        </w:rPr>
        <w:t xml:space="preserve"> </w:t>
      </w:r>
      <w:r>
        <w:rPr>
          <w:rFonts w:hint="eastAsia"/>
          <w:color w:val="auto"/>
          <w:u w:val="single" w:color="000000"/>
        </w:rPr>
        <w:tab/>
      </w:r>
    </w:p>
    <w:p w14:paraId="77B8D45E">
      <w:pPr>
        <w:snapToGrid w:val="0"/>
        <w:spacing w:line="360" w:lineRule="auto"/>
        <w:rPr>
          <w:rFonts w:ascii="宋体" w:hAnsi="宋体" w:cs="宋体"/>
          <w:color w:val="auto"/>
          <w:szCs w:val="21"/>
        </w:rPr>
      </w:pPr>
    </w:p>
    <w:p w14:paraId="44ACF034">
      <w:pPr>
        <w:pStyle w:val="17"/>
        <w:rPr>
          <w:color w:val="auto"/>
        </w:rPr>
      </w:pPr>
      <w:r>
        <w:rPr>
          <w:rFonts w:hint="eastAsia"/>
          <w:color w:val="auto"/>
        </w:rPr>
        <w:t>签字人姓名：</w:t>
      </w:r>
      <w:r>
        <w:rPr>
          <w:rFonts w:hint="eastAsia"/>
          <w:color w:val="auto"/>
          <w:u w:val="single" w:color="000000"/>
        </w:rPr>
        <w:tab/>
      </w:r>
      <w:r>
        <w:rPr>
          <w:rFonts w:hint="eastAsia"/>
          <w:color w:val="auto"/>
        </w:rPr>
        <w:t>签字人姓名：</w:t>
      </w:r>
      <w:r>
        <w:rPr>
          <w:rFonts w:hint="eastAsia"/>
          <w:color w:val="auto"/>
          <w:u w:val="single" w:color="000000"/>
        </w:rPr>
        <w:t xml:space="preserve"> </w:t>
      </w:r>
      <w:r>
        <w:rPr>
          <w:rFonts w:hint="eastAsia"/>
          <w:color w:val="auto"/>
          <w:u w:val="single" w:color="000000"/>
        </w:rPr>
        <w:tab/>
      </w:r>
    </w:p>
    <w:p w14:paraId="0C20A64C">
      <w:pPr>
        <w:snapToGrid w:val="0"/>
        <w:spacing w:line="360" w:lineRule="auto"/>
        <w:rPr>
          <w:rFonts w:ascii="宋体" w:hAnsi="宋体" w:cs="宋体"/>
          <w:color w:val="auto"/>
          <w:szCs w:val="21"/>
        </w:rPr>
      </w:pPr>
    </w:p>
    <w:p w14:paraId="090F1C48">
      <w:pPr>
        <w:rPr>
          <w:rFonts w:hint="eastAsia" w:ascii="宋体" w:hAnsi="宋体" w:eastAsia="宋体" w:cs="宋体"/>
          <w:b w:val="0"/>
          <w:bCs w:val="0"/>
          <w:color w:val="auto"/>
          <w:kern w:val="0"/>
          <w:sz w:val="28"/>
          <w:szCs w:val="28"/>
          <w:lang w:val="en-US" w:eastAsia="zh-CN" w:bidi="ar-SA"/>
        </w:rPr>
      </w:pPr>
      <w:r>
        <w:rPr>
          <w:rFonts w:hint="eastAsia"/>
          <w:color w:val="auto"/>
        </w:rPr>
        <w:t>签字人签名：</w:t>
      </w:r>
      <w:r>
        <w:rPr>
          <w:rFonts w:hint="eastAsia"/>
          <w:color w:val="auto"/>
          <w:u w:val="single" w:color="000000"/>
        </w:rPr>
        <w:tab/>
      </w:r>
      <w:r>
        <w:rPr>
          <w:rFonts w:hint="eastAsia"/>
          <w:color w:val="auto"/>
        </w:rPr>
        <w:t>签字人签名：</w:t>
      </w:r>
      <w:r>
        <w:rPr>
          <w:rFonts w:hint="eastAsia"/>
          <w:color w:val="auto"/>
          <w:u w:val="single" w:color="000000"/>
        </w:rPr>
        <w:t xml:space="preserve"> </w:t>
      </w:r>
      <w:r>
        <w:rPr>
          <w:rFonts w:hint="eastAsia"/>
          <w:color w:val="auto"/>
          <w:u w:val="single" w:color="000000"/>
        </w:rPr>
        <w:tab/>
      </w:r>
    </w:p>
    <w:p w14:paraId="40DC37F0">
      <w:pP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br w:type="page"/>
      </w:r>
    </w:p>
    <w:p w14:paraId="7886778E">
      <w:pPr>
        <w:jc w:val="center"/>
        <w:outlineLvl w:val="0"/>
        <w:rPr>
          <w:rFonts w:hint="eastAsia" w:ascii="宋体" w:hAnsi="宋体" w:eastAsia="宋体" w:cs="宋体"/>
          <w:b/>
          <w:bCs/>
          <w:color w:val="auto"/>
          <w:kern w:val="2"/>
          <w:sz w:val="28"/>
          <w:szCs w:val="28"/>
          <w:lang w:val="en-US" w:eastAsia="zh-CN" w:bidi="ar-SA"/>
        </w:rPr>
      </w:pPr>
      <w:bookmarkStart w:id="14" w:name="_Toc30263"/>
      <w:r>
        <w:rPr>
          <w:rFonts w:hint="eastAsia" w:ascii="宋体" w:hAnsi="宋体" w:cs="宋体"/>
          <w:b/>
          <w:color w:val="auto"/>
          <w:sz w:val="24"/>
        </w:rPr>
        <w:t>八、</w:t>
      </w:r>
      <w:bookmarkEnd w:id="14"/>
      <w:r>
        <w:rPr>
          <w:rFonts w:hint="eastAsia" w:ascii="宋体" w:hAnsi="宋体" w:cs="宋体"/>
          <w:b/>
          <w:color w:val="auto"/>
          <w:sz w:val="24"/>
        </w:rPr>
        <w:t>投标设备技术性能指标的详细描述</w:t>
      </w:r>
    </w:p>
    <w:p w14:paraId="05578B92">
      <w:pPr>
        <w:rPr>
          <w:rFonts w:hint="eastAsia" w:ascii="宋体" w:hAnsi="宋体" w:cs="宋体"/>
          <w:color w:val="auto"/>
        </w:rPr>
      </w:pPr>
    </w:p>
    <w:p w14:paraId="09B77ADF">
      <w:pPr>
        <w:rPr>
          <w:rFonts w:hint="eastAsia" w:ascii="宋体" w:hAnsi="宋体" w:cs="宋体"/>
          <w:color w:val="auto"/>
        </w:rPr>
      </w:pPr>
    </w:p>
    <w:p w14:paraId="2568C4F7">
      <w:pPr>
        <w:rPr>
          <w:rFonts w:hint="eastAsia" w:ascii="宋体" w:hAnsi="宋体" w:cs="宋体"/>
          <w:color w:val="auto"/>
        </w:rPr>
      </w:pPr>
    </w:p>
    <w:p w14:paraId="3CB39F0D">
      <w:pPr>
        <w:rPr>
          <w:rFonts w:hint="eastAsia" w:ascii="宋体" w:hAnsi="宋体" w:cs="宋体"/>
          <w:color w:val="auto"/>
        </w:rPr>
      </w:pPr>
    </w:p>
    <w:p w14:paraId="7720DE06">
      <w:pPr>
        <w:rPr>
          <w:rFonts w:hint="eastAsia" w:ascii="宋体" w:hAnsi="宋体" w:cs="宋体"/>
          <w:color w:val="auto"/>
        </w:rPr>
      </w:pPr>
    </w:p>
    <w:p w14:paraId="09F9EF6D">
      <w:pPr>
        <w:rPr>
          <w:rFonts w:hint="eastAsia" w:ascii="宋体" w:hAnsi="宋体" w:cs="宋体"/>
          <w:color w:val="auto"/>
        </w:rPr>
      </w:pPr>
    </w:p>
    <w:p w14:paraId="09E47031">
      <w:pPr>
        <w:rPr>
          <w:rFonts w:hint="eastAsia" w:ascii="宋体" w:hAnsi="宋体" w:cs="宋体"/>
          <w:color w:val="auto"/>
        </w:rPr>
      </w:pPr>
    </w:p>
    <w:p w14:paraId="5AB7EF32">
      <w:pPr>
        <w:rPr>
          <w:rFonts w:hint="eastAsia" w:ascii="宋体" w:hAnsi="宋体" w:cs="宋体"/>
          <w:color w:val="auto"/>
        </w:rPr>
      </w:pPr>
    </w:p>
    <w:p w14:paraId="3988AF1E">
      <w:pPr>
        <w:rPr>
          <w:rFonts w:hint="eastAsia" w:ascii="宋体" w:hAnsi="宋体" w:cs="宋体"/>
          <w:color w:val="auto"/>
        </w:rPr>
      </w:pPr>
    </w:p>
    <w:p w14:paraId="3FE334DE">
      <w:pPr>
        <w:rPr>
          <w:rFonts w:hint="eastAsia" w:ascii="宋体" w:hAnsi="宋体" w:cs="宋体"/>
          <w:color w:val="auto"/>
        </w:rPr>
      </w:pPr>
    </w:p>
    <w:p w14:paraId="48BA5791">
      <w:pPr>
        <w:rPr>
          <w:rFonts w:hint="eastAsia" w:ascii="宋体" w:hAnsi="宋体" w:cs="宋体"/>
          <w:color w:val="auto"/>
        </w:rPr>
      </w:pPr>
    </w:p>
    <w:p w14:paraId="505D1EC7">
      <w:pPr>
        <w:rPr>
          <w:rFonts w:hint="eastAsia" w:ascii="宋体" w:hAnsi="宋体" w:cs="宋体"/>
          <w:color w:val="auto"/>
        </w:rPr>
      </w:pPr>
    </w:p>
    <w:p w14:paraId="0CF31D2F">
      <w:pPr>
        <w:rPr>
          <w:rFonts w:hint="eastAsia" w:ascii="宋体" w:hAnsi="宋体" w:cs="宋体"/>
          <w:color w:val="auto"/>
        </w:rPr>
      </w:pPr>
    </w:p>
    <w:p w14:paraId="2E83632A">
      <w:pPr>
        <w:rPr>
          <w:rFonts w:hint="eastAsia" w:ascii="宋体" w:hAnsi="宋体" w:cs="宋体"/>
          <w:color w:val="auto"/>
        </w:rPr>
      </w:pPr>
    </w:p>
    <w:p w14:paraId="15A6D971">
      <w:pPr>
        <w:rPr>
          <w:rFonts w:hint="eastAsia" w:ascii="宋体" w:hAnsi="宋体" w:cs="宋体"/>
          <w:color w:val="auto"/>
        </w:rPr>
      </w:pPr>
    </w:p>
    <w:p w14:paraId="6A305770">
      <w:pPr>
        <w:rPr>
          <w:rFonts w:hint="eastAsia" w:ascii="宋体" w:hAnsi="宋体" w:cs="宋体"/>
          <w:color w:val="auto"/>
        </w:rPr>
      </w:pPr>
    </w:p>
    <w:p w14:paraId="5FC79445">
      <w:pPr>
        <w:rPr>
          <w:rFonts w:hint="eastAsia" w:ascii="宋体" w:hAnsi="宋体" w:cs="宋体"/>
          <w:color w:val="auto"/>
        </w:rPr>
      </w:pPr>
    </w:p>
    <w:p w14:paraId="43D674A5">
      <w:pPr>
        <w:rPr>
          <w:rFonts w:hint="eastAsia" w:ascii="宋体" w:hAnsi="宋体" w:cs="宋体"/>
          <w:color w:val="auto"/>
        </w:rPr>
      </w:pPr>
    </w:p>
    <w:p w14:paraId="444DA79E">
      <w:pPr>
        <w:rPr>
          <w:rFonts w:hint="eastAsia" w:ascii="宋体" w:hAnsi="宋体" w:cs="宋体"/>
          <w:color w:val="auto"/>
        </w:rPr>
      </w:pPr>
    </w:p>
    <w:p w14:paraId="5E290B44">
      <w:pPr>
        <w:jc w:val="center"/>
        <w:rPr>
          <w:rFonts w:hint="eastAsia" w:ascii="宋体" w:hAnsi="宋体" w:cs="宋体"/>
          <w:b/>
          <w:color w:val="auto"/>
          <w:sz w:val="24"/>
        </w:rPr>
      </w:pPr>
      <w:r>
        <w:rPr>
          <w:rFonts w:hint="eastAsia" w:ascii="宋体" w:hAnsi="宋体" w:cs="宋体"/>
          <w:color w:val="auto"/>
        </w:rPr>
        <w:br w:type="page"/>
      </w:r>
      <w:bookmarkStart w:id="15" w:name="_Toc1150"/>
      <w:r>
        <w:rPr>
          <w:rFonts w:hint="eastAsia" w:ascii="宋体" w:hAnsi="宋体" w:cs="宋体"/>
          <w:b/>
          <w:color w:val="auto"/>
          <w:sz w:val="24"/>
        </w:rPr>
        <w:t>九、</w:t>
      </w:r>
      <w:bookmarkEnd w:id="15"/>
      <w:r>
        <w:rPr>
          <w:rFonts w:hint="eastAsia" w:ascii="宋体" w:hAnsi="宋体" w:cs="宋体"/>
          <w:b/>
          <w:color w:val="auto"/>
          <w:sz w:val="24"/>
        </w:rPr>
        <w:t>技术支持资料</w:t>
      </w:r>
    </w:p>
    <w:p w14:paraId="4FF1C972">
      <w:pPr>
        <w:rPr>
          <w:rFonts w:hint="eastAsia" w:ascii="宋体" w:hAnsi="宋体" w:cs="宋体"/>
          <w:b/>
          <w:color w:val="auto"/>
          <w:sz w:val="24"/>
        </w:rPr>
      </w:pPr>
      <w:r>
        <w:rPr>
          <w:rFonts w:hint="eastAsia" w:ascii="宋体" w:hAnsi="宋体" w:cs="宋体"/>
          <w:b/>
          <w:color w:val="auto"/>
          <w:sz w:val="24"/>
        </w:rPr>
        <w:br w:type="page"/>
      </w:r>
    </w:p>
    <w:p w14:paraId="28015BC0">
      <w:pPr>
        <w:pStyle w:val="37"/>
        <w:jc w:val="center"/>
        <w:rPr>
          <w:rFonts w:hint="eastAsia"/>
          <w:color w:val="auto"/>
        </w:rPr>
      </w:pPr>
      <w:r>
        <w:rPr>
          <w:rFonts w:hint="eastAsia" w:ascii="宋体" w:hAnsi="宋体" w:cs="宋体"/>
          <w:b/>
          <w:color w:val="auto"/>
          <w:sz w:val="24"/>
        </w:rPr>
        <w:t>十、技术服务和质保期服务计划</w:t>
      </w:r>
    </w:p>
    <w:p w14:paraId="41FF2FB3">
      <w:pPr>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br w:type="page"/>
      </w:r>
    </w:p>
    <w:p w14:paraId="580B6547">
      <w:pPr>
        <w:jc w:val="center"/>
        <w:outlineLvl w:val="0"/>
        <w:rPr>
          <w:rFonts w:hint="eastAsia" w:ascii="宋体" w:hAnsi="宋体" w:cs="宋体"/>
          <w:b/>
          <w:color w:val="auto"/>
          <w:sz w:val="24"/>
        </w:rPr>
      </w:pPr>
      <w:r>
        <w:rPr>
          <w:rFonts w:hint="eastAsia" w:ascii="宋体" w:hAnsi="宋体" w:cs="宋体"/>
          <w:b/>
          <w:color w:val="auto"/>
          <w:sz w:val="24"/>
        </w:rPr>
        <w:t>十一、其他资料</w:t>
      </w:r>
    </w:p>
    <w:p w14:paraId="799AC68F">
      <w:pPr>
        <w:rPr>
          <w:rFonts w:hint="eastAsia" w:ascii="宋体" w:hAnsi="宋体" w:cs="宋体"/>
          <w:bCs/>
          <w:color w:val="auto"/>
        </w:rPr>
      </w:pPr>
      <w:r>
        <w:rPr>
          <w:rFonts w:hint="eastAsia" w:ascii="宋体" w:hAnsi="宋体" w:cs="宋体"/>
          <w:bCs/>
          <w:color w:val="auto"/>
        </w:rPr>
        <w:t>1.</w:t>
      </w:r>
      <w:r>
        <w:rPr>
          <w:rFonts w:hint="eastAsia" w:ascii="宋体" w:hAnsi="宋体" w:cs="宋体"/>
          <w:bCs/>
          <w:color w:val="auto"/>
          <w:szCs w:val="21"/>
        </w:rPr>
        <w:t>如</w:t>
      </w:r>
      <w:r>
        <w:rPr>
          <w:rFonts w:hint="eastAsia" w:ascii="宋体" w:hAnsi="宋体" w:eastAsia="宋体" w:cs="宋体"/>
          <w:bCs/>
          <w:color w:val="auto"/>
          <w:szCs w:val="21"/>
          <w:lang w:eastAsia="zh-CN"/>
        </w:rPr>
        <w:t>供应商</w:t>
      </w:r>
      <w:r>
        <w:rPr>
          <w:rFonts w:hint="eastAsia" w:ascii="宋体" w:hAnsi="宋体" w:cs="宋体"/>
          <w:bCs/>
          <w:color w:val="auto"/>
          <w:szCs w:val="21"/>
        </w:rPr>
        <w:t>为中小企业，应按《政府采购促进中小企业发展暂行办法》的相关规定及附件格式在此处提供《中小企业声明函》，如未提供，则不能享受报价的相关扶持政策；</w:t>
      </w:r>
      <w:r>
        <w:rPr>
          <w:rFonts w:hint="eastAsia" w:ascii="宋体" w:hAnsi="宋体" w:eastAsia="宋体" w:cs="宋体"/>
          <w:bCs/>
          <w:color w:val="auto"/>
          <w:szCs w:val="21"/>
          <w:lang w:eastAsia="zh-CN"/>
        </w:rPr>
        <w:t>供应商</w:t>
      </w:r>
      <w:r>
        <w:rPr>
          <w:rFonts w:hint="eastAsia" w:ascii="宋体" w:hAnsi="宋体" w:cs="宋体"/>
          <w:bCs/>
          <w:color w:val="auto"/>
          <w:szCs w:val="21"/>
        </w:rPr>
        <w:t>应对上述声明函的真实性负责，如有虚假，将依法承担相应责任。</w:t>
      </w:r>
    </w:p>
    <w:p w14:paraId="5270DC7B">
      <w:pPr>
        <w:spacing w:before="100" w:beforeAutospacing="1" w:after="100" w:afterAutospacing="1"/>
        <w:ind w:right="-15" w:rightChars="-7"/>
        <w:rPr>
          <w:rFonts w:hint="eastAsia" w:ascii="宋体" w:hAnsi="宋体" w:cs="宋体"/>
          <w:bCs/>
          <w:color w:val="auto"/>
        </w:rPr>
      </w:pPr>
      <w:r>
        <w:rPr>
          <w:rFonts w:hint="eastAsia" w:ascii="宋体" w:hAnsi="宋体" w:cs="宋体"/>
          <w:bCs/>
          <w:color w:val="auto"/>
        </w:rPr>
        <w:t>2.优惠条件</w:t>
      </w:r>
    </w:p>
    <w:p w14:paraId="1CAFBF61">
      <w:pPr>
        <w:spacing w:before="100" w:beforeAutospacing="1" w:after="100" w:afterAutospacing="1"/>
        <w:ind w:right="-15" w:rightChars="-7"/>
        <w:rPr>
          <w:rFonts w:hint="eastAsia" w:ascii="宋体" w:hAnsi="宋体" w:cs="宋体"/>
          <w:bCs/>
          <w:color w:val="auto"/>
        </w:rPr>
      </w:pPr>
      <w:r>
        <w:rPr>
          <w:rFonts w:hint="eastAsia" w:ascii="宋体" w:hAnsi="宋体" w:eastAsia="宋体" w:cs="宋体"/>
          <w:bCs/>
          <w:color w:val="auto"/>
          <w:lang w:val="en-US" w:eastAsia="zh-CN"/>
        </w:rPr>
        <w:t>3.</w:t>
      </w:r>
      <w:r>
        <w:rPr>
          <w:rFonts w:hint="eastAsia" w:ascii="宋体" w:hAnsi="宋体" w:cs="宋体"/>
          <w:bCs/>
          <w:color w:val="auto"/>
        </w:rPr>
        <w:t>服务承诺</w:t>
      </w:r>
    </w:p>
    <w:p w14:paraId="1CA753EB">
      <w:pPr>
        <w:spacing w:before="100" w:beforeAutospacing="1" w:after="100" w:afterAutospacing="1"/>
        <w:ind w:right="-15" w:rightChars="-7"/>
        <w:rPr>
          <w:rFonts w:hint="eastAsia" w:ascii="宋体" w:hAnsi="宋体" w:cs="宋体"/>
          <w:bCs/>
          <w:color w:val="auto"/>
        </w:rPr>
      </w:pPr>
      <w:r>
        <w:rPr>
          <w:rFonts w:hint="eastAsia" w:ascii="宋体" w:hAnsi="宋体" w:eastAsia="宋体" w:cs="宋体"/>
          <w:bCs/>
          <w:color w:val="auto"/>
          <w:lang w:val="en-US" w:eastAsia="zh-CN"/>
        </w:rPr>
        <w:t>4.</w:t>
      </w:r>
      <w:r>
        <w:rPr>
          <w:rFonts w:hint="eastAsia" w:ascii="宋体" w:hAnsi="宋体" w:cs="宋体"/>
          <w:bCs/>
          <w:color w:val="auto"/>
        </w:rPr>
        <w:t>各项承诺书</w:t>
      </w:r>
    </w:p>
    <w:p w14:paraId="12C57BFD">
      <w:pPr>
        <w:spacing w:before="100" w:beforeAutospacing="1" w:after="100" w:afterAutospacing="1"/>
        <w:ind w:right="-15" w:rightChars="-7"/>
        <w:rPr>
          <w:rFonts w:hint="eastAsia" w:ascii="宋体" w:hAnsi="宋体" w:cs="宋体"/>
          <w:bCs/>
          <w:color w:val="auto"/>
        </w:rPr>
      </w:pPr>
      <w:r>
        <w:rPr>
          <w:rFonts w:hint="eastAsia" w:ascii="宋体" w:hAnsi="宋体" w:eastAsia="宋体" w:cs="宋体"/>
          <w:bCs/>
          <w:color w:val="auto"/>
          <w:lang w:val="en-US" w:eastAsia="zh-CN"/>
        </w:rPr>
        <w:t>5.</w:t>
      </w:r>
      <w:r>
        <w:rPr>
          <w:rFonts w:hint="eastAsia" w:ascii="宋体" w:hAnsi="宋体" w:cs="宋体"/>
          <w:bCs/>
          <w:color w:val="auto"/>
        </w:rPr>
        <w:t>信誉截图</w:t>
      </w:r>
    </w:p>
    <w:p w14:paraId="2B21352A">
      <w:pPr>
        <w:spacing w:before="100" w:beforeAutospacing="1" w:after="100" w:afterAutospacing="1"/>
        <w:ind w:right="-15" w:rightChars="-7"/>
        <w:rPr>
          <w:rFonts w:hint="eastAsia" w:ascii="宋体" w:hAnsi="宋体" w:cs="宋体"/>
          <w:bCs/>
          <w:color w:val="auto"/>
          <w:lang w:val="zh-CN"/>
        </w:rPr>
      </w:pPr>
      <w:r>
        <w:rPr>
          <w:rFonts w:hint="eastAsia" w:ascii="宋体" w:hAnsi="宋体" w:eastAsia="宋体" w:cs="宋体"/>
          <w:bCs/>
          <w:color w:val="auto"/>
          <w:lang w:val="en-US" w:eastAsia="zh-CN"/>
        </w:rPr>
        <w:t>6.</w:t>
      </w:r>
      <w:r>
        <w:rPr>
          <w:rFonts w:hint="eastAsia" w:ascii="宋体" w:hAnsi="宋体" w:cs="宋体"/>
          <w:bCs/>
          <w:color w:val="auto"/>
          <w:lang w:val="zh-CN"/>
        </w:rPr>
        <w:t>供应商认为需要提供的其他资料</w:t>
      </w:r>
    </w:p>
    <w:p w14:paraId="25735636">
      <w:pPr>
        <w:autoSpaceDE w:val="0"/>
        <w:autoSpaceDN w:val="0"/>
        <w:adjustRightInd w:val="0"/>
        <w:spacing w:line="400" w:lineRule="exact"/>
        <w:ind w:firstLine="640" w:firstLineChars="200"/>
        <w:rPr>
          <w:rFonts w:ascii="宋体" w:hAnsi="宋体"/>
          <w:color w:val="auto"/>
          <w:sz w:val="24"/>
        </w:rPr>
      </w:pPr>
      <w:r>
        <w:rPr>
          <w:rFonts w:hint="eastAsia" w:ascii="宋体" w:hAnsi="宋体"/>
          <w:color w:val="auto"/>
          <w:sz w:val="32"/>
          <w:szCs w:val="32"/>
          <w:u w:val="single"/>
        </w:rPr>
        <w:br w:type="page"/>
      </w:r>
    </w:p>
    <w:bookmarkEnd w:id="0"/>
    <w:bookmarkEnd w:id="1"/>
    <w:bookmarkEnd w:id="2"/>
    <w:bookmarkEnd w:id="3"/>
    <w:bookmarkEnd w:id="4"/>
    <w:bookmarkEnd w:id="5"/>
    <w:bookmarkEnd w:id="6"/>
    <w:bookmarkEnd w:id="7"/>
    <w:bookmarkEnd w:id="8"/>
    <w:bookmarkEnd w:id="9"/>
    <w:bookmarkEnd w:id="10"/>
    <w:bookmarkEnd w:id="11"/>
    <w:bookmarkEnd w:id="12"/>
    <w:p w14:paraId="5F1B355B">
      <w:pPr>
        <w:pStyle w:val="2"/>
        <w:rPr>
          <w:color w:val="auto"/>
          <w:sz w:val="32"/>
          <w:szCs w:val="32"/>
        </w:rPr>
      </w:pPr>
      <w:r>
        <w:rPr>
          <w:rFonts w:hint="eastAsia"/>
          <w:color w:val="auto"/>
          <w:sz w:val="32"/>
          <w:szCs w:val="32"/>
        </w:rPr>
        <w:t>附件1：</w:t>
      </w:r>
    </w:p>
    <w:p w14:paraId="6C9558C4">
      <w:pPr>
        <w:pStyle w:val="2"/>
        <w:jc w:val="center"/>
        <w:rPr>
          <w:rFonts w:ascii="宋体"/>
          <w:color w:val="auto"/>
          <w:sz w:val="48"/>
        </w:rPr>
      </w:pPr>
      <w:r>
        <w:rPr>
          <w:color w:val="auto"/>
          <w:sz w:val="32"/>
          <w:szCs w:val="32"/>
        </w:rPr>
        <w:t>中小企业声明函（</w:t>
      </w:r>
      <w:r>
        <w:rPr>
          <w:rFonts w:hint="eastAsia"/>
          <w:color w:val="auto"/>
          <w:sz w:val="32"/>
          <w:szCs w:val="32"/>
        </w:rPr>
        <w:t>货物</w:t>
      </w:r>
      <w:r>
        <w:rPr>
          <w:color w:val="auto"/>
          <w:sz w:val="32"/>
          <w:szCs w:val="32"/>
        </w:rPr>
        <w:t>）</w:t>
      </w:r>
    </w:p>
    <w:p w14:paraId="3727E58E">
      <w:pPr>
        <w:pStyle w:val="17"/>
        <w:rPr>
          <w:color w:val="auto"/>
        </w:rPr>
      </w:pPr>
      <w:r>
        <w:rPr>
          <w:rFonts w:hint="eastAsia"/>
          <w:color w:val="auto"/>
        </w:rPr>
        <w:t>本公司（联合体）郑重声明，根据《政府采购促进中小企业发展管理办法》（财库﹝2020﹞46 号）的规定，本公司（联合体）参加</w:t>
      </w:r>
      <w:r>
        <w:rPr>
          <w:rFonts w:hint="eastAsia"/>
          <w:color w:val="auto"/>
          <w:u w:val="single"/>
        </w:rPr>
        <w:t>（单位名称）</w:t>
      </w:r>
      <w:r>
        <w:rPr>
          <w:rFonts w:hint="eastAsia"/>
          <w:color w:val="auto"/>
        </w:rPr>
        <w:t>的</w:t>
      </w:r>
      <w:r>
        <w:rPr>
          <w:rFonts w:hint="eastAsia"/>
          <w:color w:val="auto"/>
          <w:u w:val="single"/>
        </w:rPr>
        <w:t>（项目名称）</w:t>
      </w:r>
      <w:r>
        <w:rPr>
          <w:rFonts w:hint="eastAsia"/>
          <w:color w:val="auto"/>
        </w:rPr>
        <w:t>采购活动，提供的货物全部由符合政策要求的中小企业制造。相关企业（含联合体中的中小企业、签订分包意向协议的中小企业） 的具体情况如下：</w:t>
      </w:r>
    </w:p>
    <w:p w14:paraId="0B1515AC">
      <w:pPr>
        <w:pStyle w:val="220"/>
        <w:numPr>
          <w:ilvl w:val="0"/>
          <w:numId w:val="16"/>
        </w:numPr>
        <w:tabs>
          <w:tab w:val="left" w:pos="1183"/>
          <w:tab w:val="left" w:pos="1484"/>
          <w:tab w:val="left" w:pos="4662"/>
          <w:tab w:val="left" w:pos="6903"/>
        </w:tabs>
        <w:spacing w:line="295" w:lineRule="auto"/>
        <w:ind w:right="169" w:firstLine="420"/>
        <w:rPr>
          <w:rFonts w:hAnsi="宋体" w:cs="宋体"/>
          <w:color w:val="auto"/>
          <w:sz w:val="21"/>
          <w:szCs w:val="21"/>
        </w:rPr>
      </w:pPr>
      <w:r>
        <w:rPr>
          <w:rFonts w:hint="eastAsia" w:ascii="Times New Roman"/>
          <w:color w:val="auto"/>
          <w:sz w:val="21"/>
          <w:szCs w:val="21"/>
          <w:u w:val="single"/>
        </w:rPr>
        <w:t xml:space="preserve"> （ 标 的 名 称 ） </w:t>
      </w:r>
      <w:r>
        <w:rPr>
          <w:rFonts w:hint="eastAsia" w:hAnsi="宋体" w:cs="宋体"/>
          <w:color w:val="auto"/>
          <w:sz w:val="21"/>
          <w:szCs w:val="21"/>
        </w:rPr>
        <w:t xml:space="preserve">， 属 于 </w:t>
      </w:r>
      <w:r>
        <w:rPr>
          <w:rFonts w:hint="eastAsia" w:ascii="Times New Roman"/>
          <w:color w:val="auto"/>
          <w:sz w:val="21"/>
          <w:szCs w:val="21"/>
          <w:u w:val="single"/>
        </w:rPr>
        <w:t>（ 采 购 文 件 中 明 确 的 所 属 行 业 ） 行业</w:t>
      </w:r>
      <w:r>
        <w:rPr>
          <w:rFonts w:hint="eastAsia" w:hAnsi="宋体" w:cs="宋体"/>
          <w:color w:val="auto"/>
          <w:sz w:val="21"/>
          <w:szCs w:val="21"/>
        </w:rPr>
        <w:t>；制造商为</w:t>
      </w:r>
      <w:r>
        <w:rPr>
          <w:rFonts w:hint="eastAsia" w:ascii="Times New Roman"/>
          <w:color w:val="auto"/>
          <w:sz w:val="21"/>
          <w:szCs w:val="21"/>
          <w:u w:val="single"/>
        </w:rPr>
        <w:t>（企业名称）</w:t>
      </w:r>
      <w:r>
        <w:rPr>
          <w:rFonts w:hint="eastAsia" w:hAnsi="宋体" w:cs="宋体"/>
          <w:color w:val="auto"/>
          <w:sz w:val="21"/>
          <w:szCs w:val="21"/>
        </w:rPr>
        <w:t>，从业人员</w:t>
      </w:r>
      <w:r>
        <w:rPr>
          <w:rFonts w:hint="eastAsia" w:hAnsi="宋体" w:cs="宋体"/>
          <w:color w:val="auto"/>
          <w:sz w:val="21"/>
          <w:szCs w:val="21"/>
          <w:u w:val="single"/>
        </w:rPr>
        <w:tab/>
      </w:r>
      <w:r>
        <w:rPr>
          <w:rFonts w:hint="eastAsia" w:hAnsi="宋体" w:cs="宋体"/>
          <w:color w:val="auto"/>
          <w:sz w:val="21"/>
          <w:szCs w:val="21"/>
        </w:rPr>
        <w:t>人，营业收入为</w:t>
      </w:r>
      <w:r>
        <w:rPr>
          <w:rFonts w:hint="eastAsia" w:hAnsi="宋体" w:cs="宋体"/>
          <w:color w:val="auto"/>
          <w:sz w:val="21"/>
          <w:szCs w:val="21"/>
          <w:u w:val="single"/>
        </w:rPr>
        <w:tab/>
      </w:r>
      <w:r>
        <w:rPr>
          <w:rFonts w:hint="eastAsia" w:hAnsi="宋体" w:cs="宋体"/>
          <w:color w:val="auto"/>
          <w:sz w:val="21"/>
          <w:szCs w:val="21"/>
        </w:rPr>
        <w:t>万元，资产总额为</w:t>
      </w:r>
      <w:r>
        <w:rPr>
          <w:rFonts w:hint="eastAsia" w:hAnsi="宋体" w:cs="宋体"/>
          <w:color w:val="auto"/>
          <w:sz w:val="21"/>
          <w:szCs w:val="21"/>
          <w:u w:val="single"/>
        </w:rPr>
        <w:tab/>
      </w:r>
      <w:r>
        <w:rPr>
          <w:rFonts w:hint="eastAsia" w:hAnsi="宋体" w:cs="宋体"/>
          <w:color w:val="auto"/>
          <w:sz w:val="21"/>
          <w:szCs w:val="21"/>
        </w:rPr>
        <w:t>万元</w:t>
      </w:r>
      <w:r>
        <w:rPr>
          <w:color w:val="auto"/>
        </w:rPr>
        <w:fldChar w:fldCharType="begin"/>
      </w:r>
      <w:r>
        <w:rPr>
          <w:color w:val="auto"/>
        </w:rPr>
        <w:instrText xml:space="preserve"> HYPERLINK \l "_bookmark0" </w:instrText>
      </w:r>
      <w:r>
        <w:rPr>
          <w:color w:val="auto"/>
        </w:rPr>
        <w:fldChar w:fldCharType="separate"/>
      </w:r>
      <w:r>
        <w:rPr>
          <w:rFonts w:hint="eastAsia" w:hAnsi="宋体" w:cs="宋体"/>
          <w:color w:val="auto"/>
          <w:sz w:val="21"/>
          <w:szCs w:val="21"/>
        </w:rPr>
        <w:t>1</w:t>
      </w:r>
      <w:r>
        <w:rPr>
          <w:rFonts w:hint="eastAsia" w:hAnsi="宋体" w:cs="宋体"/>
          <w:color w:val="auto"/>
          <w:sz w:val="21"/>
          <w:szCs w:val="21"/>
        </w:rPr>
        <w:fldChar w:fldCharType="end"/>
      </w:r>
      <w:r>
        <w:rPr>
          <w:rFonts w:hint="eastAsia" w:hAnsi="宋体" w:cs="宋体"/>
          <w:color w:val="auto"/>
          <w:sz w:val="21"/>
          <w:szCs w:val="21"/>
        </w:rPr>
        <w:t>，属于</w:t>
      </w:r>
      <w:r>
        <w:rPr>
          <w:rFonts w:hint="eastAsia" w:ascii="Times New Roman"/>
          <w:color w:val="auto"/>
          <w:sz w:val="21"/>
          <w:szCs w:val="21"/>
          <w:u w:val="single"/>
        </w:rPr>
        <w:t>（中型企业、小型企业、微型企业）</w:t>
      </w:r>
      <w:r>
        <w:rPr>
          <w:rFonts w:hint="eastAsia" w:hAnsi="宋体" w:cs="宋体"/>
          <w:color w:val="auto"/>
          <w:sz w:val="21"/>
          <w:szCs w:val="21"/>
        </w:rPr>
        <w:t>；</w:t>
      </w:r>
    </w:p>
    <w:p w14:paraId="3A9060B7">
      <w:pPr>
        <w:pStyle w:val="220"/>
        <w:numPr>
          <w:ilvl w:val="0"/>
          <w:numId w:val="16"/>
        </w:numPr>
        <w:tabs>
          <w:tab w:val="left" w:pos="1165"/>
          <w:tab w:val="left" w:pos="1183"/>
          <w:tab w:val="left" w:pos="4362"/>
          <w:tab w:val="left" w:pos="6577"/>
        </w:tabs>
        <w:spacing w:line="295" w:lineRule="auto"/>
        <w:ind w:right="169" w:firstLine="420"/>
        <w:rPr>
          <w:rFonts w:hAnsi="宋体" w:cs="宋体"/>
          <w:color w:val="auto"/>
          <w:sz w:val="21"/>
          <w:szCs w:val="21"/>
        </w:rPr>
      </w:pPr>
      <w:r>
        <w:rPr>
          <w:rFonts w:hint="eastAsia" w:ascii="Times New Roman"/>
          <w:color w:val="auto"/>
          <w:sz w:val="21"/>
          <w:szCs w:val="21"/>
          <w:u w:val="single"/>
        </w:rPr>
        <w:t xml:space="preserve"> （ 标 的 名 称 ）</w:t>
      </w:r>
      <w:r>
        <w:rPr>
          <w:rFonts w:hint="eastAsia" w:hAnsi="宋体" w:cs="宋体"/>
          <w:color w:val="auto"/>
          <w:sz w:val="21"/>
          <w:szCs w:val="21"/>
        </w:rPr>
        <w:t xml:space="preserve">， 属 于 </w:t>
      </w:r>
      <w:r>
        <w:rPr>
          <w:rFonts w:hint="eastAsia" w:ascii="Times New Roman"/>
          <w:color w:val="auto"/>
          <w:sz w:val="21"/>
          <w:szCs w:val="21"/>
          <w:u w:val="single"/>
        </w:rPr>
        <w:t>（ 采 购 文 件 中 明 确 的 所 属 行 业 ） 行业</w:t>
      </w:r>
      <w:r>
        <w:rPr>
          <w:rFonts w:hint="eastAsia" w:hAnsi="宋体" w:cs="宋体"/>
          <w:color w:val="auto"/>
          <w:sz w:val="21"/>
          <w:szCs w:val="21"/>
        </w:rPr>
        <w:t>；制造商为</w:t>
      </w:r>
      <w:r>
        <w:rPr>
          <w:rFonts w:hint="eastAsia" w:ascii="Times New Roman"/>
          <w:color w:val="auto"/>
          <w:sz w:val="21"/>
          <w:szCs w:val="21"/>
          <w:u w:val="single"/>
        </w:rPr>
        <w:t>（企业名称）</w:t>
      </w:r>
      <w:r>
        <w:rPr>
          <w:rFonts w:hint="eastAsia" w:hAnsi="宋体" w:cs="宋体"/>
          <w:color w:val="auto"/>
          <w:sz w:val="21"/>
          <w:szCs w:val="21"/>
        </w:rPr>
        <w:t>，从业人员</w:t>
      </w:r>
      <w:r>
        <w:rPr>
          <w:rFonts w:hint="eastAsia" w:hAnsi="宋体" w:cs="宋体"/>
          <w:color w:val="auto"/>
          <w:sz w:val="21"/>
          <w:szCs w:val="21"/>
          <w:u w:val="single"/>
        </w:rPr>
        <w:tab/>
      </w:r>
      <w:r>
        <w:rPr>
          <w:rFonts w:hint="eastAsia" w:hAnsi="宋体" w:cs="宋体"/>
          <w:color w:val="auto"/>
          <w:sz w:val="21"/>
          <w:szCs w:val="21"/>
        </w:rPr>
        <w:t>人，营业收入为</w:t>
      </w:r>
      <w:r>
        <w:rPr>
          <w:rFonts w:hint="eastAsia" w:hAnsi="宋体" w:cs="宋体"/>
          <w:color w:val="auto"/>
          <w:sz w:val="21"/>
          <w:szCs w:val="21"/>
          <w:u w:val="single"/>
        </w:rPr>
        <w:tab/>
      </w:r>
      <w:r>
        <w:rPr>
          <w:rFonts w:hint="eastAsia" w:hAnsi="宋体" w:cs="宋体"/>
          <w:color w:val="auto"/>
          <w:sz w:val="21"/>
          <w:szCs w:val="21"/>
        </w:rPr>
        <w:t>万元，资产总额为</w:t>
      </w:r>
      <w:r>
        <w:rPr>
          <w:rFonts w:hint="eastAsia" w:hAnsi="宋体" w:cs="宋体"/>
          <w:color w:val="auto"/>
          <w:sz w:val="21"/>
          <w:szCs w:val="21"/>
          <w:u w:val="single"/>
        </w:rPr>
        <w:tab/>
      </w:r>
      <w:r>
        <w:rPr>
          <w:rFonts w:hint="eastAsia" w:hAnsi="宋体" w:cs="宋体"/>
          <w:color w:val="auto"/>
          <w:sz w:val="21"/>
          <w:szCs w:val="21"/>
        </w:rPr>
        <w:t>万元，属于</w:t>
      </w:r>
      <w:r>
        <w:rPr>
          <w:rFonts w:hint="eastAsia" w:ascii="Times New Roman"/>
          <w:color w:val="auto"/>
          <w:sz w:val="21"/>
          <w:szCs w:val="21"/>
          <w:u w:val="single"/>
        </w:rPr>
        <w:t>（中型企业、小型企业、微型企业）</w:t>
      </w:r>
      <w:r>
        <w:rPr>
          <w:rFonts w:hint="eastAsia" w:hAnsi="宋体" w:cs="宋体"/>
          <w:color w:val="auto"/>
          <w:sz w:val="21"/>
          <w:szCs w:val="21"/>
        </w:rPr>
        <w:t>；</w:t>
      </w:r>
    </w:p>
    <w:p w14:paraId="28FF496B">
      <w:pPr>
        <w:pStyle w:val="17"/>
        <w:rPr>
          <w:color w:val="auto"/>
        </w:rPr>
      </w:pPr>
      <w:r>
        <w:rPr>
          <w:color w:val="auto"/>
        </w:rPr>
        <w:t>……</w:t>
      </w:r>
    </w:p>
    <w:p w14:paraId="3095B4B6">
      <w:pPr>
        <w:pStyle w:val="17"/>
        <w:rPr>
          <w:color w:val="auto"/>
        </w:rPr>
      </w:pPr>
      <w:r>
        <w:rPr>
          <w:color w:val="auto"/>
        </w:rPr>
        <w:t>以上企业，不属于大企业的分支机构，不存在控股股东为大企业的情形，也不存在与大企业的负责人为同一人的情形。</w:t>
      </w:r>
    </w:p>
    <w:p w14:paraId="220B87C1">
      <w:pPr>
        <w:pStyle w:val="17"/>
        <w:rPr>
          <w:color w:val="auto"/>
        </w:rPr>
      </w:pPr>
      <w:r>
        <w:rPr>
          <w:color w:val="auto"/>
        </w:rPr>
        <w:t>本企业对上述声明内容的真实性负责。如有虚假，将依法承担相应责任。</w:t>
      </w:r>
    </w:p>
    <w:p w14:paraId="3184FCC4">
      <w:pPr>
        <w:pStyle w:val="17"/>
        <w:rPr>
          <w:color w:val="auto"/>
        </w:rPr>
      </w:pPr>
    </w:p>
    <w:p w14:paraId="1834A237">
      <w:pPr>
        <w:pStyle w:val="17"/>
        <w:rPr>
          <w:color w:val="auto"/>
        </w:rPr>
      </w:pPr>
    </w:p>
    <w:p w14:paraId="4CD754B1">
      <w:pPr>
        <w:pStyle w:val="17"/>
        <w:rPr>
          <w:color w:val="auto"/>
        </w:rPr>
      </w:pPr>
    </w:p>
    <w:p w14:paraId="5788D6C3">
      <w:pPr>
        <w:spacing w:before="100" w:beforeAutospacing="1" w:after="100" w:afterAutospacing="1"/>
        <w:ind w:right="-15" w:rightChars="-7"/>
        <w:jc w:val="right"/>
        <w:rPr>
          <w:rFonts w:ascii="宋体" w:hAnsi="宋体" w:cs="宋体"/>
          <w:bCs/>
          <w:color w:val="auto"/>
        </w:rPr>
      </w:pPr>
      <w:r>
        <w:rPr>
          <w:color w:val="auto"/>
          <w:sz w:val="24"/>
        </w:rPr>
        <w:t>企业名称（盖章）日期：</w:t>
      </w:r>
    </w:p>
    <w:p w14:paraId="602FE397">
      <w:pPr>
        <w:spacing w:before="100" w:beforeAutospacing="1" w:after="100" w:afterAutospacing="1"/>
        <w:ind w:right="-15" w:rightChars="-7"/>
        <w:rPr>
          <w:rFonts w:ascii="宋体" w:hAnsi="宋体" w:cs="宋体"/>
          <w:bCs/>
          <w:color w:val="auto"/>
        </w:rPr>
      </w:pPr>
    </w:p>
    <w:p w14:paraId="75D5394F">
      <w:pPr>
        <w:spacing w:before="100" w:beforeAutospacing="1" w:after="100" w:afterAutospacing="1"/>
        <w:ind w:right="-15" w:rightChars="-7"/>
        <w:rPr>
          <w:rFonts w:ascii="宋体" w:hAnsi="宋体" w:cs="宋体"/>
          <w:bCs/>
          <w:color w:val="auto"/>
        </w:rPr>
      </w:pPr>
    </w:p>
    <w:p w14:paraId="41098743">
      <w:pPr>
        <w:rPr>
          <w:rFonts w:ascii="宋体" w:hAnsi="宋体" w:cs="宋体"/>
          <w:bCs/>
          <w:color w:val="auto"/>
        </w:rPr>
      </w:pPr>
      <w:r>
        <w:rPr>
          <w:rFonts w:hint="eastAsia" w:ascii="宋体" w:hAnsi="宋体" w:cs="宋体"/>
          <w:bCs/>
          <w:color w:val="auto"/>
        </w:rPr>
        <w:br w:type="page"/>
      </w:r>
    </w:p>
    <w:p w14:paraId="06C69E3C">
      <w:pPr>
        <w:pStyle w:val="4"/>
        <w:rPr>
          <w:rFonts w:hAnsi="黑体"/>
          <w:color w:val="auto"/>
          <w:sz w:val="21"/>
          <w:szCs w:val="21"/>
        </w:rPr>
      </w:pPr>
      <w:r>
        <w:rPr>
          <w:rFonts w:hint="eastAsia"/>
          <w:color w:val="auto"/>
          <w:sz w:val="21"/>
          <w:szCs w:val="21"/>
        </w:rPr>
        <w:t>附件2：</w:t>
      </w:r>
    </w:p>
    <w:p w14:paraId="2C96DA32">
      <w:pPr>
        <w:pStyle w:val="4"/>
        <w:jc w:val="center"/>
        <w:rPr>
          <w:rFonts w:ascii="Times New Roman" w:hAnsi="Times New Roman" w:eastAsia="宋体" w:cs="Times New Roman"/>
          <w:b/>
          <w:bCs/>
          <w:color w:val="auto"/>
          <w:kern w:val="44"/>
          <w:sz w:val="32"/>
          <w:szCs w:val="32"/>
          <w:lang w:val="en-US" w:eastAsia="zh-CN" w:bidi="ar-SA"/>
        </w:rPr>
      </w:pPr>
      <w:r>
        <w:rPr>
          <w:rFonts w:hint="eastAsia" w:ascii="Times New Roman" w:hAnsi="Times New Roman" w:eastAsia="宋体" w:cs="Times New Roman"/>
          <w:b/>
          <w:bCs/>
          <w:color w:val="auto"/>
          <w:kern w:val="44"/>
          <w:sz w:val="32"/>
          <w:szCs w:val="32"/>
          <w:lang w:val="en-US" w:eastAsia="zh-CN" w:bidi="ar-SA"/>
        </w:rPr>
        <w:t>节能产品、环境标志产品政府强制采购认证证书一览表</w:t>
      </w:r>
    </w:p>
    <w:p w14:paraId="2F0302FD">
      <w:pPr>
        <w:pStyle w:val="211"/>
        <w:jc w:val="center"/>
        <w:rPr>
          <w:rFonts w:ascii="宋体" w:hAnsi="宋体"/>
          <w:color w:val="auto"/>
          <w:sz w:val="21"/>
          <w:szCs w:val="21"/>
        </w:rPr>
      </w:pPr>
      <w:r>
        <w:rPr>
          <w:rFonts w:hint="eastAsia"/>
          <w:color w:val="auto"/>
          <w:sz w:val="21"/>
          <w:szCs w:val="21"/>
        </w:rPr>
        <w:t>（如果有，提供）</w:t>
      </w:r>
    </w:p>
    <w:p w14:paraId="19A74AED">
      <w:pPr>
        <w:pStyle w:val="8"/>
        <w:ind w:firstLine="0"/>
        <w:rPr>
          <w:color w:val="auto"/>
          <w:sz w:val="21"/>
          <w:szCs w:val="21"/>
        </w:rPr>
      </w:pPr>
    </w:p>
    <w:tbl>
      <w:tblPr>
        <w:tblStyle w:val="47"/>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4293A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DACE9D2">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序号</w:t>
            </w:r>
          </w:p>
        </w:tc>
        <w:tc>
          <w:tcPr>
            <w:tcW w:w="1560" w:type="dxa"/>
            <w:vAlign w:val="center"/>
          </w:tcPr>
          <w:p w14:paraId="427C5063">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品目</w:t>
            </w:r>
          </w:p>
        </w:tc>
        <w:tc>
          <w:tcPr>
            <w:tcW w:w="1134" w:type="dxa"/>
            <w:vAlign w:val="center"/>
          </w:tcPr>
          <w:p w14:paraId="7A830D07">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产品名称</w:t>
            </w:r>
          </w:p>
        </w:tc>
        <w:tc>
          <w:tcPr>
            <w:tcW w:w="1134" w:type="dxa"/>
            <w:vAlign w:val="center"/>
          </w:tcPr>
          <w:p w14:paraId="1CE67149">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规格型号</w:t>
            </w:r>
          </w:p>
        </w:tc>
        <w:tc>
          <w:tcPr>
            <w:tcW w:w="1134" w:type="dxa"/>
            <w:vAlign w:val="center"/>
          </w:tcPr>
          <w:p w14:paraId="498B76C8">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证书编号</w:t>
            </w:r>
          </w:p>
        </w:tc>
        <w:tc>
          <w:tcPr>
            <w:tcW w:w="1559" w:type="dxa"/>
            <w:vAlign w:val="center"/>
          </w:tcPr>
          <w:p w14:paraId="77E4523D">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证书到期日期</w:t>
            </w:r>
          </w:p>
        </w:tc>
        <w:tc>
          <w:tcPr>
            <w:tcW w:w="1206" w:type="dxa"/>
            <w:vAlign w:val="center"/>
          </w:tcPr>
          <w:p w14:paraId="7433ABD2">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发证机构</w:t>
            </w:r>
          </w:p>
        </w:tc>
      </w:tr>
      <w:tr w14:paraId="14049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1EAEB2B">
            <w:pPr>
              <w:adjustRightInd w:val="0"/>
              <w:snapToGrid w:val="0"/>
              <w:jc w:val="center"/>
              <w:rPr>
                <w:rFonts w:ascii="宋体" w:hAnsi="宋体"/>
                <w:color w:val="auto"/>
                <w:sz w:val="21"/>
                <w:szCs w:val="21"/>
              </w:rPr>
            </w:pPr>
            <w:r>
              <w:rPr>
                <w:rFonts w:hint="eastAsia" w:ascii="宋体" w:hAnsi="宋体"/>
                <w:color w:val="auto"/>
                <w:sz w:val="21"/>
                <w:szCs w:val="21"/>
              </w:rPr>
              <w:t>1</w:t>
            </w:r>
          </w:p>
        </w:tc>
        <w:tc>
          <w:tcPr>
            <w:tcW w:w="1560" w:type="dxa"/>
            <w:vAlign w:val="center"/>
          </w:tcPr>
          <w:p w14:paraId="0111C1D1">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177E9DA">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65830E1">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05DCA632">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3311BC5E">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6F6B171F">
            <w:pPr>
              <w:adjustRightInd w:val="0"/>
              <w:snapToGrid w:val="0"/>
              <w:rPr>
                <w:rFonts w:ascii="宋体" w:hAnsi="宋体"/>
                <w:color w:val="auto"/>
                <w:sz w:val="21"/>
                <w:szCs w:val="21"/>
              </w:rPr>
            </w:pPr>
            <w:r>
              <w:rPr>
                <w:rFonts w:hint="eastAsia" w:ascii="宋体" w:hAnsi="宋体"/>
                <w:color w:val="auto"/>
                <w:sz w:val="21"/>
                <w:szCs w:val="21"/>
              </w:rPr>
              <w:t>　</w:t>
            </w:r>
          </w:p>
        </w:tc>
      </w:tr>
      <w:tr w14:paraId="1AB46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9672E2F">
            <w:pPr>
              <w:adjustRightInd w:val="0"/>
              <w:snapToGrid w:val="0"/>
              <w:jc w:val="center"/>
              <w:rPr>
                <w:rFonts w:ascii="宋体" w:hAnsi="宋体"/>
                <w:color w:val="auto"/>
                <w:sz w:val="21"/>
                <w:szCs w:val="21"/>
              </w:rPr>
            </w:pPr>
            <w:r>
              <w:rPr>
                <w:rFonts w:hint="eastAsia" w:ascii="宋体" w:hAnsi="宋体"/>
                <w:color w:val="auto"/>
                <w:sz w:val="21"/>
                <w:szCs w:val="21"/>
              </w:rPr>
              <w:t>2</w:t>
            </w:r>
          </w:p>
        </w:tc>
        <w:tc>
          <w:tcPr>
            <w:tcW w:w="1560" w:type="dxa"/>
            <w:vAlign w:val="center"/>
          </w:tcPr>
          <w:p w14:paraId="79EC26E5">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8D3F4DA">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5970F44F">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3915A584">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56058E3D">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0EC67E2B">
            <w:pPr>
              <w:adjustRightInd w:val="0"/>
              <w:snapToGrid w:val="0"/>
              <w:rPr>
                <w:rFonts w:ascii="宋体" w:hAnsi="宋体"/>
                <w:color w:val="auto"/>
                <w:sz w:val="21"/>
                <w:szCs w:val="21"/>
              </w:rPr>
            </w:pPr>
            <w:r>
              <w:rPr>
                <w:rFonts w:hint="eastAsia" w:ascii="宋体" w:hAnsi="宋体"/>
                <w:color w:val="auto"/>
                <w:sz w:val="21"/>
                <w:szCs w:val="21"/>
              </w:rPr>
              <w:t>　</w:t>
            </w:r>
          </w:p>
        </w:tc>
      </w:tr>
      <w:tr w14:paraId="60276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4A30ABA">
            <w:pPr>
              <w:adjustRightInd w:val="0"/>
              <w:snapToGrid w:val="0"/>
              <w:jc w:val="center"/>
              <w:rPr>
                <w:rFonts w:ascii="宋体" w:hAnsi="宋体"/>
                <w:color w:val="auto"/>
                <w:sz w:val="21"/>
                <w:szCs w:val="21"/>
              </w:rPr>
            </w:pPr>
            <w:r>
              <w:rPr>
                <w:rFonts w:hint="eastAsia" w:ascii="宋体" w:hAnsi="宋体"/>
                <w:color w:val="auto"/>
                <w:sz w:val="21"/>
                <w:szCs w:val="21"/>
              </w:rPr>
              <w:t>3</w:t>
            </w:r>
          </w:p>
        </w:tc>
        <w:tc>
          <w:tcPr>
            <w:tcW w:w="1560" w:type="dxa"/>
            <w:vAlign w:val="center"/>
          </w:tcPr>
          <w:p w14:paraId="29368779">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30F71260">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BF98B54">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12BAE0C3">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4154C161">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77A8D9FE">
            <w:pPr>
              <w:adjustRightInd w:val="0"/>
              <w:snapToGrid w:val="0"/>
              <w:rPr>
                <w:rFonts w:ascii="宋体" w:hAnsi="宋体"/>
                <w:color w:val="auto"/>
                <w:sz w:val="21"/>
                <w:szCs w:val="21"/>
              </w:rPr>
            </w:pPr>
            <w:r>
              <w:rPr>
                <w:rFonts w:hint="eastAsia" w:ascii="宋体" w:hAnsi="宋体"/>
                <w:color w:val="auto"/>
                <w:sz w:val="21"/>
                <w:szCs w:val="21"/>
              </w:rPr>
              <w:t>　</w:t>
            </w:r>
          </w:p>
        </w:tc>
      </w:tr>
      <w:tr w14:paraId="17FB6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2AE7AE9">
            <w:pPr>
              <w:adjustRightInd w:val="0"/>
              <w:snapToGrid w:val="0"/>
              <w:jc w:val="center"/>
              <w:rPr>
                <w:rFonts w:ascii="宋体" w:hAnsi="宋体"/>
                <w:color w:val="auto"/>
                <w:sz w:val="21"/>
                <w:szCs w:val="21"/>
              </w:rPr>
            </w:pPr>
            <w:r>
              <w:rPr>
                <w:rFonts w:hint="eastAsia" w:ascii="宋体" w:hAnsi="宋体"/>
                <w:color w:val="auto"/>
                <w:sz w:val="21"/>
                <w:szCs w:val="21"/>
              </w:rPr>
              <w:t>4</w:t>
            </w:r>
          </w:p>
        </w:tc>
        <w:tc>
          <w:tcPr>
            <w:tcW w:w="1560" w:type="dxa"/>
            <w:vAlign w:val="center"/>
          </w:tcPr>
          <w:p w14:paraId="4C4C6BAD">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08DA13F">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08130682">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3F284B4C">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2DB8BC2C">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64D16FAB">
            <w:pPr>
              <w:adjustRightInd w:val="0"/>
              <w:snapToGrid w:val="0"/>
              <w:rPr>
                <w:rFonts w:ascii="宋体" w:hAnsi="宋体"/>
                <w:color w:val="auto"/>
                <w:sz w:val="21"/>
                <w:szCs w:val="21"/>
              </w:rPr>
            </w:pPr>
            <w:r>
              <w:rPr>
                <w:rFonts w:hint="eastAsia" w:ascii="宋体" w:hAnsi="宋体"/>
                <w:color w:val="auto"/>
                <w:sz w:val="21"/>
                <w:szCs w:val="21"/>
              </w:rPr>
              <w:t>　</w:t>
            </w:r>
          </w:p>
        </w:tc>
      </w:tr>
      <w:tr w14:paraId="752A7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5437915C">
            <w:pPr>
              <w:adjustRightInd w:val="0"/>
              <w:snapToGrid w:val="0"/>
              <w:jc w:val="center"/>
              <w:rPr>
                <w:rFonts w:ascii="宋体" w:hAnsi="宋体"/>
                <w:color w:val="auto"/>
                <w:sz w:val="21"/>
                <w:szCs w:val="21"/>
              </w:rPr>
            </w:pPr>
            <w:r>
              <w:rPr>
                <w:rFonts w:hint="eastAsia" w:ascii="宋体" w:hAnsi="宋体"/>
                <w:color w:val="auto"/>
                <w:sz w:val="21"/>
                <w:szCs w:val="21"/>
              </w:rPr>
              <w:t>5</w:t>
            </w:r>
          </w:p>
        </w:tc>
        <w:tc>
          <w:tcPr>
            <w:tcW w:w="1560" w:type="dxa"/>
            <w:vAlign w:val="center"/>
          </w:tcPr>
          <w:p w14:paraId="69A6AE26">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673D4E04">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5B06F3C2">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75F48BA">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18BBFAF3">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64082DCD">
            <w:pPr>
              <w:adjustRightInd w:val="0"/>
              <w:snapToGrid w:val="0"/>
              <w:rPr>
                <w:rFonts w:ascii="宋体" w:hAnsi="宋体"/>
                <w:color w:val="auto"/>
                <w:sz w:val="21"/>
                <w:szCs w:val="21"/>
              </w:rPr>
            </w:pPr>
            <w:r>
              <w:rPr>
                <w:rFonts w:hint="eastAsia" w:ascii="宋体" w:hAnsi="宋体"/>
                <w:color w:val="auto"/>
                <w:sz w:val="21"/>
                <w:szCs w:val="21"/>
              </w:rPr>
              <w:t>　</w:t>
            </w:r>
          </w:p>
        </w:tc>
      </w:tr>
      <w:tr w14:paraId="0E273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28E9AA8">
            <w:pPr>
              <w:adjustRightInd w:val="0"/>
              <w:snapToGrid w:val="0"/>
              <w:jc w:val="center"/>
              <w:rPr>
                <w:rFonts w:ascii="宋体" w:hAnsi="宋体"/>
                <w:color w:val="auto"/>
                <w:sz w:val="21"/>
                <w:szCs w:val="21"/>
              </w:rPr>
            </w:pPr>
            <w:r>
              <w:rPr>
                <w:rFonts w:hint="eastAsia" w:ascii="宋体" w:hAnsi="宋体"/>
                <w:color w:val="auto"/>
                <w:sz w:val="21"/>
                <w:szCs w:val="21"/>
              </w:rPr>
              <w:t>...</w:t>
            </w:r>
          </w:p>
        </w:tc>
        <w:tc>
          <w:tcPr>
            <w:tcW w:w="1560" w:type="dxa"/>
            <w:vAlign w:val="center"/>
          </w:tcPr>
          <w:p w14:paraId="17159169">
            <w:pPr>
              <w:adjustRightInd w:val="0"/>
              <w:snapToGrid w:val="0"/>
              <w:rPr>
                <w:rFonts w:ascii="宋体" w:hAnsi="宋体"/>
                <w:color w:val="auto"/>
                <w:sz w:val="21"/>
                <w:szCs w:val="21"/>
              </w:rPr>
            </w:pPr>
          </w:p>
        </w:tc>
        <w:tc>
          <w:tcPr>
            <w:tcW w:w="1134" w:type="dxa"/>
            <w:vAlign w:val="center"/>
          </w:tcPr>
          <w:p w14:paraId="1C3F42DD">
            <w:pPr>
              <w:adjustRightInd w:val="0"/>
              <w:snapToGrid w:val="0"/>
              <w:rPr>
                <w:rFonts w:ascii="宋体" w:hAnsi="宋体"/>
                <w:color w:val="auto"/>
                <w:sz w:val="21"/>
                <w:szCs w:val="21"/>
              </w:rPr>
            </w:pPr>
          </w:p>
        </w:tc>
        <w:tc>
          <w:tcPr>
            <w:tcW w:w="1134" w:type="dxa"/>
            <w:vAlign w:val="center"/>
          </w:tcPr>
          <w:p w14:paraId="6DDB0C43">
            <w:pPr>
              <w:adjustRightInd w:val="0"/>
              <w:snapToGrid w:val="0"/>
              <w:rPr>
                <w:rFonts w:ascii="宋体" w:hAnsi="宋体"/>
                <w:color w:val="auto"/>
                <w:sz w:val="21"/>
                <w:szCs w:val="21"/>
              </w:rPr>
            </w:pPr>
          </w:p>
        </w:tc>
        <w:tc>
          <w:tcPr>
            <w:tcW w:w="1134" w:type="dxa"/>
            <w:vAlign w:val="center"/>
          </w:tcPr>
          <w:p w14:paraId="7728284E">
            <w:pPr>
              <w:adjustRightInd w:val="0"/>
              <w:snapToGrid w:val="0"/>
              <w:rPr>
                <w:rFonts w:ascii="宋体" w:hAnsi="宋体"/>
                <w:color w:val="auto"/>
                <w:sz w:val="21"/>
                <w:szCs w:val="21"/>
              </w:rPr>
            </w:pPr>
          </w:p>
        </w:tc>
        <w:tc>
          <w:tcPr>
            <w:tcW w:w="1559" w:type="dxa"/>
            <w:vAlign w:val="center"/>
          </w:tcPr>
          <w:p w14:paraId="20C63C87">
            <w:pPr>
              <w:adjustRightInd w:val="0"/>
              <w:snapToGrid w:val="0"/>
              <w:rPr>
                <w:rFonts w:ascii="宋体" w:hAnsi="宋体"/>
                <w:color w:val="auto"/>
                <w:sz w:val="21"/>
                <w:szCs w:val="21"/>
              </w:rPr>
            </w:pPr>
          </w:p>
        </w:tc>
        <w:tc>
          <w:tcPr>
            <w:tcW w:w="1206" w:type="dxa"/>
            <w:vAlign w:val="center"/>
          </w:tcPr>
          <w:p w14:paraId="11FA0190">
            <w:pPr>
              <w:adjustRightInd w:val="0"/>
              <w:snapToGrid w:val="0"/>
              <w:rPr>
                <w:rFonts w:ascii="宋体" w:hAnsi="宋体"/>
                <w:color w:val="auto"/>
                <w:sz w:val="21"/>
                <w:szCs w:val="21"/>
              </w:rPr>
            </w:pPr>
          </w:p>
        </w:tc>
      </w:tr>
    </w:tbl>
    <w:p w14:paraId="32EFC877">
      <w:pPr>
        <w:adjustRightInd w:val="0"/>
        <w:snapToGrid w:val="0"/>
        <w:rPr>
          <w:rFonts w:ascii="宋体" w:hAnsi="宋体"/>
          <w:color w:val="auto"/>
          <w:sz w:val="21"/>
          <w:szCs w:val="21"/>
        </w:rPr>
      </w:pPr>
      <w:r>
        <w:rPr>
          <w:rFonts w:hint="eastAsia" w:ascii="宋体" w:hAnsi="宋体"/>
          <w:color w:val="auto"/>
          <w:sz w:val="21"/>
          <w:szCs w:val="21"/>
        </w:rPr>
        <w:t>注：</w:t>
      </w:r>
    </w:p>
    <w:p w14:paraId="45ACA288">
      <w:pPr>
        <w:adjustRightInd w:val="0"/>
        <w:snapToGrid w:val="0"/>
        <w:ind w:firstLine="386"/>
        <w:rPr>
          <w:rFonts w:ascii="宋体" w:hAnsi="宋体"/>
          <w:color w:val="auto"/>
          <w:sz w:val="21"/>
          <w:szCs w:val="21"/>
        </w:rPr>
      </w:pPr>
      <w:r>
        <w:rPr>
          <w:rFonts w:hint="eastAsia" w:ascii="宋体" w:hAnsi="宋体"/>
          <w:color w:val="auto"/>
          <w:sz w:val="21"/>
          <w:szCs w:val="21"/>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14:paraId="32BC3A1E">
      <w:pPr>
        <w:adjustRightInd w:val="0"/>
        <w:snapToGrid w:val="0"/>
        <w:ind w:firstLine="390"/>
        <w:rPr>
          <w:rFonts w:ascii="宋体" w:hAnsi="宋体"/>
          <w:color w:val="auto"/>
          <w:sz w:val="21"/>
          <w:szCs w:val="21"/>
        </w:rPr>
      </w:pPr>
      <w:r>
        <w:rPr>
          <w:rFonts w:hint="eastAsia" w:ascii="宋体" w:hAnsi="宋体"/>
          <w:color w:val="auto"/>
          <w:sz w:val="21"/>
          <w:szCs w:val="21"/>
        </w:rPr>
        <w:t>2. 《节能产品政府采购品目清单》《环境标志产品政府采购品目清单》请登录中国政府采购网</w:t>
      </w:r>
      <w:r>
        <w:rPr>
          <w:color w:val="auto"/>
          <w:sz w:val="21"/>
          <w:szCs w:val="21"/>
        </w:rPr>
        <w:fldChar w:fldCharType="begin"/>
      </w:r>
      <w:r>
        <w:rPr>
          <w:color w:val="auto"/>
          <w:sz w:val="21"/>
          <w:szCs w:val="21"/>
        </w:rPr>
        <w:instrText xml:space="preserve"> HYPERLINK "http://www.ccgp.gov.cn" </w:instrText>
      </w:r>
      <w:r>
        <w:rPr>
          <w:color w:val="auto"/>
          <w:sz w:val="21"/>
          <w:szCs w:val="21"/>
        </w:rPr>
        <w:fldChar w:fldCharType="separate"/>
      </w:r>
      <w:r>
        <w:rPr>
          <w:rStyle w:val="55"/>
          <w:rFonts w:hint="eastAsia" w:ascii="宋体" w:hAnsi="宋体"/>
          <w:color w:val="auto"/>
          <w:sz w:val="21"/>
          <w:szCs w:val="21"/>
        </w:rPr>
        <w:t>http://www.ccgp.gov.cn</w:t>
      </w:r>
      <w:r>
        <w:rPr>
          <w:rStyle w:val="55"/>
          <w:rFonts w:hint="eastAsia" w:ascii="宋体" w:hAnsi="宋体"/>
          <w:color w:val="auto"/>
          <w:sz w:val="21"/>
          <w:szCs w:val="21"/>
        </w:rPr>
        <w:fldChar w:fldCharType="end"/>
      </w:r>
      <w:r>
        <w:rPr>
          <w:rFonts w:hint="eastAsia" w:ascii="宋体" w:hAnsi="宋体"/>
          <w:color w:val="auto"/>
          <w:sz w:val="21"/>
          <w:szCs w:val="21"/>
        </w:rPr>
        <w:t>查询。</w:t>
      </w:r>
    </w:p>
    <w:p w14:paraId="340F37E9">
      <w:pPr>
        <w:adjustRightInd w:val="0"/>
        <w:snapToGrid w:val="0"/>
        <w:ind w:firstLine="390"/>
        <w:rPr>
          <w:rFonts w:ascii="宋体" w:hAnsi="宋体" w:eastAsia="宋体"/>
          <w:snapToGrid w:val="0"/>
          <w:color w:val="auto"/>
          <w:sz w:val="21"/>
          <w:szCs w:val="21"/>
        </w:rPr>
      </w:pPr>
      <w:r>
        <w:rPr>
          <w:rFonts w:hint="eastAsia" w:ascii="宋体" w:hAnsi="宋体"/>
          <w:color w:val="auto"/>
          <w:sz w:val="21"/>
          <w:szCs w:val="21"/>
        </w:rPr>
        <w:t>3.供应商应在本表后提供表内所列认证证书复印件。</w:t>
      </w:r>
    </w:p>
    <w:p w14:paraId="2861A489">
      <w:pPr>
        <w:tabs>
          <w:tab w:val="left" w:pos="1573"/>
        </w:tabs>
        <w:ind w:left="941" w:leftChars="448"/>
        <w:rPr>
          <w:rFonts w:ascii="宋体" w:hAnsi="宋体"/>
          <w:bCs/>
          <w:color w:val="auto"/>
          <w:sz w:val="21"/>
          <w:szCs w:val="21"/>
        </w:rPr>
      </w:pPr>
      <w:r>
        <w:rPr>
          <w:rFonts w:hint="eastAsia" w:ascii="宋体" w:hAnsi="宋体"/>
          <w:bCs/>
          <w:color w:val="auto"/>
          <w:sz w:val="21"/>
          <w:szCs w:val="21"/>
        </w:rPr>
        <w:t xml:space="preserve">    </w:t>
      </w:r>
    </w:p>
    <w:p w14:paraId="4E9A847B">
      <w:pPr>
        <w:adjustRightInd w:val="0"/>
        <w:snapToGrid w:val="0"/>
        <w:ind w:firstLine="420" w:firstLineChars="200"/>
        <w:rPr>
          <w:rFonts w:ascii="宋体"/>
          <w:color w:val="auto"/>
          <w:sz w:val="21"/>
          <w:szCs w:val="21"/>
          <w:u w:val="single"/>
        </w:rPr>
      </w:pPr>
      <w:r>
        <w:rPr>
          <w:rFonts w:hint="eastAsia" w:ascii="宋体"/>
          <w:color w:val="auto"/>
          <w:sz w:val="21"/>
          <w:szCs w:val="21"/>
        </w:rPr>
        <w:t>供应商名称（签章）：</w:t>
      </w:r>
      <w:r>
        <w:rPr>
          <w:rFonts w:hint="eastAsia" w:ascii="宋体"/>
          <w:color w:val="auto"/>
          <w:sz w:val="21"/>
          <w:szCs w:val="21"/>
          <w:u w:val="single"/>
        </w:rPr>
        <w:t xml:space="preserve">                                    </w:t>
      </w:r>
    </w:p>
    <w:p w14:paraId="58F797F1">
      <w:pPr>
        <w:adjustRightInd w:val="0"/>
        <w:snapToGrid w:val="0"/>
        <w:ind w:firstLine="420" w:firstLineChars="200"/>
        <w:rPr>
          <w:rFonts w:ascii="宋体" w:hAnsi="宋体"/>
          <w:snapToGrid w:val="0"/>
          <w:color w:val="auto"/>
          <w:kern w:val="0"/>
          <w:sz w:val="21"/>
          <w:szCs w:val="21"/>
        </w:rPr>
      </w:pPr>
      <w:r>
        <w:rPr>
          <w:rFonts w:hint="eastAsia" w:ascii="宋体" w:hAnsi="宋体"/>
          <w:snapToGrid w:val="0"/>
          <w:color w:val="auto"/>
          <w:kern w:val="0"/>
          <w:sz w:val="21"/>
          <w:szCs w:val="21"/>
        </w:rPr>
        <w:t>法定代表人（单位负责人）</w:t>
      </w:r>
    </w:p>
    <w:p w14:paraId="04218840">
      <w:pPr>
        <w:adjustRightInd w:val="0"/>
        <w:snapToGrid w:val="0"/>
        <w:ind w:firstLine="420" w:firstLineChars="200"/>
        <w:rPr>
          <w:rFonts w:ascii="宋体" w:hAnsi="宋体"/>
          <w:snapToGrid w:val="0"/>
          <w:color w:val="auto"/>
          <w:kern w:val="0"/>
          <w:sz w:val="21"/>
          <w:szCs w:val="21"/>
        </w:rPr>
      </w:pPr>
      <w:r>
        <w:rPr>
          <w:rFonts w:hint="eastAsia" w:ascii="宋体" w:hAnsi="宋体"/>
          <w:snapToGrid w:val="0"/>
          <w:color w:val="auto"/>
          <w:kern w:val="0"/>
          <w:sz w:val="21"/>
          <w:szCs w:val="21"/>
        </w:rPr>
        <w:t>或授权代表（签   章）</w:t>
      </w:r>
      <w:r>
        <w:rPr>
          <w:rFonts w:hint="eastAsia" w:ascii="宋体"/>
          <w:color w:val="auto"/>
          <w:sz w:val="21"/>
          <w:szCs w:val="21"/>
        </w:rPr>
        <w:t>：</w:t>
      </w:r>
      <w:r>
        <w:rPr>
          <w:rFonts w:hint="eastAsia" w:ascii="宋体"/>
          <w:color w:val="auto"/>
          <w:sz w:val="21"/>
          <w:szCs w:val="21"/>
          <w:u w:val="single"/>
        </w:rPr>
        <w:t xml:space="preserve">                                </w:t>
      </w:r>
    </w:p>
    <w:p w14:paraId="76507C6F">
      <w:pPr>
        <w:tabs>
          <w:tab w:val="left" w:pos="1573"/>
        </w:tabs>
        <w:rPr>
          <w:rFonts w:ascii="宋体" w:hAnsi="宋体"/>
          <w:color w:val="auto"/>
          <w:sz w:val="21"/>
          <w:szCs w:val="21"/>
        </w:rPr>
      </w:pPr>
    </w:p>
    <w:p w14:paraId="0FE73C1B">
      <w:pPr>
        <w:pStyle w:val="18"/>
        <w:snapToGrid w:val="0"/>
        <w:rPr>
          <w:rFonts w:ascii="宋体" w:hAnsi="宋体" w:eastAsia="宋体"/>
          <w:snapToGrid w:val="0"/>
          <w:color w:val="auto"/>
          <w:sz w:val="21"/>
          <w:szCs w:val="21"/>
        </w:rPr>
      </w:pPr>
      <w:r>
        <w:rPr>
          <w:rFonts w:hint="eastAsia" w:ascii="宋体" w:hAnsi="宋体" w:eastAsia="宋体"/>
          <w:snapToGrid w:val="0"/>
          <w:color w:val="auto"/>
          <w:sz w:val="21"/>
          <w:szCs w:val="21"/>
        </w:rPr>
        <w:t xml:space="preserve">                    </w:t>
      </w:r>
    </w:p>
    <w:p w14:paraId="776ED838">
      <w:pPr>
        <w:pStyle w:val="18"/>
        <w:snapToGrid w:val="0"/>
        <w:ind w:firstLine="420" w:firstLineChars="200"/>
        <w:jc w:val="right"/>
        <w:rPr>
          <w:rFonts w:ascii="宋体" w:hAnsi="宋体" w:eastAsia="宋体"/>
          <w:snapToGrid w:val="0"/>
          <w:color w:val="auto"/>
          <w:sz w:val="21"/>
          <w:szCs w:val="21"/>
        </w:rPr>
      </w:pPr>
      <w:r>
        <w:rPr>
          <w:rFonts w:hint="eastAsia" w:ascii="宋体" w:hAnsi="宋体" w:eastAsia="宋体"/>
          <w:bCs/>
          <w:snapToGrid w:val="0"/>
          <w:color w:val="auto"/>
          <w:sz w:val="21"/>
          <w:szCs w:val="21"/>
        </w:rPr>
        <w:t>日期:</w:t>
      </w:r>
      <w:r>
        <w:rPr>
          <w:rFonts w:hint="eastAsia" w:ascii="宋体" w:hAnsi="宋体" w:eastAsia="宋体"/>
          <w:snapToGrid w:val="0"/>
          <w:color w:val="auto"/>
          <w:sz w:val="21"/>
          <w:szCs w:val="21"/>
          <w:u w:val="single"/>
        </w:rPr>
        <w:t xml:space="preserve">     </w:t>
      </w:r>
      <w:r>
        <w:rPr>
          <w:rFonts w:hint="eastAsia" w:ascii="宋体" w:hAnsi="宋体" w:eastAsia="宋体"/>
          <w:snapToGrid w:val="0"/>
          <w:color w:val="auto"/>
          <w:sz w:val="21"/>
          <w:szCs w:val="21"/>
        </w:rPr>
        <w:t>年</w:t>
      </w:r>
      <w:r>
        <w:rPr>
          <w:rFonts w:hint="eastAsia" w:ascii="宋体" w:hAnsi="宋体" w:eastAsia="宋体"/>
          <w:snapToGrid w:val="0"/>
          <w:color w:val="auto"/>
          <w:sz w:val="21"/>
          <w:szCs w:val="21"/>
          <w:u w:val="single"/>
        </w:rPr>
        <w:t xml:space="preserve">   </w:t>
      </w:r>
      <w:r>
        <w:rPr>
          <w:rFonts w:hint="eastAsia" w:ascii="宋体" w:hAnsi="宋体" w:eastAsia="宋体"/>
          <w:snapToGrid w:val="0"/>
          <w:color w:val="auto"/>
          <w:sz w:val="21"/>
          <w:szCs w:val="21"/>
        </w:rPr>
        <w:t>月</w:t>
      </w:r>
      <w:r>
        <w:rPr>
          <w:rFonts w:hint="eastAsia" w:ascii="宋体" w:hAnsi="宋体" w:eastAsia="宋体"/>
          <w:snapToGrid w:val="0"/>
          <w:color w:val="auto"/>
          <w:sz w:val="21"/>
          <w:szCs w:val="21"/>
          <w:u w:val="single"/>
        </w:rPr>
        <w:t xml:space="preserve">   </w:t>
      </w:r>
      <w:r>
        <w:rPr>
          <w:rFonts w:hint="eastAsia" w:ascii="宋体" w:hAnsi="宋体" w:eastAsia="宋体"/>
          <w:snapToGrid w:val="0"/>
          <w:color w:val="auto"/>
          <w:sz w:val="21"/>
          <w:szCs w:val="21"/>
        </w:rPr>
        <w:t>日</w:t>
      </w:r>
    </w:p>
    <w:p w14:paraId="4AE70AD9">
      <w:pPr>
        <w:pStyle w:val="18"/>
        <w:snapToGrid w:val="0"/>
        <w:ind w:firstLine="480" w:firstLineChars="200"/>
        <w:rPr>
          <w:rFonts w:ascii="宋体" w:hAnsi="宋体" w:eastAsia="宋体"/>
          <w:snapToGrid w:val="0"/>
          <w:color w:val="auto"/>
          <w:sz w:val="24"/>
          <w:szCs w:val="24"/>
        </w:rPr>
      </w:pPr>
    </w:p>
    <w:p w14:paraId="631373FD">
      <w:pPr>
        <w:rPr>
          <w:rFonts w:hint="eastAsia"/>
          <w:color w:val="auto"/>
          <w:sz w:val="21"/>
          <w:szCs w:val="21"/>
        </w:rPr>
      </w:pPr>
      <w:r>
        <w:rPr>
          <w:rFonts w:hint="eastAsia"/>
          <w:color w:val="auto"/>
          <w:sz w:val="21"/>
          <w:szCs w:val="21"/>
        </w:rPr>
        <w:br w:type="page"/>
      </w:r>
    </w:p>
    <w:p w14:paraId="41C89AAD">
      <w:pPr>
        <w:pStyle w:val="4"/>
        <w:rPr>
          <w:color w:val="auto"/>
          <w:sz w:val="21"/>
          <w:szCs w:val="21"/>
        </w:rPr>
      </w:pPr>
      <w:r>
        <w:rPr>
          <w:rFonts w:hint="eastAsia"/>
          <w:color w:val="auto"/>
          <w:sz w:val="21"/>
          <w:szCs w:val="21"/>
        </w:rPr>
        <w:t>附件3：</w:t>
      </w:r>
    </w:p>
    <w:p w14:paraId="412C2DDD">
      <w:pPr>
        <w:pStyle w:val="4"/>
        <w:jc w:val="center"/>
        <w:rPr>
          <w:rFonts w:ascii="Times New Roman" w:hAnsi="Times New Roman" w:eastAsia="宋体" w:cs="Times New Roman"/>
          <w:b/>
          <w:bCs/>
          <w:color w:val="auto"/>
          <w:kern w:val="44"/>
          <w:sz w:val="32"/>
          <w:szCs w:val="32"/>
          <w:lang w:val="en-US" w:eastAsia="zh-CN" w:bidi="ar-SA"/>
        </w:rPr>
      </w:pPr>
      <w:r>
        <w:rPr>
          <w:rFonts w:hint="eastAsia" w:ascii="Times New Roman" w:hAnsi="Times New Roman" w:eastAsia="宋体" w:cs="Times New Roman"/>
          <w:b/>
          <w:bCs/>
          <w:color w:val="auto"/>
          <w:kern w:val="44"/>
          <w:sz w:val="32"/>
          <w:szCs w:val="32"/>
          <w:lang w:val="en-US" w:eastAsia="zh-CN" w:bidi="ar-SA"/>
        </w:rPr>
        <w:t>节能产品、环境标志产品政府优先采购认证证书一览表</w:t>
      </w:r>
    </w:p>
    <w:p w14:paraId="21F2DB7F">
      <w:pPr>
        <w:jc w:val="center"/>
        <w:rPr>
          <w:rFonts w:ascii="黑体" w:hAnsi="黑体" w:eastAsia="黑体"/>
          <w:color w:val="auto"/>
          <w:kern w:val="0"/>
          <w:sz w:val="21"/>
          <w:szCs w:val="21"/>
        </w:rPr>
      </w:pPr>
      <w:r>
        <w:rPr>
          <w:rFonts w:hint="eastAsia"/>
          <w:color w:val="auto"/>
          <w:sz w:val="21"/>
          <w:szCs w:val="21"/>
        </w:rPr>
        <w:t>（如果有，提供）</w:t>
      </w:r>
    </w:p>
    <w:tbl>
      <w:tblPr>
        <w:tblStyle w:val="47"/>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60EC3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A585274">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序号</w:t>
            </w:r>
          </w:p>
        </w:tc>
        <w:tc>
          <w:tcPr>
            <w:tcW w:w="1560" w:type="dxa"/>
            <w:vAlign w:val="center"/>
          </w:tcPr>
          <w:p w14:paraId="2121FF05">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品目</w:t>
            </w:r>
          </w:p>
        </w:tc>
        <w:tc>
          <w:tcPr>
            <w:tcW w:w="1134" w:type="dxa"/>
            <w:vAlign w:val="center"/>
          </w:tcPr>
          <w:p w14:paraId="56F5C0E5">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产品名称</w:t>
            </w:r>
          </w:p>
        </w:tc>
        <w:tc>
          <w:tcPr>
            <w:tcW w:w="1134" w:type="dxa"/>
            <w:vAlign w:val="center"/>
          </w:tcPr>
          <w:p w14:paraId="3AFF24C9">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规格型号</w:t>
            </w:r>
          </w:p>
        </w:tc>
        <w:tc>
          <w:tcPr>
            <w:tcW w:w="1134" w:type="dxa"/>
            <w:vAlign w:val="center"/>
          </w:tcPr>
          <w:p w14:paraId="6DDB1145">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证书编号</w:t>
            </w:r>
          </w:p>
        </w:tc>
        <w:tc>
          <w:tcPr>
            <w:tcW w:w="1559" w:type="dxa"/>
            <w:vAlign w:val="center"/>
          </w:tcPr>
          <w:p w14:paraId="3957DD4B">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证书到期日期</w:t>
            </w:r>
          </w:p>
        </w:tc>
        <w:tc>
          <w:tcPr>
            <w:tcW w:w="1206" w:type="dxa"/>
            <w:vAlign w:val="center"/>
          </w:tcPr>
          <w:p w14:paraId="472EF568">
            <w:pPr>
              <w:autoSpaceDE w:val="0"/>
              <w:autoSpaceDN w:val="0"/>
              <w:adjustRightInd w:val="0"/>
              <w:jc w:val="center"/>
              <w:rPr>
                <w:rFonts w:ascii="黑体" w:hAnsi="黑体" w:eastAsia="黑体" w:cs="黑体"/>
                <w:color w:val="auto"/>
                <w:sz w:val="21"/>
                <w:szCs w:val="21"/>
                <w:lang w:val="zh-CN"/>
              </w:rPr>
            </w:pPr>
            <w:r>
              <w:rPr>
                <w:rFonts w:hint="eastAsia" w:ascii="黑体" w:hAnsi="黑体" w:eastAsia="黑体" w:cs="黑体"/>
                <w:color w:val="auto"/>
                <w:sz w:val="21"/>
                <w:szCs w:val="21"/>
                <w:lang w:val="zh-CN"/>
              </w:rPr>
              <w:t>发证机构</w:t>
            </w:r>
          </w:p>
        </w:tc>
      </w:tr>
      <w:tr w14:paraId="4E0CC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FF5B548">
            <w:pPr>
              <w:adjustRightInd w:val="0"/>
              <w:snapToGrid w:val="0"/>
              <w:jc w:val="center"/>
              <w:rPr>
                <w:rFonts w:ascii="宋体" w:hAnsi="宋体"/>
                <w:color w:val="auto"/>
                <w:sz w:val="21"/>
                <w:szCs w:val="21"/>
              </w:rPr>
            </w:pPr>
            <w:r>
              <w:rPr>
                <w:rFonts w:hint="eastAsia" w:ascii="宋体" w:hAnsi="宋体"/>
                <w:color w:val="auto"/>
                <w:sz w:val="21"/>
                <w:szCs w:val="21"/>
              </w:rPr>
              <w:t>1</w:t>
            </w:r>
          </w:p>
        </w:tc>
        <w:tc>
          <w:tcPr>
            <w:tcW w:w="1560" w:type="dxa"/>
            <w:vAlign w:val="center"/>
          </w:tcPr>
          <w:p w14:paraId="284C2CC8">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249559E">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EE5CB12">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740D0457">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1699A54B">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39513FB8">
            <w:pPr>
              <w:adjustRightInd w:val="0"/>
              <w:snapToGrid w:val="0"/>
              <w:rPr>
                <w:rFonts w:ascii="宋体" w:hAnsi="宋体"/>
                <w:color w:val="auto"/>
                <w:sz w:val="21"/>
                <w:szCs w:val="21"/>
              </w:rPr>
            </w:pPr>
            <w:r>
              <w:rPr>
                <w:rFonts w:hint="eastAsia" w:ascii="宋体" w:hAnsi="宋体"/>
                <w:color w:val="auto"/>
                <w:sz w:val="21"/>
                <w:szCs w:val="21"/>
              </w:rPr>
              <w:t>　</w:t>
            </w:r>
          </w:p>
        </w:tc>
      </w:tr>
      <w:tr w14:paraId="08CF1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52380313">
            <w:pPr>
              <w:adjustRightInd w:val="0"/>
              <w:snapToGrid w:val="0"/>
              <w:jc w:val="center"/>
              <w:rPr>
                <w:rFonts w:ascii="宋体" w:hAnsi="宋体"/>
                <w:color w:val="auto"/>
                <w:sz w:val="21"/>
                <w:szCs w:val="21"/>
              </w:rPr>
            </w:pPr>
            <w:r>
              <w:rPr>
                <w:rFonts w:hint="eastAsia" w:ascii="宋体" w:hAnsi="宋体"/>
                <w:color w:val="auto"/>
                <w:sz w:val="21"/>
                <w:szCs w:val="21"/>
              </w:rPr>
              <w:t>2</w:t>
            </w:r>
          </w:p>
        </w:tc>
        <w:tc>
          <w:tcPr>
            <w:tcW w:w="1560" w:type="dxa"/>
            <w:vAlign w:val="center"/>
          </w:tcPr>
          <w:p w14:paraId="198FC209">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1F885D97">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6DA31462">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08315628">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30050B6F">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1717E30D">
            <w:pPr>
              <w:adjustRightInd w:val="0"/>
              <w:snapToGrid w:val="0"/>
              <w:rPr>
                <w:rFonts w:ascii="宋体" w:hAnsi="宋体"/>
                <w:color w:val="auto"/>
                <w:sz w:val="21"/>
                <w:szCs w:val="21"/>
              </w:rPr>
            </w:pPr>
            <w:r>
              <w:rPr>
                <w:rFonts w:hint="eastAsia" w:ascii="宋体" w:hAnsi="宋体"/>
                <w:color w:val="auto"/>
                <w:sz w:val="21"/>
                <w:szCs w:val="21"/>
              </w:rPr>
              <w:t>　</w:t>
            </w:r>
          </w:p>
        </w:tc>
      </w:tr>
      <w:tr w14:paraId="6326B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8FA68F3">
            <w:pPr>
              <w:adjustRightInd w:val="0"/>
              <w:snapToGrid w:val="0"/>
              <w:jc w:val="center"/>
              <w:rPr>
                <w:rFonts w:ascii="宋体" w:hAnsi="宋体"/>
                <w:color w:val="auto"/>
                <w:sz w:val="21"/>
                <w:szCs w:val="21"/>
              </w:rPr>
            </w:pPr>
            <w:r>
              <w:rPr>
                <w:rFonts w:hint="eastAsia" w:ascii="宋体" w:hAnsi="宋体"/>
                <w:color w:val="auto"/>
                <w:sz w:val="21"/>
                <w:szCs w:val="21"/>
              </w:rPr>
              <w:t>3</w:t>
            </w:r>
          </w:p>
        </w:tc>
        <w:tc>
          <w:tcPr>
            <w:tcW w:w="1560" w:type="dxa"/>
            <w:vAlign w:val="center"/>
          </w:tcPr>
          <w:p w14:paraId="3891FE21">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1BA34D7E">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6E4497FE">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A301217">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6310A304">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5655333D">
            <w:pPr>
              <w:adjustRightInd w:val="0"/>
              <w:snapToGrid w:val="0"/>
              <w:rPr>
                <w:rFonts w:ascii="宋体" w:hAnsi="宋体"/>
                <w:color w:val="auto"/>
                <w:sz w:val="21"/>
                <w:szCs w:val="21"/>
              </w:rPr>
            </w:pPr>
            <w:r>
              <w:rPr>
                <w:rFonts w:hint="eastAsia" w:ascii="宋体" w:hAnsi="宋体"/>
                <w:color w:val="auto"/>
                <w:sz w:val="21"/>
                <w:szCs w:val="21"/>
              </w:rPr>
              <w:t>　</w:t>
            </w:r>
          </w:p>
        </w:tc>
      </w:tr>
      <w:tr w14:paraId="60B15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AEFF258">
            <w:pPr>
              <w:adjustRightInd w:val="0"/>
              <w:snapToGrid w:val="0"/>
              <w:jc w:val="center"/>
              <w:rPr>
                <w:rFonts w:ascii="宋体" w:hAnsi="宋体"/>
                <w:color w:val="auto"/>
                <w:sz w:val="21"/>
                <w:szCs w:val="21"/>
              </w:rPr>
            </w:pPr>
            <w:r>
              <w:rPr>
                <w:rFonts w:hint="eastAsia" w:ascii="宋体" w:hAnsi="宋体"/>
                <w:color w:val="auto"/>
                <w:sz w:val="21"/>
                <w:szCs w:val="21"/>
              </w:rPr>
              <w:t>4</w:t>
            </w:r>
          </w:p>
        </w:tc>
        <w:tc>
          <w:tcPr>
            <w:tcW w:w="1560" w:type="dxa"/>
            <w:vAlign w:val="center"/>
          </w:tcPr>
          <w:p w14:paraId="69F8F15B">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38BE50F4">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0334C296">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5040F185">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230D1BCB">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21F23855">
            <w:pPr>
              <w:adjustRightInd w:val="0"/>
              <w:snapToGrid w:val="0"/>
              <w:rPr>
                <w:rFonts w:ascii="宋体" w:hAnsi="宋体"/>
                <w:color w:val="auto"/>
                <w:sz w:val="21"/>
                <w:szCs w:val="21"/>
              </w:rPr>
            </w:pPr>
            <w:r>
              <w:rPr>
                <w:rFonts w:hint="eastAsia" w:ascii="宋体" w:hAnsi="宋体"/>
                <w:color w:val="auto"/>
                <w:sz w:val="21"/>
                <w:szCs w:val="21"/>
              </w:rPr>
              <w:t>　</w:t>
            </w:r>
          </w:p>
        </w:tc>
      </w:tr>
      <w:tr w14:paraId="090EC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A2BE485">
            <w:pPr>
              <w:adjustRightInd w:val="0"/>
              <w:snapToGrid w:val="0"/>
              <w:jc w:val="center"/>
              <w:rPr>
                <w:rFonts w:ascii="宋体" w:hAnsi="宋体"/>
                <w:color w:val="auto"/>
                <w:sz w:val="21"/>
                <w:szCs w:val="21"/>
              </w:rPr>
            </w:pPr>
            <w:r>
              <w:rPr>
                <w:rFonts w:hint="eastAsia" w:ascii="宋体" w:hAnsi="宋体"/>
                <w:color w:val="auto"/>
                <w:sz w:val="21"/>
                <w:szCs w:val="21"/>
              </w:rPr>
              <w:t>5</w:t>
            </w:r>
          </w:p>
        </w:tc>
        <w:tc>
          <w:tcPr>
            <w:tcW w:w="1560" w:type="dxa"/>
            <w:vAlign w:val="center"/>
          </w:tcPr>
          <w:p w14:paraId="7C2B6203">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EB856F3">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4663D8BE">
            <w:pPr>
              <w:adjustRightInd w:val="0"/>
              <w:snapToGrid w:val="0"/>
              <w:rPr>
                <w:rFonts w:ascii="宋体" w:hAnsi="宋体"/>
                <w:color w:val="auto"/>
                <w:sz w:val="21"/>
                <w:szCs w:val="21"/>
              </w:rPr>
            </w:pPr>
            <w:r>
              <w:rPr>
                <w:rFonts w:hint="eastAsia" w:ascii="宋体" w:hAnsi="宋体"/>
                <w:color w:val="auto"/>
                <w:sz w:val="21"/>
                <w:szCs w:val="21"/>
              </w:rPr>
              <w:t>　</w:t>
            </w:r>
          </w:p>
        </w:tc>
        <w:tc>
          <w:tcPr>
            <w:tcW w:w="1134" w:type="dxa"/>
            <w:vAlign w:val="center"/>
          </w:tcPr>
          <w:p w14:paraId="29EA3B88">
            <w:pPr>
              <w:adjustRightInd w:val="0"/>
              <w:snapToGrid w:val="0"/>
              <w:rPr>
                <w:rFonts w:ascii="宋体" w:hAnsi="宋体"/>
                <w:color w:val="auto"/>
                <w:sz w:val="21"/>
                <w:szCs w:val="21"/>
              </w:rPr>
            </w:pPr>
            <w:r>
              <w:rPr>
                <w:rFonts w:hint="eastAsia" w:ascii="宋体" w:hAnsi="宋体"/>
                <w:color w:val="auto"/>
                <w:sz w:val="21"/>
                <w:szCs w:val="21"/>
              </w:rPr>
              <w:t>　</w:t>
            </w:r>
          </w:p>
        </w:tc>
        <w:tc>
          <w:tcPr>
            <w:tcW w:w="1559" w:type="dxa"/>
            <w:vAlign w:val="center"/>
          </w:tcPr>
          <w:p w14:paraId="2302FAE8">
            <w:pPr>
              <w:adjustRightInd w:val="0"/>
              <w:snapToGrid w:val="0"/>
              <w:rPr>
                <w:rFonts w:ascii="宋体" w:hAnsi="宋体"/>
                <w:color w:val="auto"/>
                <w:sz w:val="21"/>
                <w:szCs w:val="21"/>
              </w:rPr>
            </w:pPr>
            <w:r>
              <w:rPr>
                <w:rFonts w:hint="eastAsia" w:ascii="宋体" w:hAnsi="宋体"/>
                <w:color w:val="auto"/>
                <w:sz w:val="21"/>
                <w:szCs w:val="21"/>
              </w:rPr>
              <w:t>　</w:t>
            </w:r>
          </w:p>
        </w:tc>
        <w:tc>
          <w:tcPr>
            <w:tcW w:w="1206" w:type="dxa"/>
            <w:vAlign w:val="center"/>
          </w:tcPr>
          <w:p w14:paraId="024BCAF0">
            <w:pPr>
              <w:adjustRightInd w:val="0"/>
              <w:snapToGrid w:val="0"/>
              <w:rPr>
                <w:rFonts w:ascii="宋体" w:hAnsi="宋体"/>
                <w:color w:val="auto"/>
                <w:sz w:val="21"/>
                <w:szCs w:val="21"/>
              </w:rPr>
            </w:pPr>
            <w:r>
              <w:rPr>
                <w:rFonts w:hint="eastAsia" w:ascii="宋体" w:hAnsi="宋体"/>
                <w:color w:val="auto"/>
                <w:sz w:val="21"/>
                <w:szCs w:val="21"/>
              </w:rPr>
              <w:t>　</w:t>
            </w:r>
          </w:p>
        </w:tc>
      </w:tr>
      <w:tr w14:paraId="148D0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80428BA">
            <w:pPr>
              <w:adjustRightInd w:val="0"/>
              <w:snapToGrid w:val="0"/>
              <w:jc w:val="center"/>
              <w:rPr>
                <w:rFonts w:ascii="宋体" w:hAnsi="宋体"/>
                <w:color w:val="auto"/>
                <w:sz w:val="21"/>
                <w:szCs w:val="21"/>
              </w:rPr>
            </w:pPr>
            <w:r>
              <w:rPr>
                <w:rFonts w:hint="eastAsia" w:ascii="宋体" w:hAnsi="宋体"/>
                <w:color w:val="auto"/>
                <w:sz w:val="21"/>
                <w:szCs w:val="21"/>
              </w:rPr>
              <w:t>...</w:t>
            </w:r>
          </w:p>
        </w:tc>
        <w:tc>
          <w:tcPr>
            <w:tcW w:w="1560" w:type="dxa"/>
            <w:vAlign w:val="center"/>
          </w:tcPr>
          <w:p w14:paraId="2D34D658">
            <w:pPr>
              <w:adjustRightInd w:val="0"/>
              <w:snapToGrid w:val="0"/>
              <w:rPr>
                <w:rFonts w:ascii="宋体" w:hAnsi="宋体"/>
                <w:color w:val="auto"/>
                <w:sz w:val="21"/>
                <w:szCs w:val="21"/>
              </w:rPr>
            </w:pPr>
          </w:p>
        </w:tc>
        <w:tc>
          <w:tcPr>
            <w:tcW w:w="1134" w:type="dxa"/>
            <w:vAlign w:val="center"/>
          </w:tcPr>
          <w:p w14:paraId="6685249A">
            <w:pPr>
              <w:adjustRightInd w:val="0"/>
              <w:snapToGrid w:val="0"/>
              <w:rPr>
                <w:rFonts w:ascii="宋体" w:hAnsi="宋体"/>
                <w:color w:val="auto"/>
                <w:sz w:val="21"/>
                <w:szCs w:val="21"/>
              </w:rPr>
            </w:pPr>
          </w:p>
        </w:tc>
        <w:tc>
          <w:tcPr>
            <w:tcW w:w="1134" w:type="dxa"/>
            <w:vAlign w:val="center"/>
          </w:tcPr>
          <w:p w14:paraId="5FD7CB44">
            <w:pPr>
              <w:adjustRightInd w:val="0"/>
              <w:snapToGrid w:val="0"/>
              <w:rPr>
                <w:rFonts w:ascii="宋体" w:hAnsi="宋体"/>
                <w:color w:val="auto"/>
                <w:sz w:val="21"/>
                <w:szCs w:val="21"/>
              </w:rPr>
            </w:pPr>
          </w:p>
        </w:tc>
        <w:tc>
          <w:tcPr>
            <w:tcW w:w="1134" w:type="dxa"/>
            <w:vAlign w:val="center"/>
          </w:tcPr>
          <w:p w14:paraId="1045E623">
            <w:pPr>
              <w:adjustRightInd w:val="0"/>
              <w:snapToGrid w:val="0"/>
              <w:rPr>
                <w:rFonts w:ascii="宋体" w:hAnsi="宋体"/>
                <w:color w:val="auto"/>
                <w:sz w:val="21"/>
                <w:szCs w:val="21"/>
              </w:rPr>
            </w:pPr>
          </w:p>
        </w:tc>
        <w:tc>
          <w:tcPr>
            <w:tcW w:w="1559" w:type="dxa"/>
            <w:vAlign w:val="center"/>
          </w:tcPr>
          <w:p w14:paraId="060065DD">
            <w:pPr>
              <w:adjustRightInd w:val="0"/>
              <w:snapToGrid w:val="0"/>
              <w:rPr>
                <w:rFonts w:ascii="宋体" w:hAnsi="宋体"/>
                <w:color w:val="auto"/>
                <w:sz w:val="21"/>
                <w:szCs w:val="21"/>
              </w:rPr>
            </w:pPr>
          </w:p>
        </w:tc>
        <w:tc>
          <w:tcPr>
            <w:tcW w:w="1206" w:type="dxa"/>
            <w:vAlign w:val="center"/>
          </w:tcPr>
          <w:p w14:paraId="071319A5">
            <w:pPr>
              <w:adjustRightInd w:val="0"/>
              <w:snapToGrid w:val="0"/>
              <w:rPr>
                <w:rFonts w:ascii="宋体" w:hAnsi="宋体"/>
                <w:color w:val="auto"/>
                <w:sz w:val="21"/>
                <w:szCs w:val="21"/>
              </w:rPr>
            </w:pPr>
          </w:p>
        </w:tc>
      </w:tr>
    </w:tbl>
    <w:p w14:paraId="6DA2C02B">
      <w:pPr>
        <w:adjustRightInd w:val="0"/>
        <w:snapToGrid w:val="0"/>
        <w:ind w:firstLine="420" w:firstLineChars="200"/>
        <w:rPr>
          <w:rFonts w:ascii="宋体" w:hAnsi="宋体"/>
          <w:color w:val="auto"/>
          <w:szCs w:val="21"/>
        </w:rPr>
      </w:pPr>
      <w:r>
        <w:rPr>
          <w:rFonts w:hint="eastAsia" w:ascii="宋体" w:hAnsi="宋体"/>
          <w:color w:val="auto"/>
          <w:szCs w:val="21"/>
        </w:rPr>
        <w:t>注：</w:t>
      </w:r>
    </w:p>
    <w:p w14:paraId="69C700F8">
      <w:pPr>
        <w:adjustRightInd w:val="0"/>
        <w:snapToGrid w:val="0"/>
        <w:ind w:firstLine="386"/>
        <w:rPr>
          <w:rFonts w:ascii="宋体" w:hAnsi="宋体"/>
          <w:color w:val="auto"/>
          <w:szCs w:val="21"/>
        </w:rPr>
      </w:pPr>
      <w:r>
        <w:rPr>
          <w:rFonts w:hint="eastAsia" w:ascii="宋体" w:hAnsi="宋体"/>
          <w:color w:val="auto"/>
          <w:szCs w:val="21"/>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14:paraId="7EDF2993">
      <w:pPr>
        <w:adjustRightInd w:val="0"/>
        <w:snapToGrid w:val="0"/>
        <w:ind w:firstLine="390"/>
        <w:rPr>
          <w:rFonts w:hint="eastAsia" w:ascii="宋体" w:hAnsi="宋体"/>
          <w:color w:val="auto"/>
          <w:szCs w:val="21"/>
        </w:rPr>
      </w:pPr>
      <w:r>
        <w:rPr>
          <w:rFonts w:hint="eastAsia" w:ascii="宋体" w:hAnsi="宋体"/>
          <w:color w:val="auto"/>
          <w:szCs w:val="21"/>
        </w:rPr>
        <w:t>2. 《节能产品政府采购品目清单》、《环境标志产品政府采购品目清单》请登录中国政府采购网</w:t>
      </w:r>
      <w:r>
        <w:rPr>
          <w:rFonts w:hint="eastAsia" w:ascii="宋体" w:hAnsi="宋体"/>
          <w:color w:val="auto"/>
          <w:szCs w:val="21"/>
        </w:rPr>
        <w:fldChar w:fldCharType="begin"/>
      </w:r>
      <w:r>
        <w:rPr>
          <w:rFonts w:hint="eastAsia" w:ascii="宋体" w:hAnsi="宋体"/>
          <w:color w:val="auto"/>
          <w:szCs w:val="21"/>
        </w:rPr>
        <w:instrText xml:space="preserve"> HYPERLINK "http://www.ccgp.gov.cn" </w:instrText>
      </w:r>
      <w:r>
        <w:rPr>
          <w:rFonts w:hint="eastAsia" w:ascii="宋体" w:hAnsi="宋体"/>
          <w:color w:val="auto"/>
          <w:szCs w:val="21"/>
        </w:rPr>
        <w:fldChar w:fldCharType="separate"/>
      </w:r>
      <w:r>
        <w:rPr>
          <w:rFonts w:hint="eastAsia" w:ascii="宋体" w:hAnsi="宋体"/>
          <w:color w:val="auto"/>
          <w:szCs w:val="21"/>
        </w:rPr>
        <w:t>http://www.ccgp.gov.cn</w:t>
      </w:r>
      <w:r>
        <w:rPr>
          <w:rFonts w:hint="eastAsia" w:ascii="宋体" w:hAnsi="宋体"/>
          <w:color w:val="auto"/>
          <w:szCs w:val="21"/>
        </w:rPr>
        <w:fldChar w:fldCharType="end"/>
      </w:r>
      <w:r>
        <w:rPr>
          <w:rFonts w:hint="eastAsia" w:ascii="宋体" w:hAnsi="宋体"/>
          <w:color w:val="auto"/>
          <w:szCs w:val="21"/>
        </w:rPr>
        <w:t>查询。</w:t>
      </w:r>
    </w:p>
    <w:p w14:paraId="04F84694">
      <w:pPr>
        <w:adjustRightInd w:val="0"/>
        <w:snapToGrid w:val="0"/>
        <w:ind w:firstLine="390"/>
        <w:rPr>
          <w:rFonts w:hint="eastAsia" w:ascii="宋体" w:hAnsi="宋体"/>
          <w:color w:val="auto"/>
          <w:szCs w:val="21"/>
        </w:rPr>
      </w:pPr>
      <w:r>
        <w:rPr>
          <w:rFonts w:hint="eastAsia" w:ascii="宋体" w:hAnsi="宋体"/>
          <w:color w:val="auto"/>
          <w:szCs w:val="21"/>
        </w:rPr>
        <w:t>3.供应商应在本表后提供表内所列认证证书复印件。</w:t>
      </w:r>
    </w:p>
    <w:p w14:paraId="24D7B977">
      <w:pPr>
        <w:adjustRightInd w:val="0"/>
        <w:snapToGrid w:val="0"/>
        <w:rPr>
          <w:rFonts w:ascii="宋体" w:hAnsi="宋体"/>
          <w:color w:val="auto"/>
          <w:sz w:val="24"/>
        </w:rPr>
      </w:pPr>
    </w:p>
    <w:p w14:paraId="6D946BA5">
      <w:pPr>
        <w:tabs>
          <w:tab w:val="left" w:pos="1573"/>
        </w:tabs>
        <w:ind w:left="941" w:leftChars="448"/>
        <w:rPr>
          <w:rFonts w:ascii="宋体" w:hAnsi="宋体"/>
          <w:bCs/>
          <w:color w:val="auto"/>
          <w:sz w:val="24"/>
        </w:rPr>
      </w:pPr>
      <w:r>
        <w:rPr>
          <w:rFonts w:hint="eastAsia" w:ascii="宋体" w:hAnsi="宋体"/>
          <w:bCs/>
          <w:color w:val="auto"/>
          <w:sz w:val="24"/>
        </w:rPr>
        <w:t xml:space="preserve">    </w:t>
      </w:r>
    </w:p>
    <w:p w14:paraId="5FFD3D73">
      <w:pPr>
        <w:adjustRightInd w:val="0"/>
        <w:snapToGrid w:val="0"/>
        <w:ind w:firstLine="420" w:firstLineChars="200"/>
        <w:rPr>
          <w:rFonts w:ascii="宋体"/>
          <w:color w:val="auto"/>
          <w:sz w:val="21"/>
          <w:szCs w:val="21"/>
          <w:u w:val="single"/>
        </w:rPr>
      </w:pPr>
      <w:r>
        <w:rPr>
          <w:rFonts w:hint="eastAsia" w:ascii="宋体"/>
          <w:color w:val="auto"/>
          <w:sz w:val="21"/>
          <w:szCs w:val="21"/>
        </w:rPr>
        <w:t>供应商名称（签章）：</w:t>
      </w:r>
      <w:r>
        <w:rPr>
          <w:rFonts w:hint="eastAsia" w:ascii="宋体"/>
          <w:color w:val="auto"/>
          <w:sz w:val="21"/>
          <w:szCs w:val="21"/>
          <w:u w:val="single"/>
        </w:rPr>
        <w:t xml:space="preserve">                                    </w:t>
      </w:r>
    </w:p>
    <w:p w14:paraId="71B29F82">
      <w:pPr>
        <w:adjustRightInd w:val="0"/>
        <w:snapToGrid w:val="0"/>
        <w:ind w:firstLine="420" w:firstLineChars="200"/>
        <w:rPr>
          <w:rFonts w:ascii="宋体" w:hAnsi="宋体"/>
          <w:snapToGrid w:val="0"/>
          <w:color w:val="auto"/>
          <w:kern w:val="0"/>
          <w:sz w:val="21"/>
          <w:szCs w:val="21"/>
        </w:rPr>
      </w:pPr>
      <w:r>
        <w:rPr>
          <w:rFonts w:hint="eastAsia" w:ascii="宋体" w:hAnsi="宋体"/>
          <w:snapToGrid w:val="0"/>
          <w:color w:val="auto"/>
          <w:kern w:val="0"/>
          <w:sz w:val="21"/>
          <w:szCs w:val="21"/>
        </w:rPr>
        <w:t>法定代表人（单位负责人）</w:t>
      </w:r>
    </w:p>
    <w:p w14:paraId="1A4EE3F6">
      <w:pPr>
        <w:adjustRightInd w:val="0"/>
        <w:snapToGrid w:val="0"/>
        <w:ind w:firstLine="420" w:firstLineChars="200"/>
        <w:rPr>
          <w:rFonts w:ascii="宋体" w:hAnsi="宋体"/>
          <w:snapToGrid w:val="0"/>
          <w:color w:val="auto"/>
          <w:kern w:val="0"/>
          <w:sz w:val="21"/>
          <w:szCs w:val="21"/>
        </w:rPr>
      </w:pPr>
      <w:r>
        <w:rPr>
          <w:rFonts w:hint="eastAsia" w:ascii="宋体" w:hAnsi="宋体"/>
          <w:snapToGrid w:val="0"/>
          <w:color w:val="auto"/>
          <w:kern w:val="0"/>
          <w:sz w:val="21"/>
          <w:szCs w:val="21"/>
        </w:rPr>
        <w:t>或授权代表（签   章）</w:t>
      </w:r>
      <w:r>
        <w:rPr>
          <w:rFonts w:hint="eastAsia" w:ascii="宋体"/>
          <w:color w:val="auto"/>
          <w:sz w:val="21"/>
          <w:szCs w:val="21"/>
        </w:rPr>
        <w:t>：</w:t>
      </w:r>
      <w:r>
        <w:rPr>
          <w:rFonts w:hint="eastAsia" w:ascii="宋体"/>
          <w:color w:val="auto"/>
          <w:sz w:val="21"/>
          <w:szCs w:val="21"/>
          <w:u w:val="single"/>
        </w:rPr>
        <w:t xml:space="preserve">                                </w:t>
      </w:r>
    </w:p>
    <w:p w14:paraId="171D394E">
      <w:pPr>
        <w:tabs>
          <w:tab w:val="left" w:pos="1573"/>
        </w:tabs>
        <w:rPr>
          <w:rFonts w:ascii="宋体" w:hAnsi="宋体"/>
          <w:color w:val="auto"/>
          <w:sz w:val="21"/>
          <w:szCs w:val="21"/>
        </w:rPr>
      </w:pPr>
    </w:p>
    <w:p w14:paraId="79412B75">
      <w:pPr>
        <w:pStyle w:val="18"/>
        <w:snapToGrid w:val="0"/>
        <w:rPr>
          <w:rFonts w:ascii="宋体" w:hAnsi="宋体" w:eastAsia="宋体"/>
          <w:snapToGrid w:val="0"/>
          <w:color w:val="auto"/>
          <w:sz w:val="21"/>
          <w:szCs w:val="21"/>
        </w:rPr>
      </w:pPr>
      <w:r>
        <w:rPr>
          <w:rFonts w:hint="eastAsia" w:ascii="宋体" w:hAnsi="宋体" w:eastAsia="宋体"/>
          <w:snapToGrid w:val="0"/>
          <w:color w:val="auto"/>
          <w:sz w:val="21"/>
          <w:szCs w:val="21"/>
        </w:rPr>
        <w:t xml:space="preserve">                    </w:t>
      </w:r>
    </w:p>
    <w:p w14:paraId="2EEA133D">
      <w:pPr>
        <w:pStyle w:val="17"/>
        <w:rPr>
          <w:color w:val="auto"/>
          <w:sz w:val="21"/>
          <w:szCs w:val="21"/>
        </w:rPr>
      </w:pPr>
      <w:r>
        <w:rPr>
          <w:rFonts w:hint="eastAsia" w:ascii="宋体" w:hAnsi="宋体"/>
          <w:bCs/>
          <w:snapToGrid w:val="0"/>
          <w:color w:val="auto"/>
          <w:kern w:val="0"/>
          <w:sz w:val="21"/>
          <w:szCs w:val="21"/>
        </w:rPr>
        <w:t>日期:</w:t>
      </w:r>
      <w:r>
        <w:rPr>
          <w:rFonts w:hint="eastAsia" w:ascii="宋体" w:hAnsi="宋体"/>
          <w:snapToGrid w:val="0"/>
          <w:color w:val="auto"/>
          <w:kern w:val="0"/>
          <w:sz w:val="21"/>
          <w:szCs w:val="21"/>
          <w:u w:val="single"/>
        </w:rPr>
        <w:t xml:space="preserve">     </w:t>
      </w:r>
      <w:r>
        <w:rPr>
          <w:rFonts w:hint="eastAsia" w:ascii="宋体" w:hAnsi="宋体"/>
          <w:snapToGrid w:val="0"/>
          <w:color w:val="auto"/>
          <w:kern w:val="0"/>
          <w:sz w:val="21"/>
          <w:szCs w:val="21"/>
        </w:rPr>
        <w:t>年</w:t>
      </w:r>
      <w:r>
        <w:rPr>
          <w:rFonts w:hint="eastAsia" w:ascii="宋体" w:hAnsi="宋体"/>
          <w:snapToGrid w:val="0"/>
          <w:color w:val="auto"/>
          <w:kern w:val="0"/>
          <w:sz w:val="21"/>
          <w:szCs w:val="21"/>
          <w:u w:val="single"/>
        </w:rPr>
        <w:t xml:space="preserve">   </w:t>
      </w:r>
      <w:r>
        <w:rPr>
          <w:rFonts w:hint="eastAsia" w:ascii="宋体" w:hAnsi="宋体"/>
          <w:snapToGrid w:val="0"/>
          <w:color w:val="auto"/>
          <w:kern w:val="0"/>
          <w:sz w:val="21"/>
          <w:szCs w:val="21"/>
        </w:rPr>
        <w:t>月</w:t>
      </w:r>
      <w:r>
        <w:rPr>
          <w:rFonts w:hint="eastAsia" w:ascii="宋体" w:hAnsi="宋体"/>
          <w:snapToGrid w:val="0"/>
          <w:color w:val="auto"/>
          <w:kern w:val="0"/>
          <w:sz w:val="21"/>
          <w:szCs w:val="21"/>
          <w:u w:val="single"/>
        </w:rPr>
        <w:t xml:space="preserve">   </w:t>
      </w:r>
      <w:r>
        <w:rPr>
          <w:rFonts w:hint="eastAsia" w:ascii="宋体" w:hAnsi="宋体"/>
          <w:snapToGrid w:val="0"/>
          <w:color w:val="auto"/>
          <w:kern w:val="0"/>
          <w:sz w:val="21"/>
          <w:szCs w:val="21"/>
        </w:rPr>
        <w:t>日</w:t>
      </w:r>
    </w:p>
    <w:sectPr>
      <w:type w:val="continuous"/>
      <w:pgSz w:w="11906" w:h="16838"/>
      <w:pgMar w:top="1588" w:right="1418" w:bottom="1531" w:left="1418" w:header="1191" w:footer="794" w:gutter="284"/>
      <w:pgBorders>
        <w:top w:val="none" w:sz="0" w:space="0"/>
        <w:left w:val="none" w:sz="0" w:space="0"/>
        <w:bottom w:val="thickThinSmallGap" w:color="auto" w:sz="18" w:space="1"/>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CB0C79-A26F-4D4E-8CF3-C1D0C6126ED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BC7452E-9E13-4132-B179-9890C1CC9F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94E3CEB-0500-4CB4-AB51-6E26A71AB622}"/>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6C97E1F8-965F-4707-8900-7A9585863C70}"/>
  </w:font>
  <w:font w:name="方正小标宋_GBK">
    <w:altName w:val="微软雅黑"/>
    <w:panose1 w:val="02000000000000000000"/>
    <w:charset w:val="86"/>
    <w:family w:val="script"/>
    <w:pitch w:val="default"/>
    <w:sig w:usb0="00000000" w:usb1="00000000" w:usb2="00082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书宋简体">
    <w:altName w:val="宋体"/>
    <w:panose1 w:val="00000000000000000000"/>
    <w:charset w:val="86"/>
    <w:family w:val="script"/>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2000000000000000000"/>
    <w:charset w:val="86"/>
    <w:family w:val="script"/>
    <w:pitch w:val="default"/>
    <w:sig w:usb0="00000000" w:usb1="00000000" w:usb2="00000012" w:usb3="00000000" w:csb0="00040001"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embedRegular r:id="rId5" w:fontKey="{834F1642-197F-4B25-81A7-EDB7D050DA65}"/>
  </w:font>
  <w:font w:name="楷体_GB2312">
    <w:panose1 w:val="02010609030101010101"/>
    <w:charset w:val="86"/>
    <w:family w:val="modern"/>
    <w:pitch w:val="default"/>
    <w:sig w:usb0="00000001" w:usb1="080E0000" w:usb2="00000000" w:usb3="00000000" w:csb0="00040000" w:csb1="00000000"/>
    <w:embedRegular r:id="rId6" w:fontKey="{F18E45FB-7EA6-4425-821B-09044BC754FE}"/>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embedRegular r:id="rId7" w:fontKey="{CA44B38C-3596-4F95-9F96-DAE94925E6FD}"/>
  </w:font>
  <w:font w:name="MingLiU">
    <w:altName w:val="PMingLiU-ExtB"/>
    <w:panose1 w:val="02020509000000000000"/>
    <w:charset w:val="88"/>
    <w:family w:val="modern"/>
    <w:pitch w:val="default"/>
    <w:sig w:usb0="00000000" w:usb1="00000000" w:usb2="00000016" w:usb3="00000000" w:csb0="00100001" w:csb1="00000000"/>
  </w:font>
  <w:font w:name="华文楷体">
    <w:panose1 w:val="02010600040101010101"/>
    <w:charset w:val="86"/>
    <w:family w:val="auto"/>
    <w:pitch w:val="default"/>
    <w:sig w:usb0="00000287" w:usb1="080F0000" w:usb2="00000000" w:usb3="00000000" w:csb0="0004009F" w:csb1="DFD70000"/>
    <w:embedRegular r:id="rId8" w:fontKey="{0403777D-EEE0-4A7A-90F0-4D03D1C4A7A2}"/>
  </w:font>
  <w:font w:name="隶书">
    <w:panose1 w:val="02010509060101010101"/>
    <w:charset w:val="86"/>
    <w:family w:val="modern"/>
    <w:pitch w:val="default"/>
    <w:sig w:usb0="00000001" w:usb1="080E0000" w:usb2="00000000" w:usb3="00000000" w:csb0="00040000" w:csb1="00000000"/>
    <w:embedRegular r:id="rId9" w:fontKey="{4F15197B-2754-4EE6-98B9-451B7753339C}"/>
  </w:font>
  <w:font w:name="方正楷体_GB2312">
    <w:altName w:val="楷体_GB2312"/>
    <w:panose1 w:val="02000000000000000000"/>
    <w:charset w:val="86"/>
    <w:family w:val="auto"/>
    <w:pitch w:val="default"/>
    <w:sig w:usb0="00000000" w:usb1="00000000" w:usb2="00000012" w:usb3="00000000" w:csb0="00040001" w:csb1="00000000"/>
    <w:embedRegular r:id="rId10" w:fontKey="{122EB8B1-1A2C-4D63-900C-296ED095E3B1}"/>
  </w:font>
  <w:font w:name="汉仪书宋二S">
    <w:altName w:val="宋体"/>
    <w:panose1 w:val="00000000000000000000"/>
    <w:charset w:val="00"/>
    <w:family w:val="auto"/>
    <w:pitch w:val="default"/>
    <w:sig w:usb0="00000000" w:usb1="00000000" w:usb2="00000000" w:usb3="00000000" w:csb0="00000000" w:csb1="00000000"/>
    <w:embedRegular r:id="rId11" w:fontKey="{2A0E26E7-B24F-4B4D-A7E9-E03C84E6F455}"/>
  </w:font>
  <w:font w:name="仿宋">
    <w:panose1 w:val="02010609060101010101"/>
    <w:charset w:val="86"/>
    <w:family w:val="auto"/>
    <w:pitch w:val="default"/>
    <w:sig w:usb0="800002BF" w:usb1="38CF7CFA" w:usb2="00000016" w:usb3="00000000" w:csb0="00040001" w:csb1="00000000"/>
    <w:embedRegular r:id="rId12" w:fontKey="{9568F98A-9843-4E81-B9E5-F6263CFD55EA}"/>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C4A1A">
    <w:pPr>
      <w:pStyle w:val="28"/>
      <w:framePr w:w="308" w:h="265" w:wrap="around" w:vAnchor="text" w:hAnchor="page" w:x="6019" w:y="-19"/>
      <w:rPr>
        <w:rStyle w:val="52"/>
        <w:rFonts w:ascii="宋体" w:hAnsi="宋体"/>
        <w:sz w:val="21"/>
        <w:szCs w:val="21"/>
      </w:rPr>
    </w:pPr>
  </w:p>
  <w:p w14:paraId="59A8BDBB">
    <w:pPr>
      <w:pStyle w:val="28"/>
      <w:pBdr>
        <w:top w:val="thickThinSmallGap" w:color="auto" w:sz="24" w:space="1"/>
      </w:pBdr>
      <w:rPr>
        <w:b/>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92DE">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1B767">
    <w:pPr>
      <w:pStyle w:val="28"/>
    </w:pPr>
    <w:r>
      <mc:AlternateContent>
        <mc:Choice Requires="wps">
          <w:drawing>
            <wp:anchor distT="0" distB="0" distL="114300" distR="114300" simplePos="0" relativeHeight="251660288" behindDoc="0" locked="0" layoutInCell="1" allowOverlap="1">
              <wp:simplePos x="0" y="0"/>
              <wp:positionH relativeFrom="margin">
                <wp:posOffset>5139055</wp:posOffset>
              </wp:positionH>
              <wp:positionV relativeFrom="paragraph">
                <wp:posOffset>28575</wp:posOffset>
              </wp:positionV>
              <wp:extent cx="371475" cy="182245"/>
              <wp:effectExtent l="0" t="0" r="0" b="0"/>
              <wp:wrapNone/>
              <wp:docPr id="1" name="文本框 2081"/>
              <wp:cNvGraphicFramePr/>
              <a:graphic xmlns:a="http://schemas.openxmlformats.org/drawingml/2006/main">
                <a:graphicData uri="http://schemas.microsoft.com/office/word/2010/wordprocessingShape">
                  <wps:wsp>
                    <wps:cNvSpPr txBox="1"/>
                    <wps:spPr>
                      <a:xfrm>
                        <a:off x="0" y="0"/>
                        <a:ext cx="371475" cy="182245"/>
                      </a:xfrm>
                      <a:prstGeom prst="rect">
                        <a:avLst/>
                      </a:prstGeom>
                      <a:noFill/>
                      <a:ln w="15875">
                        <a:noFill/>
                      </a:ln>
                      <a:effectLst/>
                    </wps:spPr>
                    <wps:txbx>
                      <w:txbxContent>
                        <w:p w14:paraId="7A84E00C">
                          <w:pPr>
                            <w:snapToGrid w:val="0"/>
                            <w:jc w:val="center"/>
                            <w:rPr>
                              <w:rFonts w:ascii="宋体" w:hAnsi="宋体"/>
                              <w:b/>
                              <w:szCs w:val="21"/>
                            </w:rPr>
                          </w:pPr>
                        </w:p>
                      </w:txbxContent>
                    </wps:txbx>
                    <wps:bodyPr wrap="square" lIns="0" tIns="0" rIns="0" bIns="0" upright="0"/>
                  </wps:wsp>
                </a:graphicData>
              </a:graphic>
            </wp:anchor>
          </w:drawing>
        </mc:Choice>
        <mc:Fallback>
          <w:pict>
            <v:shape id="文本框 2081" o:spid="_x0000_s1026" o:spt="202" type="#_x0000_t202" style="position:absolute;left:0pt;margin-left:404.65pt;margin-top:2.25pt;height:14.35pt;width:29.25pt;mso-position-horizontal-relative:margin;z-index:251660288;mso-width-relative:page;mso-height-relative:page;" filled="f" stroked="f" coordsize="21600,21600" o:gfxdata="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YJsbYAAAACAEAAA8AAAAAAAAAAQAgAAAA&#10;IgAAAGRycy9kb3ducmV2LnhtbFBLAQIUABQAAAAIAIdO4kDkDWzK0gEAAJoDAAAOAAAAAAAAAAEA&#10;IAAAACcBAABkcnMvZTJvRG9jLnhtbFBLBQYAAAAABgAGAFkBAABrBQAAAAA=&#10;">
              <v:fill on="f" focussize="0,0"/>
              <v:stroke on="f" weight="1.25pt"/>
              <v:imagedata o:title=""/>
              <o:lock v:ext="edit" aspectratio="f"/>
              <v:textbox inset="0mm,0mm,0mm,0mm">
                <w:txbxContent>
                  <w:p w14:paraId="7A84E00C">
                    <w:pPr>
                      <w:snapToGrid w:val="0"/>
                      <w:jc w:val="center"/>
                      <w:rPr>
                        <w:rFonts w:ascii="宋体" w:hAnsi="宋体"/>
                        <w:b/>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345A7">
    <w:pPr>
      <w:pStyle w:val="28"/>
      <w:keepNext w:val="0"/>
      <w:keepLines w:val="0"/>
      <w:pageBreakBefore w:val="0"/>
      <w:widowControl/>
      <w:kinsoku/>
      <w:wordWrap/>
      <w:overflowPunct/>
      <w:topLinePunct w:val="0"/>
      <w:autoSpaceDE/>
      <w:autoSpaceDN/>
      <w:bidi w:val="0"/>
      <w:adjustRightInd/>
      <w:snapToGrid w:val="0"/>
      <w:spacing w:before="0" w:beforeLines="50"/>
      <w:textAlignment w:val="auto"/>
      <w:rPr>
        <w:rFonts w:hint="eastAsia"/>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7C0D9">
                          <w:pPr>
                            <w:pStyle w:val="28"/>
                            <w:keepNext w:val="0"/>
                            <w:keepLines w:val="0"/>
                            <w:pageBreakBefore w:val="0"/>
                            <w:widowControl/>
                            <w:kinsoku/>
                            <w:wordWrap/>
                            <w:overflowPunct/>
                            <w:topLinePunct w:val="0"/>
                            <w:autoSpaceDE/>
                            <w:autoSpaceDN/>
                            <w:bidi w:val="0"/>
                            <w:adjustRightInd/>
                            <w:snapToGrid w:val="0"/>
                            <w:spacing w:before="0"/>
                            <w:textAlignment w:val="auto"/>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A7C0D9">
                    <w:pPr>
                      <w:pStyle w:val="28"/>
                      <w:keepNext w:val="0"/>
                      <w:keepLines w:val="0"/>
                      <w:pageBreakBefore w:val="0"/>
                      <w:widowControl/>
                      <w:kinsoku/>
                      <w:wordWrap/>
                      <w:overflowPunct/>
                      <w:topLinePunct w:val="0"/>
                      <w:autoSpaceDE/>
                      <w:autoSpaceDN/>
                      <w:bidi w:val="0"/>
                      <w:adjustRightInd/>
                      <w:snapToGrid w:val="0"/>
                      <w:spacing w:before="0"/>
                      <w:textAlignment w:val="auto"/>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A9F46">
    <w:pPr>
      <w:pStyle w:val="28"/>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2F1E6">
                          <w:pPr>
                            <w:pStyle w:val="2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2F1E6">
                    <w:pPr>
                      <w:pStyle w:val="28"/>
                    </w:pPr>
                    <w:r>
                      <w:fldChar w:fldCharType="begin"/>
                    </w:r>
                    <w:r>
                      <w:instrText xml:space="preserve"> PAGE  \* MERGEFORMAT </w:instrText>
                    </w:r>
                    <w:r>
                      <w:fldChar w:fldCharType="separate"/>
                    </w:r>
                    <w:r>
                      <w:t>51</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5139055</wp:posOffset>
              </wp:positionH>
              <wp:positionV relativeFrom="paragraph">
                <wp:posOffset>28575</wp:posOffset>
              </wp:positionV>
              <wp:extent cx="371475" cy="182245"/>
              <wp:effectExtent l="0" t="0" r="0" b="0"/>
              <wp:wrapNone/>
              <wp:docPr id="6" name="文本框 2091"/>
              <wp:cNvGraphicFramePr/>
              <a:graphic xmlns:a="http://schemas.openxmlformats.org/drawingml/2006/main">
                <a:graphicData uri="http://schemas.microsoft.com/office/word/2010/wordprocessingShape">
                  <wps:wsp>
                    <wps:cNvSpPr txBox="1"/>
                    <wps:spPr>
                      <a:xfrm>
                        <a:off x="0" y="0"/>
                        <a:ext cx="371475" cy="182245"/>
                      </a:xfrm>
                      <a:prstGeom prst="rect">
                        <a:avLst/>
                      </a:prstGeom>
                      <a:noFill/>
                      <a:ln w="15875">
                        <a:noFill/>
                      </a:ln>
                      <a:effectLst/>
                    </wps:spPr>
                    <wps:txbx>
                      <w:txbxContent>
                        <w:p w14:paraId="35D9F3A0">
                          <w:pPr>
                            <w:snapToGrid w:val="0"/>
                            <w:jc w:val="center"/>
                            <w:rPr>
                              <w:rFonts w:ascii="宋体" w:hAnsi="宋体"/>
                              <w:b/>
                              <w:szCs w:val="21"/>
                            </w:rPr>
                          </w:pPr>
                        </w:p>
                      </w:txbxContent>
                    </wps:txbx>
                    <wps:bodyPr wrap="square" lIns="0" tIns="0" rIns="0" bIns="0" upright="0"/>
                  </wps:wsp>
                </a:graphicData>
              </a:graphic>
            </wp:anchor>
          </w:drawing>
        </mc:Choice>
        <mc:Fallback>
          <w:pict>
            <v:shape id="文本框 2091" o:spid="_x0000_s1026" o:spt="202" type="#_x0000_t202" style="position:absolute;left:0pt;margin-left:404.65pt;margin-top:2.25pt;height:14.35pt;width:29.25pt;mso-position-horizontal-relative:margin;z-index:251661312;mso-width-relative:page;mso-height-relative:page;" filled="f" stroked="f" coordsize="21600,21600" o:gfxdata="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YJsbYAAAACAEAAA8AAAAAAAAAAQAgAAAA&#10;IgAAAGRycy9kb3ducmV2LnhtbFBLAQIUABQAAAAIAIdO4kAtjP2A0gEAAJoDAAAOAAAAAAAAAAEA&#10;IAAAACcBAABkcnMvZTJvRG9jLnhtbFBLBQYAAAAABgAGAFkBAABrBQAAAAA=&#10;">
              <v:fill on="f" focussize="0,0"/>
              <v:stroke on="f" weight="1.25pt"/>
              <v:imagedata o:title=""/>
              <o:lock v:ext="edit" aspectratio="f"/>
              <v:textbox inset="0mm,0mm,0mm,0mm">
                <w:txbxContent>
                  <w:p w14:paraId="35D9F3A0">
                    <w:pPr>
                      <w:snapToGrid w:val="0"/>
                      <w:jc w:val="center"/>
                      <w:rPr>
                        <w:rFonts w:ascii="宋体" w:hAnsi="宋体"/>
                        <w:b/>
                        <w:szCs w:val="21"/>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76CE">
    <w:pPr>
      <w:pStyle w:val="30"/>
      <w:pBdr>
        <w:bottom w:val="thickThinSmallGap" w:color="auto" w:sz="12" w:space="1"/>
      </w:pBdr>
      <w:tabs>
        <w:tab w:val="left" w:pos="4678"/>
        <w:tab w:val="clear" w:pos="8306"/>
      </w:tabs>
      <w:spacing w:line="300" w:lineRule="exact"/>
      <w:jc w:val="both"/>
      <w:rPr>
        <w:rFonts w:hint="eastAsia"/>
        <w:lang w:eastAsia="zh-CN"/>
      </w:rPr>
    </w:pPr>
    <w:r>
      <w:rPr>
        <w:rFonts w:hint="eastAsia" w:ascii="方正楷体_GB2312" w:hAnsi="方正楷体_GB2312" w:eastAsia="方正楷体_GB2312" w:cs="方正楷体_GB2312"/>
        <w:sz w:val="24"/>
        <w:szCs w:val="24"/>
        <w:lang w:val="en-US" w:eastAsia="zh-CN"/>
      </w:rPr>
      <w:t>万宝镇污水处理站运营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19C2">
    <w:pPr>
      <w:pStyle w:val="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6C8FD">
    <w:pPr>
      <w:pStyle w:val="30"/>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1802B">
    <w:pPr>
      <w:pStyle w:val="30"/>
      <w:pBdr>
        <w:bottom w:val="thickThinSmallGap" w:color="auto" w:sz="12" w:space="1"/>
      </w:pBdr>
      <w:tabs>
        <w:tab w:val="left" w:pos="4678"/>
        <w:tab w:val="clear" w:pos="8306"/>
      </w:tabs>
      <w:spacing w:line="300" w:lineRule="exact"/>
      <w:jc w:val="both"/>
      <w:rPr>
        <w:rFonts w:hint="eastAsia"/>
        <w:sz w:val="21"/>
        <w:szCs w:val="21"/>
        <w:lang w:eastAsia="zh-CN"/>
      </w:rPr>
    </w:pPr>
    <w:r>
      <w:rPr>
        <w:rFonts w:hint="eastAsia" w:ascii="宋体" w:hAnsi="宋体" w:eastAsia="仿宋"/>
        <w:kern w:val="0"/>
        <w:sz w:val="24"/>
        <w:szCs w:val="24"/>
        <w:lang w:val="en-US" w:eastAsia="zh-CN"/>
      </w:rPr>
      <w:t>长春市第一中等专业学校智慧录播教室建设项目</w:t>
    </w:r>
    <w:r>
      <w:rPr>
        <w:rFonts w:hint="eastAsia" w:ascii="方正楷体_GB2312" w:hAnsi="方正楷体_GB2312" w:eastAsia="方正楷体_GB2312" w:cs="方正楷体_GB2312"/>
        <w:sz w:val="21"/>
        <w:szCs w:val="21"/>
        <w:lang w:val="en-US" w:eastAsia="zh-CN"/>
      </w:rPr>
      <w:t xml:space="preserve">                </w:t>
    </w:r>
    <w:r>
      <w:rPr>
        <w:rFonts w:hint="eastAsia" w:ascii="宋体" w:hAnsi="宋体" w:eastAsia="仿宋"/>
        <w:kern w:val="0"/>
        <w:sz w:val="24"/>
        <w:szCs w:val="24"/>
        <w:lang w:val="en-US" w:eastAsia="zh-CN"/>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3"/>
    <w:multiLevelType w:val="multilevel"/>
    <w:tmpl w:val="00000003"/>
    <w:lvl w:ilvl="0" w:tentative="0">
      <w:start w:val="1"/>
      <w:numFmt w:val="none"/>
      <w:pStyle w:val="66"/>
      <w:lvlText w:val=""/>
      <w:lvlJc w:val="left"/>
      <w:pPr>
        <w:tabs>
          <w:tab w:val="left" w:pos="432"/>
        </w:tabs>
        <w:ind w:left="432" w:hanging="432"/>
      </w:pPr>
      <w:rPr>
        <w:rFonts w:hint="eastAsia"/>
      </w:rPr>
    </w:lvl>
    <w:lvl w:ilvl="1" w:tentative="0">
      <w:start w:val="1"/>
      <w:numFmt w:val="none"/>
      <w:lvlText w:val=""/>
      <w:lvlJc w:val="left"/>
      <w:pPr>
        <w:tabs>
          <w:tab w:val="left" w:pos="576"/>
        </w:tabs>
        <w:ind w:left="576" w:hanging="576"/>
      </w:pPr>
      <w:rPr>
        <w:rFonts w:hint="eastAsia"/>
      </w:rPr>
    </w:lvl>
    <w:lvl w:ilvl="2" w:tentative="0">
      <w:start w:val="1"/>
      <w:numFmt w:val="decimal"/>
      <w:lvlText w:val="%3."/>
      <w:lvlJc w:val="left"/>
      <w:pPr>
        <w:tabs>
          <w:tab w:val="left" w:pos="420"/>
        </w:tabs>
        <w:ind w:left="420" w:hanging="420"/>
      </w:pPr>
      <w:rPr>
        <w:rFonts w:hint="eastAsia"/>
      </w:rPr>
    </w:lvl>
    <w:lvl w:ilvl="3" w:tentative="0">
      <w:start w:val="1"/>
      <w:numFmt w:val="none"/>
      <w:lvlText w:val=""/>
      <w:lvlJc w:val="left"/>
      <w:pPr>
        <w:tabs>
          <w:tab w:val="left" w:pos="864"/>
        </w:tabs>
        <w:ind w:left="864" w:hanging="864"/>
      </w:pPr>
      <w:rPr>
        <w:rFonts w:hint="eastAsia"/>
      </w:rPr>
    </w:lvl>
    <w:lvl w:ilvl="4" w:tentative="0">
      <w:start w:val="1"/>
      <w:numFmt w:val="none"/>
      <w:lvlText w:val=""/>
      <w:lvlJc w:val="left"/>
      <w:pPr>
        <w:tabs>
          <w:tab w:val="left" w:pos="1008"/>
        </w:tabs>
        <w:ind w:left="1008" w:hanging="1008"/>
      </w:pPr>
      <w:rPr>
        <w:rFonts w:hint="eastAsia"/>
      </w:rPr>
    </w:lvl>
    <w:lvl w:ilvl="5" w:tentative="0">
      <w:start w:val="1"/>
      <w:numFmt w:val="none"/>
      <w:lvlText w:val=""/>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D"/>
    <w:multiLevelType w:val="multilevel"/>
    <w:tmpl w:val="0000000D"/>
    <w:lvl w:ilvl="0" w:tentative="0">
      <w:start w:val="1"/>
      <w:numFmt w:val="decimal"/>
      <w:lvlText w:val="%1"/>
      <w:lvlJc w:val="left"/>
      <w:pPr>
        <w:ind w:left="360" w:hanging="360"/>
      </w:pPr>
      <w:rPr>
        <w:rFonts w:hint="default" w:ascii="黑体" w:hAnsi="宋体" w:eastAsia="黑体"/>
        <w:b/>
      </w:rPr>
    </w:lvl>
    <w:lvl w:ilvl="1" w:tentative="0">
      <w:start w:val="1"/>
      <w:numFmt w:val="decimal"/>
      <w:pStyle w:val="114"/>
      <w:lvlText w:val="%1.%2"/>
      <w:lvlJc w:val="left"/>
      <w:pPr>
        <w:ind w:left="360" w:hanging="360"/>
      </w:pPr>
      <w:rPr>
        <w:rFonts w:hint="default" w:ascii="黑体" w:hAnsi="宋体" w:eastAsia="黑体"/>
        <w:b/>
      </w:rPr>
    </w:lvl>
    <w:lvl w:ilvl="2" w:tentative="0">
      <w:start w:val="1"/>
      <w:numFmt w:val="decimal"/>
      <w:lvlText w:val="%1.%2.%3"/>
      <w:lvlJc w:val="left"/>
      <w:pPr>
        <w:ind w:left="720" w:hanging="720"/>
      </w:pPr>
      <w:rPr>
        <w:rFonts w:hint="default" w:ascii="黑体" w:hAnsi="宋体" w:eastAsia="黑体"/>
        <w:b/>
      </w:rPr>
    </w:lvl>
    <w:lvl w:ilvl="3" w:tentative="0">
      <w:start w:val="1"/>
      <w:numFmt w:val="decimal"/>
      <w:lvlText w:val="%1.%2.%3.%4"/>
      <w:lvlJc w:val="left"/>
      <w:pPr>
        <w:ind w:left="720" w:hanging="720"/>
      </w:pPr>
      <w:rPr>
        <w:rFonts w:hint="default" w:ascii="黑体" w:hAnsi="宋体" w:eastAsia="黑体"/>
        <w:b/>
      </w:rPr>
    </w:lvl>
    <w:lvl w:ilvl="4" w:tentative="0">
      <w:start w:val="1"/>
      <w:numFmt w:val="decimal"/>
      <w:lvlText w:val="%1.%2.%3.%4.%5"/>
      <w:lvlJc w:val="left"/>
      <w:pPr>
        <w:ind w:left="1080" w:hanging="1080"/>
      </w:pPr>
      <w:rPr>
        <w:rFonts w:hint="default" w:ascii="黑体" w:hAnsi="宋体" w:eastAsia="黑体"/>
        <w:b/>
      </w:rPr>
    </w:lvl>
    <w:lvl w:ilvl="5" w:tentative="0">
      <w:start w:val="1"/>
      <w:numFmt w:val="decimal"/>
      <w:lvlText w:val="%1.%2.%3.%4.%5.%6"/>
      <w:lvlJc w:val="left"/>
      <w:pPr>
        <w:ind w:left="1080" w:hanging="1080"/>
      </w:pPr>
      <w:rPr>
        <w:rFonts w:hint="default" w:ascii="黑体" w:hAnsi="宋体" w:eastAsia="黑体"/>
        <w:b/>
      </w:rPr>
    </w:lvl>
    <w:lvl w:ilvl="6" w:tentative="0">
      <w:start w:val="1"/>
      <w:numFmt w:val="decimal"/>
      <w:lvlText w:val="%1.%2.%3.%4.%5.%6.%7"/>
      <w:lvlJc w:val="left"/>
      <w:pPr>
        <w:ind w:left="1440" w:hanging="1440"/>
      </w:pPr>
      <w:rPr>
        <w:rFonts w:hint="default" w:ascii="黑体" w:hAnsi="宋体" w:eastAsia="黑体"/>
        <w:b/>
      </w:rPr>
    </w:lvl>
    <w:lvl w:ilvl="7" w:tentative="0">
      <w:start w:val="1"/>
      <w:numFmt w:val="decimal"/>
      <w:lvlText w:val="%1.%2.%3.%4.%5.%6.%7.%8"/>
      <w:lvlJc w:val="left"/>
      <w:pPr>
        <w:ind w:left="1440" w:hanging="1440"/>
      </w:pPr>
      <w:rPr>
        <w:rFonts w:hint="default" w:ascii="黑体" w:hAnsi="宋体" w:eastAsia="黑体"/>
        <w:b/>
      </w:rPr>
    </w:lvl>
    <w:lvl w:ilvl="8" w:tentative="0">
      <w:start w:val="1"/>
      <w:numFmt w:val="decimal"/>
      <w:lvlText w:val="%1.%2.%3.%4.%5.%6.%7.%8.%9"/>
      <w:lvlJc w:val="left"/>
      <w:pPr>
        <w:ind w:left="1800" w:hanging="1800"/>
      </w:pPr>
      <w:rPr>
        <w:rFonts w:hint="default" w:ascii="黑体" w:hAnsi="宋体" w:eastAsia="黑体"/>
        <w:b/>
      </w:rPr>
    </w:lvl>
  </w:abstractNum>
  <w:abstractNum w:abstractNumId="8">
    <w:nsid w:val="0053208E"/>
    <w:multiLevelType w:val="multilevel"/>
    <w:tmpl w:val="0053208E"/>
    <w:lvl w:ilvl="0" w:tentative="0">
      <w:start w:val="1"/>
      <w:numFmt w:val="decimal"/>
      <w:lvlText w:val="%1."/>
      <w:lvlJc w:val="left"/>
      <w:pPr>
        <w:ind w:left="205" w:hanging="322"/>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9">
    <w:nsid w:val="15099E39"/>
    <w:multiLevelType w:val="singleLevel"/>
    <w:tmpl w:val="15099E39"/>
    <w:lvl w:ilvl="0" w:tentative="0">
      <w:start w:val="7"/>
      <w:numFmt w:val="chineseCounting"/>
      <w:suff w:val="nothing"/>
      <w:lvlText w:val="%1、"/>
      <w:lvlJc w:val="left"/>
      <w:rPr>
        <w:rFonts w:hint="eastAsia"/>
      </w:rPr>
    </w:lvl>
  </w:abstractNum>
  <w:abstractNum w:abstractNumId="10">
    <w:nsid w:val="23E83050"/>
    <w:multiLevelType w:val="multilevel"/>
    <w:tmpl w:val="23E83050"/>
    <w:lvl w:ilvl="0" w:tentative="0">
      <w:start w:val="1"/>
      <w:numFmt w:val="bullet"/>
      <w:pStyle w:val="78"/>
      <w:lvlText w:val=""/>
      <w:lvlJc w:val="left"/>
      <w:pPr>
        <w:ind w:left="840" w:hanging="420"/>
      </w:pPr>
      <w:rPr>
        <w:rFonts w:hint="default" w:ascii="Wingdings" w:hAnsi="Wingdings"/>
      </w:rPr>
    </w:lvl>
    <w:lvl w:ilvl="1" w:tentative="0">
      <w:start w:val="1"/>
      <w:numFmt w:val="bullet"/>
      <w:pStyle w:val="10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2DA42CD4"/>
    <w:multiLevelType w:val="multilevel"/>
    <w:tmpl w:val="2DA42CD4"/>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204"/>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
    <w:nsid w:val="7A0F6431"/>
    <w:multiLevelType w:val="singleLevel"/>
    <w:tmpl w:val="7A0F6431"/>
    <w:lvl w:ilvl="0" w:tentative="0">
      <w:start w:val="1"/>
      <w:numFmt w:val="decimal"/>
      <w:suff w:val="space"/>
      <w:lvlText w:val="%1."/>
      <w:lvlJc w:val="left"/>
    </w:lvl>
  </w:abstractNum>
  <w:abstractNum w:abstractNumId="14">
    <w:nsid w:val="7A55EF4A"/>
    <w:multiLevelType w:val="singleLevel"/>
    <w:tmpl w:val="7A55EF4A"/>
    <w:lvl w:ilvl="0" w:tentative="0">
      <w:start w:val="1"/>
      <w:numFmt w:val="decimal"/>
      <w:suff w:val="nothing"/>
      <w:lvlText w:val="%1、"/>
      <w:lvlJc w:val="left"/>
    </w:lvl>
  </w:abstractNum>
  <w:abstractNum w:abstractNumId="15">
    <w:nsid w:val="7E90DF09"/>
    <w:multiLevelType w:val="singleLevel"/>
    <w:tmpl w:val="7E90DF09"/>
    <w:lvl w:ilvl="0" w:tentative="0">
      <w:start w:val="1"/>
      <w:numFmt w:val="chineseCounting"/>
      <w:suff w:val="space"/>
      <w:lvlText w:val="第%1章"/>
      <w:lvlJc w:val="left"/>
      <w:rPr>
        <w:rFonts w:hint="eastAsia"/>
      </w:rPr>
    </w:lvl>
  </w:abstractNum>
  <w:num w:numId="1">
    <w:abstractNumId w:val="6"/>
  </w:num>
  <w:num w:numId="2">
    <w:abstractNumId w:val="10"/>
  </w:num>
  <w:num w:numId="3">
    <w:abstractNumId w:val="7"/>
  </w:num>
  <w:num w:numId="4">
    <w:abstractNumId w:val="12"/>
  </w:num>
  <w:num w:numId="5">
    <w:abstractNumId w:val="14"/>
  </w:num>
  <w:num w:numId="6">
    <w:abstractNumId w:val="9"/>
  </w:num>
  <w:num w:numId="7">
    <w:abstractNumId w:val="15"/>
  </w:num>
  <w:num w:numId="8">
    <w:abstractNumId w:val="11"/>
  </w:num>
  <w:num w:numId="9">
    <w:abstractNumId w:val="13"/>
  </w:num>
  <w:num w:numId="10">
    <w:abstractNumId w:val="1"/>
  </w:num>
  <w:num w:numId="11">
    <w:abstractNumId w:val="5"/>
  </w:num>
  <w:num w:numId="12">
    <w:abstractNumId w:val="3"/>
  </w:num>
  <w:num w:numId="13">
    <w:abstractNumId w:val="2"/>
  </w:num>
  <w:num w:numId="14">
    <w:abstractNumId w:val="0"/>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1"/>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ZGQ2OTg5OGQ1Njg3YTk5YjYzZDU2ZjBhMmU1YmYifQ=="/>
  </w:docVars>
  <w:rsids>
    <w:rsidRoot w:val="00172A27"/>
    <w:rsid w:val="000009D4"/>
    <w:rsid w:val="00006FFA"/>
    <w:rsid w:val="00013670"/>
    <w:rsid w:val="00015F2D"/>
    <w:rsid w:val="0002043C"/>
    <w:rsid w:val="00021CBF"/>
    <w:rsid w:val="000249C8"/>
    <w:rsid w:val="00031E4F"/>
    <w:rsid w:val="000323EB"/>
    <w:rsid w:val="0003344D"/>
    <w:rsid w:val="000341F5"/>
    <w:rsid w:val="00044AAC"/>
    <w:rsid w:val="00045A75"/>
    <w:rsid w:val="00045CDF"/>
    <w:rsid w:val="000520E5"/>
    <w:rsid w:val="00052983"/>
    <w:rsid w:val="00056247"/>
    <w:rsid w:val="000635C2"/>
    <w:rsid w:val="00065DF2"/>
    <w:rsid w:val="00067576"/>
    <w:rsid w:val="00070F65"/>
    <w:rsid w:val="00074CC4"/>
    <w:rsid w:val="00081961"/>
    <w:rsid w:val="00081BB0"/>
    <w:rsid w:val="000850ED"/>
    <w:rsid w:val="00086198"/>
    <w:rsid w:val="0008661C"/>
    <w:rsid w:val="000873A1"/>
    <w:rsid w:val="000914DC"/>
    <w:rsid w:val="000924AF"/>
    <w:rsid w:val="0009320C"/>
    <w:rsid w:val="00094699"/>
    <w:rsid w:val="00094ABC"/>
    <w:rsid w:val="000A0508"/>
    <w:rsid w:val="000A1D37"/>
    <w:rsid w:val="000A4AD6"/>
    <w:rsid w:val="000B144D"/>
    <w:rsid w:val="000B2762"/>
    <w:rsid w:val="000B32B5"/>
    <w:rsid w:val="000B37EB"/>
    <w:rsid w:val="000B3D37"/>
    <w:rsid w:val="000B4C69"/>
    <w:rsid w:val="000B736C"/>
    <w:rsid w:val="000B7CAC"/>
    <w:rsid w:val="000C0840"/>
    <w:rsid w:val="000C1595"/>
    <w:rsid w:val="000C1ABC"/>
    <w:rsid w:val="000C3C7E"/>
    <w:rsid w:val="000C5C92"/>
    <w:rsid w:val="000C64BA"/>
    <w:rsid w:val="000D396A"/>
    <w:rsid w:val="000D3E0A"/>
    <w:rsid w:val="000D44AD"/>
    <w:rsid w:val="000D4F9A"/>
    <w:rsid w:val="000D5466"/>
    <w:rsid w:val="000E1661"/>
    <w:rsid w:val="000E4EE8"/>
    <w:rsid w:val="000E6EC9"/>
    <w:rsid w:val="000F5214"/>
    <w:rsid w:val="001010B3"/>
    <w:rsid w:val="00101F0D"/>
    <w:rsid w:val="00106DAC"/>
    <w:rsid w:val="00110975"/>
    <w:rsid w:val="001115BC"/>
    <w:rsid w:val="001136BF"/>
    <w:rsid w:val="00113E45"/>
    <w:rsid w:val="001159E2"/>
    <w:rsid w:val="001164BB"/>
    <w:rsid w:val="00116FEC"/>
    <w:rsid w:val="001216B6"/>
    <w:rsid w:val="00122373"/>
    <w:rsid w:val="00122428"/>
    <w:rsid w:val="00122C7C"/>
    <w:rsid w:val="00125FE2"/>
    <w:rsid w:val="00126E3E"/>
    <w:rsid w:val="001317DB"/>
    <w:rsid w:val="0013241A"/>
    <w:rsid w:val="001357C9"/>
    <w:rsid w:val="00135BED"/>
    <w:rsid w:val="0013610C"/>
    <w:rsid w:val="00140A56"/>
    <w:rsid w:val="00140C93"/>
    <w:rsid w:val="00143BC5"/>
    <w:rsid w:val="00151422"/>
    <w:rsid w:val="00152727"/>
    <w:rsid w:val="00155168"/>
    <w:rsid w:val="001556D0"/>
    <w:rsid w:val="00156E0C"/>
    <w:rsid w:val="00160408"/>
    <w:rsid w:val="00160FEE"/>
    <w:rsid w:val="001612AE"/>
    <w:rsid w:val="00161738"/>
    <w:rsid w:val="00163E1D"/>
    <w:rsid w:val="00164768"/>
    <w:rsid w:val="00167437"/>
    <w:rsid w:val="0017244F"/>
    <w:rsid w:val="00172A27"/>
    <w:rsid w:val="00174A62"/>
    <w:rsid w:val="00175950"/>
    <w:rsid w:val="001759F8"/>
    <w:rsid w:val="001762C0"/>
    <w:rsid w:val="001801C5"/>
    <w:rsid w:val="0018580B"/>
    <w:rsid w:val="00185FAE"/>
    <w:rsid w:val="00192725"/>
    <w:rsid w:val="00194D0B"/>
    <w:rsid w:val="001A0059"/>
    <w:rsid w:val="001A0BC9"/>
    <w:rsid w:val="001A1135"/>
    <w:rsid w:val="001A379B"/>
    <w:rsid w:val="001A3FC2"/>
    <w:rsid w:val="001A4DEC"/>
    <w:rsid w:val="001B44EA"/>
    <w:rsid w:val="001B6E67"/>
    <w:rsid w:val="001B7F6E"/>
    <w:rsid w:val="001C2B18"/>
    <w:rsid w:val="001C7796"/>
    <w:rsid w:val="001D1236"/>
    <w:rsid w:val="001D4833"/>
    <w:rsid w:val="001D5BFB"/>
    <w:rsid w:val="001E43C5"/>
    <w:rsid w:val="001E498E"/>
    <w:rsid w:val="001E7EEC"/>
    <w:rsid w:val="001F016F"/>
    <w:rsid w:val="001F1EBF"/>
    <w:rsid w:val="001F3AC1"/>
    <w:rsid w:val="001F486E"/>
    <w:rsid w:val="001F7125"/>
    <w:rsid w:val="001F71A0"/>
    <w:rsid w:val="0020038D"/>
    <w:rsid w:val="00201908"/>
    <w:rsid w:val="0020357D"/>
    <w:rsid w:val="00203601"/>
    <w:rsid w:val="00203BD4"/>
    <w:rsid w:val="00204D36"/>
    <w:rsid w:val="00207033"/>
    <w:rsid w:val="002102FC"/>
    <w:rsid w:val="00210445"/>
    <w:rsid w:val="002133DD"/>
    <w:rsid w:val="002137CD"/>
    <w:rsid w:val="0022106F"/>
    <w:rsid w:val="0022149F"/>
    <w:rsid w:val="0022153F"/>
    <w:rsid w:val="00221E1F"/>
    <w:rsid w:val="002249B9"/>
    <w:rsid w:val="00225AF8"/>
    <w:rsid w:val="00225DA0"/>
    <w:rsid w:val="00235128"/>
    <w:rsid w:val="00235159"/>
    <w:rsid w:val="0023629D"/>
    <w:rsid w:val="00237D54"/>
    <w:rsid w:val="0024072E"/>
    <w:rsid w:val="002429BA"/>
    <w:rsid w:val="00243905"/>
    <w:rsid w:val="0025146F"/>
    <w:rsid w:val="00253BF6"/>
    <w:rsid w:val="00254A9F"/>
    <w:rsid w:val="00265B23"/>
    <w:rsid w:val="00266E8D"/>
    <w:rsid w:val="002707C5"/>
    <w:rsid w:val="0027315C"/>
    <w:rsid w:val="00276880"/>
    <w:rsid w:val="00281B9C"/>
    <w:rsid w:val="00281D0B"/>
    <w:rsid w:val="00283F5C"/>
    <w:rsid w:val="002853DC"/>
    <w:rsid w:val="00285782"/>
    <w:rsid w:val="002878BE"/>
    <w:rsid w:val="00287DEE"/>
    <w:rsid w:val="00293981"/>
    <w:rsid w:val="002947D7"/>
    <w:rsid w:val="00294A63"/>
    <w:rsid w:val="00295071"/>
    <w:rsid w:val="00295273"/>
    <w:rsid w:val="002959F4"/>
    <w:rsid w:val="00296FF4"/>
    <w:rsid w:val="0029711E"/>
    <w:rsid w:val="002A0A33"/>
    <w:rsid w:val="002A1457"/>
    <w:rsid w:val="002A24FE"/>
    <w:rsid w:val="002A34B0"/>
    <w:rsid w:val="002A7F4B"/>
    <w:rsid w:val="002B09E3"/>
    <w:rsid w:val="002B3634"/>
    <w:rsid w:val="002B435B"/>
    <w:rsid w:val="002B587A"/>
    <w:rsid w:val="002C11B5"/>
    <w:rsid w:val="002C224B"/>
    <w:rsid w:val="002C4898"/>
    <w:rsid w:val="002C4D4F"/>
    <w:rsid w:val="002C663D"/>
    <w:rsid w:val="002C7C19"/>
    <w:rsid w:val="002C7F27"/>
    <w:rsid w:val="002D2DEF"/>
    <w:rsid w:val="002D3EE2"/>
    <w:rsid w:val="002D4311"/>
    <w:rsid w:val="002E0EA0"/>
    <w:rsid w:val="002E4340"/>
    <w:rsid w:val="002E592F"/>
    <w:rsid w:val="002F1F71"/>
    <w:rsid w:val="002F26B1"/>
    <w:rsid w:val="002F29D6"/>
    <w:rsid w:val="002F5CC0"/>
    <w:rsid w:val="002F5F95"/>
    <w:rsid w:val="002F6C8B"/>
    <w:rsid w:val="00302F42"/>
    <w:rsid w:val="003077D4"/>
    <w:rsid w:val="0031138F"/>
    <w:rsid w:val="00312001"/>
    <w:rsid w:val="00313489"/>
    <w:rsid w:val="00314CC3"/>
    <w:rsid w:val="00316BB2"/>
    <w:rsid w:val="00322C53"/>
    <w:rsid w:val="00323442"/>
    <w:rsid w:val="00324620"/>
    <w:rsid w:val="00324C10"/>
    <w:rsid w:val="00324C7E"/>
    <w:rsid w:val="00325A5A"/>
    <w:rsid w:val="003335EF"/>
    <w:rsid w:val="003354A0"/>
    <w:rsid w:val="00337984"/>
    <w:rsid w:val="003417A0"/>
    <w:rsid w:val="00343537"/>
    <w:rsid w:val="00343B32"/>
    <w:rsid w:val="00344043"/>
    <w:rsid w:val="00344465"/>
    <w:rsid w:val="003449C4"/>
    <w:rsid w:val="0034503C"/>
    <w:rsid w:val="00347C54"/>
    <w:rsid w:val="00354D44"/>
    <w:rsid w:val="00356103"/>
    <w:rsid w:val="003620EB"/>
    <w:rsid w:val="00362CD6"/>
    <w:rsid w:val="003631DA"/>
    <w:rsid w:val="003655BD"/>
    <w:rsid w:val="003665B4"/>
    <w:rsid w:val="00370BB1"/>
    <w:rsid w:val="003736C9"/>
    <w:rsid w:val="00377076"/>
    <w:rsid w:val="00381A84"/>
    <w:rsid w:val="00381E32"/>
    <w:rsid w:val="00382B31"/>
    <w:rsid w:val="00384288"/>
    <w:rsid w:val="00387623"/>
    <w:rsid w:val="003946D9"/>
    <w:rsid w:val="00396B29"/>
    <w:rsid w:val="003A000C"/>
    <w:rsid w:val="003A1E36"/>
    <w:rsid w:val="003A387B"/>
    <w:rsid w:val="003A594B"/>
    <w:rsid w:val="003A7D83"/>
    <w:rsid w:val="003B6698"/>
    <w:rsid w:val="003C3545"/>
    <w:rsid w:val="003C6015"/>
    <w:rsid w:val="003C6157"/>
    <w:rsid w:val="003C7FE0"/>
    <w:rsid w:val="003D6B74"/>
    <w:rsid w:val="003D6F35"/>
    <w:rsid w:val="003D740E"/>
    <w:rsid w:val="003E062C"/>
    <w:rsid w:val="003E075E"/>
    <w:rsid w:val="003E0D0D"/>
    <w:rsid w:val="003E5397"/>
    <w:rsid w:val="003E77C3"/>
    <w:rsid w:val="003F1DE1"/>
    <w:rsid w:val="003F2B86"/>
    <w:rsid w:val="003F4E7F"/>
    <w:rsid w:val="003F5649"/>
    <w:rsid w:val="003F7F6E"/>
    <w:rsid w:val="00404FFE"/>
    <w:rsid w:val="004066F8"/>
    <w:rsid w:val="00410785"/>
    <w:rsid w:val="004109B5"/>
    <w:rsid w:val="00413ED6"/>
    <w:rsid w:val="00415E05"/>
    <w:rsid w:val="00421053"/>
    <w:rsid w:val="00421228"/>
    <w:rsid w:val="004312CA"/>
    <w:rsid w:val="00432025"/>
    <w:rsid w:val="00434FB1"/>
    <w:rsid w:val="00442023"/>
    <w:rsid w:val="0045275A"/>
    <w:rsid w:val="0045445B"/>
    <w:rsid w:val="00454E99"/>
    <w:rsid w:val="00456958"/>
    <w:rsid w:val="004612ED"/>
    <w:rsid w:val="004625DD"/>
    <w:rsid w:val="004631E9"/>
    <w:rsid w:val="004634F1"/>
    <w:rsid w:val="00463540"/>
    <w:rsid w:val="00463E25"/>
    <w:rsid w:val="0046559C"/>
    <w:rsid w:val="00465799"/>
    <w:rsid w:val="00471D30"/>
    <w:rsid w:val="00472D12"/>
    <w:rsid w:val="00474CDF"/>
    <w:rsid w:val="00475438"/>
    <w:rsid w:val="00480964"/>
    <w:rsid w:val="00483857"/>
    <w:rsid w:val="004858FE"/>
    <w:rsid w:val="00487429"/>
    <w:rsid w:val="004876B0"/>
    <w:rsid w:val="00491633"/>
    <w:rsid w:val="004961EF"/>
    <w:rsid w:val="004A0BD3"/>
    <w:rsid w:val="004A270F"/>
    <w:rsid w:val="004A44E4"/>
    <w:rsid w:val="004A5679"/>
    <w:rsid w:val="004A7C41"/>
    <w:rsid w:val="004C1F3F"/>
    <w:rsid w:val="004C2E6C"/>
    <w:rsid w:val="004C4065"/>
    <w:rsid w:val="004C4528"/>
    <w:rsid w:val="004D0790"/>
    <w:rsid w:val="004D3EA4"/>
    <w:rsid w:val="004D4478"/>
    <w:rsid w:val="004D4672"/>
    <w:rsid w:val="004D4C58"/>
    <w:rsid w:val="004D7D6D"/>
    <w:rsid w:val="004E17A6"/>
    <w:rsid w:val="004E3E88"/>
    <w:rsid w:val="004E4246"/>
    <w:rsid w:val="004E49C1"/>
    <w:rsid w:val="004E6DAB"/>
    <w:rsid w:val="004F0C6D"/>
    <w:rsid w:val="004F4309"/>
    <w:rsid w:val="004F45E0"/>
    <w:rsid w:val="004F532C"/>
    <w:rsid w:val="004F5897"/>
    <w:rsid w:val="004F5959"/>
    <w:rsid w:val="004F5DCD"/>
    <w:rsid w:val="004F6A6E"/>
    <w:rsid w:val="004F7037"/>
    <w:rsid w:val="00500762"/>
    <w:rsid w:val="00500E4E"/>
    <w:rsid w:val="00502E1D"/>
    <w:rsid w:val="005040A0"/>
    <w:rsid w:val="00510FB7"/>
    <w:rsid w:val="00511526"/>
    <w:rsid w:val="00511E06"/>
    <w:rsid w:val="00516FC3"/>
    <w:rsid w:val="00517FD2"/>
    <w:rsid w:val="0052052D"/>
    <w:rsid w:val="00520E91"/>
    <w:rsid w:val="0052143E"/>
    <w:rsid w:val="00524D5C"/>
    <w:rsid w:val="00525207"/>
    <w:rsid w:val="00525880"/>
    <w:rsid w:val="00526CB5"/>
    <w:rsid w:val="005342D0"/>
    <w:rsid w:val="00536DC0"/>
    <w:rsid w:val="00540CD4"/>
    <w:rsid w:val="00541A79"/>
    <w:rsid w:val="00543654"/>
    <w:rsid w:val="005445D0"/>
    <w:rsid w:val="00546AD7"/>
    <w:rsid w:val="00546B61"/>
    <w:rsid w:val="00556C58"/>
    <w:rsid w:val="005621CB"/>
    <w:rsid w:val="00567079"/>
    <w:rsid w:val="00570F65"/>
    <w:rsid w:val="0057492F"/>
    <w:rsid w:val="00577DB8"/>
    <w:rsid w:val="0058266C"/>
    <w:rsid w:val="00583F1A"/>
    <w:rsid w:val="005956E2"/>
    <w:rsid w:val="005A003B"/>
    <w:rsid w:val="005A22EC"/>
    <w:rsid w:val="005A39AC"/>
    <w:rsid w:val="005A3E96"/>
    <w:rsid w:val="005A5ED1"/>
    <w:rsid w:val="005B5375"/>
    <w:rsid w:val="005B5E4A"/>
    <w:rsid w:val="005B5EB7"/>
    <w:rsid w:val="005B7701"/>
    <w:rsid w:val="005C195E"/>
    <w:rsid w:val="005C2883"/>
    <w:rsid w:val="005C2E38"/>
    <w:rsid w:val="005D2248"/>
    <w:rsid w:val="005D51D8"/>
    <w:rsid w:val="005D527B"/>
    <w:rsid w:val="005E01BA"/>
    <w:rsid w:val="005E1380"/>
    <w:rsid w:val="005E20DB"/>
    <w:rsid w:val="005E422F"/>
    <w:rsid w:val="005E690A"/>
    <w:rsid w:val="005F2BD1"/>
    <w:rsid w:val="005F2CD9"/>
    <w:rsid w:val="005F7035"/>
    <w:rsid w:val="00604CCD"/>
    <w:rsid w:val="006065DA"/>
    <w:rsid w:val="00606F29"/>
    <w:rsid w:val="00610D9C"/>
    <w:rsid w:val="006172B8"/>
    <w:rsid w:val="00621C64"/>
    <w:rsid w:val="00630569"/>
    <w:rsid w:val="00630E88"/>
    <w:rsid w:val="006318AC"/>
    <w:rsid w:val="0063312A"/>
    <w:rsid w:val="0063405D"/>
    <w:rsid w:val="00635A6F"/>
    <w:rsid w:val="0063670A"/>
    <w:rsid w:val="006377C6"/>
    <w:rsid w:val="006409D9"/>
    <w:rsid w:val="00641053"/>
    <w:rsid w:val="00641A26"/>
    <w:rsid w:val="00641B2F"/>
    <w:rsid w:val="00641D30"/>
    <w:rsid w:val="00647568"/>
    <w:rsid w:val="00651DAE"/>
    <w:rsid w:val="00652F8B"/>
    <w:rsid w:val="00655636"/>
    <w:rsid w:val="00656185"/>
    <w:rsid w:val="00657F9B"/>
    <w:rsid w:val="00664920"/>
    <w:rsid w:val="00670894"/>
    <w:rsid w:val="00671B99"/>
    <w:rsid w:val="0067228D"/>
    <w:rsid w:val="00672F25"/>
    <w:rsid w:val="00673070"/>
    <w:rsid w:val="0067338F"/>
    <w:rsid w:val="006734A5"/>
    <w:rsid w:val="00674ABD"/>
    <w:rsid w:val="00684B00"/>
    <w:rsid w:val="00691DFE"/>
    <w:rsid w:val="00693207"/>
    <w:rsid w:val="006956CC"/>
    <w:rsid w:val="00696537"/>
    <w:rsid w:val="006A0976"/>
    <w:rsid w:val="006A754E"/>
    <w:rsid w:val="006B0C52"/>
    <w:rsid w:val="006B23A9"/>
    <w:rsid w:val="006B398B"/>
    <w:rsid w:val="006B63C2"/>
    <w:rsid w:val="006C0028"/>
    <w:rsid w:val="006C0468"/>
    <w:rsid w:val="006C34FB"/>
    <w:rsid w:val="006C58BA"/>
    <w:rsid w:val="006C596E"/>
    <w:rsid w:val="006C74B7"/>
    <w:rsid w:val="006D0F26"/>
    <w:rsid w:val="006D4202"/>
    <w:rsid w:val="006D6248"/>
    <w:rsid w:val="006D68E2"/>
    <w:rsid w:val="006D767F"/>
    <w:rsid w:val="006E3F88"/>
    <w:rsid w:val="006E7C70"/>
    <w:rsid w:val="006F09B3"/>
    <w:rsid w:val="006F2F68"/>
    <w:rsid w:val="006F4D3B"/>
    <w:rsid w:val="006F647D"/>
    <w:rsid w:val="006F7378"/>
    <w:rsid w:val="00703FC9"/>
    <w:rsid w:val="007042B3"/>
    <w:rsid w:val="0070529D"/>
    <w:rsid w:val="00710F44"/>
    <w:rsid w:val="00712AF1"/>
    <w:rsid w:val="007138C5"/>
    <w:rsid w:val="007212D9"/>
    <w:rsid w:val="007238DA"/>
    <w:rsid w:val="007275C6"/>
    <w:rsid w:val="00727CCC"/>
    <w:rsid w:val="0073066E"/>
    <w:rsid w:val="007308A7"/>
    <w:rsid w:val="007316A2"/>
    <w:rsid w:val="00732733"/>
    <w:rsid w:val="00732A6C"/>
    <w:rsid w:val="0073449F"/>
    <w:rsid w:val="00737B3E"/>
    <w:rsid w:val="00746532"/>
    <w:rsid w:val="00747BB2"/>
    <w:rsid w:val="0075316B"/>
    <w:rsid w:val="00753E9A"/>
    <w:rsid w:val="00754747"/>
    <w:rsid w:val="00755EE7"/>
    <w:rsid w:val="00757BD2"/>
    <w:rsid w:val="00760CB1"/>
    <w:rsid w:val="00765B0B"/>
    <w:rsid w:val="00771451"/>
    <w:rsid w:val="00774159"/>
    <w:rsid w:val="00780663"/>
    <w:rsid w:val="007815DF"/>
    <w:rsid w:val="00782D82"/>
    <w:rsid w:val="007850DA"/>
    <w:rsid w:val="00791711"/>
    <w:rsid w:val="007A012F"/>
    <w:rsid w:val="007A16A0"/>
    <w:rsid w:val="007A2304"/>
    <w:rsid w:val="007B301D"/>
    <w:rsid w:val="007B3E71"/>
    <w:rsid w:val="007B445F"/>
    <w:rsid w:val="007B48DE"/>
    <w:rsid w:val="007B4A93"/>
    <w:rsid w:val="007B4AD1"/>
    <w:rsid w:val="007B6828"/>
    <w:rsid w:val="007B6EFA"/>
    <w:rsid w:val="007C0D5B"/>
    <w:rsid w:val="007C1111"/>
    <w:rsid w:val="007C5A38"/>
    <w:rsid w:val="007C77BC"/>
    <w:rsid w:val="007D049B"/>
    <w:rsid w:val="007D07CB"/>
    <w:rsid w:val="007D1867"/>
    <w:rsid w:val="007D1E93"/>
    <w:rsid w:val="007D26F6"/>
    <w:rsid w:val="007D30AF"/>
    <w:rsid w:val="007D4C82"/>
    <w:rsid w:val="007D67D0"/>
    <w:rsid w:val="007E0453"/>
    <w:rsid w:val="007E14AA"/>
    <w:rsid w:val="007E2256"/>
    <w:rsid w:val="007E256E"/>
    <w:rsid w:val="007E2D2D"/>
    <w:rsid w:val="007E387E"/>
    <w:rsid w:val="007F0203"/>
    <w:rsid w:val="007F25C6"/>
    <w:rsid w:val="007F3741"/>
    <w:rsid w:val="00801A75"/>
    <w:rsid w:val="00801E21"/>
    <w:rsid w:val="008045C3"/>
    <w:rsid w:val="00805E0E"/>
    <w:rsid w:val="00806642"/>
    <w:rsid w:val="008108DB"/>
    <w:rsid w:val="00814DC6"/>
    <w:rsid w:val="00817A46"/>
    <w:rsid w:val="00821B96"/>
    <w:rsid w:val="00822656"/>
    <w:rsid w:val="008239F4"/>
    <w:rsid w:val="00823A2C"/>
    <w:rsid w:val="00825EAF"/>
    <w:rsid w:val="0083143B"/>
    <w:rsid w:val="008361F0"/>
    <w:rsid w:val="00836434"/>
    <w:rsid w:val="00841A5E"/>
    <w:rsid w:val="0084535E"/>
    <w:rsid w:val="00853636"/>
    <w:rsid w:val="008537D7"/>
    <w:rsid w:val="0086101C"/>
    <w:rsid w:val="00866BD0"/>
    <w:rsid w:val="00872A78"/>
    <w:rsid w:val="00872B94"/>
    <w:rsid w:val="008739DE"/>
    <w:rsid w:val="00876060"/>
    <w:rsid w:val="00877F27"/>
    <w:rsid w:val="00881B72"/>
    <w:rsid w:val="00885976"/>
    <w:rsid w:val="00887EF7"/>
    <w:rsid w:val="008930FC"/>
    <w:rsid w:val="00894C26"/>
    <w:rsid w:val="008953D6"/>
    <w:rsid w:val="0089655D"/>
    <w:rsid w:val="0089791E"/>
    <w:rsid w:val="008A14CA"/>
    <w:rsid w:val="008A1995"/>
    <w:rsid w:val="008A20A7"/>
    <w:rsid w:val="008A6E5E"/>
    <w:rsid w:val="008B1507"/>
    <w:rsid w:val="008B17D0"/>
    <w:rsid w:val="008B30E9"/>
    <w:rsid w:val="008B5705"/>
    <w:rsid w:val="008B6213"/>
    <w:rsid w:val="008B63B4"/>
    <w:rsid w:val="008C0ED2"/>
    <w:rsid w:val="008C22BC"/>
    <w:rsid w:val="008C2545"/>
    <w:rsid w:val="008E5F36"/>
    <w:rsid w:val="008F165F"/>
    <w:rsid w:val="008F1B64"/>
    <w:rsid w:val="008F4839"/>
    <w:rsid w:val="008F54D0"/>
    <w:rsid w:val="008F6CFD"/>
    <w:rsid w:val="008F7EBB"/>
    <w:rsid w:val="0090032D"/>
    <w:rsid w:val="009018A5"/>
    <w:rsid w:val="009021DC"/>
    <w:rsid w:val="00902243"/>
    <w:rsid w:val="009033F1"/>
    <w:rsid w:val="0090540B"/>
    <w:rsid w:val="00910264"/>
    <w:rsid w:val="00910720"/>
    <w:rsid w:val="00911DD2"/>
    <w:rsid w:val="009254AC"/>
    <w:rsid w:val="0093303F"/>
    <w:rsid w:val="00933524"/>
    <w:rsid w:val="00940351"/>
    <w:rsid w:val="009435A4"/>
    <w:rsid w:val="009478EE"/>
    <w:rsid w:val="009533D0"/>
    <w:rsid w:val="00953953"/>
    <w:rsid w:val="00957378"/>
    <w:rsid w:val="00963201"/>
    <w:rsid w:val="0096385C"/>
    <w:rsid w:val="00964832"/>
    <w:rsid w:val="00972E97"/>
    <w:rsid w:val="009735EA"/>
    <w:rsid w:val="009778D3"/>
    <w:rsid w:val="00980649"/>
    <w:rsid w:val="009806E6"/>
    <w:rsid w:val="009825C6"/>
    <w:rsid w:val="00985454"/>
    <w:rsid w:val="00991F7A"/>
    <w:rsid w:val="00992A0E"/>
    <w:rsid w:val="0099543E"/>
    <w:rsid w:val="00996EA1"/>
    <w:rsid w:val="00996FE3"/>
    <w:rsid w:val="009A1287"/>
    <w:rsid w:val="009A4D48"/>
    <w:rsid w:val="009A5769"/>
    <w:rsid w:val="009B1C2F"/>
    <w:rsid w:val="009B4AE7"/>
    <w:rsid w:val="009B5764"/>
    <w:rsid w:val="009B58D3"/>
    <w:rsid w:val="009C14A2"/>
    <w:rsid w:val="009C66BE"/>
    <w:rsid w:val="009D259D"/>
    <w:rsid w:val="009D46FC"/>
    <w:rsid w:val="009D532E"/>
    <w:rsid w:val="009D533D"/>
    <w:rsid w:val="009D5895"/>
    <w:rsid w:val="009D6B41"/>
    <w:rsid w:val="009D6D00"/>
    <w:rsid w:val="009E0CDD"/>
    <w:rsid w:val="009E1A6A"/>
    <w:rsid w:val="009E62F6"/>
    <w:rsid w:val="009E70ED"/>
    <w:rsid w:val="009F2B6F"/>
    <w:rsid w:val="00A00DBB"/>
    <w:rsid w:val="00A07BFF"/>
    <w:rsid w:val="00A1249A"/>
    <w:rsid w:val="00A26607"/>
    <w:rsid w:val="00A30E61"/>
    <w:rsid w:val="00A32A7C"/>
    <w:rsid w:val="00A352D3"/>
    <w:rsid w:val="00A356B7"/>
    <w:rsid w:val="00A363F8"/>
    <w:rsid w:val="00A40145"/>
    <w:rsid w:val="00A41A7F"/>
    <w:rsid w:val="00A42419"/>
    <w:rsid w:val="00A47ED5"/>
    <w:rsid w:val="00A51007"/>
    <w:rsid w:val="00A51DF6"/>
    <w:rsid w:val="00A565B3"/>
    <w:rsid w:val="00A56D68"/>
    <w:rsid w:val="00A6348B"/>
    <w:rsid w:val="00A650EB"/>
    <w:rsid w:val="00A67C40"/>
    <w:rsid w:val="00A716C0"/>
    <w:rsid w:val="00A7456F"/>
    <w:rsid w:val="00A747EB"/>
    <w:rsid w:val="00A7693D"/>
    <w:rsid w:val="00A83013"/>
    <w:rsid w:val="00A85D2E"/>
    <w:rsid w:val="00A919DA"/>
    <w:rsid w:val="00A91A81"/>
    <w:rsid w:val="00AA21F7"/>
    <w:rsid w:val="00AA274B"/>
    <w:rsid w:val="00AA3709"/>
    <w:rsid w:val="00AA6F19"/>
    <w:rsid w:val="00AB0159"/>
    <w:rsid w:val="00AB04CA"/>
    <w:rsid w:val="00AB75E4"/>
    <w:rsid w:val="00AB76C0"/>
    <w:rsid w:val="00AB7AFE"/>
    <w:rsid w:val="00AC052A"/>
    <w:rsid w:val="00AC4C26"/>
    <w:rsid w:val="00AD20AB"/>
    <w:rsid w:val="00AD2AEB"/>
    <w:rsid w:val="00AD6918"/>
    <w:rsid w:val="00AE629B"/>
    <w:rsid w:val="00AE7D9A"/>
    <w:rsid w:val="00AF13D4"/>
    <w:rsid w:val="00AF715A"/>
    <w:rsid w:val="00B00ABC"/>
    <w:rsid w:val="00B04AA7"/>
    <w:rsid w:val="00B061FC"/>
    <w:rsid w:val="00B1157A"/>
    <w:rsid w:val="00B134E2"/>
    <w:rsid w:val="00B1541A"/>
    <w:rsid w:val="00B16C9F"/>
    <w:rsid w:val="00B1795E"/>
    <w:rsid w:val="00B219BF"/>
    <w:rsid w:val="00B21E74"/>
    <w:rsid w:val="00B2404C"/>
    <w:rsid w:val="00B24924"/>
    <w:rsid w:val="00B25F0F"/>
    <w:rsid w:val="00B2742F"/>
    <w:rsid w:val="00B27BDE"/>
    <w:rsid w:val="00B32406"/>
    <w:rsid w:val="00B40278"/>
    <w:rsid w:val="00B40ADA"/>
    <w:rsid w:val="00B43619"/>
    <w:rsid w:val="00B458FD"/>
    <w:rsid w:val="00B472AA"/>
    <w:rsid w:val="00B50677"/>
    <w:rsid w:val="00B55101"/>
    <w:rsid w:val="00B552EF"/>
    <w:rsid w:val="00B558A8"/>
    <w:rsid w:val="00B624B4"/>
    <w:rsid w:val="00B63FA9"/>
    <w:rsid w:val="00B65387"/>
    <w:rsid w:val="00B65EB4"/>
    <w:rsid w:val="00B73BBA"/>
    <w:rsid w:val="00B73E37"/>
    <w:rsid w:val="00B74567"/>
    <w:rsid w:val="00B76421"/>
    <w:rsid w:val="00B76AEC"/>
    <w:rsid w:val="00B835C3"/>
    <w:rsid w:val="00B85ADC"/>
    <w:rsid w:val="00B90373"/>
    <w:rsid w:val="00B954F4"/>
    <w:rsid w:val="00B96C9C"/>
    <w:rsid w:val="00BA13A2"/>
    <w:rsid w:val="00BA423B"/>
    <w:rsid w:val="00BA42C9"/>
    <w:rsid w:val="00BA6290"/>
    <w:rsid w:val="00BB4D43"/>
    <w:rsid w:val="00BB4D71"/>
    <w:rsid w:val="00BB6866"/>
    <w:rsid w:val="00BC264A"/>
    <w:rsid w:val="00BC4B48"/>
    <w:rsid w:val="00BC7617"/>
    <w:rsid w:val="00BC7E64"/>
    <w:rsid w:val="00BD350D"/>
    <w:rsid w:val="00BE17F0"/>
    <w:rsid w:val="00BE1FB3"/>
    <w:rsid w:val="00BF1C06"/>
    <w:rsid w:val="00BF3E78"/>
    <w:rsid w:val="00BF46A5"/>
    <w:rsid w:val="00BF4EC3"/>
    <w:rsid w:val="00BF610F"/>
    <w:rsid w:val="00BF7C35"/>
    <w:rsid w:val="00C034E9"/>
    <w:rsid w:val="00C037ED"/>
    <w:rsid w:val="00C07267"/>
    <w:rsid w:val="00C10A27"/>
    <w:rsid w:val="00C10F97"/>
    <w:rsid w:val="00C10FDF"/>
    <w:rsid w:val="00C11BC4"/>
    <w:rsid w:val="00C140AF"/>
    <w:rsid w:val="00C148D5"/>
    <w:rsid w:val="00C206CF"/>
    <w:rsid w:val="00C22A1D"/>
    <w:rsid w:val="00C24112"/>
    <w:rsid w:val="00C268BB"/>
    <w:rsid w:val="00C30F99"/>
    <w:rsid w:val="00C339E3"/>
    <w:rsid w:val="00C37526"/>
    <w:rsid w:val="00C37B76"/>
    <w:rsid w:val="00C37EB6"/>
    <w:rsid w:val="00C46063"/>
    <w:rsid w:val="00C47B0C"/>
    <w:rsid w:val="00C512E8"/>
    <w:rsid w:val="00C5160A"/>
    <w:rsid w:val="00C51AD3"/>
    <w:rsid w:val="00C51E79"/>
    <w:rsid w:val="00C5211E"/>
    <w:rsid w:val="00C56057"/>
    <w:rsid w:val="00C57BB6"/>
    <w:rsid w:val="00C61261"/>
    <w:rsid w:val="00C61624"/>
    <w:rsid w:val="00C629C4"/>
    <w:rsid w:val="00C62A8F"/>
    <w:rsid w:val="00C62E25"/>
    <w:rsid w:val="00C6521B"/>
    <w:rsid w:val="00C73CA5"/>
    <w:rsid w:val="00C766C5"/>
    <w:rsid w:val="00C76FB7"/>
    <w:rsid w:val="00C77D61"/>
    <w:rsid w:val="00C862D5"/>
    <w:rsid w:val="00C92CAC"/>
    <w:rsid w:val="00C94BC1"/>
    <w:rsid w:val="00CA0FFF"/>
    <w:rsid w:val="00CA6C3A"/>
    <w:rsid w:val="00CA715E"/>
    <w:rsid w:val="00CA77AD"/>
    <w:rsid w:val="00CA783D"/>
    <w:rsid w:val="00CB0654"/>
    <w:rsid w:val="00CB3D23"/>
    <w:rsid w:val="00CB656A"/>
    <w:rsid w:val="00CB7404"/>
    <w:rsid w:val="00CC23B8"/>
    <w:rsid w:val="00CC3FDE"/>
    <w:rsid w:val="00CD3B75"/>
    <w:rsid w:val="00CD553F"/>
    <w:rsid w:val="00CD61FB"/>
    <w:rsid w:val="00CD713B"/>
    <w:rsid w:val="00CD779A"/>
    <w:rsid w:val="00CE2991"/>
    <w:rsid w:val="00CE6550"/>
    <w:rsid w:val="00CE6F67"/>
    <w:rsid w:val="00CE7223"/>
    <w:rsid w:val="00CF05CF"/>
    <w:rsid w:val="00D0034F"/>
    <w:rsid w:val="00D0236A"/>
    <w:rsid w:val="00D04609"/>
    <w:rsid w:val="00D05180"/>
    <w:rsid w:val="00D05648"/>
    <w:rsid w:val="00D07356"/>
    <w:rsid w:val="00D11424"/>
    <w:rsid w:val="00D1525A"/>
    <w:rsid w:val="00D15705"/>
    <w:rsid w:val="00D169E2"/>
    <w:rsid w:val="00D17AE0"/>
    <w:rsid w:val="00D17D75"/>
    <w:rsid w:val="00D231F9"/>
    <w:rsid w:val="00D26296"/>
    <w:rsid w:val="00D262E6"/>
    <w:rsid w:val="00D27194"/>
    <w:rsid w:val="00D312AA"/>
    <w:rsid w:val="00D33DF8"/>
    <w:rsid w:val="00D35ECE"/>
    <w:rsid w:val="00D368FC"/>
    <w:rsid w:val="00D44180"/>
    <w:rsid w:val="00D44317"/>
    <w:rsid w:val="00D4477E"/>
    <w:rsid w:val="00D45A90"/>
    <w:rsid w:val="00D45B86"/>
    <w:rsid w:val="00D55689"/>
    <w:rsid w:val="00D56E65"/>
    <w:rsid w:val="00D63391"/>
    <w:rsid w:val="00D635BD"/>
    <w:rsid w:val="00D658D0"/>
    <w:rsid w:val="00D65EB6"/>
    <w:rsid w:val="00D71699"/>
    <w:rsid w:val="00D733E5"/>
    <w:rsid w:val="00D7370B"/>
    <w:rsid w:val="00D804D6"/>
    <w:rsid w:val="00D836FC"/>
    <w:rsid w:val="00D91EAF"/>
    <w:rsid w:val="00D94669"/>
    <w:rsid w:val="00D95723"/>
    <w:rsid w:val="00D957EB"/>
    <w:rsid w:val="00D95C0A"/>
    <w:rsid w:val="00DA0360"/>
    <w:rsid w:val="00DA7442"/>
    <w:rsid w:val="00DA79AD"/>
    <w:rsid w:val="00DB20CB"/>
    <w:rsid w:val="00DB2737"/>
    <w:rsid w:val="00DB44C8"/>
    <w:rsid w:val="00DC11ED"/>
    <w:rsid w:val="00DC715D"/>
    <w:rsid w:val="00DD09E8"/>
    <w:rsid w:val="00DD1937"/>
    <w:rsid w:val="00DD4243"/>
    <w:rsid w:val="00DD5019"/>
    <w:rsid w:val="00DD50A0"/>
    <w:rsid w:val="00DE0BCB"/>
    <w:rsid w:val="00DE5928"/>
    <w:rsid w:val="00DE6AC1"/>
    <w:rsid w:val="00DF1400"/>
    <w:rsid w:val="00DF689A"/>
    <w:rsid w:val="00E0140C"/>
    <w:rsid w:val="00E031A0"/>
    <w:rsid w:val="00E062EE"/>
    <w:rsid w:val="00E0677E"/>
    <w:rsid w:val="00E10793"/>
    <w:rsid w:val="00E1101F"/>
    <w:rsid w:val="00E12D5B"/>
    <w:rsid w:val="00E13E50"/>
    <w:rsid w:val="00E140D0"/>
    <w:rsid w:val="00E15BC8"/>
    <w:rsid w:val="00E17BB9"/>
    <w:rsid w:val="00E20A44"/>
    <w:rsid w:val="00E21858"/>
    <w:rsid w:val="00E22235"/>
    <w:rsid w:val="00E23A86"/>
    <w:rsid w:val="00E27E1B"/>
    <w:rsid w:val="00E36F69"/>
    <w:rsid w:val="00E41477"/>
    <w:rsid w:val="00E43BFF"/>
    <w:rsid w:val="00E456E8"/>
    <w:rsid w:val="00E50E06"/>
    <w:rsid w:val="00E51D8E"/>
    <w:rsid w:val="00E56F92"/>
    <w:rsid w:val="00E60675"/>
    <w:rsid w:val="00E60F0A"/>
    <w:rsid w:val="00E61692"/>
    <w:rsid w:val="00E66CC2"/>
    <w:rsid w:val="00E6795F"/>
    <w:rsid w:val="00E7291A"/>
    <w:rsid w:val="00E74F62"/>
    <w:rsid w:val="00E75F3F"/>
    <w:rsid w:val="00E776EF"/>
    <w:rsid w:val="00E84B65"/>
    <w:rsid w:val="00E85AA4"/>
    <w:rsid w:val="00E860F2"/>
    <w:rsid w:val="00E871AE"/>
    <w:rsid w:val="00E875FD"/>
    <w:rsid w:val="00E90537"/>
    <w:rsid w:val="00E92012"/>
    <w:rsid w:val="00E94ADB"/>
    <w:rsid w:val="00E94DE6"/>
    <w:rsid w:val="00E95D30"/>
    <w:rsid w:val="00E97611"/>
    <w:rsid w:val="00EA27F5"/>
    <w:rsid w:val="00EA4712"/>
    <w:rsid w:val="00EB464A"/>
    <w:rsid w:val="00EB5AAA"/>
    <w:rsid w:val="00EC0DEA"/>
    <w:rsid w:val="00EC2C3E"/>
    <w:rsid w:val="00EC30A8"/>
    <w:rsid w:val="00EC3CCC"/>
    <w:rsid w:val="00EC40CA"/>
    <w:rsid w:val="00EC58BE"/>
    <w:rsid w:val="00EC6C9F"/>
    <w:rsid w:val="00ED0F1E"/>
    <w:rsid w:val="00ED16E2"/>
    <w:rsid w:val="00ED1E55"/>
    <w:rsid w:val="00ED4CC0"/>
    <w:rsid w:val="00ED52EE"/>
    <w:rsid w:val="00EE193C"/>
    <w:rsid w:val="00EE5B7A"/>
    <w:rsid w:val="00EE7BF3"/>
    <w:rsid w:val="00EF2FEB"/>
    <w:rsid w:val="00EF6B8D"/>
    <w:rsid w:val="00F00BBD"/>
    <w:rsid w:val="00F01C45"/>
    <w:rsid w:val="00F05E71"/>
    <w:rsid w:val="00F06F75"/>
    <w:rsid w:val="00F10E50"/>
    <w:rsid w:val="00F10F30"/>
    <w:rsid w:val="00F20D1D"/>
    <w:rsid w:val="00F21E05"/>
    <w:rsid w:val="00F22EB1"/>
    <w:rsid w:val="00F2467E"/>
    <w:rsid w:val="00F2781A"/>
    <w:rsid w:val="00F317A2"/>
    <w:rsid w:val="00F33355"/>
    <w:rsid w:val="00F33E78"/>
    <w:rsid w:val="00F40195"/>
    <w:rsid w:val="00F54084"/>
    <w:rsid w:val="00F54178"/>
    <w:rsid w:val="00F55BD1"/>
    <w:rsid w:val="00F55E89"/>
    <w:rsid w:val="00F57DEB"/>
    <w:rsid w:val="00F61EC5"/>
    <w:rsid w:val="00F65F26"/>
    <w:rsid w:val="00F66FB0"/>
    <w:rsid w:val="00F67532"/>
    <w:rsid w:val="00F702E5"/>
    <w:rsid w:val="00F71B5B"/>
    <w:rsid w:val="00F7394E"/>
    <w:rsid w:val="00F74062"/>
    <w:rsid w:val="00F74184"/>
    <w:rsid w:val="00F746D9"/>
    <w:rsid w:val="00F768FD"/>
    <w:rsid w:val="00F76F52"/>
    <w:rsid w:val="00F87A87"/>
    <w:rsid w:val="00F87B43"/>
    <w:rsid w:val="00F9248A"/>
    <w:rsid w:val="00F92947"/>
    <w:rsid w:val="00F92B67"/>
    <w:rsid w:val="00F95735"/>
    <w:rsid w:val="00F96822"/>
    <w:rsid w:val="00F96F29"/>
    <w:rsid w:val="00F97706"/>
    <w:rsid w:val="00FA0E2E"/>
    <w:rsid w:val="00FA1030"/>
    <w:rsid w:val="00FA4A2B"/>
    <w:rsid w:val="00FA65E4"/>
    <w:rsid w:val="00FA7432"/>
    <w:rsid w:val="00FA7D94"/>
    <w:rsid w:val="00FB2BCF"/>
    <w:rsid w:val="00FB2FF2"/>
    <w:rsid w:val="00FB350F"/>
    <w:rsid w:val="00FB4112"/>
    <w:rsid w:val="00FC28E9"/>
    <w:rsid w:val="00FC419B"/>
    <w:rsid w:val="00FC48D7"/>
    <w:rsid w:val="00FC4BF2"/>
    <w:rsid w:val="00FD08E8"/>
    <w:rsid w:val="00FD21C9"/>
    <w:rsid w:val="00FD3C27"/>
    <w:rsid w:val="00FD5779"/>
    <w:rsid w:val="00FD737D"/>
    <w:rsid w:val="00FD7637"/>
    <w:rsid w:val="00FE1B0B"/>
    <w:rsid w:val="00FE1FF7"/>
    <w:rsid w:val="00FE400F"/>
    <w:rsid w:val="00FF1651"/>
    <w:rsid w:val="00FF1986"/>
    <w:rsid w:val="00FF4FB4"/>
    <w:rsid w:val="01044999"/>
    <w:rsid w:val="01174A0C"/>
    <w:rsid w:val="01283AD3"/>
    <w:rsid w:val="013645A9"/>
    <w:rsid w:val="01371209"/>
    <w:rsid w:val="014B7CAB"/>
    <w:rsid w:val="014F7EFD"/>
    <w:rsid w:val="015C6714"/>
    <w:rsid w:val="016F3DC0"/>
    <w:rsid w:val="01847BDA"/>
    <w:rsid w:val="01853E11"/>
    <w:rsid w:val="018C160F"/>
    <w:rsid w:val="018F6530"/>
    <w:rsid w:val="019D49AA"/>
    <w:rsid w:val="01D95F0B"/>
    <w:rsid w:val="01E06CE4"/>
    <w:rsid w:val="01EF18BD"/>
    <w:rsid w:val="01F36013"/>
    <w:rsid w:val="01F8286B"/>
    <w:rsid w:val="0202308B"/>
    <w:rsid w:val="02105D35"/>
    <w:rsid w:val="02111BF1"/>
    <w:rsid w:val="021B71EF"/>
    <w:rsid w:val="021F057C"/>
    <w:rsid w:val="022171A3"/>
    <w:rsid w:val="02322D0A"/>
    <w:rsid w:val="023C43BD"/>
    <w:rsid w:val="023C54C1"/>
    <w:rsid w:val="0244437A"/>
    <w:rsid w:val="02593989"/>
    <w:rsid w:val="02601057"/>
    <w:rsid w:val="026025B4"/>
    <w:rsid w:val="026447F7"/>
    <w:rsid w:val="027B48F6"/>
    <w:rsid w:val="028574EF"/>
    <w:rsid w:val="029C0E65"/>
    <w:rsid w:val="029E7671"/>
    <w:rsid w:val="02AB6EB0"/>
    <w:rsid w:val="02AE1DEC"/>
    <w:rsid w:val="02BF77F6"/>
    <w:rsid w:val="02E21A14"/>
    <w:rsid w:val="02EF6E2C"/>
    <w:rsid w:val="03062209"/>
    <w:rsid w:val="031E3148"/>
    <w:rsid w:val="032A6278"/>
    <w:rsid w:val="03381431"/>
    <w:rsid w:val="033D3F9A"/>
    <w:rsid w:val="033D567A"/>
    <w:rsid w:val="03511E71"/>
    <w:rsid w:val="035661F2"/>
    <w:rsid w:val="035B0A71"/>
    <w:rsid w:val="035E5B23"/>
    <w:rsid w:val="0363292C"/>
    <w:rsid w:val="036F38A3"/>
    <w:rsid w:val="036F39FE"/>
    <w:rsid w:val="037B3598"/>
    <w:rsid w:val="03863722"/>
    <w:rsid w:val="038A24A9"/>
    <w:rsid w:val="03920C09"/>
    <w:rsid w:val="03AF6E27"/>
    <w:rsid w:val="03DF587A"/>
    <w:rsid w:val="03E64E91"/>
    <w:rsid w:val="03F37758"/>
    <w:rsid w:val="03FA280D"/>
    <w:rsid w:val="03FF5455"/>
    <w:rsid w:val="044020AD"/>
    <w:rsid w:val="04402605"/>
    <w:rsid w:val="04491A6E"/>
    <w:rsid w:val="044E4416"/>
    <w:rsid w:val="04555D2B"/>
    <w:rsid w:val="046A6BE4"/>
    <w:rsid w:val="047E69CC"/>
    <w:rsid w:val="048F3F75"/>
    <w:rsid w:val="04966F9A"/>
    <w:rsid w:val="049D750D"/>
    <w:rsid w:val="04B24B91"/>
    <w:rsid w:val="04D1019B"/>
    <w:rsid w:val="04D14E68"/>
    <w:rsid w:val="04DE2628"/>
    <w:rsid w:val="04E45A5C"/>
    <w:rsid w:val="04FC35C6"/>
    <w:rsid w:val="04FC5143"/>
    <w:rsid w:val="04FD1905"/>
    <w:rsid w:val="04FE1CAD"/>
    <w:rsid w:val="04FF18D4"/>
    <w:rsid w:val="05094DFA"/>
    <w:rsid w:val="050D2265"/>
    <w:rsid w:val="05270045"/>
    <w:rsid w:val="0533656A"/>
    <w:rsid w:val="05367DF3"/>
    <w:rsid w:val="05401886"/>
    <w:rsid w:val="054C7431"/>
    <w:rsid w:val="0555259C"/>
    <w:rsid w:val="055752F1"/>
    <w:rsid w:val="05691799"/>
    <w:rsid w:val="0575657E"/>
    <w:rsid w:val="0577001C"/>
    <w:rsid w:val="058441FC"/>
    <w:rsid w:val="05881FAA"/>
    <w:rsid w:val="058C3E4F"/>
    <w:rsid w:val="058D77D8"/>
    <w:rsid w:val="05921EB1"/>
    <w:rsid w:val="05990688"/>
    <w:rsid w:val="05A062D0"/>
    <w:rsid w:val="05B0028B"/>
    <w:rsid w:val="05BB3744"/>
    <w:rsid w:val="05BD0B45"/>
    <w:rsid w:val="05E53DCD"/>
    <w:rsid w:val="05E71792"/>
    <w:rsid w:val="05F94195"/>
    <w:rsid w:val="05FA6846"/>
    <w:rsid w:val="060027EB"/>
    <w:rsid w:val="06026A35"/>
    <w:rsid w:val="060352F1"/>
    <w:rsid w:val="06045378"/>
    <w:rsid w:val="060A3C1A"/>
    <w:rsid w:val="0611788A"/>
    <w:rsid w:val="0613394A"/>
    <w:rsid w:val="06225425"/>
    <w:rsid w:val="06227D8C"/>
    <w:rsid w:val="063959CA"/>
    <w:rsid w:val="063972C2"/>
    <w:rsid w:val="064D5CF9"/>
    <w:rsid w:val="068D389F"/>
    <w:rsid w:val="06BD114E"/>
    <w:rsid w:val="06BF2B12"/>
    <w:rsid w:val="06CA46BF"/>
    <w:rsid w:val="06D75060"/>
    <w:rsid w:val="06D97F12"/>
    <w:rsid w:val="06EA4507"/>
    <w:rsid w:val="06EF3A00"/>
    <w:rsid w:val="06F34BC0"/>
    <w:rsid w:val="070021E4"/>
    <w:rsid w:val="071E585E"/>
    <w:rsid w:val="07226FEB"/>
    <w:rsid w:val="073329C1"/>
    <w:rsid w:val="07447923"/>
    <w:rsid w:val="07487DBA"/>
    <w:rsid w:val="075E3268"/>
    <w:rsid w:val="07630B08"/>
    <w:rsid w:val="077D3B82"/>
    <w:rsid w:val="07974123"/>
    <w:rsid w:val="0799652D"/>
    <w:rsid w:val="079A67B4"/>
    <w:rsid w:val="079C5E4D"/>
    <w:rsid w:val="07B10FAF"/>
    <w:rsid w:val="07B21E4B"/>
    <w:rsid w:val="07B2749D"/>
    <w:rsid w:val="07BB2D8C"/>
    <w:rsid w:val="07D73C8C"/>
    <w:rsid w:val="07DA40C1"/>
    <w:rsid w:val="07F67816"/>
    <w:rsid w:val="07FC41DD"/>
    <w:rsid w:val="080004DA"/>
    <w:rsid w:val="080D4B57"/>
    <w:rsid w:val="081429DB"/>
    <w:rsid w:val="082223BA"/>
    <w:rsid w:val="083D027D"/>
    <w:rsid w:val="083D7EF5"/>
    <w:rsid w:val="085C0666"/>
    <w:rsid w:val="08615753"/>
    <w:rsid w:val="0874193F"/>
    <w:rsid w:val="08742614"/>
    <w:rsid w:val="08750E67"/>
    <w:rsid w:val="087D1CE6"/>
    <w:rsid w:val="087F28C7"/>
    <w:rsid w:val="087F4406"/>
    <w:rsid w:val="087F5A5E"/>
    <w:rsid w:val="08A10933"/>
    <w:rsid w:val="08A632F6"/>
    <w:rsid w:val="08AB4773"/>
    <w:rsid w:val="08B40F52"/>
    <w:rsid w:val="08B81CC7"/>
    <w:rsid w:val="08B90A35"/>
    <w:rsid w:val="08C077FE"/>
    <w:rsid w:val="08C60385"/>
    <w:rsid w:val="08C90C3A"/>
    <w:rsid w:val="08D1750A"/>
    <w:rsid w:val="08D17F1A"/>
    <w:rsid w:val="08D64040"/>
    <w:rsid w:val="08E173C4"/>
    <w:rsid w:val="08E3243D"/>
    <w:rsid w:val="08F4620D"/>
    <w:rsid w:val="08F706E6"/>
    <w:rsid w:val="0913644D"/>
    <w:rsid w:val="092D5D9C"/>
    <w:rsid w:val="093C01A4"/>
    <w:rsid w:val="0949541B"/>
    <w:rsid w:val="094F4B43"/>
    <w:rsid w:val="0950308E"/>
    <w:rsid w:val="095C1850"/>
    <w:rsid w:val="0960107A"/>
    <w:rsid w:val="09670B96"/>
    <w:rsid w:val="096D1D5A"/>
    <w:rsid w:val="09796846"/>
    <w:rsid w:val="09812485"/>
    <w:rsid w:val="098376F2"/>
    <w:rsid w:val="09844774"/>
    <w:rsid w:val="09902714"/>
    <w:rsid w:val="09952993"/>
    <w:rsid w:val="099D78CC"/>
    <w:rsid w:val="09BC3F02"/>
    <w:rsid w:val="09CA51DB"/>
    <w:rsid w:val="09D21CE1"/>
    <w:rsid w:val="09D605D6"/>
    <w:rsid w:val="09DC1D92"/>
    <w:rsid w:val="09DF6293"/>
    <w:rsid w:val="09E64261"/>
    <w:rsid w:val="09EF2C0C"/>
    <w:rsid w:val="09F40CE4"/>
    <w:rsid w:val="09F41296"/>
    <w:rsid w:val="09F4199C"/>
    <w:rsid w:val="09FC40EC"/>
    <w:rsid w:val="0A004A5F"/>
    <w:rsid w:val="0A064A96"/>
    <w:rsid w:val="0A0A3650"/>
    <w:rsid w:val="0A184528"/>
    <w:rsid w:val="0A1F773A"/>
    <w:rsid w:val="0A27340A"/>
    <w:rsid w:val="0A3D4737"/>
    <w:rsid w:val="0A3D5901"/>
    <w:rsid w:val="0A3F6F59"/>
    <w:rsid w:val="0A4053DE"/>
    <w:rsid w:val="0A4572F8"/>
    <w:rsid w:val="0A54041F"/>
    <w:rsid w:val="0A62446E"/>
    <w:rsid w:val="0A700E98"/>
    <w:rsid w:val="0A703976"/>
    <w:rsid w:val="0A706FF4"/>
    <w:rsid w:val="0A8A0683"/>
    <w:rsid w:val="0A965C32"/>
    <w:rsid w:val="0A9A743C"/>
    <w:rsid w:val="0AA61F84"/>
    <w:rsid w:val="0AAB2572"/>
    <w:rsid w:val="0AAD1D1D"/>
    <w:rsid w:val="0AB47951"/>
    <w:rsid w:val="0AC200A9"/>
    <w:rsid w:val="0AC331A1"/>
    <w:rsid w:val="0ACB658F"/>
    <w:rsid w:val="0ACD43F2"/>
    <w:rsid w:val="0AD20C34"/>
    <w:rsid w:val="0AE56966"/>
    <w:rsid w:val="0AE723A8"/>
    <w:rsid w:val="0AE742B1"/>
    <w:rsid w:val="0AFE4817"/>
    <w:rsid w:val="0B001D94"/>
    <w:rsid w:val="0B0B5E8B"/>
    <w:rsid w:val="0B104D01"/>
    <w:rsid w:val="0B1B1C46"/>
    <w:rsid w:val="0B22331A"/>
    <w:rsid w:val="0B355678"/>
    <w:rsid w:val="0B36555F"/>
    <w:rsid w:val="0B3959D6"/>
    <w:rsid w:val="0B4C6CBB"/>
    <w:rsid w:val="0B4E2FD8"/>
    <w:rsid w:val="0B502761"/>
    <w:rsid w:val="0B6472B6"/>
    <w:rsid w:val="0B657CBB"/>
    <w:rsid w:val="0B75458B"/>
    <w:rsid w:val="0B791B45"/>
    <w:rsid w:val="0B892C87"/>
    <w:rsid w:val="0B9862A8"/>
    <w:rsid w:val="0BA625DC"/>
    <w:rsid w:val="0BB759F9"/>
    <w:rsid w:val="0BC90AFA"/>
    <w:rsid w:val="0BE25129"/>
    <w:rsid w:val="0BEA3234"/>
    <w:rsid w:val="0C04484A"/>
    <w:rsid w:val="0C063E01"/>
    <w:rsid w:val="0C0815A2"/>
    <w:rsid w:val="0C167437"/>
    <w:rsid w:val="0C2C0F7F"/>
    <w:rsid w:val="0C2C7CAB"/>
    <w:rsid w:val="0C39089E"/>
    <w:rsid w:val="0C473595"/>
    <w:rsid w:val="0C512630"/>
    <w:rsid w:val="0C5508BA"/>
    <w:rsid w:val="0C643511"/>
    <w:rsid w:val="0C654A94"/>
    <w:rsid w:val="0C684A5B"/>
    <w:rsid w:val="0C6B3676"/>
    <w:rsid w:val="0C7157C1"/>
    <w:rsid w:val="0C77142A"/>
    <w:rsid w:val="0C792778"/>
    <w:rsid w:val="0C8271CA"/>
    <w:rsid w:val="0C835E2B"/>
    <w:rsid w:val="0C9413B4"/>
    <w:rsid w:val="0CB1090A"/>
    <w:rsid w:val="0CBF5D51"/>
    <w:rsid w:val="0CCB22AE"/>
    <w:rsid w:val="0CDC646B"/>
    <w:rsid w:val="0CE540AE"/>
    <w:rsid w:val="0CE615B0"/>
    <w:rsid w:val="0CE916F8"/>
    <w:rsid w:val="0CEA2A11"/>
    <w:rsid w:val="0CF629CA"/>
    <w:rsid w:val="0CF7294B"/>
    <w:rsid w:val="0CFE6227"/>
    <w:rsid w:val="0CFF055C"/>
    <w:rsid w:val="0D010A74"/>
    <w:rsid w:val="0D061571"/>
    <w:rsid w:val="0D0C16AA"/>
    <w:rsid w:val="0D232315"/>
    <w:rsid w:val="0D282962"/>
    <w:rsid w:val="0D2F0B37"/>
    <w:rsid w:val="0D2F7FD6"/>
    <w:rsid w:val="0D35493D"/>
    <w:rsid w:val="0D3977A7"/>
    <w:rsid w:val="0D40639B"/>
    <w:rsid w:val="0D430C72"/>
    <w:rsid w:val="0D486564"/>
    <w:rsid w:val="0D495990"/>
    <w:rsid w:val="0D4A3597"/>
    <w:rsid w:val="0D536DAE"/>
    <w:rsid w:val="0D644585"/>
    <w:rsid w:val="0D6D7722"/>
    <w:rsid w:val="0D73640E"/>
    <w:rsid w:val="0D7B62DE"/>
    <w:rsid w:val="0D7C3600"/>
    <w:rsid w:val="0D7E6245"/>
    <w:rsid w:val="0D910C6A"/>
    <w:rsid w:val="0D94504D"/>
    <w:rsid w:val="0D9536A5"/>
    <w:rsid w:val="0D9A5595"/>
    <w:rsid w:val="0D9C1E24"/>
    <w:rsid w:val="0DA61E74"/>
    <w:rsid w:val="0DA7625D"/>
    <w:rsid w:val="0DAB4BFF"/>
    <w:rsid w:val="0DB060B1"/>
    <w:rsid w:val="0DB4425E"/>
    <w:rsid w:val="0DD536B3"/>
    <w:rsid w:val="0DD56120"/>
    <w:rsid w:val="0DDE13D7"/>
    <w:rsid w:val="0DE02376"/>
    <w:rsid w:val="0DFE74A3"/>
    <w:rsid w:val="0DFF4276"/>
    <w:rsid w:val="0E131364"/>
    <w:rsid w:val="0E160957"/>
    <w:rsid w:val="0E1A540F"/>
    <w:rsid w:val="0E1D280E"/>
    <w:rsid w:val="0E2E35EE"/>
    <w:rsid w:val="0E3E50AB"/>
    <w:rsid w:val="0E4A45A2"/>
    <w:rsid w:val="0E5058FC"/>
    <w:rsid w:val="0E526C08"/>
    <w:rsid w:val="0E5376E6"/>
    <w:rsid w:val="0E5C064C"/>
    <w:rsid w:val="0E7472F0"/>
    <w:rsid w:val="0E750F67"/>
    <w:rsid w:val="0E92287A"/>
    <w:rsid w:val="0EB0593F"/>
    <w:rsid w:val="0EC2123E"/>
    <w:rsid w:val="0EEF1F73"/>
    <w:rsid w:val="0EFF4FE0"/>
    <w:rsid w:val="0F044FC7"/>
    <w:rsid w:val="0F0A5671"/>
    <w:rsid w:val="0F1D10B5"/>
    <w:rsid w:val="0F242416"/>
    <w:rsid w:val="0F25287E"/>
    <w:rsid w:val="0F3225E3"/>
    <w:rsid w:val="0F336AD7"/>
    <w:rsid w:val="0F3731D5"/>
    <w:rsid w:val="0F3D0F52"/>
    <w:rsid w:val="0F41061E"/>
    <w:rsid w:val="0F420BEB"/>
    <w:rsid w:val="0F435ACF"/>
    <w:rsid w:val="0F5471CF"/>
    <w:rsid w:val="0F5E67C6"/>
    <w:rsid w:val="0F656182"/>
    <w:rsid w:val="0F73228B"/>
    <w:rsid w:val="0F76748F"/>
    <w:rsid w:val="0F7E21D9"/>
    <w:rsid w:val="0F8415F5"/>
    <w:rsid w:val="0F8E0E32"/>
    <w:rsid w:val="0F980716"/>
    <w:rsid w:val="0F992792"/>
    <w:rsid w:val="0F9D58E4"/>
    <w:rsid w:val="0FA75282"/>
    <w:rsid w:val="0FA75993"/>
    <w:rsid w:val="0FC663CD"/>
    <w:rsid w:val="0FC87213"/>
    <w:rsid w:val="0FC87917"/>
    <w:rsid w:val="0FCB2B97"/>
    <w:rsid w:val="0FCF3D5D"/>
    <w:rsid w:val="0FD977B3"/>
    <w:rsid w:val="0FEA7F5C"/>
    <w:rsid w:val="1005035E"/>
    <w:rsid w:val="100D554C"/>
    <w:rsid w:val="10157925"/>
    <w:rsid w:val="10166113"/>
    <w:rsid w:val="10212B33"/>
    <w:rsid w:val="102764B9"/>
    <w:rsid w:val="1030490E"/>
    <w:rsid w:val="103D1085"/>
    <w:rsid w:val="103D39EE"/>
    <w:rsid w:val="10544303"/>
    <w:rsid w:val="105D6EDD"/>
    <w:rsid w:val="107F4905"/>
    <w:rsid w:val="10A57273"/>
    <w:rsid w:val="10AD045C"/>
    <w:rsid w:val="10AE2D17"/>
    <w:rsid w:val="10BF652D"/>
    <w:rsid w:val="10D57C08"/>
    <w:rsid w:val="10E54964"/>
    <w:rsid w:val="10E85603"/>
    <w:rsid w:val="10F65385"/>
    <w:rsid w:val="11020578"/>
    <w:rsid w:val="110B2892"/>
    <w:rsid w:val="110C708E"/>
    <w:rsid w:val="111251AE"/>
    <w:rsid w:val="11160501"/>
    <w:rsid w:val="11164C73"/>
    <w:rsid w:val="111C1793"/>
    <w:rsid w:val="112E43AE"/>
    <w:rsid w:val="11337A03"/>
    <w:rsid w:val="114A6488"/>
    <w:rsid w:val="114F4B40"/>
    <w:rsid w:val="117532E4"/>
    <w:rsid w:val="118D3D71"/>
    <w:rsid w:val="11A6719F"/>
    <w:rsid w:val="11AE7CAB"/>
    <w:rsid w:val="11B969CF"/>
    <w:rsid w:val="11BB562D"/>
    <w:rsid w:val="11DD436D"/>
    <w:rsid w:val="11ED6CF2"/>
    <w:rsid w:val="11EF0ED5"/>
    <w:rsid w:val="11FC3E71"/>
    <w:rsid w:val="11FE1F10"/>
    <w:rsid w:val="12025FF3"/>
    <w:rsid w:val="12466F8D"/>
    <w:rsid w:val="12502219"/>
    <w:rsid w:val="125D358A"/>
    <w:rsid w:val="12665B04"/>
    <w:rsid w:val="12695FA5"/>
    <w:rsid w:val="126D5ABA"/>
    <w:rsid w:val="12702742"/>
    <w:rsid w:val="1276100D"/>
    <w:rsid w:val="1294644E"/>
    <w:rsid w:val="12A06D31"/>
    <w:rsid w:val="12A165D1"/>
    <w:rsid w:val="12A1687D"/>
    <w:rsid w:val="12B33E3A"/>
    <w:rsid w:val="12C11FD3"/>
    <w:rsid w:val="12D17F7B"/>
    <w:rsid w:val="12D66805"/>
    <w:rsid w:val="12E130E3"/>
    <w:rsid w:val="12E21FD2"/>
    <w:rsid w:val="12ED0E75"/>
    <w:rsid w:val="12F9048A"/>
    <w:rsid w:val="12F960BD"/>
    <w:rsid w:val="12FF7D50"/>
    <w:rsid w:val="13273D51"/>
    <w:rsid w:val="13342C1C"/>
    <w:rsid w:val="134C248C"/>
    <w:rsid w:val="135434C0"/>
    <w:rsid w:val="135A3692"/>
    <w:rsid w:val="135D7ABB"/>
    <w:rsid w:val="13634A85"/>
    <w:rsid w:val="136513AF"/>
    <w:rsid w:val="13665604"/>
    <w:rsid w:val="13702636"/>
    <w:rsid w:val="139436BF"/>
    <w:rsid w:val="13AA6037"/>
    <w:rsid w:val="13AC7707"/>
    <w:rsid w:val="13B453D1"/>
    <w:rsid w:val="13DF276F"/>
    <w:rsid w:val="13E07CAA"/>
    <w:rsid w:val="14052803"/>
    <w:rsid w:val="140830F0"/>
    <w:rsid w:val="14197067"/>
    <w:rsid w:val="142A4982"/>
    <w:rsid w:val="142B60DD"/>
    <w:rsid w:val="142C56B3"/>
    <w:rsid w:val="14345B11"/>
    <w:rsid w:val="144F0D11"/>
    <w:rsid w:val="145D5CD1"/>
    <w:rsid w:val="14717E4D"/>
    <w:rsid w:val="14794A1F"/>
    <w:rsid w:val="147B4ACE"/>
    <w:rsid w:val="147C388D"/>
    <w:rsid w:val="147F522E"/>
    <w:rsid w:val="14847F58"/>
    <w:rsid w:val="14BB519E"/>
    <w:rsid w:val="14BD239C"/>
    <w:rsid w:val="14BF5F30"/>
    <w:rsid w:val="14D64CD2"/>
    <w:rsid w:val="14D9505D"/>
    <w:rsid w:val="14E02D01"/>
    <w:rsid w:val="14EA217D"/>
    <w:rsid w:val="14F64EF0"/>
    <w:rsid w:val="14F95766"/>
    <w:rsid w:val="1503782B"/>
    <w:rsid w:val="151A3202"/>
    <w:rsid w:val="15297DB2"/>
    <w:rsid w:val="152C4F8A"/>
    <w:rsid w:val="153414DF"/>
    <w:rsid w:val="153D0CE0"/>
    <w:rsid w:val="15615499"/>
    <w:rsid w:val="15670475"/>
    <w:rsid w:val="15820E0E"/>
    <w:rsid w:val="158448B2"/>
    <w:rsid w:val="158C7FD7"/>
    <w:rsid w:val="159D0C24"/>
    <w:rsid w:val="159E5C51"/>
    <w:rsid w:val="15A526F9"/>
    <w:rsid w:val="15A654C5"/>
    <w:rsid w:val="15B56A8E"/>
    <w:rsid w:val="15BA6F7B"/>
    <w:rsid w:val="15BC2A31"/>
    <w:rsid w:val="15C21434"/>
    <w:rsid w:val="15C84AFC"/>
    <w:rsid w:val="15CD1FF5"/>
    <w:rsid w:val="15E06830"/>
    <w:rsid w:val="15F558D8"/>
    <w:rsid w:val="160D677F"/>
    <w:rsid w:val="16187D2D"/>
    <w:rsid w:val="162241C0"/>
    <w:rsid w:val="1623300B"/>
    <w:rsid w:val="16293740"/>
    <w:rsid w:val="162C6F68"/>
    <w:rsid w:val="16467BBB"/>
    <w:rsid w:val="16527B01"/>
    <w:rsid w:val="165326B1"/>
    <w:rsid w:val="16551AC1"/>
    <w:rsid w:val="16576D6F"/>
    <w:rsid w:val="166C7E03"/>
    <w:rsid w:val="167E7055"/>
    <w:rsid w:val="168A7A03"/>
    <w:rsid w:val="168C03BB"/>
    <w:rsid w:val="16922F85"/>
    <w:rsid w:val="16A7145D"/>
    <w:rsid w:val="16AF5F86"/>
    <w:rsid w:val="16B25D1D"/>
    <w:rsid w:val="16CA6778"/>
    <w:rsid w:val="16CF0986"/>
    <w:rsid w:val="1716612C"/>
    <w:rsid w:val="171D47CB"/>
    <w:rsid w:val="172A47A4"/>
    <w:rsid w:val="17391ADD"/>
    <w:rsid w:val="174D2E8D"/>
    <w:rsid w:val="174E722D"/>
    <w:rsid w:val="17522453"/>
    <w:rsid w:val="17533C12"/>
    <w:rsid w:val="1755141B"/>
    <w:rsid w:val="17595424"/>
    <w:rsid w:val="177711C1"/>
    <w:rsid w:val="177B5642"/>
    <w:rsid w:val="17834F5C"/>
    <w:rsid w:val="178A5EAF"/>
    <w:rsid w:val="17C81254"/>
    <w:rsid w:val="17D71269"/>
    <w:rsid w:val="17DE7C80"/>
    <w:rsid w:val="17E25B92"/>
    <w:rsid w:val="17E31896"/>
    <w:rsid w:val="17EA5DF1"/>
    <w:rsid w:val="17EB10BE"/>
    <w:rsid w:val="181B7443"/>
    <w:rsid w:val="18311D93"/>
    <w:rsid w:val="18352936"/>
    <w:rsid w:val="18487985"/>
    <w:rsid w:val="1850234E"/>
    <w:rsid w:val="1856742B"/>
    <w:rsid w:val="186B56B7"/>
    <w:rsid w:val="18744283"/>
    <w:rsid w:val="187F2E17"/>
    <w:rsid w:val="18812024"/>
    <w:rsid w:val="189815EC"/>
    <w:rsid w:val="189B7D38"/>
    <w:rsid w:val="18A92257"/>
    <w:rsid w:val="18B76923"/>
    <w:rsid w:val="18BE51F1"/>
    <w:rsid w:val="18C17D81"/>
    <w:rsid w:val="18C264C6"/>
    <w:rsid w:val="18C533B9"/>
    <w:rsid w:val="18D31AE0"/>
    <w:rsid w:val="18D6149F"/>
    <w:rsid w:val="18EF02EB"/>
    <w:rsid w:val="18F16481"/>
    <w:rsid w:val="18FA088D"/>
    <w:rsid w:val="19094153"/>
    <w:rsid w:val="191473A1"/>
    <w:rsid w:val="191A1E4E"/>
    <w:rsid w:val="19205EC2"/>
    <w:rsid w:val="19382CF5"/>
    <w:rsid w:val="19480089"/>
    <w:rsid w:val="19631AC5"/>
    <w:rsid w:val="19635D04"/>
    <w:rsid w:val="197F6D29"/>
    <w:rsid w:val="198B60F5"/>
    <w:rsid w:val="19922087"/>
    <w:rsid w:val="19A33C48"/>
    <w:rsid w:val="19A97CE7"/>
    <w:rsid w:val="19AA4FB8"/>
    <w:rsid w:val="19C32059"/>
    <w:rsid w:val="19C47E17"/>
    <w:rsid w:val="19C618D4"/>
    <w:rsid w:val="19C90B7D"/>
    <w:rsid w:val="19CA5825"/>
    <w:rsid w:val="19DD44F8"/>
    <w:rsid w:val="19E04F8B"/>
    <w:rsid w:val="19EB3183"/>
    <w:rsid w:val="19ED498B"/>
    <w:rsid w:val="19F02C39"/>
    <w:rsid w:val="19F618F8"/>
    <w:rsid w:val="1A011A7F"/>
    <w:rsid w:val="1A1104E0"/>
    <w:rsid w:val="1A147FD0"/>
    <w:rsid w:val="1A1A1D9C"/>
    <w:rsid w:val="1A23183F"/>
    <w:rsid w:val="1A322055"/>
    <w:rsid w:val="1A3A3943"/>
    <w:rsid w:val="1A4323E6"/>
    <w:rsid w:val="1A4338B7"/>
    <w:rsid w:val="1A4A25E5"/>
    <w:rsid w:val="1A4B7202"/>
    <w:rsid w:val="1A644AB4"/>
    <w:rsid w:val="1A681117"/>
    <w:rsid w:val="1A682B44"/>
    <w:rsid w:val="1A6C0303"/>
    <w:rsid w:val="1A783F91"/>
    <w:rsid w:val="1A7C0FB3"/>
    <w:rsid w:val="1A837006"/>
    <w:rsid w:val="1A9730EF"/>
    <w:rsid w:val="1AA10C34"/>
    <w:rsid w:val="1AE13FD1"/>
    <w:rsid w:val="1AE47ADA"/>
    <w:rsid w:val="1AEF164B"/>
    <w:rsid w:val="1AF80484"/>
    <w:rsid w:val="1AF85971"/>
    <w:rsid w:val="1AFA2DB9"/>
    <w:rsid w:val="1B340C16"/>
    <w:rsid w:val="1B457160"/>
    <w:rsid w:val="1B4D1C1F"/>
    <w:rsid w:val="1B601E4F"/>
    <w:rsid w:val="1B6A06BC"/>
    <w:rsid w:val="1B6B2B1C"/>
    <w:rsid w:val="1B6E5294"/>
    <w:rsid w:val="1B780CFB"/>
    <w:rsid w:val="1B965D2A"/>
    <w:rsid w:val="1B9D4305"/>
    <w:rsid w:val="1BAF2A42"/>
    <w:rsid w:val="1BB1377F"/>
    <w:rsid w:val="1BB5356A"/>
    <w:rsid w:val="1BB71B41"/>
    <w:rsid w:val="1BBB674C"/>
    <w:rsid w:val="1BBC195F"/>
    <w:rsid w:val="1BBF1BE8"/>
    <w:rsid w:val="1BCB2956"/>
    <w:rsid w:val="1BD855C0"/>
    <w:rsid w:val="1BE64275"/>
    <w:rsid w:val="1BEC6CEE"/>
    <w:rsid w:val="1BEF34AA"/>
    <w:rsid w:val="1C1D0BFF"/>
    <w:rsid w:val="1C1E55E3"/>
    <w:rsid w:val="1C2862CB"/>
    <w:rsid w:val="1C2A2E00"/>
    <w:rsid w:val="1C2F48A3"/>
    <w:rsid w:val="1C383581"/>
    <w:rsid w:val="1C4574D4"/>
    <w:rsid w:val="1C49594F"/>
    <w:rsid w:val="1C500AC8"/>
    <w:rsid w:val="1C53370F"/>
    <w:rsid w:val="1C553D1D"/>
    <w:rsid w:val="1C585444"/>
    <w:rsid w:val="1C5C6E24"/>
    <w:rsid w:val="1C606D51"/>
    <w:rsid w:val="1C651DCF"/>
    <w:rsid w:val="1C6B2D22"/>
    <w:rsid w:val="1C6C5D62"/>
    <w:rsid w:val="1C8D1A88"/>
    <w:rsid w:val="1CB310AA"/>
    <w:rsid w:val="1CBE1007"/>
    <w:rsid w:val="1CC33B76"/>
    <w:rsid w:val="1CD5150A"/>
    <w:rsid w:val="1CD751BD"/>
    <w:rsid w:val="1CEB75F5"/>
    <w:rsid w:val="1CED0F80"/>
    <w:rsid w:val="1CF07A0B"/>
    <w:rsid w:val="1CFE22F0"/>
    <w:rsid w:val="1D126CA0"/>
    <w:rsid w:val="1D225009"/>
    <w:rsid w:val="1D385A3F"/>
    <w:rsid w:val="1D426546"/>
    <w:rsid w:val="1D430583"/>
    <w:rsid w:val="1D470009"/>
    <w:rsid w:val="1D530DC1"/>
    <w:rsid w:val="1D532956"/>
    <w:rsid w:val="1D5416FA"/>
    <w:rsid w:val="1D547FFF"/>
    <w:rsid w:val="1D5D1042"/>
    <w:rsid w:val="1D895343"/>
    <w:rsid w:val="1D8964CD"/>
    <w:rsid w:val="1D957D26"/>
    <w:rsid w:val="1DA40442"/>
    <w:rsid w:val="1DA440C7"/>
    <w:rsid w:val="1DA57CF9"/>
    <w:rsid w:val="1DBB684F"/>
    <w:rsid w:val="1DBC0763"/>
    <w:rsid w:val="1DC44DB0"/>
    <w:rsid w:val="1DCD11C0"/>
    <w:rsid w:val="1DE766FF"/>
    <w:rsid w:val="1DEB4DC9"/>
    <w:rsid w:val="1DEC5008"/>
    <w:rsid w:val="1DF62458"/>
    <w:rsid w:val="1E1B4CA1"/>
    <w:rsid w:val="1E3256C2"/>
    <w:rsid w:val="1E593087"/>
    <w:rsid w:val="1E664CC6"/>
    <w:rsid w:val="1E754A12"/>
    <w:rsid w:val="1E794770"/>
    <w:rsid w:val="1E9026D6"/>
    <w:rsid w:val="1E971A33"/>
    <w:rsid w:val="1E9C49B3"/>
    <w:rsid w:val="1E9C6F27"/>
    <w:rsid w:val="1EA347F3"/>
    <w:rsid w:val="1EA623A0"/>
    <w:rsid w:val="1EAE1AC8"/>
    <w:rsid w:val="1EBE630B"/>
    <w:rsid w:val="1EC940B8"/>
    <w:rsid w:val="1ECD5625"/>
    <w:rsid w:val="1ED20264"/>
    <w:rsid w:val="1ED24890"/>
    <w:rsid w:val="1ED37F27"/>
    <w:rsid w:val="1ED45ED1"/>
    <w:rsid w:val="1EDB469B"/>
    <w:rsid w:val="1EE540C7"/>
    <w:rsid w:val="1EF970F4"/>
    <w:rsid w:val="1EFC5CEC"/>
    <w:rsid w:val="1F0818FD"/>
    <w:rsid w:val="1F0A4923"/>
    <w:rsid w:val="1F1426A3"/>
    <w:rsid w:val="1F154850"/>
    <w:rsid w:val="1F154BF0"/>
    <w:rsid w:val="1F2E5BD6"/>
    <w:rsid w:val="1F304B99"/>
    <w:rsid w:val="1F330EF8"/>
    <w:rsid w:val="1F377E35"/>
    <w:rsid w:val="1F381FB9"/>
    <w:rsid w:val="1F435B7D"/>
    <w:rsid w:val="1F5B7A08"/>
    <w:rsid w:val="1F60413B"/>
    <w:rsid w:val="1F650917"/>
    <w:rsid w:val="1F8D4158"/>
    <w:rsid w:val="1FA11810"/>
    <w:rsid w:val="1FAD08BC"/>
    <w:rsid w:val="1FAF6888"/>
    <w:rsid w:val="1FBB06A4"/>
    <w:rsid w:val="1FD37D17"/>
    <w:rsid w:val="1FDD6D41"/>
    <w:rsid w:val="1FE6626A"/>
    <w:rsid w:val="1FEA35DA"/>
    <w:rsid w:val="1FEE076C"/>
    <w:rsid w:val="1FFA6A0D"/>
    <w:rsid w:val="20162136"/>
    <w:rsid w:val="201D1402"/>
    <w:rsid w:val="20421DE8"/>
    <w:rsid w:val="206B0A51"/>
    <w:rsid w:val="206E7A8A"/>
    <w:rsid w:val="20706B06"/>
    <w:rsid w:val="207820CF"/>
    <w:rsid w:val="20791AA1"/>
    <w:rsid w:val="20810322"/>
    <w:rsid w:val="20826629"/>
    <w:rsid w:val="20891C52"/>
    <w:rsid w:val="208D08C0"/>
    <w:rsid w:val="20943FAD"/>
    <w:rsid w:val="20994F56"/>
    <w:rsid w:val="209E36A4"/>
    <w:rsid w:val="20B745BD"/>
    <w:rsid w:val="20BD6AA1"/>
    <w:rsid w:val="20C06352"/>
    <w:rsid w:val="20C7443B"/>
    <w:rsid w:val="20D5153E"/>
    <w:rsid w:val="20D95348"/>
    <w:rsid w:val="20DA0DBE"/>
    <w:rsid w:val="20E235B4"/>
    <w:rsid w:val="20E26A56"/>
    <w:rsid w:val="20E73490"/>
    <w:rsid w:val="20ED68B8"/>
    <w:rsid w:val="20F15996"/>
    <w:rsid w:val="20F656A8"/>
    <w:rsid w:val="20FB6D11"/>
    <w:rsid w:val="210F1CD6"/>
    <w:rsid w:val="212217BB"/>
    <w:rsid w:val="212929AE"/>
    <w:rsid w:val="21347DA9"/>
    <w:rsid w:val="2143263E"/>
    <w:rsid w:val="214674E1"/>
    <w:rsid w:val="216339E1"/>
    <w:rsid w:val="216519C9"/>
    <w:rsid w:val="216C6FEF"/>
    <w:rsid w:val="21715760"/>
    <w:rsid w:val="21763852"/>
    <w:rsid w:val="219D0C08"/>
    <w:rsid w:val="219D2D76"/>
    <w:rsid w:val="21AF1A01"/>
    <w:rsid w:val="21BF7902"/>
    <w:rsid w:val="21C6563C"/>
    <w:rsid w:val="21CE04A2"/>
    <w:rsid w:val="21D66969"/>
    <w:rsid w:val="21E70A02"/>
    <w:rsid w:val="21EC5FBF"/>
    <w:rsid w:val="21F105FA"/>
    <w:rsid w:val="21FA1550"/>
    <w:rsid w:val="22087F89"/>
    <w:rsid w:val="2212258A"/>
    <w:rsid w:val="221A393F"/>
    <w:rsid w:val="221B24B7"/>
    <w:rsid w:val="222D4814"/>
    <w:rsid w:val="223725FA"/>
    <w:rsid w:val="223B402D"/>
    <w:rsid w:val="224942CF"/>
    <w:rsid w:val="22566024"/>
    <w:rsid w:val="2269020F"/>
    <w:rsid w:val="2279275C"/>
    <w:rsid w:val="22875C81"/>
    <w:rsid w:val="22941CAE"/>
    <w:rsid w:val="229D4670"/>
    <w:rsid w:val="22A91156"/>
    <w:rsid w:val="22AB43FE"/>
    <w:rsid w:val="22AE3C8E"/>
    <w:rsid w:val="22B85A0A"/>
    <w:rsid w:val="22DE75CC"/>
    <w:rsid w:val="22DF240E"/>
    <w:rsid w:val="22EF62B3"/>
    <w:rsid w:val="22F72391"/>
    <w:rsid w:val="22FD006A"/>
    <w:rsid w:val="231111F4"/>
    <w:rsid w:val="231443BA"/>
    <w:rsid w:val="231E1430"/>
    <w:rsid w:val="23377918"/>
    <w:rsid w:val="23382184"/>
    <w:rsid w:val="23651297"/>
    <w:rsid w:val="236A0257"/>
    <w:rsid w:val="236B6EB3"/>
    <w:rsid w:val="236C5E37"/>
    <w:rsid w:val="237920F4"/>
    <w:rsid w:val="237A6EBD"/>
    <w:rsid w:val="23897D91"/>
    <w:rsid w:val="238F5C05"/>
    <w:rsid w:val="239233CC"/>
    <w:rsid w:val="239D2D95"/>
    <w:rsid w:val="239F561B"/>
    <w:rsid w:val="239F68A2"/>
    <w:rsid w:val="23A13972"/>
    <w:rsid w:val="23A579E6"/>
    <w:rsid w:val="23B14A88"/>
    <w:rsid w:val="23D217FF"/>
    <w:rsid w:val="23D32958"/>
    <w:rsid w:val="23D621F9"/>
    <w:rsid w:val="23DA2DF9"/>
    <w:rsid w:val="23DE11FD"/>
    <w:rsid w:val="23E43101"/>
    <w:rsid w:val="23E94714"/>
    <w:rsid w:val="23FF2F08"/>
    <w:rsid w:val="240A08FA"/>
    <w:rsid w:val="240D7F6A"/>
    <w:rsid w:val="24185214"/>
    <w:rsid w:val="241F4795"/>
    <w:rsid w:val="24297FCD"/>
    <w:rsid w:val="242F7027"/>
    <w:rsid w:val="243C40B3"/>
    <w:rsid w:val="245D302C"/>
    <w:rsid w:val="246419C9"/>
    <w:rsid w:val="246D34A0"/>
    <w:rsid w:val="246D4AD3"/>
    <w:rsid w:val="247E7EB1"/>
    <w:rsid w:val="24832C5D"/>
    <w:rsid w:val="24AC7CBD"/>
    <w:rsid w:val="24B85884"/>
    <w:rsid w:val="24C11483"/>
    <w:rsid w:val="24C27CB7"/>
    <w:rsid w:val="24CD38EF"/>
    <w:rsid w:val="24D457C2"/>
    <w:rsid w:val="24DB4660"/>
    <w:rsid w:val="24DC1D39"/>
    <w:rsid w:val="24E048A6"/>
    <w:rsid w:val="24EB5B01"/>
    <w:rsid w:val="24EF31B4"/>
    <w:rsid w:val="24FA6740"/>
    <w:rsid w:val="24FF1B7F"/>
    <w:rsid w:val="25000A21"/>
    <w:rsid w:val="25035A4D"/>
    <w:rsid w:val="25144BEA"/>
    <w:rsid w:val="251F206F"/>
    <w:rsid w:val="25300DA8"/>
    <w:rsid w:val="2538053F"/>
    <w:rsid w:val="25423C43"/>
    <w:rsid w:val="25543772"/>
    <w:rsid w:val="2556286A"/>
    <w:rsid w:val="25663CBD"/>
    <w:rsid w:val="25794AD7"/>
    <w:rsid w:val="258874B5"/>
    <w:rsid w:val="258B7398"/>
    <w:rsid w:val="258E33FF"/>
    <w:rsid w:val="25946C5A"/>
    <w:rsid w:val="2597057B"/>
    <w:rsid w:val="25980E2C"/>
    <w:rsid w:val="25A11277"/>
    <w:rsid w:val="25A27216"/>
    <w:rsid w:val="25A530E2"/>
    <w:rsid w:val="25A569B0"/>
    <w:rsid w:val="25AF64F1"/>
    <w:rsid w:val="25BA0C00"/>
    <w:rsid w:val="25D01366"/>
    <w:rsid w:val="25D63CD9"/>
    <w:rsid w:val="25E02794"/>
    <w:rsid w:val="25EF3221"/>
    <w:rsid w:val="25F42CC9"/>
    <w:rsid w:val="26063217"/>
    <w:rsid w:val="260A144C"/>
    <w:rsid w:val="2611382C"/>
    <w:rsid w:val="26480664"/>
    <w:rsid w:val="265806B4"/>
    <w:rsid w:val="265D1761"/>
    <w:rsid w:val="266665F5"/>
    <w:rsid w:val="267572C2"/>
    <w:rsid w:val="267B387A"/>
    <w:rsid w:val="267B63DA"/>
    <w:rsid w:val="267D4629"/>
    <w:rsid w:val="268A715E"/>
    <w:rsid w:val="26A66932"/>
    <w:rsid w:val="26AD77E2"/>
    <w:rsid w:val="26B0088A"/>
    <w:rsid w:val="26C61136"/>
    <w:rsid w:val="26C62652"/>
    <w:rsid w:val="26C75411"/>
    <w:rsid w:val="26D6532F"/>
    <w:rsid w:val="26EB3F99"/>
    <w:rsid w:val="26EC5CCC"/>
    <w:rsid w:val="26F10D21"/>
    <w:rsid w:val="27005B64"/>
    <w:rsid w:val="27017D67"/>
    <w:rsid w:val="27117C40"/>
    <w:rsid w:val="27185A6F"/>
    <w:rsid w:val="271A6354"/>
    <w:rsid w:val="272F3D4E"/>
    <w:rsid w:val="273D4118"/>
    <w:rsid w:val="27414B72"/>
    <w:rsid w:val="27494162"/>
    <w:rsid w:val="274C31E9"/>
    <w:rsid w:val="27587656"/>
    <w:rsid w:val="2760103F"/>
    <w:rsid w:val="2760769F"/>
    <w:rsid w:val="27637ADC"/>
    <w:rsid w:val="27750374"/>
    <w:rsid w:val="277669FF"/>
    <w:rsid w:val="27771D22"/>
    <w:rsid w:val="278A4A18"/>
    <w:rsid w:val="279A15BD"/>
    <w:rsid w:val="27A14587"/>
    <w:rsid w:val="27AF23D3"/>
    <w:rsid w:val="27AF357D"/>
    <w:rsid w:val="27BE5964"/>
    <w:rsid w:val="27C372E6"/>
    <w:rsid w:val="27D30115"/>
    <w:rsid w:val="27D56EB1"/>
    <w:rsid w:val="27D82C5C"/>
    <w:rsid w:val="27E23B16"/>
    <w:rsid w:val="27E74FEA"/>
    <w:rsid w:val="27F421E5"/>
    <w:rsid w:val="27FC1A58"/>
    <w:rsid w:val="28034066"/>
    <w:rsid w:val="28086FD1"/>
    <w:rsid w:val="284C26D9"/>
    <w:rsid w:val="28507B06"/>
    <w:rsid w:val="285E56CF"/>
    <w:rsid w:val="289E7C22"/>
    <w:rsid w:val="289F0651"/>
    <w:rsid w:val="28A5635D"/>
    <w:rsid w:val="28A575A3"/>
    <w:rsid w:val="28AA2361"/>
    <w:rsid w:val="28B722A6"/>
    <w:rsid w:val="28DA2F76"/>
    <w:rsid w:val="28DD75F0"/>
    <w:rsid w:val="28F25C9E"/>
    <w:rsid w:val="29090A2F"/>
    <w:rsid w:val="290A421D"/>
    <w:rsid w:val="290E4E0A"/>
    <w:rsid w:val="2930342D"/>
    <w:rsid w:val="29333104"/>
    <w:rsid w:val="29334EF1"/>
    <w:rsid w:val="29427841"/>
    <w:rsid w:val="294A6999"/>
    <w:rsid w:val="2951371F"/>
    <w:rsid w:val="295B39B6"/>
    <w:rsid w:val="2963579A"/>
    <w:rsid w:val="2970739D"/>
    <w:rsid w:val="29770FBB"/>
    <w:rsid w:val="29815E1E"/>
    <w:rsid w:val="2987256D"/>
    <w:rsid w:val="29946AD2"/>
    <w:rsid w:val="299947C1"/>
    <w:rsid w:val="299B7181"/>
    <w:rsid w:val="299C3B4D"/>
    <w:rsid w:val="29A16DDC"/>
    <w:rsid w:val="29A25DE4"/>
    <w:rsid w:val="29AA067F"/>
    <w:rsid w:val="29B11398"/>
    <w:rsid w:val="29C4230F"/>
    <w:rsid w:val="29CE48E9"/>
    <w:rsid w:val="29D747A1"/>
    <w:rsid w:val="29F17530"/>
    <w:rsid w:val="2A1A1F0E"/>
    <w:rsid w:val="2A311430"/>
    <w:rsid w:val="2A474B60"/>
    <w:rsid w:val="2A50386D"/>
    <w:rsid w:val="2A583EB1"/>
    <w:rsid w:val="2A5D71D6"/>
    <w:rsid w:val="2A60793F"/>
    <w:rsid w:val="2A617437"/>
    <w:rsid w:val="2A657FD0"/>
    <w:rsid w:val="2A73489F"/>
    <w:rsid w:val="2A7A7300"/>
    <w:rsid w:val="2A7A74FD"/>
    <w:rsid w:val="2A7F1A70"/>
    <w:rsid w:val="2A831248"/>
    <w:rsid w:val="2A873F8E"/>
    <w:rsid w:val="2A96726D"/>
    <w:rsid w:val="2A980338"/>
    <w:rsid w:val="2A982680"/>
    <w:rsid w:val="2AB24467"/>
    <w:rsid w:val="2ABE080B"/>
    <w:rsid w:val="2ACB70F6"/>
    <w:rsid w:val="2AD20BFD"/>
    <w:rsid w:val="2AE02AD8"/>
    <w:rsid w:val="2AE56B85"/>
    <w:rsid w:val="2AE90244"/>
    <w:rsid w:val="2AF14141"/>
    <w:rsid w:val="2AF754D0"/>
    <w:rsid w:val="2B03093B"/>
    <w:rsid w:val="2B083EDF"/>
    <w:rsid w:val="2B140D3C"/>
    <w:rsid w:val="2B173DD2"/>
    <w:rsid w:val="2B2142FB"/>
    <w:rsid w:val="2B230FAE"/>
    <w:rsid w:val="2B24334B"/>
    <w:rsid w:val="2B2D4952"/>
    <w:rsid w:val="2B433B42"/>
    <w:rsid w:val="2B445004"/>
    <w:rsid w:val="2B45448D"/>
    <w:rsid w:val="2B633BD4"/>
    <w:rsid w:val="2B772D87"/>
    <w:rsid w:val="2B7904F0"/>
    <w:rsid w:val="2B8B3FB7"/>
    <w:rsid w:val="2B8F2EFA"/>
    <w:rsid w:val="2BB33BE1"/>
    <w:rsid w:val="2BB41C95"/>
    <w:rsid w:val="2BD3649F"/>
    <w:rsid w:val="2BDC5351"/>
    <w:rsid w:val="2BE31114"/>
    <w:rsid w:val="2BEB7E90"/>
    <w:rsid w:val="2BEF4C9E"/>
    <w:rsid w:val="2BF2335E"/>
    <w:rsid w:val="2BF317CA"/>
    <w:rsid w:val="2BF32E1C"/>
    <w:rsid w:val="2C072B97"/>
    <w:rsid w:val="2C1D5812"/>
    <w:rsid w:val="2C1E6791"/>
    <w:rsid w:val="2C2043DB"/>
    <w:rsid w:val="2C224AA5"/>
    <w:rsid w:val="2C2367CC"/>
    <w:rsid w:val="2C36660B"/>
    <w:rsid w:val="2C5178E9"/>
    <w:rsid w:val="2C7A3D63"/>
    <w:rsid w:val="2C8F3944"/>
    <w:rsid w:val="2C95773B"/>
    <w:rsid w:val="2C9761A0"/>
    <w:rsid w:val="2CA26602"/>
    <w:rsid w:val="2CA7255D"/>
    <w:rsid w:val="2CC0694B"/>
    <w:rsid w:val="2CD3095B"/>
    <w:rsid w:val="2CF01B4F"/>
    <w:rsid w:val="2CFB0636"/>
    <w:rsid w:val="2D032F2E"/>
    <w:rsid w:val="2D061B21"/>
    <w:rsid w:val="2D0637A8"/>
    <w:rsid w:val="2D083D24"/>
    <w:rsid w:val="2D0B0040"/>
    <w:rsid w:val="2D112373"/>
    <w:rsid w:val="2D117578"/>
    <w:rsid w:val="2D18049E"/>
    <w:rsid w:val="2D1F2838"/>
    <w:rsid w:val="2D377D48"/>
    <w:rsid w:val="2D4104A2"/>
    <w:rsid w:val="2D4E42CB"/>
    <w:rsid w:val="2D6534C8"/>
    <w:rsid w:val="2D686690"/>
    <w:rsid w:val="2D6A2BF5"/>
    <w:rsid w:val="2D7A1532"/>
    <w:rsid w:val="2D8570A8"/>
    <w:rsid w:val="2D9E434F"/>
    <w:rsid w:val="2DA552F8"/>
    <w:rsid w:val="2DAD1E76"/>
    <w:rsid w:val="2DB16297"/>
    <w:rsid w:val="2DB75F7D"/>
    <w:rsid w:val="2DB92D07"/>
    <w:rsid w:val="2DBD5C95"/>
    <w:rsid w:val="2DC01EB2"/>
    <w:rsid w:val="2DC02EC6"/>
    <w:rsid w:val="2DC92959"/>
    <w:rsid w:val="2DCE610D"/>
    <w:rsid w:val="2DD94E0E"/>
    <w:rsid w:val="2DEC6E88"/>
    <w:rsid w:val="2DED531B"/>
    <w:rsid w:val="2E031E38"/>
    <w:rsid w:val="2E071881"/>
    <w:rsid w:val="2E075A2A"/>
    <w:rsid w:val="2E0F41AD"/>
    <w:rsid w:val="2E12423C"/>
    <w:rsid w:val="2E1811EE"/>
    <w:rsid w:val="2E182ACC"/>
    <w:rsid w:val="2E1D38F2"/>
    <w:rsid w:val="2E2001BB"/>
    <w:rsid w:val="2E206AEC"/>
    <w:rsid w:val="2E273AFA"/>
    <w:rsid w:val="2E352597"/>
    <w:rsid w:val="2E3A6C73"/>
    <w:rsid w:val="2E5F13C2"/>
    <w:rsid w:val="2E622A65"/>
    <w:rsid w:val="2E6841CE"/>
    <w:rsid w:val="2E6B420B"/>
    <w:rsid w:val="2E727A3A"/>
    <w:rsid w:val="2E7F3E5B"/>
    <w:rsid w:val="2E823047"/>
    <w:rsid w:val="2E89009A"/>
    <w:rsid w:val="2E93007E"/>
    <w:rsid w:val="2EB316AC"/>
    <w:rsid w:val="2EB8014E"/>
    <w:rsid w:val="2EBA05C4"/>
    <w:rsid w:val="2EBA7E13"/>
    <w:rsid w:val="2EC7052A"/>
    <w:rsid w:val="2ECA2DC7"/>
    <w:rsid w:val="2ECA456C"/>
    <w:rsid w:val="2ECF0B68"/>
    <w:rsid w:val="2ED10014"/>
    <w:rsid w:val="2ED1017B"/>
    <w:rsid w:val="2ED63BD4"/>
    <w:rsid w:val="2EDC6EB7"/>
    <w:rsid w:val="2EE31FF3"/>
    <w:rsid w:val="2EE8092E"/>
    <w:rsid w:val="2EF24E81"/>
    <w:rsid w:val="2EF44FFD"/>
    <w:rsid w:val="2F0F2456"/>
    <w:rsid w:val="2F2844CC"/>
    <w:rsid w:val="2F34095C"/>
    <w:rsid w:val="2F4538C8"/>
    <w:rsid w:val="2F455A97"/>
    <w:rsid w:val="2F4E5AA3"/>
    <w:rsid w:val="2F624625"/>
    <w:rsid w:val="2F6428E3"/>
    <w:rsid w:val="2F6943E4"/>
    <w:rsid w:val="2F6A3049"/>
    <w:rsid w:val="2F6D1AB7"/>
    <w:rsid w:val="2F7460A8"/>
    <w:rsid w:val="2F752FBF"/>
    <w:rsid w:val="2F84683C"/>
    <w:rsid w:val="2F8A6C9C"/>
    <w:rsid w:val="2F966635"/>
    <w:rsid w:val="2F997C03"/>
    <w:rsid w:val="2F9E5F1A"/>
    <w:rsid w:val="2FA21EAE"/>
    <w:rsid w:val="2FA3060F"/>
    <w:rsid w:val="2FBA0BF9"/>
    <w:rsid w:val="2FCE1C8F"/>
    <w:rsid w:val="2FE85A1D"/>
    <w:rsid w:val="30035B55"/>
    <w:rsid w:val="30104B64"/>
    <w:rsid w:val="30224489"/>
    <w:rsid w:val="3024492B"/>
    <w:rsid w:val="302D5D32"/>
    <w:rsid w:val="30335F3A"/>
    <w:rsid w:val="303D36BB"/>
    <w:rsid w:val="30411719"/>
    <w:rsid w:val="30621D55"/>
    <w:rsid w:val="306E7CBB"/>
    <w:rsid w:val="30701088"/>
    <w:rsid w:val="307755D8"/>
    <w:rsid w:val="307D7147"/>
    <w:rsid w:val="307E6EDF"/>
    <w:rsid w:val="3086271A"/>
    <w:rsid w:val="30A534A8"/>
    <w:rsid w:val="30AE0038"/>
    <w:rsid w:val="30B82CF1"/>
    <w:rsid w:val="30B874CE"/>
    <w:rsid w:val="31022D77"/>
    <w:rsid w:val="310F0D1C"/>
    <w:rsid w:val="31195EB7"/>
    <w:rsid w:val="31230407"/>
    <w:rsid w:val="312468F3"/>
    <w:rsid w:val="31292053"/>
    <w:rsid w:val="312C2248"/>
    <w:rsid w:val="312F3FD1"/>
    <w:rsid w:val="3138550F"/>
    <w:rsid w:val="313C576F"/>
    <w:rsid w:val="31490582"/>
    <w:rsid w:val="316157B6"/>
    <w:rsid w:val="31680E44"/>
    <w:rsid w:val="316A35F5"/>
    <w:rsid w:val="31735B75"/>
    <w:rsid w:val="31825CAE"/>
    <w:rsid w:val="3195724F"/>
    <w:rsid w:val="319757A1"/>
    <w:rsid w:val="31A30088"/>
    <w:rsid w:val="31AD1D77"/>
    <w:rsid w:val="31AE223B"/>
    <w:rsid w:val="31B306A1"/>
    <w:rsid w:val="31C97701"/>
    <w:rsid w:val="31CF102D"/>
    <w:rsid w:val="31D41A4D"/>
    <w:rsid w:val="31DE03BB"/>
    <w:rsid w:val="31FE2A7F"/>
    <w:rsid w:val="31FF42AD"/>
    <w:rsid w:val="32033752"/>
    <w:rsid w:val="32097422"/>
    <w:rsid w:val="320A2CA2"/>
    <w:rsid w:val="32274521"/>
    <w:rsid w:val="322E1E58"/>
    <w:rsid w:val="32377BB8"/>
    <w:rsid w:val="323B5CA2"/>
    <w:rsid w:val="323B7366"/>
    <w:rsid w:val="323E1166"/>
    <w:rsid w:val="3241581E"/>
    <w:rsid w:val="32432FA6"/>
    <w:rsid w:val="324410AB"/>
    <w:rsid w:val="32507DE2"/>
    <w:rsid w:val="32596194"/>
    <w:rsid w:val="325D0D26"/>
    <w:rsid w:val="326410AA"/>
    <w:rsid w:val="326710F5"/>
    <w:rsid w:val="327327E7"/>
    <w:rsid w:val="32875D3E"/>
    <w:rsid w:val="328A434D"/>
    <w:rsid w:val="32905F4D"/>
    <w:rsid w:val="32A472D4"/>
    <w:rsid w:val="32AC637C"/>
    <w:rsid w:val="32AF4413"/>
    <w:rsid w:val="32C536F7"/>
    <w:rsid w:val="32CC0FF0"/>
    <w:rsid w:val="32D34147"/>
    <w:rsid w:val="32DB2D65"/>
    <w:rsid w:val="330A7BC3"/>
    <w:rsid w:val="330A7FC8"/>
    <w:rsid w:val="33282068"/>
    <w:rsid w:val="332F6099"/>
    <w:rsid w:val="332F75DD"/>
    <w:rsid w:val="33573DE8"/>
    <w:rsid w:val="33620B24"/>
    <w:rsid w:val="33675B1F"/>
    <w:rsid w:val="336D08D2"/>
    <w:rsid w:val="33711CE1"/>
    <w:rsid w:val="33742EA4"/>
    <w:rsid w:val="3375115D"/>
    <w:rsid w:val="33813A0F"/>
    <w:rsid w:val="33897C09"/>
    <w:rsid w:val="338F795C"/>
    <w:rsid w:val="339223B7"/>
    <w:rsid w:val="33951C60"/>
    <w:rsid w:val="339F5C43"/>
    <w:rsid w:val="33A82497"/>
    <w:rsid w:val="33B46724"/>
    <w:rsid w:val="33C237C6"/>
    <w:rsid w:val="33C35B58"/>
    <w:rsid w:val="33C52CEA"/>
    <w:rsid w:val="33C54733"/>
    <w:rsid w:val="33C72111"/>
    <w:rsid w:val="33C954FE"/>
    <w:rsid w:val="33CA7CE5"/>
    <w:rsid w:val="33D957B4"/>
    <w:rsid w:val="33DD2753"/>
    <w:rsid w:val="33DF6CF8"/>
    <w:rsid w:val="33E24253"/>
    <w:rsid w:val="33E83563"/>
    <w:rsid w:val="33EE0F70"/>
    <w:rsid w:val="33EE1C74"/>
    <w:rsid w:val="33F83003"/>
    <w:rsid w:val="34012383"/>
    <w:rsid w:val="340F3FD7"/>
    <w:rsid w:val="341A7FFA"/>
    <w:rsid w:val="34315472"/>
    <w:rsid w:val="34381273"/>
    <w:rsid w:val="343C0F57"/>
    <w:rsid w:val="343D0DC8"/>
    <w:rsid w:val="343F048A"/>
    <w:rsid w:val="34470632"/>
    <w:rsid w:val="344D1C2F"/>
    <w:rsid w:val="345146F4"/>
    <w:rsid w:val="345652B9"/>
    <w:rsid w:val="345B036A"/>
    <w:rsid w:val="345D40BD"/>
    <w:rsid w:val="347939C3"/>
    <w:rsid w:val="347B359C"/>
    <w:rsid w:val="34810EB7"/>
    <w:rsid w:val="34815289"/>
    <w:rsid w:val="348F007D"/>
    <w:rsid w:val="348F06C4"/>
    <w:rsid w:val="349A556C"/>
    <w:rsid w:val="34A11BAE"/>
    <w:rsid w:val="34A12130"/>
    <w:rsid w:val="34BA31DE"/>
    <w:rsid w:val="34BB31FC"/>
    <w:rsid w:val="34EB0DDB"/>
    <w:rsid w:val="34EB40F9"/>
    <w:rsid w:val="34F36773"/>
    <w:rsid w:val="350311BC"/>
    <w:rsid w:val="3512170E"/>
    <w:rsid w:val="351501AC"/>
    <w:rsid w:val="35190BEA"/>
    <w:rsid w:val="351D3236"/>
    <w:rsid w:val="35202459"/>
    <w:rsid w:val="35222067"/>
    <w:rsid w:val="352603AD"/>
    <w:rsid w:val="352E2912"/>
    <w:rsid w:val="35301383"/>
    <w:rsid w:val="353906F7"/>
    <w:rsid w:val="353E29EA"/>
    <w:rsid w:val="353F3473"/>
    <w:rsid w:val="354271F5"/>
    <w:rsid w:val="354E209A"/>
    <w:rsid w:val="354E7BE4"/>
    <w:rsid w:val="35505F08"/>
    <w:rsid w:val="355071B1"/>
    <w:rsid w:val="357339FF"/>
    <w:rsid w:val="357B4969"/>
    <w:rsid w:val="358148CB"/>
    <w:rsid w:val="35815244"/>
    <w:rsid w:val="3584480E"/>
    <w:rsid w:val="35AD626D"/>
    <w:rsid w:val="35B043D0"/>
    <w:rsid w:val="35B24A3A"/>
    <w:rsid w:val="35BE381E"/>
    <w:rsid w:val="35BF5D68"/>
    <w:rsid w:val="35D153A8"/>
    <w:rsid w:val="35D339CA"/>
    <w:rsid w:val="35DE56FD"/>
    <w:rsid w:val="35E6061B"/>
    <w:rsid w:val="35EF09EB"/>
    <w:rsid w:val="35F76890"/>
    <w:rsid w:val="360931B1"/>
    <w:rsid w:val="360E5513"/>
    <w:rsid w:val="360E710B"/>
    <w:rsid w:val="36102465"/>
    <w:rsid w:val="36185743"/>
    <w:rsid w:val="362B7663"/>
    <w:rsid w:val="363E5D2C"/>
    <w:rsid w:val="364C3192"/>
    <w:rsid w:val="3651156E"/>
    <w:rsid w:val="365A58FE"/>
    <w:rsid w:val="36601E13"/>
    <w:rsid w:val="36674C11"/>
    <w:rsid w:val="366A3293"/>
    <w:rsid w:val="366F6352"/>
    <w:rsid w:val="36703B57"/>
    <w:rsid w:val="36781943"/>
    <w:rsid w:val="368B0BBF"/>
    <w:rsid w:val="368C6BDD"/>
    <w:rsid w:val="369965D1"/>
    <w:rsid w:val="369B75AC"/>
    <w:rsid w:val="369D6F59"/>
    <w:rsid w:val="36A37333"/>
    <w:rsid w:val="36B16D2D"/>
    <w:rsid w:val="36C54E24"/>
    <w:rsid w:val="36C55C44"/>
    <w:rsid w:val="36CC769F"/>
    <w:rsid w:val="36FB0D73"/>
    <w:rsid w:val="3703206D"/>
    <w:rsid w:val="370A56F4"/>
    <w:rsid w:val="370D45F2"/>
    <w:rsid w:val="371A4681"/>
    <w:rsid w:val="371F0D85"/>
    <w:rsid w:val="37223C10"/>
    <w:rsid w:val="37286054"/>
    <w:rsid w:val="37300E86"/>
    <w:rsid w:val="373F7CCD"/>
    <w:rsid w:val="374818B3"/>
    <w:rsid w:val="37496625"/>
    <w:rsid w:val="374C79F2"/>
    <w:rsid w:val="377C69AE"/>
    <w:rsid w:val="377E27B0"/>
    <w:rsid w:val="378A2197"/>
    <w:rsid w:val="378D6FA0"/>
    <w:rsid w:val="37932920"/>
    <w:rsid w:val="379C5435"/>
    <w:rsid w:val="37BD014B"/>
    <w:rsid w:val="37C31472"/>
    <w:rsid w:val="37C40E3F"/>
    <w:rsid w:val="37CF17E0"/>
    <w:rsid w:val="37D87263"/>
    <w:rsid w:val="37F33186"/>
    <w:rsid w:val="37F331CE"/>
    <w:rsid w:val="37F62181"/>
    <w:rsid w:val="37F8331F"/>
    <w:rsid w:val="38086D32"/>
    <w:rsid w:val="38130BA8"/>
    <w:rsid w:val="381D138A"/>
    <w:rsid w:val="381F4FF6"/>
    <w:rsid w:val="38247864"/>
    <w:rsid w:val="38262ADD"/>
    <w:rsid w:val="383A2828"/>
    <w:rsid w:val="383E564C"/>
    <w:rsid w:val="38585D80"/>
    <w:rsid w:val="385E4B25"/>
    <w:rsid w:val="386151E2"/>
    <w:rsid w:val="386936FA"/>
    <w:rsid w:val="387043FD"/>
    <w:rsid w:val="38733FB7"/>
    <w:rsid w:val="388123D2"/>
    <w:rsid w:val="38980241"/>
    <w:rsid w:val="38994D20"/>
    <w:rsid w:val="38A851E1"/>
    <w:rsid w:val="38BB0522"/>
    <w:rsid w:val="38BD104C"/>
    <w:rsid w:val="38C77074"/>
    <w:rsid w:val="38D0587D"/>
    <w:rsid w:val="390077B7"/>
    <w:rsid w:val="39110B10"/>
    <w:rsid w:val="39141AEE"/>
    <w:rsid w:val="39172723"/>
    <w:rsid w:val="391B1A2D"/>
    <w:rsid w:val="3928194D"/>
    <w:rsid w:val="392A13EC"/>
    <w:rsid w:val="392B64AE"/>
    <w:rsid w:val="392D251F"/>
    <w:rsid w:val="39355B41"/>
    <w:rsid w:val="393E1B4D"/>
    <w:rsid w:val="394A0C4A"/>
    <w:rsid w:val="394C69E7"/>
    <w:rsid w:val="39511759"/>
    <w:rsid w:val="39581AC1"/>
    <w:rsid w:val="397A4ABA"/>
    <w:rsid w:val="397B4204"/>
    <w:rsid w:val="39857B17"/>
    <w:rsid w:val="39B220C0"/>
    <w:rsid w:val="39B70FEC"/>
    <w:rsid w:val="39B9262D"/>
    <w:rsid w:val="39D45DE7"/>
    <w:rsid w:val="39D67D27"/>
    <w:rsid w:val="39D806C5"/>
    <w:rsid w:val="39DF5646"/>
    <w:rsid w:val="39DF6BE7"/>
    <w:rsid w:val="39E55730"/>
    <w:rsid w:val="39E65074"/>
    <w:rsid w:val="39EB4452"/>
    <w:rsid w:val="3A002AF3"/>
    <w:rsid w:val="3A10741D"/>
    <w:rsid w:val="3A296F4E"/>
    <w:rsid w:val="3A2B4E48"/>
    <w:rsid w:val="3A787A87"/>
    <w:rsid w:val="3A870807"/>
    <w:rsid w:val="3A8D223E"/>
    <w:rsid w:val="3A971024"/>
    <w:rsid w:val="3AAD53B8"/>
    <w:rsid w:val="3AB56A22"/>
    <w:rsid w:val="3AD3047B"/>
    <w:rsid w:val="3ADF5A57"/>
    <w:rsid w:val="3AEA1DA8"/>
    <w:rsid w:val="3AF05470"/>
    <w:rsid w:val="3AF36FD8"/>
    <w:rsid w:val="3B02247F"/>
    <w:rsid w:val="3B037F62"/>
    <w:rsid w:val="3B06476D"/>
    <w:rsid w:val="3B0E51AB"/>
    <w:rsid w:val="3B123F1C"/>
    <w:rsid w:val="3B2640C3"/>
    <w:rsid w:val="3B372CF3"/>
    <w:rsid w:val="3B456CF3"/>
    <w:rsid w:val="3B476365"/>
    <w:rsid w:val="3B5720A4"/>
    <w:rsid w:val="3B9A24C2"/>
    <w:rsid w:val="3B9D3DC0"/>
    <w:rsid w:val="3B9D6C3C"/>
    <w:rsid w:val="3BA305D1"/>
    <w:rsid w:val="3BA525EB"/>
    <w:rsid w:val="3BBB0565"/>
    <w:rsid w:val="3BC00590"/>
    <w:rsid w:val="3BDA648B"/>
    <w:rsid w:val="3BDF33CF"/>
    <w:rsid w:val="3BEA4245"/>
    <w:rsid w:val="3BF35F58"/>
    <w:rsid w:val="3BF707A4"/>
    <w:rsid w:val="3BF95EC0"/>
    <w:rsid w:val="3C015DC1"/>
    <w:rsid w:val="3C1901D6"/>
    <w:rsid w:val="3C1F4875"/>
    <w:rsid w:val="3C2D3A59"/>
    <w:rsid w:val="3C3814A4"/>
    <w:rsid w:val="3C3A0273"/>
    <w:rsid w:val="3C406FBA"/>
    <w:rsid w:val="3C6B5A86"/>
    <w:rsid w:val="3C6F5A9B"/>
    <w:rsid w:val="3C795C94"/>
    <w:rsid w:val="3C882F31"/>
    <w:rsid w:val="3C8A1488"/>
    <w:rsid w:val="3C901132"/>
    <w:rsid w:val="3C9129B9"/>
    <w:rsid w:val="3C9E57AB"/>
    <w:rsid w:val="3CA1704A"/>
    <w:rsid w:val="3CA604C3"/>
    <w:rsid w:val="3CA62649"/>
    <w:rsid w:val="3CA64798"/>
    <w:rsid w:val="3CAC37CC"/>
    <w:rsid w:val="3CB273BB"/>
    <w:rsid w:val="3CB76450"/>
    <w:rsid w:val="3CBD2EF7"/>
    <w:rsid w:val="3CC709FB"/>
    <w:rsid w:val="3CD920F6"/>
    <w:rsid w:val="3CD9510C"/>
    <w:rsid w:val="3CDF66DB"/>
    <w:rsid w:val="3CF97113"/>
    <w:rsid w:val="3D200A38"/>
    <w:rsid w:val="3D311938"/>
    <w:rsid w:val="3D377BA8"/>
    <w:rsid w:val="3D383040"/>
    <w:rsid w:val="3D3F52F8"/>
    <w:rsid w:val="3D5F52F3"/>
    <w:rsid w:val="3D672B7E"/>
    <w:rsid w:val="3D6E0B5B"/>
    <w:rsid w:val="3D7B3098"/>
    <w:rsid w:val="3D8B7C0F"/>
    <w:rsid w:val="3D981EF5"/>
    <w:rsid w:val="3D9A730A"/>
    <w:rsid w:val="3DAB618E"/>
    <w:rsid w:val="3DAE4DFF"/>
    <w:rsid w:val="3DB04C0B"/>
    <w:rsid w:val="3DC009CE"/>
    <w:rsid w:val="3DC81B33"/>
    <w:rsid w:val="3DC95144"/>
    <w:rsid w:val="3DCA4476"/>
    <w:rsid w:val="3DCB4543"/>
    <w:rsid w:val="3DD35619"/>
    <w:rsid w:val="3DD500B2"/>
    <w:rsid w:val="3DE261E4"/>
    <w:rsid w:val="3DEB0D2C"/>
    <w:rsid w:val="3DED3767"/>
    <w:rsid w:val="3DEF1554"/>
    <w:rsid w:val="3DF42E5E"/>
    <w:rsid w:val="3DFC4EF2"/>
    <w:rsid w:val="3E01124A"/>
    <w:rsid w:val="3E0A70A1"/>
    <w:rsid w:val="3E1A5A3C"/>
    <w:rsid w:val="3E2575EF"/>
    <w:rsid w:val="3E375ECD"/>
    <w:rsid w:val="3E5B3FD9"/>
    <w:rsid w:val="3E630FDD"/>
    <w:rsid w:val="3E930EA5"/>
    <w:rsid w:val="3E9A583E"/>
    <w:rsid w:val="3E9D7768"/>
    <w:rsid w:val="3EA04E19"/>
    <w:rsid w:val="3EA66F42"/>
    <w:rsid w:val="3EAA6EE4"/>
    <w:rsid w:val="3EAC2B4B"/>
    <w:rsid w:val="3EB71970"/>
    <w:rsid w:val="3EB90363"/>
    <w:rsid w:val="3ECE3995"/>
    <w:rsid w:val="3EE8480B"/>
    <w:rsid w:val="3EF86861"/>
    <w:rsid w:val="3F055C74"/>
    <w:rsid w:val="3F133950"/>
    <w:rsid w:val="3F1971E0"/>
    <w:rsid w:val="3F2514F4"/>
    <w:rsid w:val="3F277AC3"/>
    <w:rsid w:val="3F296412"/>
    <w:rsid w:val="3F2F4DE1"/>
    <w:rsid w:val="3F2F563D"/>
    <w:rsid w:val="3F491F94"/>
    <w:rsid w:val="3F4932E6"/>
    <w:rsid w:val="3F562717"/>
    <w:rsid w:val="3F5B44AE"/>
    <w:rsid w:val="3F5E627C"/>
    <w:rsid w:val="3F6B6005"/>
    <w:rsid w:val="3F7204D7"/>
    <w:rsid w:val="3F7F0C01"/>
    <w:rsid w:val="3F810C39"/>
    <w:rsid w:val="3F83077B"/>
    <w:rsid w:val="3F857A7E"/>
    <w:rsid w:val="3F877DB0"/>
    <w:rsid w:val="3F890AD9"/>
    <w:rsid w:val="3F9040C4"/>
    <w:rsid w:val="3F910B2E"/>
    <w:rsid w:val="3F912243"/>
    <w:rsid w:val="3FA80297"/>
    <w:rsid w:val="3FA84742"/>
    <w:rsid w:val="3FBF271C"/>
    <w:rsid w:val="3FCA7611"/>
    <w:rsid w:val="3FD338E6"/>
    <w:rsid w:val="3FD42D1F"/>
    <w:rsid w:val="3FDC77E1"/>
    <w:rsid w:val="3FF974D1"/>
    <w:rsid w:val="400F2D33"/>
    <w:rsid w:val="40117515"/>
    <w:rsid w:val="40152EFD"/>
    <w:rsid w:val="40186D15"/>
    <w:rsid w:val="401D3569"/>
    <w:rsid w:val="401D747F"/>
    <w:rsid w:val="40281B7A"/>
    <w:rsid w:val="403826E9"/>
    <w:rsid w:val="403D244D"/>
    <w:rsid w:val="4050500F"/>
    <w:rsid w:val="405C1992"/>
    <w:rsid w:val="405E7944"/>
    <w:rsid w:val="405F5EB3"/>
    <w:rsid w:val="406079E3"/>
    <w:rsid w:val="406C20CC"/>
    <w:rsid w:val="407714C0"/>
    <w:rsid w:val="40777E69"/>
    <w:rsid w:val="409C0562"/>
    <w:rsid w:val="409D4A72"/>
    <w:rsid w:val="40AD48E9"/>
    <w:rsid w:val="40B97986"/>
    <w:rsid w:val="40BA1A0B"/>
    <w:rsid w:val="40C2256D"/>
    <w:rsid w:val="40CC0B45"/>
    <w:rsid w:val="40D53BC8"/>
    <w:rsid w:val="40E36967"/>
    <w:rsid w:val="40E6353C"/>
    <w:rsid w:val="40E84450"/>
    <w:rsid w:val="40EF4526"/>
    <w:rsid w:val="40F20558"/>
    <w:rsid w:val="40FB0469"/>
    <w:rsid w:val="410225A2"/>
    <w:rsid w:val="4105368D"/>
    <w:rsid w:val="41056428"/>
    <w:rsid w:val="4109525D"/>
    <w:rsid w:val="410D02A6"/>
    <w:rsid w:val="411C3E8D"/>
    <w:rsid w:val="4132468B"/>
    <w:rsid w:val="413B561F"/>
    <w:rsid w:val="41495855"/>
    <w:rsid w:val="415110F9"/>
    <w:rsid w:val="415F13E3"/>
    <w:rsid w:val="416974E4"/>
    <w:rsid w:val="41753421"/>
    <w:rsid w:val="417A345E"/>
    <w:rsid w:val="417E455A"/>
    <w:rsid w:val="417F329C"/>
    <w:rsid w:val="418039FB"/>
    <w:rsid w:val="41854D0C"/>
    <w:rsid w:val="41862630"/>
    <w:rsid w:val="4189514A"/>
    <w:rsid w:val="418A5268"/>
    <w:rsid w:val="419D1D16"/>
    <w:rsid w:val="41AB021C"/>
    <w:rsid w:val="41AD3871"/>
    <w:rsid w:val="41B77934"/>
    <w:rsid w:val="41C412A4"/>
    <w:rsid w:val="41D0228F"/>
    <w:rsid w:val="41D250C4"/>
    <w:rsid w:val="41D67CEC"/>
    <w:rsid w:val="41E033F7"/>
    <w:rsid w:val="41E111AC"/>
    <w:rsid w:val="41E51E37"/>
    <w:rsid w:val="41FC54B1"/>
    <w:rsid w:val="420A12B9"/>
    <w:rsid w:val="420A3259"/>
    <w:rsid w:val="420B24A6"/>
    <w:rsid w:val="422662A2"/>
    <w:rsid w:val="42331B97"/>
    <w:rsid w:val="42375E67"/>
    <w:rsid w:val="423D2B0B"/>
    <w:rsid w:val="425C1E2F"/>
    <w:rsid w:val="426F5570"/>
    <w:rsid w:val="4277681D"/>
    <w:rsid w:val="42800292"/>
    <w:rsid w:val="428303EE"/>
    <w:rsid w:val="42970F1C"/>
    <w:rsid w:val="42AF4213"/>
    <w:rsid w:val="42B65693"/>
    <w:rsid w:val="42D34F0C"/>
    <w:rsid w:val="42D61BC1"/>
    <w:rsid w:val="42DB3511"/>
    <w:rsid w:val="43000CF2"/>
    <w:rsid w:val="430873DC"/>
    <w:rsid w:val="43103E8D"/>
    <w:rsid w:val="43133D25"/>
    <w:rsid w:val="43252E91"/>
    <w:rsid w:val="43350786"/>
    <w:rsid w:val="43426ABF"/>
    <w:rsid w:val="434B5F61"/>
    <w:rsid w:val="43521E73"/>
    <w:rsid w:val="435A6E4C"/>
    <w:rsid w:val="435D6B7E"/>
    <w:rsid w:val="436D137C"/>
    <w:rsid w:val="43731101"/>
    <w:rsid w:val="437500B5"/>
    <w:rsid w:val="43851473"/>
    <w:rsid w:val="438A6A7E"/>
    <w:rsid w:val="4390626E"/>
    <w:rsid w:val="43AD2778"/>
    <w:rsid w:val="43BC709B"/>
    <w:rsid w:val="43BE00B8"/>
    <w:rsid w:val="43CA31A5"/>
    <w:rsid w:val="43E30930"/>
    <w:rsid w:val="43E34C07"/>
    <w:rsid w:val="43F62F4F"/>
    <w:rsid w:val="43FF70A6"/>
    <w:rsid w:val="440A38EB"/>
    <w:rsid w:val="44444E39"/>
    <w:rsid w:val="445D39CA"/>
    <w:rsid w:val="44675FF1"/>
    <w:rsid w:val="448C6831"/>
    <w:rsid w:val="44956D16"/>
    <w:rsid w:val="449B7303"/>
    <w:rsid w:val="44AC474C"/>
    <w:rsid w:val="44AE2174"/>
    <w:rsid w:val="44C30010"/>
    <w:rsid w:val="44C3212F"/>
    <w:rsid w:val="44D328E0"/>
    <w:rsid w:val="44D45809"/>
    <w:rsid w:val="44E80764"/>
    <w:rsid w:val="44E97A5A"/>
    <w:rsid w:val="44F05148"/>
    <w:rsid w:val="44F502C0"/>
    <w:rsid w:val="44FA08FC"/>
    <w:rsid w:val="44FF0DB1"/>
    <w:rsid w:val="44FF4327"/>
    <w:rsid w:val="450024F4"/>
    <w:rsid w:val="45020A1F"/>
    <w:rsid w:val="450E3011"/>
    <w:rsid w:val="45223D99"/>
    <w:rsid w:val="4533159F"/>
    <w:rsid w:val="453A4F87"/>
    <w:rsid w:val="454600BB"/>
    <w:rsid w:val="454D39E1"/>
    <w:rsid w:val="45554778"/>
    <w:rsid w:val="455957A2"/>
    <w:rsid w:val="45604010"/>
    <w:rsid w:val="456E744E"/>
    <w:rsid w:val="457E49EF"/>
    <w:rsid w:val="45A9206D"/>
    <w:rsid w:val="45AB6232"/>
    <w:rsid w:val="45B4706E"/>
    <w:rsid w:val="45B815F6"/>
    <w:rsid w:val="45BB5BE0"/>
    <w:rsid w:val="45DA2715"/>
    <w:rsid w:val="45E95730"/>
    <w:rsid w:val="45F97DC6"/>
    <w:rsid w:val="45FC0B1B"/>
    <w:rsid w:val="45FF18BA"/>
    <w:rsid w:val="460457E3"/>
    <w:rsid w:val="460B589A"/>
    <w:rsid w:val="46112C18"/>
    <w:rsid w:val="46113492"/>
    <w:rsid w:val="46124B79"/>
    <w:rsid w:val="461F7D41"/>
    <w:rsid w:val="46204D75"/>
    <w:rsid w:val="46214773"/>
    <w:rsid w:val="4631308D"/>
    <w:rsid w:val="46657F59"/>
    <w:rsid w:val="468B1CF6"/>
    <w:rsid w:val="468B2FEE"/>
    <w:rsid w:val="468E4055"/>
    <w:rsid w:val="469A31E3"/>
    <w:rsid w:val="469E4F5B"/>
    <w:rsid w:val="46A02FC7"/>
    <w:rsid w:val="46A20279"/>
    <w:rsid w:val="46BF58AE"/>
    <w:rsid w:val="46C6271E"/>
    <w:rsid w:val="46CC629A"/>
    <w:rsid w:val="46D769BA"/>
    <w:rsid w:val="46DB7A1F"/>
    <w:rsid w:val="46DE1776"/>
    <w:rsid w:val="46EE1E8B"/>
    <w:rsid w:val="46FD3F28"/>
    <w:rsid w:val="470028F5"/>
    <w:rsid w:val="471425D5"/>
    <w:rsid w:val="471C29AD"/>
    <w:rsid w:val="472862DF"/>
    <w:rsid w:val="474A6688"/>
    <w:rsid w:val="474B1A92"/>
    <w:rsid w:val="47613FA5"/>
    <w:rsid w:val="476255E3"/>
    <w:rsid w:val="47672983"/>
    <w:rsid w:val="47682D61"/>
    <w:rsid w:val="476C2095"/>
    <w:rsid w:val="476E35E2"/>
    <w:rsid w:val="4778160F"/>
    <w:rsid w:val="47A55968"/>
    <w:rsid w:val="47B85147"/>
    <w:rsid w:val="47DB7E83"/>
    <w:rsid w:val="47E90D8C"/>
    <w:rsid w:val="47ED3F97"/>
    <w:rsid w:val="47ED644B"/>
    <w:rsid w:val="47EE0A50"/>
    <w:rsid w:val="47F17DA1"/>
    <w:rsid w:val="48057B9E"/>
    <w:rsid w:val="480F5D35"/>
    <w:rsid w:val="480F6DBD"/>
    <w:rsid w:val="48223A32"/>
    <w:rsid w:val="48302F03"/>
    <w:rsid w:val="483518DE"/>
    <w:rsid w:val="48501C95"/>
    <w:rsid w:val="4864267D"/>
    <w:rsid w:val="4866347F"/>
    <w:rsid w:val="48741AE0"/>
    <w:rsid w:val="48800180"/>
    <w:rsid w:val="48813375"/>
    <w:rsid w:val="488733CD"/>
    <w:rsid w:val="488E3A1A"/>
    <w:rsid w:val="48B41C16"/>
    <w:rsid w:val="48BB1493"/>
    <w:rsid w:val="48BB6879"/>
    <w:rsid w:val="48D72206"/>
    <w:rsid w:val="48E409EA"/>
    <w:rsid w:val="48F60E77"/>
    <w:rsid w:val="48F64DB6"/>
    <w:rsid w:val="49101897"/>
    <w:rsid w:val="49122DCA"/>
    <w:rsid w:val="49172409"/>
    <w:rsid w:val="491A68A0"/>
    <w:rsid w:val="491D5CAA"/>
    <w:rsid w:val="491F627F"/>
    <w:rsid w:val="492570E6"/>
    <w:rsid w:val="49265307"/>
    <w:rsid w:val="492655CA"/>
    <w:rsid w:val="492717FC"/>
    <w:rsid w:val="492C02FB"/>
    <w:rsid w:val="492C6DC6"/>
    <w:rsid w:val="493365E7"/>
    <w:rsid w:val="493620D8"/>
    <w:rsid w:val="49377F5E"/>
    <w:rsid w:val="493B21E7"/>
    <w:rsid w:val="49402EF1"/>
    <w:rsid w:val="49500766"/>
    <w:rsid w:val="4953791E"/>
    <w:rsid w:val="495D4B3B"/>
    <w:rsid w:val="496E1AF2"/>
    <w:rsid w:val="49715F92"/>
    <w:rsid w:val="497E69C8"/>
    <w:rsid w:val="49891833"/>
    <w:rsid w:val="49971591"/>
    <w:rsid w:val="499E6411"/>
    <w:rsid w:val="49A13729"/>
    <w:rsid w:val="49B00D20"/>
    <w:rsid w:val="49BE7DC6"/>
    <w:rsid w:val="49BF605B"/>
    <w:rsid w:val="49D00983"/>
    <w:rsid w:val="49D12BC7"/>
    <w:rsid w:val="49D33BFD"/>
    <w:rsid w:val="49DB23B6"/>
    <w:rsid w:val="4A08134E"/>
    <w:rsid w:val="4A0B14C4"/>
    <w:rsid w:val="4A191365"/>
    <w:rsid w:val="4A1E4CD0"/>
    <w:rsid w:val="4A2F3116"/>
    <w:rsid w:val="4A366581"/>
    <w:rsid w:val="4A3C221E"/>
    <w:rsid w:val="4A4060F4"/>
    <w:rsid w:val="4A561894"/>
    <w:rsid w:val="4A57490F"/>
    <w:rsid w:val="4A6A26B3"/>
    <w:rsid w:val="4A6C0437"/>
    <w:rsid w:val="4A7364C9"/>
    <w:rsid w:val="4A797417"/>
    <w:rsid w:val="4A7E1328"/>
    <w:rsid w:val="4A8C7BF9"/>
    <w:rsid w:val="4A9A108F"/>
    <w:rsid w:val="4AB64608"/>
    <w:rsid w:val="4AC406F6"/>
    <w:rsid w:val="4ACC6D56"/>
    <w:rsid w:val="4ADE2DF6"/>
    <w:rsid w:val="4AF46F0A"/>
    <w:rsid w:val="4B0210BB"/>
    <w:rsid w:val="4B021CF7"/>
    <w:rsid w:val="4B041219"/>
    <w:rsid w:val="4B0E5112"/>
    <w:rsid w:val="4B1B3EAA"/>
    <w:rsid w:val="4B2963B1"/>
    <w:rsid w:val="4B302C0E"/>
    <w:rsid w:val="4B335105"/>
    <w:rsid w:val="4B397174"/>
    <w:rsid w:val="4B480DAA"/>
    <w:rsid w:val="4B5345C1"/>
    <w:rsid w:val="4B535A9D"/>
    <w:rsid w:val="4B5C08CF"/>
    <w:rsid w:val="4B7B2F66"/>
    <w:rsid w:val="4B7D76F3"/>
    <w:rsid w:val="4B8C794C"/>
    <w:rsid w:val="4B8D03A0"/>
    <w:rsid w:val="4B956789"/>
    <w:rsid w:val="4BAE5D7F"/>
    <w:rsid w:val="4BBD57AF"/>
    <w:rsid w:val="4BC225F9"/>
    <w:rsid w:val="4BC278C2"/>
    <w:rsid w:val="4BC35F57"/>
    <w:rsid w:val="4BC44B03"/>
    <w:rsid w:val="4BC6087B"/>
    <w:rsid w:val="4BEA7882"/>
    <w:rsid w:val="4BEF2CBD"/>
    <w:rsid w:val="4C0401B6"/>
    <w:rsid w:val="4C0C58E5"/>
    <w:rsid w:val="4C0D34C1"/>
    <w:rsid w:val="4C13419C"/>
    <w:rsid w:val="4C1C4424"/>
    <w:rsid w:val="4C273D54"/>
    <w:rsid w:val="4C3D20CB"/>
    <w:rsid w:val="4C496A14"/>
    <w:rsid w:val="4C6A7FD0"/>
    <w:rsid w:val="4C6F3738"/>
    <w:rsid w:val="4C977EF1"/>
    <w:rsid w:val="4C9840B5"/>
    <w:rsid w:val="4C9D793B"/>
    <w:rsid w:val="4CAF723D"/>
    <w:rsid w:val="4CC75C0E"/>
    <w:rsid w:val="4CCC419B"/>
    <w:rsid w:val="4CD56315"/>
    <w:rsid w:val="4CDF38AB"/>
    <w:rsid w:val="4CE659E0"/>
    <w:rsid w:val="4CEE0A44"/>
    <w:rsid w:val="4D045184"/>
    <w:rsid w:val="4D11246B"/>
    <w:rsid w:val="4D163EFD"/>
    <w:rsid w:val="4D1B0752"/>
    <w:rsid w:val="4D2104EC"/>
    <w:rsid w:val="4D351854"/>
    <w:rsid w:val="4D3637DE"/>
    <w:rsid w:val="4D3D435A"/>
    <w:rsid w:val="4D445F91"/>
    <w:rsid w:val="4D48146D"/>
    <w:rsid w:val="4D5B4012"/>
    <w:rsid w:val="4D5D5A16"/>
    <w:rsid w:val="4D6E33B8"/>
    <w:rsid w:val="4D7706CB"/>
    <w:rsid w:val="4D794A2F"/>
    <w:rsid w:val="4D841BA8"/>
    <w:rsid w:val="4D8B7935"/>
    <w:rsid w:val="4D8E0F1E"/>
    <w:rsid w:val="4D8E2AFA"/>
    <w:rsid w:val="4D98363A"/>
    <w:rsid w:val="4DBE3829"/>
    <w:rsid w:val="4DD244D8"/>
    <w:rsid w:val="4DFA757B"/>
    <w:rsid w:val="4DFF36A4"/>
    <w:rsid w:val="4E0E3691"/>
    <w:rsid w:val="4E0E6AEE"/>
    <w:rsid w:val="4E1154B9"/>
    <w:rsid w:val="4E144F34"/>
    <w:rsid w:val="4E17026B"/>
    <w:rsid w:val="4E173C93"/>
    <w:rsid w:val="4E227B65"/>
    <w:rsid w:val="4E293065"/>
    <w:rsid w:val="4E323367"/>
    <w:rsid w:val="4E3D4EE1"/>
    <w:rsid w:val="4E4439D7"/>
    <w:rsid w:val="4E4D5D1F"/>
    <w:rsid w:val="4E5321DD"/>
    <w:rsid w:val="4E561758"/>
    <w:rsid w:val="4E58164B"/>
    <w:rsid w:val="4E5A0A7F"/>
    <w:rsid w:val="4E5A255B"/>
    <w:rsid w:val="4E7A3668"/>
    <w:rsid w:val="4E863E8B"/>
    <w:rsid w:val="4E8C4A45"/>
    <w:rsid w:val="4E8F14BD"/>
    <w:rsid w:val="4E917147"/>
    <w:rsid w:val="4E932B34"/>
    <w:rsid w:val="4EA0675E"/>
    <w:rsid w:val="4EA235A8"/>
    <w:rsid w:val="4EAB26A2"/>
    <w:rsid w:val="4EB40CC7"/>
    <w:rsid w:val="4EB97455"/>
    <w:rsid w:val="4ED61960"/>
    <w:rsid w:val="4EE0559D"/>
    <w:rsid w:val="4EE204EF"/>
    <w:rsid w:val="4EEA71CE"/>
    <w:rsid w:val="4EF02073"/>
    <w:rsid w:val="4EFB101F"/>
    <w:rsid w:val="4F02066C"/>
    <w:rsid w:val="4F1743ED"/>
    <w:rsid w:val="4F285D8E"/>
    <w:rsid w:val="4F2972A0"/>
    <w:rsid w:val="4F380211"/>
    <w:rsid w:val="4F421346"/>
    <w:rsid w:val="4F53638C"/>
    <w:rsid w:val="4F5512D6"/>
    <w:rsid w:val="4F6B1647"/>
    <w:rsid w:val="4F6F0F14"/>
    <w:rsid w:val="4F701813"/>
    <w:rsid w:val="4F7233A3"/>
    <w:rsid w:val="4F921B71"/>
    <w:rsid w:val="4F9A28DA"/>
    <w:rsid w:val="4FAD3890"/>
    <w:rsid w:val="4FAF7E58"/>
    <w:rsid w:val="4FBC3DC3"/>
    <w:rsid w:val="4FCF5161"/>
    <w:rsid w:val="4FD83DEA"/>
    <w:rsid w:val="4FF05599"/>
    <w:rsid w:val="4FF52BAA"/>
    <w:rsid w:val="50093DB3"/>
    <w:rsid w:val="500A0F85"/>
    <w:rsid w:val="500B1E37"/>
    <w:rsid w:val="500C6E56"/>
    <w:rsid w:val="502419A4"/>
    <w:rsid w:val="50304A3A"/>
    <w:rsid w:val="50316A7B"/>
    <w:rsid w:val="50346BE6"/>
    <w:rsid w:val="504C5089"/>
    <w:rsid w:val="50502FD6"/>
    <w:rsid w:val="50535AAE"/>
    <w:rsid w:val="50600F18"/>
    <w:rsid w:val="506B2C7A"/>
    <w:rsid w:val="506C5E83"/>
    <w:rsid w:val="507240A6"/>
    <w:rsid w:val="507A0FED"/>
    <w:rsid w:val="50811214"/>
    <w:rsid w:val="50812127"/>
    <w:rsid w:val="5081450F"/>
    <w:rsid w:val="508F68CC"/>
    <w:rsid w:val="50941611"/>
    <w:rsid w:val="509D2DB0"/>
    <w:rsid w:val="50A304D2"/>
    <w:rsid w:val="50BB7678"/>
    <w:rsid w:val="50C11611"/>
    <w:rsid w:val="50D4246D"/>
    <w:rsid w:val="50D74F69"/>
    <w:rsid w:val="50E05BCC"/>
    <w:rsid w:val="51057820"/>
    <w:rsid w:val="51101553"/>
    <w:rsid w:val="51220C8E"/>
    <w:rsid w:val="51265995"/>
    <w:rsid w:val="5128778A"/>
    <w:rsid w:val="51352534"/>
    <w:rsid w:val="51382071"/>
    <w:rsid w:val="513E7A35"/>
    <w:rsid w:val="51493FF5"/>
    <w:rsid w:val="515D5844"/>
    <w:rsid w:val="51617A5D"/>
    <w:rsid w:val="516A454D"/>
    <w:rsid w:val="5182103B"/>
    <w:rsid w:val="51915015"/>
    <w:rsid w:val="51965187"/>
    <w:rsid w:val="51A91691"/>
    <w:rsid w:val="51AB7093"/>
    <w:rsid w:val="51C855CA"/>
    <w:rsid w:val="51D91EA5"/>
    <w:rsid w:val="51D92853"/>
    <w:rsid w:val="51DB73DE"/>
    <w:rsid w:val="51DF61F2"/>
    <w:rsid w:val="51E41D5B"/>
    <w:rsid w:val="51F64B9F"/>
    <w:rsid w:val="5204248A"/>
    <w:rsid w:val="520449C1"/>
    <w:rsid w:val="52134354"/>
    <w:rsid w:val="52195CB2"/>
    <w:rsid w:val="521D451B"/>
    <w:rsid w:val="52263A35"/>
    <w:rsid w:val="52293911"/>
    <w:rsid w:val="522B2A53"/>
    <w:rsid w:val="522B7720"/>
    <w:rsid w:val="52484447"/>
    <w:rsid w:val="52562689"/>
    <w:rsid w:val="52576B31"/>
    <w:rsid w:val="5268443A"/>
    <w:rsid w:val="526B096A"/>
    <w:rsid w:val="5273746B"/>
    <w:rsid w:val="527F6066"/>
    <w:rsid w:val="528A5D2D"/>
    <w:rsid w:val="528D5C4E"/>
    <w:rsid w:val="52911209"/>
    <w:rsid w:val="529B6B33"/>
    <w:rsid w:val="52A319C0"/>
    <w:rsid w:val="52AF302F"/>
    <w:rsid w:val="52B4142D"/>
    <w:rsid w:val="52B556EA"/>
    <w:rsid w:val="52B57405"/>
    <w:rsid w:val="52C74DA7"/>
    <w:rsid w:val="52CC6ABC"/>
    <w:rsid w:val="52D052ED"/>
    <w:rsid w:val="52D773C9"/>
    <w:rsid w:val="52DB42B6"/>
    <w:rsid w:val="52DE792F"/>
    <w:rsid w:val="52F17E75"/>
    <w:rsid w:val="530B2B9F"/>
    <w:rsid w:val="53583EDB"/>
    <w:rsid w:val="535866D4"/>
    <w:rsid w:val="53696112"/>
    <w:rsid w:val="536B460A"/>
    <w:rsid w:val="53703A6C"/>
    <w:rsid w:val="537228F8"/>
    <w:rsid w:val="5380535F"/>
    <w:rsid w:val="53870DF5"/>
    <w:rsid w:val="538D2A0D"/>
    <w:rsid w:val="539268AF"/>
    <w:rsid w:val="53931487"/>
    <w:rsid w:val="53AB6157"/>
    <w:rsid w:val="53AE1714"/>
    <w:rsid w:val="53C424A7"/>
    <w:rsid w:val="53C9555E"/>
    <w:rsid w:val="53CA5281"/>
    <w:rsid w:val="53D0065F"/>
    <w:rsid w:val="53DB2763"/>
    <w:rsid w:val="53DC7DD1"/>
    <w:rsid w:val="53E76D4E"/>
    <w:rsid w:val="53E9510D"/>
    <w:rsid w:val="53EC109A"/>
    <w:rsid w:val="53F1067B"/>
    <w:rsid w:val="53F709A3"/>
    <w:rsid w:val="54002B92"/>
    <w:rsid w:val="540048F5"/>
    <w:rsid w:val="54090165"/>
    <w:rsid w:val="540944FA"/>
    <w:rsid w:val="5412562B"/>
    <w:rsid w:val="541361E1"/>
    <w:rsid w:val="541440F3"/>
    <w:rsid w:val="54214A5F"/>
    <w:rsid w:val="54234CD0"/>
    <w:rsid w:val="54292CF9"/>
    <w:rsid w:val="542E27C0"/>
    <w:rsid w:val="54306091"/>
    <w:rsid w:val="54335264"/>
    <w:rsid w:val="54426548"/>
    <w:rsid w:val="545D308B"/>
    <w:rsid w:val="5479633F"/>
    <w:rsid w:val="54844BD5"/>
    <w:rsid w:val="549A3425"/>
    <w:rsid w:val="549C60D9"/>
    <w:rsid w:val="54A50CF3"/>
    <w:rsid w:val="54AC20A7"/>
    <w:rsid w:val="54B4541B"/>
    <w:rsid w:val="54BC000D"/>
    <w:rsid w:val="54C72BF8"/>
    <w:rsid w:val="54DD39B2"/>
    <w:rsid w:val="54E71D74"/>
    <w:rsid w:val="54FA0B6E"/>
    <w:rsid w:val="54FB729C"/>
    <w:rsid w:val="54FD3A02"/>
    <w:rsid w:val="54FF3DA0"/>
    <w:rsid w:val="55025FB0"/>
    <w:rsid w:val="550834C5"/>
    <w:rsid w:val="550C128B"/>
    <w:rsid w:val="55164621"/>
    <w:rsid w:val="55185D21"/>
    <w:rsid w:val="552C0F0E"/>
    <w:rsid w:val="55311751"/>
    <w:rsid w:val="55355405"/>
    <w:rsid w:val="553E76D4"/>
    <w:rsid w:val="554B6E8B"/>
    <w:rsid w:val="554F7CB6"/>
    <w:rsid w:val="55904202"/>
    <w:rsid w:val="55922D1A"/>
    <w:rsid w:val="55992B5C"/>
    <w:rsid w:val="55A93619"/>
    <w:rsid w:val="55AF0E4D"/>
    <w:rsid w:val="55CA0FC2"/>
    <w:rsid w:val="55E732A6"/>
    <w:rsid w:val="56073FAF"/>
    <w:rsid w:val="560928B0"/>
    <w:rsid w:val="560A5808"/>
    <w:rsid w:val="561B666D"/>
    <w:rsid w:val="562504E7"/>
    <w:rsid w:val="564E5597"/>
    <w:rsid w:val="5651790F"/>
    <w:rsid w:val="566C16F1"/>
    <w:rsid w:val="566C5077"/>
    <w:rsid w:val="568450E5"/>
    <w:rsid w:val="568A0815"/>
    <w:rsid w:val="568D414A"/>
    <w:rsid w:val="56A203C7"/>
    <w:rsid w:val="56A84F53"/>
    <w:rsid w:val="56B32BEE"/>
    <w:rsid w:val="56E04EE6"/>
    <w:rsid w:val="56F5382B"/>
    <w:rsid w:val="56F85B94"/>
    <w:rsid w:val="56FD4AFA"/>
    <w:rsid w:val="56FD5459"/>
    <w:rsid w:val="56FD5ECF"/>
    <w:rsid w:val="570152A3"/>
    <w:rsid w:val="57024F55"/>
    <w:rsid w:val="57082848"/>
    <w:rsid w:val="570C6FF3"/>
    <w:rsid w:val="57117D27"/>
    <w:rsid w:val="57153532"/>
    <w:rsid w:val="57207C1F"/>
    <w:rsid w:val="57242629"/>
    <w:rsid w:val="572442C9"/>
    <w:rsid w:val="572D71FD"/>
    <w:rsid w:val="57397480"/>
    <w:rsid w:val="576E7479"/>
    <w:rsid w:val="577818AE"/>
    <w:rsid w:val="577B076B"/>
    <w:rsid w:val="577F14BC"/>
    <w:rsid w:val="578157CF"/>
    <w:rsid w:val="579161E1"/>
    <w:rsid w:val="57965E92"/>
    <w:rsid w:val="579C001E"/>
    <w:rsid w:val="57A13CAE"/>
    <w:rsid w:val="57B131F1"/>
    <w:rsid w:val="57B55DA7"/>
    <w:rsid w:val="57B86BE3"/>
    <w:rsid w:val="57BC57FC"/>
    <w:rsid w:val="57C22D45"/>
    <w:rsid w:val="57C70863"/>
    <w:rsid w:val="57CC5136"/>
    <w:rsid w:val="57D12547"/>
    <w:rsid w:val="57DD48E8"/>
    <w:rsid w:val="57F06DA0"/>
    <w:rsid w:val="5803216D"/>
    <w:rsid w:val="580E4974"/>
    <w:rsid w:val="58106070"/>
    <w:rsid w:val="58120DA0"/>
    <w:rsid w:val="581442B9"/>
    <w:rsid w:val="58183877"/>
    <w:rsid w:val="582778D9"/>
    <w:rsid w:val="582837BD"/>
    <w:rsid w:val="58426846"/>
    <w:rsid w:val="58656317"/>
    <w:rsid w:val="5866302A"/>
    <w:rsid w:val="58784086"/>
    <w:rsid w:val="587B7D40"/>
    <w:rsid w:val="589A5EC2"/>
    <w:rsid w:val="58A10BCB"/>
    <w:rsid w:val="58A1546D"/>
    <w:rsid w:val="58A17C53"/>
    <w:rsid w:val="58A35F87"/>
    <w:rsid w:val="58A91CEB"/>
    <w:rsid w:val="58AE1ACE"/>
    <w:rsid w:val="58AF1111"/>
    <w:rsid w:val="58BB288D"/>
    <w:rsid w:val="58D31843"/>
    <w:rsid w:val="58DC6DD5"/>
    <w:rsid w:val="58E27A4E"/>
    <w:rsid w:val="590F0AB2"/>
    <w:rsid w:val="59210231"/>
    <w:rsid w:val="593F5202"/>
    <w:rsid w:val="594561D0"/>
    <w:rsid w:val="594A2020"/>
    <w:rsid w:val="594A31BF"/>
    <w:rsid w:val="594E4BE6"/>
    <w:rsid w:val="594F1FEF"/>
    <w:rsid w:val="596310E8"/>
    <w:rsid w:val="596A14B8"/>
    <w:rsid w:val="596B17D6"/>
    <w:rsid w:val="59840F94"/>
    <w:rsid w:val="59901BC9"/>
    <w:rsid w:val="59915A45"/>
    <w:rsid w:val="599B44A6"/>
    <w:rsid w:val="59A46127"/>
    <w:rsid w:val="59A87726"/>
    <w:rsid w:val="59AE0BF9"/>
    <w:rsid w:val="59B15445"/>
    <w:rsid w:val="59BF3579"/>
    <w:rsid w:val="59C13DAF"/>
    <w:rsid w:val="59C26B25"/>
    <w:rsid w:val="59D17B06"/>
    <w:rsid w:val="59D4452F"/>
    <w:rsid w:val="59E80E22"/>
    <w:rsid w:val="59F66522"/>
    <w:rsid w:val="59FF2643"/>
    <w:rsid w:val="59FF7CA1"/>
    <w:rsid w:val="5A0443B7"/>
    <w:rsid w:val="5A0F0E2C"/>
    <w:rsid w:val="5A0F668E"/>
    <w:rsid w:val="5A123C12"/>
    <w:rsid w:val="5A2009A2"/>
    <w:rsid w:val="5A242B30"/>
    <w:rsid w:val="5A287EB8"/>
    <w:rsid w:val="5A2C7133"/>
    <w:rsid w:val="5A334200"/>
    <w:rsid w:val="5A436D87"/>
    <w:rsid w:val="5A453DF0"/>
    <w:rsid w:val="5A4754AE"/>
    <w:rsid w:val="5A4934C8"/>
    <w:rsid w:val="5A5536E2"/>
    <w:rsid w:val="5A5C0B2D"/>
    <w:rsid w:val="5A5D38F2"/>
    <w:rsid w:val="5A645B57"/>
    <w:rsid w:val="5A684E9C"/>
    <w:rsid w:val="5A6D7DE8"/>
    <w:rsid w:val="5A6F6B11"/>
    <w:rsid w:val="5A7C4F26"/>
    <w:rsid w:val="5A836EC2"/>
    <w:rsid w:val="5AA13A09"/>
    <w:rsid w:val="5AB72DF9"/>
    <w:rsid w:val="5AD21999"/>
    <w:rsid w:val="5ADE37CC"/>
    <w:rsid w:val="5AF03707"/>
    <w:rsid w:val="5AFA0793"/>
    <w:rsid w:val="5B003761"/>
    <w:rsid w:val="5B0809A3"/>
    <w:rsid w:val="5B215633"/>
    <w:rsid w:val="5B2F6DC4"/>
    <w:rsid w:val="5B3F3634"/>
    <w:rsid w:val="5B4877CD"/>
    <w:rsid w:val="5B502582"/>
    <w:rsid w:val="5B547DD5"/>
    <w:rsid w:val="5B5E427E"/>
    <w:rsid w:val="5B657877"/>
    <w:rsid w:val="5B763B9A"/>
    <w:rsid w:val="5B833AFB"/>
    <w:rsid w:val="5B9C713A"/>
    <w:rsid w:val="5BAA46FA"/>
    <w:rsid w:val="5BB43874"/>
    <w:rsid w:val="5BB50822"/>
    <w:rsid w:val="5BBD0D8D"/>
    <w:rsid w:val="5BC55BED"/>
    <w:rsid w:val="5BD82CB5"/>
    <w:rsid w:val="5BE1556F"/>
    <w:rsid w:val="5BE86877"/>
    <w:rsid w:val="5BEF6111"/>
    <w:rsid w:val="5BF90358"/>
    <w:rsid w:val="5BF94181"/>
    <w:rsid w:val="5C0A6712"/>
    <w:rsid w:val="5C1C5827"/>
    <w:rsid w:val="5C1E75FD"/>
    <w:rsid w:val="5C297CB0"/>
    <w:rsid w:val="5C2F2E62"/>
    <w:rsid w:val="5C38770A"/>
    <w:rsid w:val="5C47650C"/>
    <w:rsid w:val="5C566A4D"/>
    <w:rsid w:val="5C5C4534"/>
    <w:rsid w:val="5C6240D7"/>
    <w:rsid w:val="5C696A92"/>
    <w:rsid w:val="5C7873D3"/>
    <w:rsid w:val="5C7E6AE9"/>
    <w:rsid w:val="5C7F5DAA"/>
    <w:rsid w:val="5C8E2366"/>
    <w:rsid w:val="5C922F8C"/>
    <w:rsid w:val="5CB8672C"/>
    <w:rsid w:val="5CBC2F03"/>
    <w:rsid w:val="5CC84F70"/>
    <w:rsid w:val="5CCA18B2"/>
    <w:rsid w:val="5CDA5466"/>
    <w:rsid w:val="5CE30B89"/>
    <w:rsid w:val="5CE4256B"/>
    <w:rsid w:val="5CE54811"/>
    <w:rsid w:val="5CEA626E"/>
    <w:rsid w:val="5CF0658E"/>
    <w:rsid w:val="5CF1723B"/>
    <w:rsid w:val="5D016A1E"/>
    <w:rsid w:val="5D054707"/>
    <w:rsid w:val="5D25578A"/>
    <w:rsid w:val="5D2931BB"/>
    <w:rsid w:val="5D310F20"/>
    <w:rsid w:val="5D61468A"/>
    <w:rsid w:val="5D706BCE"/>
    <w:rsid w:val="5D7F40FB"/>
    <w:rsid w:val="5D8D5DAE"/>
    <w:rsid w:val="5D94670A"/>
    <w:rsid w:val="5D993267"/>
    <w:rsid w:val="5DA844FE"/>
    <w:rsid w:val="5DB44C30"/>
    <w:rsid w:val="5DBC2C0F"/>
    <w:rsid w:val="5DD07E50"/>
    <w:rsid w:val="5DDE06E0"/>
    <w:rsid w:val="5DDE1E84"/>
    <w:rsid w:val="5E0528C5"/>
    <w:rsid w:val="5E18796E"/>
    <w:rsid w:val="5E1F7CC3"/>
    <w:rsid w:val="5E23042E"/>
    <w:rsid w:val="5E364770"/>
    <w:rsid w:val="5E4E6D10"/>
    <w:rsid w:val="5E606D66"/>
    <w:rsid w:val="5E633996"/>
    <w:rsid w:val="5E657F65"/>
    <w:rsid w:val="5E667D80"/>
    <w:rsid w:val="5E7E7F2D"/>
    <w:rsid w:val="5E813FF1"/>
    <w:rsid w:val="5E8856A7"/>
    <w:rsid w:val="5E894573"/>
    <w:rsid w:val="5E8E1597"/>
    <w:rsid w:val="5E8F7283"/>
    <w:rsid w:val="5E961A7C"/>
    <w:rsid w:val="5E987E55"/>
    <w:rsid w:val="5EB267DB"/>
    <w:rsid w:val="5EBC255A"/>
    <w:rsid w:val="5EC24A9A"/>
    <w:rsid w:val="5ED06570"/>
    <w:rsid w:val="5EE0795D"/>
    <w:rsid w:val="5F182E7A"/>
    <w:rsid w:val="5F184590"/>
    <w:rsid w:val="5F2628DB"/>
    <w:rsid w:val="5F360CA7"/>
    <w:rsid w:val="5F3E2895"/>
    <w:rsid w:val="5F421F6E"/>
    <w:rsid w:val="5F4462FE"/>
    <w:rsid w:val="5F4E52D6"/>
    <w:rsid w:val="5F4E7B3F"/>
    <w:rsid w:val="5F591AFB"/>
    <w:rsid w:val="5F65280A"/>
    <w:rsid w:val="5F6A134D"/>
    <w:rsid w:val="5F720D05"/>
    <w:rsid w:val="5F841DF3"/>
    <w:rsid w:val="5F9403D4"/>
    <w:rsid w:val="5FAF3F49"/>
    <w:rsid w:val="5FBA10E4"/>
    <w:rsid w:val="5FBC0EF7"/>
    <w:rsid w:val="5FDF220F"/>
    <w:rsid w:val="5FE01AB3"/>
    <w:rsid w:val="5FFD07D0"/>
    <w:rsid w:val="600147E8"/>
    <w:rsid w:val="60063F24"/>
    <w:rsid w:val="601114E1"/>
    <w:rsid w:val="60317CD4"/>
    <w:rsid w:val="60345A05"/>
    <w:rsid w:val="603A5A18"/>
    <w:rsid w:val="60440BF9"/>
    <w:rsid w:val="604F031F"/>
    <w:rsid w:val="60600FED"/>
    <w:rsid w:val="606422FE"/>
    <w:rsid w:val="60910B90"/>
    <w:rsid w:val="60947069"/>
    <w:rsid w:val="60A06191"/>
    <w:rsid w:val="60A4681B"/>
    <w:rsid w:val="60B85CE3"/>
    <w:rsid w:val="60D00A3F"/>
    <w:rsid w:val="60D63C27"/>
    <w:rsid w:val="60DD6E0D"/>
    <w:rsid w:val="60DF3448"/>
    <w:rsid w:val="60EB23D1"/>
    <w:rsid w:val="60FA2719"/>
    <w:rsid w:val="61047A2A"/>
    <w:rsid w:val="610E18DB"/>
    <w:rsid w:val="610E6A99"/>
    <w:rsid w:val="611470F8"/>
    <w:rsid w:val="612872C0"/>
    <w:rsid w:val="615D66FC"/>
    <w:rsid w:val="61667509"/>
    <w:rsid w:val="616957E4"/>
    <w:rsid w:val="616F4A33"/>
    <w:rsid w:val="61796D9E"/>
    <w:rsid w:val="6188634F"/>
    <w:rsid w:val="61986BBE"/>
    <w:rsid w:val="619A2CE3"/>
    <w:rsid w:val="619B4FFB"/>
    <w:rsid w:val="61A82288"/>
    <w:rsid w:val="61B700C2"/>
    <w:rsid w:val="61B906AA"/>
    <w:rsid w:val="61C4723A"/>
    <w:rsid w:val="61DC0D5B"/>
    <w:rsid w:val="61DD34AA"/>
    <w:rsid w:val="61DE5323"/>
    <w:rsid w:val="61EA10BC"/>
    <w:rsid w:val="62073EEA"/>
    <w:rsid w:val="620F56E3"/>
    <w:rsid w:val="62113D13"/>
    <w:rsid w:val="622D4F41"/>
    <w:rsid w:val="6243250F"/>
    <w:rsid w:val="62470487"/>
    <w:rsid w:val="62716A80"/>
    <w:rsid w:val="62717920"/>
    <w:rsid w:val="62837C54"/>
    <w:rsid w:val="62846AD0"/>
    <w:rsid w:val="62850BF1"/>
    <w:rsid w:val="62891A08"/>
    <w:rsid w:val="628D06A5"/>
    <w:rsid w:val="62A03427"/>
    <w:rsid w:val="62AA0219"/>
    <w:rsid w:val="62AA1B96"/>
    <w:rsid w:val="62AB0324"/>
    <w:rsid w:val="62AF324A"/>
    <w:rsid w:val="62BB3769"/>
    <w:rsid w:val="62C40D20"/>
    <w:rsid w:val="62C67771"/>
    <w:rsid w:val="62CC67EF"/>
    <w:rsid w:val="62CE11A9"/>
    <w:rsid w:val="62D31AAF"/>
    <w:rsid w:val="62DB5C11"/>
    <w:rsid w:val="62E01BAE"/>
    <w:rsid w:val="62E934F3"/>
    <w:rsid w:val="630977E7"/>
    <w:rsid w:val="6324392A"/>
    <w:rsid w:val="63251DE7"/>
    <w:rsid w:val="632D3A84"/>
    <w:rsid w:val="6339416C"/>
    <w:rsid w:val="633B3B9A"/>
    <w:rsid w:val="635850F6"/>
    <w:rsid w:val="635A200A"/>
    <w:rsid w:val="635F1A26"/>
    <w:rsid w:val="636E1EF9"/>
    <w:rsid w:val="638329E8"/>
    <w:rsid w:val="639E5154"/>
    <w:rsid w:val="63AC42C2"/>
    <w:rsid w:val="63B05F49"/>
    <w:rsid w:val="63B22CA1"/>
    <w:rsid w:val="63B90EB9"/>
    <w:rsid w:val="63CC1497"/>
    <w:rsid w:val="63D5121B"/>
    <w:rsid w:val="63D9354E"/>
    <w:rsid w:val="63DD1B10"/>
    <w:rsid w:val="63E44A9B"/>
    <w:rsid w:val="63EB7CD6"/>
    <w:rsid w:val="63F024E1"/>
    <w:rsid w:val="63F271B2"/>
    <w:rsid w:val="640D1AB6"/>
    <w:rsid w:val="640E0EAD"/>
    <w:rsid w:val="640F77C7"/>
    <w:rsid w:val="641E47F2"/>
    <w:rsid w:val="64250548"/>
    <w:rsid w:val="642E2515"/>
    <w:rsid w:val="642F03C6"/>
    <w:rsid w:val="64367476"/>
    <w:rsid w:val="64462832"/>
    <w:rsid w:val="64464B3F"/>
    <w:rsid w:val="64493347"/>
    <w:rsid w:val="644E7D2E"/>
    <w:rsid w:val="64532DCC"/>
    <w:rsid w:val="645E304C"/>
    <w:rsid w:val="6465621C"/>
    <w:rsid w:val="646D5855"/>
    <w:rsid w:val="648A6652"/>
    <w:rsid w:val="648F5DB2"/>
    <w:rsid w:val="649D388A"/>
    <w:rsid w:val="64A3516F"/>
    <w:rsid w:val="64A71D42"/>
    <w:rsid w:val="64AD6465"/>
    <w:rsid w:val="64AF4C37"/>
    <w:rsid w:val="64B1173D"/>
    <w:rsid w:val="64B92137"/>
    <w:rsid w:val="64C5182A"/>
    <w:rsid w:val="64CC6C5E"/>
    <w:rsid w:val="64DB2A3A"/>
    <w:rsid w:val="64E757E5"/>
    <w:rsid w:val="65044395"/>
    <w:rsid w:val="65081763"/>
    <w:rsid w:val="651874DD"/>
    <w:rsid w:val="65355111"/>
    <w:rsid w:val="653E1BF6"/>
    <w:rsid w:val="65502076"/>
    <w:rsid w:val="6557004B"/>
    <w:rsid w:val="655F0240"/>
    <w:rsid w:val="657F1D6E"/>
    <w:rsid w:val="657F625D"/>
    <w:rsid w:val="658058AE"/>
    <w:rsid w:val="65831569"/>
    <w:rsid w:val="65834754"/>
    <w:rsid w:val="65836819"/>
    <w:rsid w:val="65896749"/>
    <w:rsid w:val="65902C12"/>
    <w:rsid w:val="65931C09"/>
    <w:rsid w:val="65980E51"/>
    <w:rsid w:val="659C6845"/>
    <w:rsid w:val="65A07651"/>
    <w:rsid w:val="65A529AC"/>
    <w:rsid w:val="65BA4FAD"/>
    <w:rsid w:val="65BE4AD0"/>
    <w:rsid w:val="65CE6852"/>
    <w:rsid w:val="65DC3D30"/>
    <w:rsid w:val="65DE58CE"/>
    <w:rsid w:val="65E87EAF"/>
    <w:rsid w:val="65EB6CA5"/>
    <w:rsid w:val="660D4F9E"/>
    <w:rsid w:val="66176941"/>
    <w:rsid w:val="661A3182"/>
    <w:rsid w:val="661F37A4"/>
    <w:rsid w:val="662724DE"/>
    <w:rsid w:val="662F3D82"/>
    <w:rsid w:val="664970CA"/>
    <w:rsid w:val="66560D21"/>
    <w:rsid w:val="665B6AA6"/>
    <w:rsid w:val="66703D2C"/>
    <w:rsid w:val="66725884"/>
    <w:rsid w:val="667466CC"/>
    <w:rsid w:val="667473F9"/>
    <w:rsid w:val="667D13A4"/>
    <w:rsid w:val="668C3C26"/>
    <w:rsid w:val="669B60ED"/>
    <w:rsid w:val="669E4ECB"/>
    <w:rsid w:val="66A01EA3"/>
    <w:rsid w:val="66A10511"/>
    <w:rsid w:val="66A302EE"/>
    <w:rsid w:val="66A53B5D"/>
    <w:rsid w:val="66A67CD3"/>
    <w:rsid w:val="66A83105"/>
    <w:rsid w:val="66B134AE"/>
    <w:rsid w:val="66B857DA"/>
    <w:rsid w:val="66B9305E"/>
    <w:rsid w:val="66C27DCB"/>
    <w:rsid w:val="66C75676"/>
    <w:rsid w:val="66CF7869"/>
    <w:rsid w:val="66D17D74"/>
    <w:rsid w:val="66D9606F"/>
    <w:rsid w:val="66E82921"/>
    <w:rsid w:val="66E93FD4"/>
    <w:rsid w:val="66F1229C"/>
    <w:rsid w:val="66F279C7"/>
    <w:rsid w:val="66F60263"/>
    <w:rsid w:val="66FB50A6"/>
    <w:rsid w:val="66FB71D3"/>
    <w:rsid w:val="670938E9"/>
    <w:rsid w:val="670B4B63"/>
    <w:rsid w:val="671800B4"/>
    <w:rsid w:val="672F50CE"/>
    <w:rsid w:val="67352A40"/>
    <w:rsid w:val="673D3C8F"/>
    <w:rsid w:val="674D29B6"/>
    <w:rsid w:val="674D62B0"/>
    <w:rsid w:val="675608AD"/>
    <w:rsid w:val="675B2FE5"/>
    <w:rsid w:val="676D46E3"/>
    <w:rsid w:val="677217CC"/>
    <w:rsid w:val="67752C0A"/>
    <w:rsid w:val="677A5D87"/>
    <w:rsid w:val="67832666"/>
    <w:rsid w:val="67881D4B"/>
    <w:rsid w:val="67AD50F4"/>
    <w:rsid w:val="67AE4A41"/>
    <w:rsid w:val="67B101D9"/>
    <w:rsid w:val="67B57F4D"/>
    <w:rsid w:val="67C54DB8"/>
    <w:rsid w:val="67C74A04"/>
    <w:rsid w:val="67E115BA"/>
    <w:rsid w:val="67F96089"/>
    <w:rsid w:val="68004747"/>
    <w:rsid w:val="681D628F"/>
    <w:rsid w:val="682E1BBF"/>
    <w:rsid w:val="6833608C"/>
    <w:rsid w:val="6833697E"/>
    <w:rsid w:val="6834589F"/>
    <w:rsid w:val="68397653"/>
    <w:rsid w:val="684611B9"/>
    <w:rsid w:val="684E20A6"/>
    <w:rsid w:val="68546D60"/>
    <w:rsid w:val="687E00BB"/>
    <w:rsid w:val="688641A8"/>
    <w:rsid w:val="688A08A9"/>
    <w:rsid w:val="688D196E"/>
    <w:rsid w:val="68BE4C5A"/>
    <w:rsid w:val="68C0563A"/>
    <w:rsid w:val="68C10434"/>
    <w:rsid w:val="68C62032"/>
    <w:rsid w:val="68DB2522"/>
    <w:rsid w:val="68DE4FFE"/>
    <w:rsid w:val="68EB6760"/>
    <w:rsid w:val="68F90596"/>
    <w:rsid w:val="68FE2FB1"/>
    <w:rsid w:val="69003526"/>
    <w:rsid w:val="691445C4"/>
    <w:rsid w:val="69156F2D"/>
    <w:rsid w:val="691A06E3"/>
    <w:rsid w:val="691E250D"/>
    <w:rsid w:val="693610DE"/>
    <w:rsid w:val="69366A5C"/>
    <w:rsid w:val="693836FD"/>
    <w:rsid w:val="694563AC"/>
    <w:rsid w:val="69466952"/>
    <w:rsid w:val="694C661B"/>
    <w:rsid w:val="69545563"/>
    <w:rsid w:val="69584380"/>
    <w:rsid w:val="697E57E3"/>
    <w:rsid w:val="698B4AC6"/>
    <w:rsid w:val="698C3F8F"/>
    <w:rsid w:val="699759D5"/>
    <w:rsid w:val="699D1EF0"/>
    <w:rsid w:val="69A75AE9"/>
    <w:rsid w:val="69A84940"/>
    <w:rsid w:val="69B61AD7"/>
    <w:rsid w:val="69BD6267"/>
    <w:rsid w:val="69BE572E"/>
    <w:rsid w:val="69C67272"/>
    <w:rsid w:val="69D00FA6"/>
    <w:rsid w:val="69D87C9F"/>
    <w:rsid w:val="69E26318"/>
    <w:rsid w:val="69F143F5"/>
    <w:rsid w:val="6A053489"/>
    <w:rsid w:val="6A280668"/>
    <w:rsid w:val="6A3F189F"/>
    <w:rsid w:val="6A4670DD"/>
    <w:rsid w:val="6A4F3E04"/>
    <w:rsid w:val="6A5F49ED"/>
    <w:rsid w:val="6A7346D5"/>
    <w:rsid w:val="6A7E6285"/>
    <w:rsid w:val="6A914B73"/>
    <w:rsid w:val="6A920B08"/>
    <w:rsid w:val="6A9B5EA3"/>
    <w:rsid w:val="6A9B7579"/>
    <w:rsid w:val="6AA43CB2"/>
    <w:rsid w:val="6AC040B6"/>
    <w:rsid w:val="6AC13980"/>
    <w:rsid w:val="6AC53EEB"/>
    <w:rsid w:val="6ACE63FD"/>
    <w:rsid w:val="6AD03322"/>
    <w:rsid w:val="6ADF2602"/>
    <w:rsid w:val="6AE0674D"/>
    <w:rsid w:val="6AE1356A"/>
    <w:rsid w:val="6AEE4976"/>
    <w:rsid w:val="6AF641CC"/>
    <w:rsid w:val="6AF942D2"/>
    <w:rsid w:val="6AFA1FAB"/>
    <w:rsid w:val="6AFF5A8E"/>
    <w:rsid w:val="6B01144C"/>
    <w:rsid w:val="6B171633"/>
    <w:rsid w:val="6B1E25D3"/>
    <w:rsid w:val="6B23361D"/>
    <w:rsid w:val="6B2F4F68"/>
    <w:rsid w:val="6B317667"/>
    <w:rsid w:val="6B353128"/>
    <w:rsid w:val="6B3A100A"/>
    <w:rsid w:val="6B421874"/>
    <w:rsid w:val="6B423A4A"/>
    <w:rsid w:val="6B446A33"/>
    <w:rsid w:val="6B4E2BEC"/>
    <w:rsid w:val="6B523D34"/>
    <w:rsid w:val="6B532A9C"/>
    <w:rsid w:val="6B5933FB"/>
    <w:rsid w:val="6B5F6F77"/>
    <w:rsid w:val="6B6F37FC"/>
    <w:rsid w:val="6B720BCE"/>
    <w:rsid w:val="6B785296"/>
    <w:rsid w:val="6B7D13AE"/>
    <w:rsid w:val="6B7F08B5"/>
    <w:rsid w:val="6B824A71"/>
    <w:rsid w:val="6B833165"/>
    <w:rsid w:val="6B905C74"/>
    <w:rsid w:val="6B9E2823"/>
    <w:rsid w:val="6B9E5CE3"/>
    <w:rsid w:val="6B9F2D00"/>
    <w:rsid w:val="6BA777BB"/>
    <w:rsid w:val="6BB23FDC"/>
    <w:rsid w:val="6BB64948"/>
    <w:rsid w:val="6BDD3A9D"/>
    <w:rsid w:val="6BDD62D6"/>
    <w:rsid w:val="6BE50A6F"/>
    <w:rsid w:val="6BEA01A1"/>
    <w:rsid w:val="6BF31EF7"/>
    <w:rsid w:val="6BF61418"/>
    <w:rsid w:val="6BFB2E19"/>
    <w:rsid w:val="6BFE43D6"/>
    <w:rsid w:val="6C0F4A29"/>
    <w:rsid w:val="6C1E1F19"/>
    <w:rsid w:val="6C290771"/>
    <w:rsid w:val="6C335661"/>
    <w:rsid w:val="6C37441D"/>
    <w:rsid w:val="6C390AB3"/>
    <w:rsid w:val="6C3A5298"/>
    <w:rsid w:val="6C4B2CD2"/>
    <w:rsid w:val="6C4B5901"/>
    <w:rsid w:val="6C615D2A"/>
    <w:rsid w:val="6C6276F2"/>
    <w:rsid w:val="6C65436E"/>
    <w:rsid w:val="6C671D12"/>
    <w:rsid w:val="6C67651A"/>
    <w:rsid w:val="6C7C476D"/>
    <w:rsid w:val="6C806D04"/>
    <w:rsid w:val="6C961833"/>
    <w:rsid w:val="6CA24BFF"/>
    <w:rsid w:val="6CBD2E18"/>
    <w:rsid w:val="6CBF5146"/>
    <w:rsid w:val="6CD00A8F"/>
    <w:rsid w:val="6CD118ED"/>
    <w:rsid w:val="6CF048EC"/>
    <w:rsid w:val="6CF22E5A"/>
    <w:rsid w:val="6CFA3E86"/>
    <w:rsid w:val="6D0D755A"/>
    <w:rsid w:val="6D195260"/>
    <w:rsid w:val="6D316C9E"/>
    <w:rsid w:val="6D374874"/>
    <w:rsid w:val="6D39435A"/>
    <w:rsid w:val="6D3B43E3"/>
    <w:rsid w:val="6D4D5546"/>
    <w:rsid w:val="6D4F5B0E"/>
    <w:rsid w:val="6D54425E"/>
    <w:rsid w:val="6D5969DA"/>
    <w:rsid w:val="6D5C059A"/>
    <w:rsid w:val="6D6620CD"/>
    <w:rsid w:val="6D6A4A6E"/>
    <w:rsid w:val="6D6F6B0D"/>
    <w:rsid w:val="6D714693"/>
    <w:rsid w:val="6D876CB4"/>
    <w:rsid w:val="6D9C4EE8"/>
    <w:rsid w:val="6DB14A7B"/>
    <w:rsid w:val="6DB355F9"/>
    <w:rsid w:val="6DBC3246"/>
    <w:rsid w:val="6DBD056C"/>
    <w:rsid w:val="6DBE7D5B"/>
    <w:rsid w:val="6DC61953"/>
    <w:rsid w:val="6DCD4CFD"/>
    <w:rsid w:val="6DCD6C6A"/>
    <w:rsid w:val="6DD35848"/>
    <w:rsid w:val="6DE2128E"/>
    <w:rsid w:val="6DE71F63"/>
    <w:rsid w:val="6DF97FEB"/>
    <w:rsid w:val="6DFC1F3B"/>
    <w:rsid w:val="6E0B4E05"/>
    <w:rsid w:val="6E0F13AC"/>
    <w:rsid w:val="6E167B4F"/>
    <w:rsid w:val="6E1F7CC9"/>
    <w:rsid w:val="6E442F6E"/>
    <w:rsid w:val="6E47692A"/>
    <w:rsid w:val="6E493DF7"/>
    <w:rsid w:val="6E4E5907"/>
    <w:rsid w:val="6E5078AF"/>
    <w:rsid w:val="6E640DD5"/>
    <w:rsid w:val="6E6D0F07"/>
    <w:rsid w:val="6E714D98"/>
    <w:rsid w:val="6E817B69"/>
    <w:rsid w:val="6E8F6C1F"/>
    <w:rsid w:val="6E944350"/>
    <w:rsid w:val="6E97010A"/>
    <w:rsid w:val="6E9B6988"/>
    <w:rsid w:val="6E9F600D"/>
    <w:rsid w:val="6EA40FF8"/>
    <w:rsid w:val="6EBF3F1B"/>
    <w:rsid w:val="6EE95166"/>
    <w:rsid w:val="6EF66B20"/>
    <w:rsid w:val="6F025189"/>
    <w:rsid w:val="6F1431D3"/>
    <w:rsid w:val="6F243CDB"/>
    <w:rsid w:val="6F264CA1"/>
    <w:rsid w:val="6F28629B"/>
    <w:rsid w:val="6F32355F"/>
    <w:rsid w:val="6F371112"/>
    <w:rsid w:val="6F3A1272"/>
    <w:rsid w:val="6F49030D"/>
    <w:rsid w:val="6F71788C"/>
    <w:rsid w:val="6F780920"/>
    <w:rsid w:val="6F864A0B"/>
    <w:rsid w:val="6FAD07F0"/>
    <w:rsid w:val="6FB166E7"/>
    <w:rsid w:val="6FB732BC"/>
    <w:rsid w:val="6FD0620D"/>
    <w:rsid w:val="6FD11C72"/>
    <w:rsid w:val="6FD97F8A"/>
    <w:rsid w:val="6FEC7524"/>
    <w:rsid w:val="6FEE79A4"/>
    <w:rsid w:val="6FF318C4"/>
    <w:rsid w:val="6FF91256"/>
    <w:rsid w:val="700445E3"/>
    <w:rsid w:val="701D418E"/>
    <w:rsid w:val="70274B8C"/>
    <w:rsid w:val="70376311"/>
    <w:rsid w:val="70435B31"/>
    <w:rsid w:val="704714C1"/>
    <w:rsid w:val="704D384F"/>
    <w:rsid w:val="70537F05"/>
    <w:rsid w:val="705A7660"/>
    <w:rsid w:val="708C5694"/>
    <w:rsid w:val="709437CC"/>
    <w:rsid w:val="70AF6F0C"/>
    <w:rsid w:val="70BC0C17"/>
    <w:rsid w:val="70C4376D"/>
    <w:rsid w:val="70DB0910"/>
    <w:rsid w:val="70DF08B8"/>
    <w:rsid w:val="71007B6B"/>
    <w:rsid w:val="710B1E64"/>
    <w:rsid w:val="7113156F"/>
    <w:rsid w:val="711A7DDE"/>
    <w:rsid w:val="711F2D7B"/>
    <w:rsid w:val="71222800"/>
    <w:rsid w:val="71265794"/>
    <w:rsid w:val="712F6B90"/>
    <w:rsid w:val="713C0C77"/>
    <w:rsid w:val="71580881"/>
    <w:rsid w:val="715E392F"/>
    <w:rsid w:val="71790B24"/>
    <w:rsid w:val="718829D2"/>
    <w:rsid w:val="71927967"/>
    <w:rsid w:val="71941F5C"/>
    <w:rsid w:val="71A27B96"/>
    <w:rsid w:val="71B04544"/>
    <w:rsid w:val="71BE47E7"/>
    <w:rsid w:val="71CE557B"/>
    <w:rsid w:val="71D15B02"/>
    <w:rsid w:val="71DE06B9"/>
    <w:rsid w:val="71F8068D"/>
    <w:rsid w:val="71FE6903"/>
    <w:rsid w:val="72116085"/>
    <w:rsid w:val="721469FD"/>
    <w:rsid w:val="722D6FB0"/>
    <w:rsid w:val="723679DE"/>
    <w:rsid w:val="723811ED"/>
    <w:rsid w:val="7254187D"/>
    <w:rsid w:val="72581E78"/>
    <w:rsid w:val="725C7E19"/>
    <w:rsid w:val="72773EA6"/>
    <w:rsid w:val="728B1E17"/>
    <w:rsid w:val="728E1843"/>
    <w:rsid w:val="728F437F"/>
    <w:rsid w:val="72905945"/>
    <w:rsid w:val="72A825A4"/>
    <w:rsid w:val="72A862BB"/>
    <w:rsid w:val="72A92FB4"/>
    <w:rsid w:val="72AA0183"/>
    <w:rsid w:val="72AA7C79"/>
    <w:rsid w:val="72AD7197"/>
    <w:rsid w:val="72BE61D5"/>
    <w:rsid w:val="72BF2565"/>
    <w:rsid w:val="72C1577E"/>
    <w:rsid w:val="72D35B35"/>
    <w:rsid w:val="72DB51EF"/>
    <w:rsid w:val="72E76547"/>
    <w:rsid w:val="72F83164"/>
    <w:rsid w:val="72FD1AC1"/>
    <w:rsid w:val="72FD5764"/>
    <w:rsid w:val="73075AEB"/>
    <w:rsid w:val="731052B7"/>
    <w:rsid w:val="733A1375"/>
    <w:rsid w:val="73530371"/>
    <w:rsid w:val="735D3F42"/>
    <w:rsid w:val="73627394"/>
    <w:rsid w:val="73664949"/>
    <w:rsid w:val="736C3453"/>
    <w:rsid w:val="737C5B3F"/>
    <w:rsid w:val="73995AAB"/>
    <w:rsid w:val="739C7BDD"/>
    <w:rsid w:val="73A5359E"/>
    <w:rsid w:val="73C76F1A"/>
    <w:rsid w:val="73D647A1"/>
    <w:rsid w:val="73DE0F42"/>
    <w:rsid w:val="73E06F59"/>
    <w:rsid w:val="73E300DD"/>
    <w:rsid w:val="73EE5725"/>
    <w:rsid w:val="741A3036"/>
    <w:rsid w:val="741D5062"/>
    <w:rsid w:val="741E4803"/>
    <w:rsid w:val="7429010A"/>
    <w:rsid w:val="74292783"/>
    <w:rsid w:val="742C1A5A"/>
    <w:rsid w:val="742F17CA"/>
    <w:rsid w:val="743025D3"/>
    <w:rsid w:val="743511F2"/>
    <w:rsid w:val="74454EF6"/>
    <w:rsid w:val="7449691E"/>
    <w:rsid w:val="744E323D"/>
    <w:rsid w:val="745633B4"/>
    <w:rsid w:val="745D5C1A"/>
    <w:rsid w:val="746155B3"/>
    <w:rsid w:val="746778CA"/>
    <w:rsid w:val="747F7A95"/>
    <w:rsid w:val="74926336"/>
    <w:rsid w:val="749E77C4"/>
    <w:rsid w:val="74A14EC7"/>
    <w:rsid w:val="74A62404"/>
    <w:rsid w:val="74AB2ED4"/>
    <w:rsid w:val="74C71E3B"/>
    <w:rsid w:val="74DA75B0"/>
    <w:rsid w:val="74ED497F"/>
    <w:rsid w:val="74F13AD9"/>
    <w:rsid w:val="74FA51A5"/>
    <w:rsid w:val="750F3ABD"/>
    <w:rsid w:val="7516167C"/>
    <w:rsid w:val="753C405A"/>
    <w:rsid w:val="75486D4F"/>
    <w:rsid w:val="754B2786"/>
    <w:rsid w:val="756933CD"/>
    <w:rsid w:val="756D0EDB"/>
    <w:rsid w:val="7577484B"/>
    <w:rsid w:val="757F42E9"/>
    <w:rsid w:val="75800AB4"/>
    <w:rsid w:val="75827529"/>
    <w:rsid w:val="75855114"/>
    <w:rsid w:val="758F6F1A"/>
    <w:rsid w:val="759405EA"/>
    <w:rsid w:val="7596026F"/>
    <w:rsid w:val="759825B4"/>
    <w:rsid w:val="75BF2D67"/>
    <w:rsid w:val="75D20F71"/>
    <w:rsid w:val="75D3451C"/>
    <w:rsid w:val="75E94D1D"/>
    <w:rsid w:val="75EA15C7"/>
    <w:rsid w:val="75EB0C64"/>
    <w:rsid w:val="75EB2DB1"/>
    <w:rsid w:val="75EC4EEC"/>
    <w:rsid w:val="75F05384"/>
    <w:rsid w:val="75F07AEB"/>
    <w:rsid w:val="75FC558C"/>
    <w:rsid w:val="75FE43E1"/>
    <w:rsid w:val="76174F85"/>
    <w:rsid w:val="761A44AA"/>
    <w:rsid w:val="761E49B5"/>
    <w:rsid w:val="762A44F2"/>
    <w:rsid w:val="762E7C36"/>
    <w:rsid w:val="76340D3D"/>
    <w:rsid w:val="763C1F38"/>
    <w:rsid w:val="76436AC9"/>
    <w:rsid w:val="764A437E"/>
    <w:rsid w:val="765A6297"/>
    <w:rsid w:val="76601C66"/>
    <w:rsid w:val="76604115"/>
    <w:rsid w:val="766310E0"/>
    <w:rsid w:val="767A742A"/>
    <w:rsid w:val="767B2E6D"/>
    <w:rsid w:val="76823F7D"/>
    <w:rsid w:val="76916F28"/>
    <w:rsid w:val="7693637B"/>
    <w:rsid w:val="7696748E"/>
    <w:rsid w:val="76976762"/>
    <w:rsid w:val="76A20E6C"/>
    <w:rsid w:val="76A31F4F"/>
    <w:rsid w:val="76BB1225"/>
    <w:rsid w:val="76C6269D"/>
    <w:rsid w:val="76CF67C2"/>
    <w:rsid w:val="76D65566"/>
    <w:rsid w:val="76D90D8A"/>
    <w:rsid w:val="76E00DE5"/>
    <w:rsid w:val="76E220AC"/>
    <w:rsid w:val="76EC2757"/>
    <w:rsid w:val="76F561BA"/>
    <w:rsid w:val="77184768"/>
    <w:rsid w:val="771C144D"/>
    <w:rsid w:val="77265316"/>
    <w:rsid w:val="77341B20"/>
    <w:rsid w:val="77346915"/>
    <w:rsid w:val="773B59E3"/>
    <w:rsid w:val="77461A84"/>
    <w:rsid w:val="775748F2"/>
    <w:rsid w:val="77644C71"/>
    <w:rsid w:val="77713F12"/>
    <w:rsid w:val="7771579C"/>
    <w:rsid w:val="77797B29"/>
    <w:rsid w:val="77912689"/>
    <w:rsid w:val="77924D71"/>
    <w:rsid w:val="77980BF5"/>
    <w:rsid w:val="77AE0AEA"/>
    <w:rsid w:val="77B629AD"/>
    <w:rsid w:val="77BC475C"/>
    <w:rsid w:val="77D51283"/>
    <w:rsid w:val="77E802B5"/>
    <w:rsid w:val="77F26471"/>
    <w:rsid w:val="77FB3DB8"/>
    <w:rsid w:val="78037944"/>
    <w:rsid w:val="780E20FF"/>
    <w:rsid w:val="781605F3"/>
    <w:rsid w:val="78266FFC"/>
    <w:rsid w:val="782D472B"/>
    <w:rsid w:val="78314FD3"/>
    <w:rsid w:val="78323A80"/>
    <w:rsid w:val="78412DB2"/>
    <w:rsid w:val="78417126"/>
    <w:rsid w:val="785753A3"/>
    <w:rsid w:val="786C45E9"/>
    <w:rsid w:val="78905167"/>
    <w:rsid w:val="78A34A59"/>
    <w:rsid w:val="78AB1AAD"/>
    <w:rsid w:val="78AC5173"/>
    <w:rsid w:val="78B04793"/>
    <w:rsid w:val="78B36AA3"/>
    <w:rsid w:val="78B53C73"/>
    <w:rsid w:val="78DA4A79"/>
    <w:rsid w:val="78DA7590"/>
    <w:rsid w:val="78DF76BC"/>
    <w:rsid w:val="78E5706A"/>
    <w:rsid w:val="78E92618"/>
    <w:rsid w:val="78EB5699"/>
    <w:rsid w:val="78F6699E"/>
    <w:rsid w:val="79027B6C"/>
    <w:rsid w:val="79042655"/>
    <w:rsid w:val="791375FA"/>
    <w:rsid w:val="79197896"/>
    <w:rsid w:val="79206F6D"/>
    <w:rsid w:val="79232EF6"/>
    <w:rsid w:val="792759C2"/>
    <w:rsid w:val="793A442C"/>
    <w:rsid w:val="793E353E"/>
    <w:rsid w:val="793E4735"/>
    <w:rsid w:val="79401AFD"/>
    <w:rsid w:val="79413178"/>
    <w:rsid w:val="79491F28"/>
    <w:rsid w:val="7966072A"/>
    <w:rsid w:val="797901E8"/>
    <w:rsid w:val="797E6B28"/>
    <w:rsid w:val="79821D92"/>
    <w:rsid w:val="79841912"/>
    <w:rsid w:val="79874189"/>
    <w:rsid w:val="798F4D36"/>
    <w:rsid w:val="79A03B85"/>
    <w:rsid w:val="79B60534"/>
    <w:rsid w:val="79CC3BED"/>
    <w:rsid w:val="79CE05DC"/>
    <w:rsid w:val="79D30DF7"/>
    <w:rsid w:val="79D965E2"/>
    <w:rsid w:val="7A0051D9"/>
    <w:rsid w:val="7A037E4A"/>
    <w:rsid w:val="7A0718DF"/>
    <w:rsid w:val="7A09799B"/>
    <w:rsid w:val="7A0D2CA0"/>
    <w:rsid w:val="7A133286"/>
    <w:rsid w:val="7A332C5F"/>
    <w:rsid w:val="7A35237D"/>
    <w:rsid w:val="7A36503D"/>
    <w:rsid w:val="7A656237"/>
    <w:rsid w:val="7A6C4732"/>
    <w:rsid w:val="7A6D5583"/>
    <w:rsid w:val="7A7847A1"/>
    <w:rsid w:val="7A8476A6"/>
    <w:rsid w:val="7A8965E6"/>
    <w:rsid w:val="7A927972"/>
    <w:rsid w:val="7A99112E"/>
    <w:rsid w:val="7A9E0C7D"/>
    <w:rsid w:val="7AA0286B"/>
    <w:rsid w:val="7AA54114"/>
    <w:rsid w:val="7AB80201"/>
    <w:rsid w:val="7AB950F9"/>
    <w:rsid w:val="7AC7372B"/>
    <w:rsid w:val="7AD01BB5"/>
    <w:rsid w:val="7AD0236C"/>
    <w:rsid w:val="7AD95109"/>
    <w:rsid w:val="7AE05B92"/>
    <w:rsid w:val="7AEA6265"/>
    <w:rsid w:val="7AEC6A96"/>
    <w:rsid w:val="7B04468E"/>
    <w:rsid w:val="7B0568C2"/>
    <w:rsid w:val="7B0D5393"/>
    <w:rsid w:val="7B1904B4"/>
    <w:rsid w:val="7B1F77CA"/>
    <w:rsid w:val="7B286209"/>
    <w:rsid w:val="7B334FEE"/>
    <w:rsid w:val="7B361B2B"/>
    <w:rsid w:val="7B366B0E"/>
    <w:rsid w:val="7B3833BB"/>
    <w:rsid w:val="7B4C7F5E"/>
    <w:rsid w:val="7B573D6B"/>
    <w:rsid w:val="7B787E92"/>
    <w:rsid w:val="7B7B59E3"/>
    <w:rsid w:val="7B853435"/>
    <w:rsid w:val="7B93437B"/>
    <w:rsid w:val="7B95328B"/>
    <w:rsid w:val="7BA416D5"/>
    <w:rsid w:val="7BBE7D34"/>
    <w:rsid w:val="7BCC4946"/>
    <w:rsid w:val="7BE34593"/>
    <w:rsid w:val="7BF55BC9"/>
    <w:rsid w:val="7BF60618"/>
    <w:rsid w:val="7BF84F3D"/>
    <w:rsid w:val="7BF90138"/>
    <w:rsid w:val="7C294B6E"/>
    <w:rsid w:val="7C305D39"/>
    <w:rsid w:val="7C3F34A0"/>
    <w:rsid w:val="7C454FC5"/>
    <w:rsid w:val="7C4C5B68"/>
    <w:rsid w:val="7C5327A3"/>
    <w:rsid w:val="7C6035C3"/>
    <w:rsid w:val="7C663F0B"/>
    <w:rsid w:val="7C6C733B"/>
    <w:rsid w:val="7C7575D0"/>
    <w:rsid w:val="7C8637C0"/>
    <w:rsid w:val="7C8B6DF3"/>
    <w:rsid w:val="7C8C378C"/>
    <w:rsid w:val="7C8E1865"/>
    <w:rsid w:val="7C9A16A4"/>
    <w:rsid w:val="7C9F758A"/>
    <w:rsid w:val="7CA57997"/>
    <w:rsid w:val="7CBB5015"/>
    <w:rsid w:val="7CBE7298"/>
    <w:rsid w:val="7CE37CC5"/>
    <w:rsid w:val="7CE535DC"/>
    <w:rsid w:val="7CE80F18"/>
    <w:rsid w:val="7CF9661A"/>
    <w:rsid w:val="7CF970AB"/>
    <w:rsid w:val="7D1566D2"/>
    <w:rsid w:val="7D1C1E6B"/>
    <w:rsid w:val="7D21316B"/>
    <w:rsid w:val="7D250C7F"/>
    <w:rsid w:val="7D2F22F1"/>
    <w:rsid w:val="7D315583"/>
    <w:rsid w:val="7D355886"/>
    <w:rsid w:val="7D4B6F7A"/>
    <w:rsid w:val="7D5032D6"/>
    <w:rsid w:val="7D5C6A53"/>
    <w:rsid w:val="7D627682"/>
    <w:rsid w:val="7D660160"/>
    <w:rsid w:val="7D701E5D"/>
    <w:rsid w:val="7D745469"/>
    <w:rsid w:val="7D7704CB"/>
    <w:rsid w:val="7D794DE5"/>
    <w:rsid w:val="7D796BC5"/>
    <w:rsid w:val="7D816CE7"/>
    <w:rsid w:val="7D822E83"/>
    <w:rsid w:val="7D83222B"/>
    <w:rsid w:val="7D9466E0"/>
    <w:rsid w:val="7DA16C89"/>
    <w:rsid w:val="7DB965A2"/>
    <w:rsid w:val="7DC04872"/>
    <w:rsid w:val="7DC6149F"/>
    <w:rsid w:val="7DD8786A"/>
    <w:rsid w:val="7DDC3A8A"/>
    <w:rsid w:val="7DE156C8"/>
    <w:rsid w:val="7DE847C9"/>
    <w:rsid w:val="7DF34FED"/>
    <w:rsid w:val="7DFB0EBD"/>
    <w:rsid w:val="7DFF690E"/>
    <w:rsid w:val="7E0245B1"/>
    <w:rsid w:val="7E09459C"/>
    <w:rsid w:val="7E1F08FE"/>
    <w:rsid w:val="7E2A3D92"/>
    <w:rsid w:val="7E2A43EF"/>
    <w:rsid w:val="7E3D1820"/>
    <w:rsid w:val="7E4709EA"/>
    <w:rsid w:val="7E4D4360"/>
    <w:rsid w:val="7E77186C"/>
    <w:rsid w:val="7E7B1287"/>
    <w:rsid w:val="7E9259C2"/>
    <w:rsid w:val="7E9D4F42"/>
    <w:rsid w:val="7E9E46F4"/>
    <w:rsid w:val="7E9E5759"/>
    <w:rsid w:val="7EC91C92"/>
    <w:rsid w:val="7ED75B85"/>
    <w:rsid w:val="7EE42177"/>
    <w:rsid w:val="7EE84FDE"/>
    <w:rsid w:val="7EF368B3"/>
    <w:rsid w:val="7EF90044"/>
    <w:rsid w:val="7F002064"/>
    <w:rsid w:val="7F047758"/>
    <w:rsid w:val="7F2503DB"/>
    <w:rsid w:val="7F2D5CC9"/>
    <w:rsid w:val="7F3601FD"/>
    <w:rsid w:val="7F4613D0"/>
    <w:rsid w:val="7F5C5600"/>
    <w:rsid w:val="7F6309E8"/>
    <w:rsid w:val="7F68344D"/>
    <w:rsid w:val="7F7130CA"/>
    <w:rsid w:val="7F822105"/>
    <w:rsid w:val="7F860207"/>
    <w:rsid w:val="7F911764"/>
    <w:rsid w:val="7F954455"/>
    <w:rsid w:val="7F9A4A0A"/>
    <w:rsid w:val="7F9C7193"/>
    <w:rsid w:val="7FE23984"/>
    <w:rsid w:val="7FF626E8"/>
    <w:rsid w:val="7FF677D0"/>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uto"/>
    </w:pPr>
    <w:rPr>
      <w:rFonts w:ascii="Calibri" w:hAnsi="Calibri" w:eastAsia="Calibri" w:cs="Times New Roman"/>
      <w:kern w:val="2"/>
      <w:sz w:val="21"/>
      <w:szCs w:val="24"/>
      <w:lang w:val="en-US" w:eastAsia="zh-CN" w:bidi="ar-SA"/>
    </w:rPr>
  </w:style>
  <w:style w:type="paragraph" w:styleId="2">
    <w:name w:val="heading 1"/>
    <w:basedOn w:val="1"/>
    <w:next w:val="1"/>
    <w:link w:val="154"/>
    <w:autoRedefine/>
    <w:qFormat/>
    <w:uiPriority w:val="0"/>
    <w:pPr>
      <w:keepNext/>
      <w:keepLines/>
      <w:spacing w:line="578" w:lineRule="auto"/>
      <w:outlineLvl w:val="0"/>
    </w:pPr>
    <w:rPr>
      <w:rFonts w:ascii="Times New Roman" w:hAnsi="Times New Roman" w:eastAsia="宋体"/>
      <w:b/>
      <w:bCs/>
      <w:kern w:val="44"/>
      <w:sz w:val="44"/>
      <w:szCs w:val="44"/>
    </w:rPr>
  </w:style>
  <w:style w:type="paragraph" w:styleId="3">
    <w:name w:val="heading 2"/>
    <w:basedOn w:val="1"/>
    <w:next w:val="1"/>
    <w:link w:val="163"/>
    <w:autoRedefine/>
    <w:qFormat/>
    <w:uiPriority w:val="0"/>
    <w:pPr>
      <w:keepNext/>
      <w:keepLines/>
      <w:spacing w:line="416" w:lineRule="auto"/>
      <w:outlineLvl w:val="1"/>
    </w:pPr>
    <w:rPr>
      <w:rFonts w:ascii="Cambria" w:hAnsi="Cambria" w:eastAsia="宋体"/>
      <w:b/>
      <w:bCs/>
      <w:sz w:val="32"/>
      <w:szCs w:val="32"/>
    </w:rPr>
  </w:style>
  <w:style w:type="paragraph" w:styleId="4">
    <w:name w:val="heading 3"/>
    <w:basedOn w:val="1"/>
    <w:next w:val="1"/>
    <w:link w:val="160"/>
    <w:autoRedefine/>
    <w:qFormat/>
    <w:uiPriority w:val="0"/>
    <w:pPr>
      <w:keepNext/>
      <w:keepLines/>
      <w:spacing w:line="416" w:lineRule="auto"/>
      <w:outlineLvl w:val="2"/>
    </w:pPr>
    <w:rPr>
      <w:rFonts w:ascii="Times New Roman" w:hAnsi="Times New Roman" w:eastAsia="宋体"/>
      <w:b/>
      <w:bCs/>
      <w:sz w:val="32"/>
      <w:szCs w:val="32"/>
    </w:rPr>
  </w:style>
  <w:style w:type="paragraph" w:styleId="5">
    <w:name w:val="heading 4"/>
    <w:basedOn w:val="1"/>
    <w:next w:val="1"/>
    <w:link w:val="155"/>
    <w:autoRedefine/>
    <w:qFormat/>
    <w:uiPriority w:val="0"/>
    <w:pPr>
      <w:spacing w:beforeAutospacing="1" w:afterAutospacing="1"/>
      <w:outlineLvl w:val="3"/>
    </w:pPr>
    <w:rPr>
      <w:rFonts w:ascii="宋体" w:hAnsi="宋体" w:eastAsia="宋体"/>
      <w:b/>
      <w:bCs/>
      <w:kern w:val="0"/>
      <w:sz w:val="24"/>
    </w:rPr>
  </w:style>
  <w:style w:type="paragraph" w:styleId="6">
    <w:name w:val="heading 5"/>
    <w:basedOn w:val="1"/>
    <w:next w:val="1"/>
    <w:link w:val="152"/>
    <w:autoRedefine/>
    <w:qFormat/>
    <w:uiPriority w:val="0"/>
    <w:pPr>
      <w:spacing w:beforeAutospacing="1" w:afterAutospacing="1"/>
      <w:outlineLvl w:val="4"/>
    </w:pPr>
    <w:rPr>
      <w:rFonts w:ascii="宋体" w:hAnsi="宋体" w:eastAsia="宋体"/>
      <w:b/>
      <w:bCs/>
      <w:kern w:val="0"/>
      <w:sz w:val="20"/>
      <w:szCs w:val="20"/>
    </w:rPr>
  </w:style>
  <w:style w:type="paragraph" w:styleId="7">
    <w:name w:val="heading 6"/>
    <w:basedOn w:val="8"/>
    <w:next w:val="1"/>
    <w:link w:val="191"/>
    <w:autoRedefine/>
    <w:qFormat/>
    <w:uiPriority w:val="0"/>
    <w:pPr>
      <w:keepNext/>
      <w:keepLines/>
      <w:ind w:firstLine="200" w:firstLineChars="200"/>
      <w:outlineLvl w:val="5"/>
    </w:pPr>
    <w:rPr>
      <w:rFonts w:ascii="Times New Roman" w:hAnsi="Arial"/>
    </w:rPr>
  </w:style>
  <w:style w:type="paragraph" w:styleId="9">
    <w:name w:val="heading 7"/>
    <w:basedOn w:val="1"/>
    <w:next w:val="1"/>
    <w:link w:val="184"/>
    <w:autoRedefine/>
    <w:qFormat/>
    <w:uiPriority w:val="0"/>
    <w:pPr>
      <w:keepNext/>
      <w:keepLines/>
      <w:adjustRightInd w:val="0"/>
      <w:spacing w:line="480" w:lineRule="atLeast"/>
      <w:ind w:left="1425" w:leftChars="175" w:hanging="900" w:hangingChars="300"/>
      <w:textAlignment w:val="baseline"/>
      <w:outlineLvl w:val="6"/>
    </w:pPr>
    <w:rPr>
      <w:rFonts w:ascii="Times New Roman" w:hAnsi="Times New Roman" w:eastAsia="仿宋_GB2312"/>
      <w:kern w:val="0"/>
      <w:sz w:val="30"/>
      <w:szCs w:val="20"/>
    </w:rPr>
  </w:style>
  <w:style w:type="paragraph" w:styleId="10">
    <w:name w:val="heading 8"/>
    <w:basedOn w:val="1"/>
    <w:next w:val="1"/>
    <w:link w:val="143"/>
    <w:autoRedefine/>
    <w:qFormat/>
    <w:uiPriority w:val="0"/>
    <w:pPr>
      <w:adjustRightInd w:val="0"/>
      <w:spacing w:line="480" w:lineRule="atLeast"/>
      <w:ind w:left="2232" w:leftChars="450" w:hanging="882" w:hangingChars="294"/>
      <w:textAlignment w:val="baseline"/>
      <w:outlineLvl w:val="7"/>
    </w:pPr>
    <w:rPr>
      <w:rFonts w:ascii="Times New Roman" w:hAnsi="Arial" w:eastAsia="仿宋_GB2312"/>
      <w:kern w:val="0"/>
      <w:sz w:val="30"/>
      <w:szCs w:val="20"/>
    </w:rPr>
  </w:style>
  <w:style w:type="paragraph" w:styleId="11">
    <w:name w:val="heading 9"/>
    <w:basedOn w:val="1"/>
    <w:next w:val="1"/>
    <w:link w:val="176"/>
    <w:autoRedefine/>
    <w:qFormat/>
    <w:uiPriority w:val="0"/>
    <w:pPr>
      <w:keepNext/>
      <w:keepLines/>
      <w:adjustRightInd w:val="0"/>
      <w:spacing w:line="480" w:lineRule="atLeast"/>
      <w:ind w:left="2979" w:leftChars="715" w:hanging="834" w:hangingChars="278"/>
      <w:textAlignment w:val="baseline"/>
      <w:outlineLvl w:val="8"/>
    </w:pPr>
    <w:rPr>
      <w:rFonts w:ascii="Times New Roman" w:hAnsi="Times New Roman" w:eastAsia="仿宋_GB2312"/>
      <w:kern w:val="0"/>
      <w:sz w:val="3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12">
    <w:name w:val="toc 7"/>
    <w:basedOn w:val="1"/>
    <w:next w:val="1"/>
    <w:autoRedefine/>
    <w:qFormat/>
    <w:uiPriority w:val="39"/>
    <w:pPr>
      <w:ind w:left="1050"/>
    </w:pPr>
    <w:rPr>
      <w:sz w:val="20"/>
      <w:szCs w:val="20"/>
    </w:rPr>
  </w:style>
  <w:style w:type="paragraph" w:styleId="13">
    <w:name w:val="Document Map"/>
    <w:basedOn w:val="1"/>
    <w:link w:val="194"/>
    <w:autoRedefine/>
    <w:qFormat/>
    <w:uiPriority w:val="0"/>
    <w:pPr>
      <w:shd w:val="clear" w:color="auto" w:fill="000080"/>
    </w:pPr>
    <w:rPr>
      <w:rFonts w:ascii="Times New Roman" w:hAnsi="Times New Roman" w:eastAsia="宋体"/>
      <w:shd w:val="clear" w:color="auto" w:fill="000080"/>
    </w:rPr>
  </w:style>
  <w:style w:type="paragraph" w:styleId="14">
    <w:name w:val="toa heading"/>
    <w:basedOn w:val="1"/>
    <w:next w:val="1"/>
    <w:autoRedefine/>
    <w:semiHidden/>
    <w:qFormat/>
    <w:uiPriority w:val="0"/>
    <w:pPr>
      <w:spacing w:before="120"/>
    </w:pPr>
    <w:rPr>
      <w:rFonts w:ascii="Arial" w:hAnsi="Arial" w:cs="Arial"/>
    </w:rPr>
  </w:style>
  <w:style w:type="paragraph" w:styleId="15">
    <w:name w:val="annotation text"/>
    <w:basedOn w:val="1"/>
    <w:link w:val="169"/>
    <w:autoRedefine/>
    <w:qFormat/>
    <w:uiPriority w:val="0"/>
    <w:rPr>
      <w:rFonts w:ascii="Times New Roman" w:hAnsi="Times New Roman" w:eastAsia="宋体"/>
    </w:rPr>
  </w:style>
  <w:style w:type="paragraph" w:styleId="16">
    <w:name w:val="Body Text 3"/>
    <w:basedOn w:val="1"/>
    <w:link w:val="159"/>
    <w:autoRedefine/>
    <w:qFormat/>
    <w:uiPriority w:val="0"/>
    <w:rPr>
      <w:rFonts w:ascii="Times New Roman" w:hAnsi="Times New Roman" w:eastAsia="宋体"/>
      <w:sz w:val="16"/>
      <w:szCs w:val="16"/>
    </w:rPr>
  </w:style>
  <w:style w:type="paragraph" w:styleId="17">
    <w:name w:val="Body Text"/>
    <w:basedOn w:val="1"/>
    <w:next w:val="1"/>
    <w:link w:val="151"/>
    <w:autoRedefine/>
    <w:qFormat/>
    <w:uiPriority w:val="0"/>
    <w:rPr>
      <w:rFonts w:ascii="Times New Roman" w:hAnsi="Times New Roman" w:eastAsia="宋体"/>
    </w:rPr>
  </w:style>
  <w:style w:type="paragraph" w:styleId="18">
    <w:name w:val="Body Text Indent"/>
    <w:basedOn w:val="1"/>
    <w:link w:val="174"/>
    <w:autoRedefine/>
    <w:qFormat/>
    <w:uiPriority w:val="0"/>
    <w:pPr>
      <w:ind w:firstLine="407" w:firstLineChars="200"/>
    </w:pPr>
    <w:rPr>
      <w:rFonts w:ascii="Times New Roman" w:hAnsi="Times New Roman" w:eastAsia="宋体"/>
    </w:rPr>
  </w:style>
  <w:style w:type="paragraph" w:styleId="19">
    <w:name w:val="Block Text"/>
    <w:basedOn w:val="1"/>
    <w:autoRedefine/>
    <w:qFormat/>
    <w:uiPriority w:val="0"/>
    <w:pPr>
      <w:autoSpaceDE w:val="0"/>
      <w:autoSpaceDN w:val="0"/>
      <w:adjustRightInd w:val="0"/>
      <w:spacing w:line="1270" w:lineRule="exact"/>
      <w:ind w:left="2160" w:right="-20" w:hanging="2160" w:hangingChars="300"/>
    </w:pPr>
    <w:rPr>
      <w:rFonts w:eastAsia="仿宋_GB2312"/>
      <w:sz w:val="72"/>
    </w:rPr>
  </w:style>
  <w:style w:type="paragraph" w:styleId="20">
    <w:name w:val="toc 5"/>
    <w:basedOn w:val="1"/>
    <w:next w:val="1"/>
    <w:autoRedefine/>
    <w:qFormat/>
    <w:uiPriority w:val="39"/>
    <w:pPr>
      <w:ind w:left="630"/>
    </w:pPr>
    <w:rPr>
      <w:sz w:val="20"/>
      <w:szCs w:val="20"/>
    </w:rPr>
  </w:style>
  <w:style w:type="paragraph" w:styleId="21">
    <w:name w:val="toc 3"/>
    <w:basedOn w:val="1"/>
    <w:next w:val="1"/>
    <w:autoRedefine/>
    <w:qFormat/>
    <w:uiPriority w:val="39"/>
    <w:pPr>
      <w:ind w:left="210"/>
    </w:pPr>
    <w:rPr>
      <w:b/>
      <w:bCs/>
      <w:sz w:val="20"/>
      <w:szCs w:val="20"/>
    </w:rPr>
  </w:style>
  <w:style w:type="paragraph" w:styleId="22">
    <w:name w:val="Plain Text"/>
    <w:basedOn w:val="1"/>
    <w:link w:val="158"/>
    <w:autoRedefine/>
    <w:qFormat/>
    <w:uiPriority w:val="0"/>
    <w:rPr>
      <w:rFonts w:ascii="宋体" w:hAnsi="Courier New" w:eastAsia="宋体"/>
      <w:szCs w:val="21"/>
    </w:rPr>
  </w:style>
  <w:style w:type="paragraph" w:styleId="23">
    <w:name w:val="toc 8"/>
    <w:basedOn w:val="1"/>
    <w:next w:val="1"/>
    <w:autoRedefine/>
    <w:qFormat/>
    <w:uiPriority w:val="39"/>
    <w:pPr>
      <w:ind w:left="1260"/>
    </w:pPr>
    <w:rPr>
      <w:sz w:val="20"/>
      <w:szCs w:val="20"/>
    </w:rPr>
  </w:style>
  <w:style w:type="paragraph" w:styleId="24">
    <w:name w:val="Date"/>
    <w:basedOn w:val="1"/>
    <w:next w:val="1"/>
    <w:link w:val="168"/>
    <w:autoRedefine/>
    <w:qFormat/>
    <w:uiPriority w:val="0"/>
    <w:pPr>
      <w:ind w:left="100" w:leftChars="2500"/>
    </w:pPr>
    <w:rPr>
      <w:rFonts w:ascii="Times New Roman" w:hAnsi="Times New Roman" w:eastAsia="宋体"/>
    </w:rPr>
  </w:style>
  <w:style w:type="paragraph" w:styleId="25">
    <w:name w:val="Body Text Indent 2"/>
    <w:basedOn w:val="1"/>
    <w:link w:val="149"/>
    <w:autoRedefine/>
    <w:qFormat/>
    <w:uiPriority w:val="0"/>
    <w:pPr>
      <w:spacing w:line="480" w:lineRule="auto"/>
      <w:ind w:firstLine="560"/>
    </w:pPr>
    <w:rPr>
      <w:rFonts w:ascii="Times New Roman" w:hAnsi="Times New Roman" w:eastAsia="宋体"/>
      <w:kern w:val="0"/>
      <w:sz w:val="28"/>
    </w:rPr>
  </w:style>
  <w:style w:type="paragraph" w:styleId="26">
    <w:name w:val="endnote text"/>
    <w:basedOn w:val="1"/>
    <w:link w:val="193"/>
    <w:autoRedefine/>
    <w:qFormat/>
    <w:uiPriority w:val="0"/>
    <w:pPr>
      <w:snapToGrid w:val="0"/>
    </w:pPr>
    <w:rPr>
      <w:rFonts w:ascii="Arial" w:hAnsi="Arial" w:eastAsia="宋体"/>
      <w:kern w:val="0"/>
      <w:sz w:val="20"/>
      <w:lang w:eastAsia="en-US"/>
    </w:rPr>
  </w:style>
  <w:style w:type="paragraph" w:styleId="27">
    <w:name w:val="Balloon Text"/>
    <w:basedOn w:val="1"/>
    <w:link w:val="146"/>
    <w:autoRedefine/>
    <w:qFormat/>
    <w:uiPriority w:val="0"/>
    <w:rPr>
      <w:rFonts w:ascii="Times New Roman" w:hAnsi="Times New Roman" w:eastAsia="宋体"/>
      <w:sz w:val="18"/>
      <w:szCs w:val="18"/>
    </w:rPr>
  </w:style>
  <w:style w:type="paragraph" w:styleId="28">
    <w:name w:val="footer"/>
    <w:basedOn w:val="1"/>
    <w:link w:val="189"/>
    <w:autoRedefine/>
    <w:qFormat/>
    <w:uiPriority w:val="0"/>
    <w:pPr>
      <w:tabs>
        <w:tab w:val="center" w:pos="4153"/>
        <w:tab w:val="right" w:pos="8306"/>
      </w:tabs>
      <w:snapToGrid w:val="0"/>
    </w:pPr>
    <w:rPr>
      <w:rFonts w:ascii="Times New Roman" w:hAnsi="Times New Roman" w:eastAsia="宋体"/>
      <w:sz w:val="18"/>
      <w:szCs w:val="18"/>
    </w:rPr>
  </w:style>
  <w:style w:type="paragraph" w:styleId="29">
    <w:name w:val="envelope return"/>
    <w:basedOn w:val="1"/>
    <w:autoRedefine/>
    <w:qFormat/>
    <w:uiPriority w:val="0"/>
    <w:pPr>
      <w:snapToGrid w:val="0"/>
    </w:pPr>
    <w:rPr>
      <w:rFonts w:ascii="Arial" w:hAnsi="Arial"/>
    </w:rPr>
  </w:style>
  <w:style w:type="paragraph" w:styleId="30">
    <w:name w:val="header"/>
    <w:basedOn w:val="1"/>
    <w:link w:val="186"/>
    <w:autoRedefine/>
    <w:qFormat/>
    <w:uiPriority w:val="0"/>
    <w:pPr>
      <w:pBdr>
        <w:bottom w:val="single" w:color="auto" w:sz="6" w:space="1"/>
      </w:pBdr>
      <w:tabs>
        <w:tab w:val="center" w:pos="4153"/>
        <w:tab w:val="right" w:pos="8306"/>
      </w:tabs>
      <w:snapToGrid w:val="0"/>
      <w:jc w:val="center"/>
    </w:pPr>
    <w:rPr>
      <w:rFonts w:ascii="Times New Roman" w:hAnsi="Times New Roman" w:eastAsia="宋体"/>
      <w:sz w:val="18"/>
      <w:szCs w:val="18"/>
    </w:rPr>
  </w:style>
  <w:style w:type="paragraph" w:styleId="31">
    <w:name w:val="toc 1"/>
    <w:basedOn w:val="1"/>
    <w:next w:val="1"/>
    <w:autoRedefine/>
    <w:qFormat/>
    <w:uiPriority w:val="39"/>
    <w:rPr>
      <w:rFonts w:ascii="Arial" w:hAnsi="Arial" w:cs="Arial"/>
      <w:caps/>
      <w:sz w:val="24"/>
    </w:rPr>
  </w:style>
  <w:style w:type="paragraph" w:styleId="32">
    <w:name w:val="toc 4"/>
    <w:basedOn w:val="5"/>
    <w:next w:val="1"/>
    <w:autoRedefine/>
    <w:qFormat/>
    <w:uiPriority w:val="39"/>
    <w:pPr>
      <w:spacing w:beforeAutospacing="0" w:afterAutospacing="0"/>
      <w:ind w:left="420"/>
      <w:outlineLvl w:val="9"/>
    </w:pPr>
    <w:rPr>
      <w:rFonts w:ascii="Times New Roman" w:hAnsi="Times New Roman"/>
      <w:b w:val="0"/>
      <w:bCs w:val="0"/>
      <w:kern w:val="2"/>
      <w:sz w:val="20"/>
      <w:szCs w:val="20"/>
    </w:rPr>
  </w:style>
  <w:style w:type="paragraph" w:styleId="33">
    <w:name w:val="Subtitle"/>
    <w:basedOn w:val="1"/>
    <w:link w:val="150"/>
    <w:autoRedefine/>
    <w:qFormat/>
    <w:uiPriority w:val="0"/>
    <w:pPr>
      <w:jc w:val="center"/>
    </w:pPr>
    <w:rPr>
      <w:rFonts w:ascii="Times New Roman" w:hAnsi="Times New Roman" w:eastAsia="宋体"/>
      <w:kern w:val="0"/>
      <w:sz w:val="20"/>
      <w:u w:val="single"/>
      <w:lang w:eastAsia="en-US"/>
    </w:rPr>
  </w:style>
  <w:style w:type="paragraph" w:styleId="34">
    <w:name w:val="footnote text"/>
    <w:basedOn w:val="1"/>
    <w:link w:val="145"/>
    <w:autoRedefine/>
    <w:qFormat/>
    <w:uiPriority w:val="0"/>
    <w:pPr>
      <w:snapToGrid w:val="0"/>
    </w:pPr>
    <w:rPr>
      <w:rFonts w:ascii="Arial" w:hAnsi="Arial" w:eastAsia="宋体"/>
      <w:kern w:val="0"/>
      <w:sz w:val="18"/>
      <w:szCs w:val="18"/>
      <w:lang w:eastAsia="en-US"/>
    </w:rPr>
  </w:style>
  <w:style w:type="paragraph" w:styleId="35">
    <w:name w:val="toc 6"/>
    <w:basedOn w:val="1"/>
    <w:next w:val="1"/>
    <w:autoRedefine/>
    <w:qFormat/>
    <w:uiPriority w:val="39"/>
    <w:pPr>
      <w:ind w:left="840"/>
    </w:pPr>
    <w:rPr>
      <w:sz w:val="20"/>
      <w:szCs w:val="20"/>
    </w:rPr>
  </w:style>
  <w:style w:type="paragraph" w:styleId="36">
    <w:name w:val="Body Text Indent 3"/>
    <w:basedOn w:val="1"/>
    <w:link w:val="157"/>
    <w:autoRedefine/>
    <w:qFormat/>
    <w:uiPriority w:val="0"/>
    <w:pPr>
      <w:ind w:firstLine="280" w:firstLineChars="100"/>
    </w:pPr>
    <w:rPr>
      <w:rFonts w:ascii="宋体" w:hAnsi="宋体" w:eastAsia="宋体"/>
      <w:sz w:val="28"/>
      <w:szCs w:val="28"/>
    </w:rPr>
  </w:style>
  <w:style w:type="paragraph" w:styleId="37">
    <w:name w:val="toc 2"/>
    <w:basedOn w:val="1"/>
    <w:next w:val="1"/>
    <w:autoRedefine/>
    <w:qFormat/>
    <w:uiPriority w:val="39"/>
    <w:rPr>
      <w:rFonts w:ascii="Times New Roman" w:hAnsi="Times New Roman"/>
      <w:sz w:val="20"/>
      <w:szCs w:val="20"/>
    </w:rPr>
  </w:style>
  <w:style w:type="paragraph" w:styleId="38">
    <w:name w:val="toc 9"/>
    <w:basedOn w:val="1"/>
    <w:next w:val="1"/>
    <w:autoRedefine/>
    <w:qFormat/>
    <w:uiPriority w:val="39"/>
    <w:pPr>
      <w:ind w:left="1470"/>
    </w:pPr>
    <w:rPr>
      <w:sz w:val="20"/>
      <w:szCs w:val="20"/>
    </w:rPr>
  </w:style>
  <w:style w:type="paragraph" w:styleId="39">
    <w:name w:val="Body Text 2"/>
    <w:basedOn w:val="1"/>
    <w:autoRedefine/>
    <w:qFormat/>
    <w:uiPriority w:val="0"/>
    <w:rPr>
      <w:i/>
      <w:iCs/>
      <w:sz w:val="26"/>
    </w:rPr>
  </w:style>
  <w:style w:type="paragraph" w:styleId="40">
    <w:name w:val="HTML Preformatted"/>
    <w:basedOn w:val="1"/>
    <w:link w:val="190"/>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olor w:val="000000"/>
      <w:kern w:val="0"/>
      <w:sz w:val="24"/>
    </w:rPr>
  </w:style>
  <w:style w:type="paragraph" w:styleId="41">
    <w:name w:val="Normal (Web)"/>
    <w:basedOn w:val="1"/>
    <w:link w:val="177"/>
    <w:autoRedefine/>
    <w:qFormat/>
    <w:uiPriority w:val="0"/>
    <w:pPr>
      <w:spacing w:beforeAutospacing="1" w:afterAutospacing="1"/>
    </w:pPr>
    <w:rPr>
      <w:rFonts w:ascii="宋体" w:hAnsi="宋体" w:eastAsia="宋体" w:cs="宋体"/>
      <w:kern w:val="0"/>
      <w:sz w:val="24"/>
    </w:rPr>
  </w:style>
  <w:style w:type="paragraph" w:styleId="42">
    <w:name w:val="index 1"/>
    <w:basedOn w:val="1"/>
    <w:next w:val="1"/>
    <w:autoRedefine/>
    <w:qFormat/>
    <w:uiPriority w:val="0"/>
    <w:pPr>
      <w:spacing w:line="220" w:lineRule="exact"/>
      <w:jc w:val="center"/>
    </w:pPr>
    <w:rPr>
      <w:rFonts w:ascii="仿宋_GB2312" w:eastAsia="仿宋_GB2312"/>
      <w:szCs w:val="21"/>
    </w:rPr>
  </w:style>
  <w:style w:type="paragraph" w:styleId="43">
    <w:name w:val="Title"/>
    <w:basedOn w:val="1"/>
    <w:next w:val="1"/>
    <w:link w:val="144"/>
    <w:autoRedefine/>
    <w:qFormat/>
    <w:uiPriority w:val="0"/>
    <w:pPr>
      <w:jc w:val="center"/>
    </w:pPr>
    <w:rPr>
      <w:rFonts w:ascii="Times New Roman" w:hAnsi="Times New Roman" w:eastAsia="宋体"/>
      <w:kern w:val="0"/>
      <w:sz w:val="20"/>
      <w:u w:val="single"/>
      <w:lang w:eastAsia="en-US"/>
    </w:rPr>
  </w:style>
  <w:style w:type="paragraph" w:styleId="44">
    <w:name w:val="annotation subject"/>
    <w:basedOn w:val="15"/>
    <w:next w:val="15"/>
    <w:link w:val="162"/>
    <w:autoRedefine/>
    <w:qFormat/>
    <w:uiPriority w:val="0"/>
    <w:rPr>
      <w:rFonts w:ascii="宋体" w:hAnsi="宋体"/>
      <w:sz w:val="24"/>
      <w:szCs w:val="28"/>
    </w:rPr>
  </w:style>
  <w:style w:type="paragraph" w:styleId="45">
    <w:name w:val="Body Text First Indent"/>
    <w:basedOn w:val="17"/>
    <w:autoRedefine/>
    <w:unhideWhenUsed/>
    <w:qFormat/>
    <w:uiPriority w:val="99"/>
    <w:pPr>
      <w:widowControl w:val="0"/>
      <w:spacing w:line="312" w:lineRule="auto"/>
      <w:ind w:firstLine="420"/>
      <w:jc w:val="both"/>
    </w:pPr>
    <w:rPr>
      <w:sz w:val="24"/>
    </w:rPr>
  </w:style>
  <w:style w:type="paragraph" w:styleId="46">
    <w:name w:val="Body Text First Indent 2"/>
    <w:basedOn w:val="18"/>
    <w:next w:val="17"/>
    <w:autoRedefine/>
    <w:qFormat/>
    <w:uiPriority w:val="0"/>
    <w:pPr>
      <w:ind w:firstLine="420"/>
    </w:pPr>
    <w:rPr>
      <w:rFonts w:ascii="Calibri" w:hAnsi="Calibri" w:eastAsia="宋体" w:cs="Times New Roman"/>
    </w:rPr>
  </w:style>
  <w:style w:type="table" w:styleId="48">
    <w:name w:val="Table Grid"/>
    <w:basedOn w:val="4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autoRedefine/>
    <w:qFormat/>
    <w:uiPriority w:val="0"/>
    <w:rPr>
      <w:b/>
      <w:bCs/>
    </w:rPr>
  </w:style>
  <w:style w:type="character" w:styleId="51">
    <w:name w:val="endnote reference"/>
    <w:autoRedefine/>
    <w:qFormat/>
    <w:uiPriority w:val="0"/>
    <w:rPr>
      <w:vertAlign w:val="superscript"/>
    </w:rPr>
  </w:style>
  <w:style w:type="character" w:styleId="52">
    <w:name w:val="page number"/>
    <w:basedOn w:val="49"/>
    <w:autoRedefine/>
    <w:qFormat/>
    <w:uiPriority w:val="0"/>
  </w:style>
  <w:style w:type="character" w:styleId="53">
    <w:name w:val="FollowedHyperlink"/>
    <w:autoRedefine/>
    <w:qFormat/>
    <w:uiPriority w:val="0"/>
    <w:rPr>
      <w:color w:val="800080"/>
      <w:u w:val="single"/>
    </w:rPr>
  </w:style>
  <w:style w:type="character" w:styleId="54">
    <w:name w:val="Emphasis"/>
    <w:autoRedefine/>
    <w:qFormat/>
    <w:uiPriority w:val="0"/>
    <w:rPr>
      <w:color w:val="CC0000"/>
    </w:rPr>
  </w:style>
  <w:style w:type="character" w:styleId="55">
    <w:name w:val="Hyperlink"/>
    <w:basedOn w:val="49"/>
    <w:autoRedefine/>
    <w:qFormat/>
    <w:uiPriority w:val="99"/>
    <w:rPr>
      <w:color w:val="0000FF"/>
      <w:u w:val="single"/>
    </w:rPr>
  </w:style>
  <w:style w:type="character" w:styleId="56">
    <w:name w:val="annotation reference"/>
    <w:autoRedefine/>
    <w:qFormat/>
    <w:uiPriority w:val="0"/>
    <w:rPr>
      <w:sz w:val="21"/>
      <w:szCs w:val="21"/>
    </w:rPr>
  </w:style>
  <w:style w:type="character" w:styleId="57">
    <w:name w:val="footnote reference"/>
    <w:autoRedefine/>
    <w:qFormat/>
    <w:uiPriority w:val="0"/>
    <w:rPr>
      <w:vertAlign w:val="superscript"/>
    </w:rPr>
  </w:style>
  <w:style w:type="paragraph" w:customStyle="1" w:styleId="58">
    <w:name w:val="正文_0"/>
    <w:next w:val="3"/>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9">
    <w:name w:val="Default"/>
    <w:next w:val="24"/>
    <w:autoRedefine/>
    <w:qFormat/>
    <w:uiPriority w:val="0"/>
    <w:pPr>
      <w:widowControl w:val="0"/>
      <w:autoSpaceDE w:val="0"/>
      <w:autoSpaceDN w:val="0"/>
      <w:adjustRightInd w:val="0"/>
      <w:spacing w:line="360" w:lineRule="auto"/>
    </w:pPr>
    <w:rPr>
      <w:rFonts w:ascii="仿宋_GB2312" w:hAnsi="Calibri" w:eastAsia="仿宋_GB2312" w:cs="仿宋_GB2312"/>
      <w:color w:val="000000"/>
      <w:sz w:val="24"/>
      <w:szCs w:val="24"/>
      <w:lang w:val="en-US" w:eastAsia="zh-CN" w:bidi="ar-SA"/>
    </w:rPr>
  </w:style>
  <w:style w:type="paragraph" w:customStyle="1" w:styleId="60">
    <w:name w:val="正文1"/>
    <w:autoRedefine/>
    <w:qFormat/>
    <w:uiPriority w:val="0"/>
    <w:pPr>
      <w:widowControl w:val="0"/>
      <w:jc w:val="both"/>
    </w:pPr>
    <w:rPr>
      <w:rFonts w:ascii="Calibri" w:hAnsi="Calibri" w:eastAsia="Calibri" w:cs="Times New Roman"/>
      <w:kern w:val="2"/>
      <w:sz w:val="21"/>
      <w:lang w:val="en-US" w:eastAsia="zh-CN" w:bidi="ar-SA"/>
    </w:rPr>
  </w:style>
  <w:style w:type="paragraph" w:customStyle="1" w:styleId="61">
    <w:name w:val="WW-表格内容"/>
    <w:basedOn w:val="1"/>
    <w:autoRedefine/>
    <w:qFormat/>
    <w:uiPriority w:val="0"/>
    <w:pPr>
      <w:suppressLineNumbers/>
      <w:suppressAutoHyphens/>
    </w:pPr>
  </w:style>
  <w:style w:type="paragraph" w:customStyle="1" w:styleId="62">
    <w:name w:val="Char"/>
    <w:basedOn w:val="1"/>
    <w:autoRedefine/>
    <w:qFormat/>
    <w:uiPriority w:val="0"/>
    <w:pPr>
      <w:spacing w:line="560" w:lineRule="exact"/>
      <w:ind w:firstLine="200" w:firstLineChars="200"/>
    </w:pPr>
    <w:rPr>
      <w:rFonts w:ascii="Arial" w:hAnsi="Arial" w:eastAsia="方正小标宋_GBK"/>
      <w:sz w:val="28"/>
      <w:szCs w:val="28"/>
    </w:rPr>
  </w:style>
  <w:style w:type="paragraph" w:customStyle="1" w:styleId="63">
    <w:name w:val="_Style 57"/>
    <w:basedOn w:val="2"/>
    <w:next w:val="1"/>
    <w:autoRedefine/>
    <w:qFormat/>
    <w:uiPriority w:val="39"/>
    <w:pPr>
      <w:spacing w:line="276" w:lineRule="auto"/>
      <w:outlineLvl w:val="9"/>
    </w:pPr>
    <w:rPr>
      <w:rFonts w:ascii="Cambria" w:hAnsi="Cambria"/>
      <w:color w:val="365F91"/>
      <w:kern w:val="0"/>
      <w:sz w:val="28"/>
      <w:szCs w:val="28"/>
    </w:rPr>
  </w:style>
  <w:style w:type="paragraph" w:customStyle="1" w:styleId="64">
    <w:name w:val="mtitle"/>
    <w:basedOn w:val="1"/>
    <w:autoRedefine/>
    <w:qFormat/>
    <w:uiPriority w:val="0"/>
    <w:pPr>
      <w:jc w:val="center"/>
    </w:pPr>
    <w:rPr>
      <w:rFonts w:ascii="方正小标宋简体" w:hAnsi="宋体" w:eastAsia="方正小标宋简体"/>
      <w:color w:val="000000"/>
      <w:kern w:val="0"/>
      <w:sz w:val="44"/>
      <w:szCs w:val="44"/>
    </w:rPr>
  </w:style>
  <w:style w:type="paragraph" w:customStyle="1" w:styleId="65">
    <w:name w:val="【标题2·居中】"/>
    <w:basedOn w:val="66"/>
    <w:autoRedefine/>
    <w:qFormat/>
    <w:uiPriority w:val="0"/>
    <w:pPr>
      <w:tabs>
        <w:tab w:val="left" w:pos="432"/>
      </w:tabs>
      <w:jc w:val="center"/>
    </w:pPr>
    <w:rPr>
      <w:rFonts w:ascii="Times New Roman" w:hAnsi="Times New Roman"/>
    </w:rPr>
  </w:style>
  <w:style w:type="paragraph" w:customStyle="1" w:styleId="66">
    <w:name w:val="【标题2·左】"/>
    <w:basedOn w:val="1"/>
    <w:autoRedefine/>
    <w:qFormat/>
    <w:uiPriority w:val="0"/>
    <w:pPr>
      <w:keepNext/>
      <w:numPr>
        <w:ilvl w:val="0"/>
        <w:numId w:val="1"/>
      </w:numPr>
      <w:outlineLvl w:val="0"/>
    </w:pPr>
    <w:rPr>
      <w:rFonts w:ascii="宋体" w:hAnsi="宋体" w:eastAsia="宋体"/>
      <w:sz w:val="30"/>
      <w:szCs w:val="28"/>
    </w:rPr>
  </w:style>
  <w:style w:type="paragraph" w:customStyle="1" w:styleId="67">
    <w:name w:val="表格标题"/>
    <w:basedOn w:val="68"/>
    <w:autoRedefine/>
    <w:qFormat/>
    <w:uiPriority w:val="0"/>
  </w:style>
  <w:style w:type="paragraph" w:customStyle="1" w:styleId="68">
    <w:name w:val="表格内容"/>
    <w:basedOn w:val="1"/>
    <w:autoRedefine/>
    <w:qFormat/>
    <w:uiPriority w:val="0"/>
    <w:pPr>
      <w:suppressLineNumbers/>
      <w:suppressAutoHyphens/>
    </w:pPr>
  </w:style>
  <w:style w:type="paragraph" w:customStyle="1" w:styleId="69">
    <w:name w:val="È±Ê¡ÎÄ±¾"/>
    <w:basedOn w:val="1"/>
    <w:autoRedefine/>
    <w:qFormat/>
    <w:uiPriority w:val="0"/>
    <w:pPr>
      <w:overflowPunct w:val="0"/>
      <w:autoSpaceDE w:val="0"/>
      <w:autoSpaceDN w:val="0"/>
      <w:adjustRightInd w:val="0"/>
      <w:textAlignment w:val="baseline"/>
    </w:pPr>
    <w:rPr>
      <w:kern w:val="0"/>
      <w:sz w:val="24"/>
      <w:szCs w:val="20"/>
    </w:rPr>
  </w:style>
  <w:style w:type="paragraph" w:customStyle="1" w:styleId="70">
    <w:name w:val="zw"/>
    <w:basedOn w:val="1"/>
    <w:autoRedefine/>
    <w:qFormat/>
    <w:uiPriority w:val="0"/>
    <w:pPr>
      <w:ind w:left="100" w:right="100"/>
    </w:pPr>
    <w:rPr>
      <w:rFonts w:ascii="方正书宋简体" w:hAnsi="宋体" w:eastAsia="方正书宋简体"/>
      <w:color w:val="000000"/>
      <w:kern w:val="0"/>
      <w:szCs w:val="21"/>
    </w:rPr>
  </w:style>
  <w:style w:type="paragraph" w:customStyle="1" w:styleId="71">
    <w:name w:val="Char Char Char2 Char Char Char Char Char Char Char Char Char Char"/>
    <w:basedOn w:val="1"/>
    <w:autoRedefine/>
    <w:qFormat/>
    <w:uiPriority w:val="0"/>
    <w:pPr>
      <w:widowControl w:val="0"/>
      <w:spacing w:line="240" w:lineRule="auto"/>
      <w:jc w:val="both"/>
    </w:pPr>
    <w:rPr>
      <w:sz w:val="24"/>
    </w:rPr>
  </w:style>
  <w:style w:type="paragraph" w:customStyle="1" w:styleId="72">
    <w:name w:val="一级目录样式"/>
    <w:basedOn w:val="2"/>
    <w:autoRedefine/>
    <w:qFormat/>
    <w:uiPriority w:val="0"/>
    <w:pPr>
      <w:keepNext w:val="0"/>
      <w:keepLines w:val="0"/>
      <w:spacing w:line="240" w:lineRule="auto"/>
    </w:pPr>
    <w:rPr>
      <w:rFonts w:ascii="黑体" w:hAnsi="黑体" w:eastAsia="黑体"/>
      <w:sz w:val="32"/>
      <w:szCs w:val="32"/>
    </w:rPr>
  </w:style>
  <w:style w:type="paragraph" w:customStyle="1" w:styleId="73">
    <w:name w:val="表格文字"/>
    <w:basedOn w:val="1"/>
    <w:next w:val="17"/>
    <w:autoRedefine/>
    <w:qFormat/>
    <w:uiPriority w:val="0"/>
    <w:pPr>
      <w:adjustRightInd w:val="0"/>
      <w:spacing w:line="420" w:lineRule="atLeast"/>
      <w:textAlignment w:val="baseline"/>
    </w:pPr>
    <w:rPr>
      <w:kern w:val="0"/>
      <w:szCs w:val="20"/>
    </w:rPr>
  </w:style>
  <w:style w:type="paragraph" w:customStyle="1" w:styleId="74">
    <w:name w:val="p0"/>
    <w:basedOn w:val="1"/>
    <w:autoRedefine/>
    <w:qFormat/>
    <w:uiPriority w:val="0"/>
    <w:pPr>
      <w:spacing w:beforeAutospacing="1" w:afterAutospacing="1"/>
    </w:pPr>
    <w:rPr>
      <w:rFonts w:ascii="宋体" w:hAnsi="宋体" w:cs="宋体"/>
      <w:kern w:val="0"/>
      <w:sz w:val="24"/>
    </w:rPr>
  </w:style>
  <w:style w:type="paragraph" w:customStyle="1" w:styleId="75">
    <w:name w:val="List Paragraph2"/>
    <w:basedOn w:val="1"/>
    <w:autoRedefine/>
    <w:qFormat/>
    <w:uiPriority w:val="0"/>
    <w:pPr>
      <w:ind w:firstLine="420" w:firstLineChars="200"/>
    </w:pPr>
  </w:style>
  <w:style w:type="paragraph" w:customStyle="1" w:styleId="76">
    <w:name w:val="title"/>
    <w:basedOn w:val="1"/>
    <w:autoRedefine/>
    <w:qFormat/>
    <w:uiPriority w:val="0"/>
    <w:pPr>
      <w:spacing w:beforeAutospacing="1" w:afterAutospacing="1"/>
    </w:pPr>
    <w:rPr>
      <w:rFonts w:ascii="宋体" w:hAnsi="宋体" w:cs="宋体"/>
      <w:kern w:val="0"/>
      <w:sz w:val="24"/>
    </w:rPr>
  </w:style>
  <w:style w:type="paragraph" w:customStyle="1" w:styleId="77">
    <w:name w:val="三级目录"/>
    <w:basedOn w:val="1"/>
    <w:autoRedefine/>
    <w:qFormat/>
    <w:uiPriority w:val="0"/>
    <w:pPr>
      <w:ind w:left="240" w:leftChars="100" w:right="240" w:rightChars="100"/>
      <w:outlineLvl w:val="2"/>
    </w:pPr>
    <w:rPr>
      <w:rFonts w:ascii="黑体" w:hAnsi="黑体" w:eastAsia="黑体"/>
      <w:b/>
      <w:sz w:val="28"/>
      <w:szCs w:val="28"/>
    </w:rPr>
  </w:style>
  <w:style w:type="paragraph" w:customStyle="1" w:styleId="78">
    <w:name w:val="通用控制"/>
    <w:basedOn w:val="1"/>
    <w:autoRedefine/>
    <w:qFormat/>
    <w:uiPriority w:val="0"/>
    <w:pPr>
      <w:numPr>
        <w:ilvl w:val="0"/>
        <w:numId w:val="2"/>
      </w:numPr>
      <w:adjustRightInd w:val="0"/>
      <w:snapToGrid w:val="0"/>
      <w:spacing w:beforeLines="50"/>
    </w:pPr>
    <w:rPr>
      <w:rFonts w:ascii="黑体" w:hAnsi="黑体" w:eastAsia="黑体"/>
    </w:rPr>
  </w:style>
  <w:style w:type="paragraph" w:customStyle="1" w:styleId="79">
    <w:name w:val="二级目录样式"/>
    <w:basedOn w:val="3"/>
    <w:autoRedefine/>
    <w:qFormat/>
    <w:uiPriority w:val="0"/>
    <w:pPr>
      <w:keepNext w:val="0"/>
      <w:keepLines w:val="0"/>
    </w:pPr>
    <w:rPr>
      <w:rFonts w:ascii="黑体" w:hAnsi="黑体" w:eastAsia="黑体"/>
      <w:sz w:val="30"/>
      <w:szCs w:val="30"/>
    </w:rPr>
  </w:style>
  <w:style w:type="paragraph" w:customStyle="1" w:styleId="80">
    <w:name w:val="表格"/>
    <w:basedOn w:val="1"/>
    <w:link w:val="148"/>
    <w:autoRedefine/>
    <w:qFormat/>
    <w:uiPriority w:val="0"/>
    <w:pPr>
      <w:jc w:val="center"/>
      <w:textAlignment w:val="center"/>
    </w:pPr>
    <w:rPr>
      <w:rFonts w:ascii="华文细黑" w:hAnsi="华文细黑" w:eastAsia="宋体"/>
      <w:kern w:val="0"/>
      <w:szCs w:val="20"/>
    </w:rPr>
  </w:style>
  <w:style w:type="paragraph" w:customStyle="1" w:styleId="81">
    <w:name w:val="1"/>
    <w:basedOn w:val="1"/>
    <w:autoRedefine/>
    <w:qFormat/>
    <w:uiPriority w:val="0"/>
    <w:pPr>
      <w:spacing w:beforeAutospacing="1" w:afterAutospacing="1"/>
    </w:pPr>
    <w:rPr>
      <w:rFonts w:ascii="ˎ̥" w:hAnsi="ˎ̥" w:cs="宋体"/>
      <w:kern w:val="0"/>
      <w:sz w:val="24"/>
    </w:rPr>
  </w:style>
  <w:style w:type="paragraph" w:customStyle="1" w:styleId="82">
    <w:name w:val="批注框文本1"/>
    <w:basedOn w:val="1"/>
    <w:link w:val="185"/>
    <w:autoRedefine/>
    <w:qFormat/>
    <w:uiPriority w:val="0"/>
    <w:rPr>
      <w:rFonts w:ascii="Times New Roman" w:hAnsi="Times New Roman" w:eastAsia="宋体"/>
      <w:kern w:val="0"/>
      <w:sz w:val="18"/>
      <w:szCs w:val="20"/>
    </w:rPr>
  </w:style>
  <w:style w:type="paragraph" w:customStyle="1" w:styleId="83">
    <w:name w:val="Char Char Char Char"/>
    <w:basedOn w:val="1"/>
    <w:autoRedefine/>
    <w:qFormat/>
    <w:uiPriority w:val="0"/>
    <w:pPr>
      <w:spacing w:line="240" w:lineRule="exact"/>
    </w:pPr>
    <w:rPr>
      <w:rFonts w:ascii="Verdana" w:hAnsi="Verdana" w:eastAsia="仿宋_GB2312"/>
      <w:kern w:val="0"/>
      <w:sz w:val="24"/>
      <w:szCs w:val="20"/>
      <w:lang w:eastAsia="en-US"/>
    </w:rPr>
  </w:style>
  <w:style w:type="paragraph" w:customStyle="1" w:styleId="84">
    <w:name w:val="列出段落1"/>
    <w:basedOn w:val="1"/>
    <w:autoRedefine/>
    <w:qFormat/>
    <w:uiPriority w:val="0"/>
    <w:pPr>
      <w:widowControl w:val="0"/>
      <w:spacing w:line="240" w:lineRule="auto"/>
      <w:ind w:firstLine="200" w:firstLineChars="200"/>
      <w:jc w:val="both"/>
    </w:pPr>
    <w:rPr>
      <w:szCs w:val="22"/>
    </w:rPr>
  </w:style>
  <w:style w:type="paragraph" w:customStyle="1" w:styleId="85">
    <w:name w:val="正文首行缩进 22"/>
    <w:basedOn w:val="86"/>
    <w:autoRedefine/>
    <w:qFormat/>
    <w:uiPriority w:val="0"/>
    <w:pPr>
      <w:ind w:firstLine="420" w:firstLineChars="200"/>
    </w:pPr>
  </w:style>
  <w:style w:type="paragraph" w:customStyle="1" w:styleId="86">
    <w:name w:val="正文文本缩进2"/>
    <w:basedOn w:val="87"/>
    <w:autoRedefine/>
    <w:qFormat/>
    <w:uiPriority w:val="0"/>
    <w:pPr>
      <w:spacing w:after="120"/>
      <w:ind w:left="420" w:leftChars="200"/>
    </w:pPr>
  </w:style>
  <w:style w:type="paragraph" w:customStyle="1" w:styleId="87">
    <w:name w:val="正文_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
    <w:name w:val="Char Char Char1 Char Char Char Char Char Char Char Char Char1 Char"/>
    <w:basedOn w:val="1"/>
    <w:autoRedefine/>
    <w:qFormat/>
    <w:uiPriority w:val="0"/>
    <w:pPr>
      <w:widowControl w:val="0"/>
      <w:snapToGrid w:val="0"/>
      <w:ind w:firstLine="200" w:firstLineChars="200"/>
      <w:jc w:val="both"/>
    </w:pPr>
    <w:rPr>
      <w:rFonts w:eastAsia="仿宋_GB2312"/>
      <w:sz w:val="24"/>
    </w:rPr>
  </w:style>
  <w:style w:type="paragraph" w:customStyle="1" w:styleId="89">
    <w:name w:val="Char Char Char1 Char Char Char Char Char Char Char Char Char Char Char Char Char Char Char Char"/>
    <w:basedOn w:val="1"/>
    <w:autoRedefine/>
    <w:qFormat/>
    <w:uiPriority w:val="0"/>
    <w:pPr>
      <w:widowControl w:val="0"/>
      <w:snapToGrid w:val="0"/>
      <w:ind w:firstLine="200" w:firstLineChars="200"/>
      <w:jc w:val="both"/>
    </w:pPr>
  </w:style>
  <w:style w:type="paragraph" w:customStyle="1" w:styleId="90">
    <w:name w:val="普通(网站)1"/>
    <w:basedOn w:val="1"/>
    <w:autoRedefine/>
    <w:qFormat/>
    <w:uiPriority w:val="0"/>
    <w:pPr>
      <w:spacing w:beforeAutospacing="1" w:afterAutospacing="1"/>
    </w:pPr>
    <w:rPr>
      <w:rFonts w:hint="eastAsia" w:ascii="宋体" w:hAnsi="宋体"/>
      <w:sz w:val="24"/>
      <w:szCs w:val="20"/>
    </w:rPr>
  </w:style>
  <w:style w:type="paragraph" w:customStyle="1" w:styleId="91">
    <w:name w:val="rw"/>
    <w:basedOn w:val="1"/>
    <w:autoRedefine/>
    <w:qFormat/>
    <w:uiPriority w:val="0"/>
    <w:pPr>
      <w:ind w:left="100" w:right="100"/>
      <w:jc w:val="right"/>
    </w:pPr>
    <w:rPr>
      <w:rFonts w:ascii="方正仿宋简体" w:hAnsi="宋体" w:eastAsia="方正仿宋简体"/>
      <w:color w:val="000000"/>
      <w:kern w:val="0"/>
      <w:szCs w:val="21"/>
    </w:rPr>
  </w:style>
  <w:style w:type="paragraph" w:customStyle="1" w:styleId="92">
    <w:name w:val="样式 标题 2 + Times New Roman 四号 非加粗 段前: 5 磅 段后: 0 磅 行距: 固定值 20..."/>
    <w:basedOn w:val="3"/>
    <w:autoRedefine/>
    <w:qFormat/>
    <w:uiPriority w:val="0"/>
    <w:pPr>
      <w:spacing w:line="400" w:lineRule="exact"/>
    </w:pPr>
    <w:rPr>
      <w:rFonts w:ascii="Times New Roman" w:hAnsi="Times New Roman" w:eastAsia="黑体" w:cs="宋体"/>
      <w:b w:val="0"/>
      <w:bCs w:val="0"/>
      <w:sz w:val="28"/>
      <w:szCs w:val="20"/>
    </w:rPr>
  </w:style>
  <w:style w:type="paragraph" w:customStyle="1" w:styleId="93">
    <w:name w:val="Char Char2"/>
    <w:basedOn w:val="1"/>
    <w:autoRedefine/>
    <w:qFormat/>
    <w:uiPriority w:val="0"/>
    <w:pPr>
      <w:widowControl w:val="0"/>
      <w:ind w:firstLine="200" w:firstLineChars="200"/>
      <w:jc w:val="both"/>
    </w:pPr>
  </w:style>
  <w:style w:type="paragraph" w:customStyle="1" w:styleId="94">
    <w:name w:val="zz"/>
    <w:basedOn w:val="1"/>
    <w:autoRedefine/>
    <w:qFormat/>
    <w:uiPriority w:val="0"/>
    <w:pPr>
      <w:jc w:val="right"/>
    </w:pPr>
    <w:rPr>
      <w:rFonts w:ascii="方正书宋简体" w:hAnsi="宋体" w:eastAsia="方正书宋简体"/>
      <w:color w:val="000000"/>
      <w:kern w:val="0"/>
      <w:szCs w:val="21"/>
    </w:rPr>
  </w:style>
  <w:style w:type="paragraph" w:customStyle="1" w:styleId="95">
    <w:name w:val="BT3"/>
    <w:basedOn w:val="4"/>
    <w:autoRedefine/>
    <w:qFormat/>
    <w:uiPriority w:val="0"/>
    <w:pPr>
      <w:widowControl w:val="0"/>
      <w:adjustRightInd w:val="0"/>
      <w:snapToGrid w:val="0"/>
      <w:spacing w:line="360" w:lineRule="auto"/>
      <w:jc w:val="center"/>
    </w:pPr>
    <w:rPr>
      <w:rFonts w:ascii="仿宋_GB2312" w:hAnsi="宋体" w:eastAsia="仿宋_GB2312"/>
      <w:bCs w:val="0"/>
      <w:sz w:val="24"/>
      <w:szCs w:val="24"/>
      <w:lang w:val="en-US" w:eastAsia="zh-CN"/>
    </w:rPr>
  </w:style>
  <w:style w:type="paragraph" w:customStyle="1" w:styleId="96">
    <w:name w:val="style12"/>
    <w:basedOn w:val="1"/>
    <w:autoRedefine/>
    <w:qFormat/>
    <w:uiPriority w:val="0"/>
    <w:pPr>
      <w:spacing w:beforeAutospacing="1" w:afterAutospacing="1"/>
    </w:pPr>
    <w:rPr>
      <w:rFonts w:ascii="宋体" w:hAnsi="宋体" w:cs="宋体"/>
      <w:kern w:val="0"/>
      <w:sz w:val="18"/>
      <w:szCs w:val="18"/>
    </w:rPr>
  </w:style>
  <w:style w:type="paragraph" w:customStyle="1" w:styleId="97">
    <w:name w:val="默认段落字体 Para Char Char Char Char Char Char Char Char Char Char Char Char Char"/>
    <w:basedOn w:val="1"/>
    <w:autoRedefine/>
    <w:qFormat/>
    <w:uiPriority w:val="0"/>
    <w:rPr>
      <w:szCs w:val="20"/>
    </w:rPr>
  </w:style>
  <w:style w:type="paragraph" w:customStyle="1" w:styleId="98">
    <w:name w:val="正  文"/>
    <w:basedOn w:val="1"/>
    <w:autoRedefine/>
    <w:qFormat/>
    <w:uiPriority w:val="0"/>
    <w:pPr>
      <w:widowControl w:val="0"/>
      <w:ind w:firstLine="200" w:firstLineChars="200"/>
      <w:jc w:val="both"/>
    </w:pPr>
    <w:rPr>
      <w:rFonts w:ascii="宋体"/>
      <w:sz w:val="24"/>
    </w:rPr>
  </w:style>
  <w:style w:type="paragraph" w:customStyle="1" w:styleId="99">
    <w:name w:val="样式1"/>
    <w:basedOn w:val="1"/>
    <w:autoRedefine/>
    <w:qFormat/>
    <w:uiPriority w:val="0"/>
    <w:pPr>
      <w:widowControl w:val="0"/>
      <w:ind w:firstLine="420" w:firstLineChars="200"/>
      <w:jc w:val="both"/>
    </w:pPr>
    <w:rPr>
      <w:rFonts w:ascii="宋体" w:hAnsi="宋体"/>
      <w:szCs w:val="21"/>
    </w:rPr>
  </w:style>
  <w:style w:type="paragraph" w:customStyle="1" w:styleId="100">
    <w:name w:val="List Paragraph1"/>
    <w:basedOn w:val="1"/>
    <w:autoRedefine/>
    <w:qFormat/>
    <w:uiPriority w:val="99"/>
    <w:pPr>
      <w:spacing w:after="200" w:line="252" w:lineRule="auto"/>
      <w:ind w:left="720"/>
      <w:contextualSpacing/>
    </w:pPr>
    <w:rPr>
      <w:rFonts w:ascii="Cambria" w:hAnsi="Cambria"/>
      <w:kern w:val="0"/>
      <w:sz w:val="22"/>
      <w:szCs w:val="22"/>
      <w:lang w:eastAsia="en-US"/>
    </w:rPr>
  </w:style>
  <w:style w:type="paragraph" w:customStyle="1" w:styleId="101">
    <w:name w:val="样式 标题 1 + 黑体 三号 非加粗 居中 段前: 6 磅 段后: 6 磅 行距: 固定值 20 磅"/>
    <w:basedOn w:val="2"/>
    <w:autoRedefine/>
    <w:qFormat/>
    <w:uiPriority w:val="0"/>
    <w:pPr>
      <w:spacing w:line="400" w:lineRule="exact"/>
      <w:jc w:val="center"/>
    </w:pPr>
    <w:rPr>
      <w:rFonts w:ascii="黑体" w:hAnsi="黑体" w:eastAsia="黑体" w:cs="宋体"/>
      <w:b w:val="0"/>
      <w:bCs w:val="0"/>
      <w:sz w:val="32"/>
      <w:szCs w:val="20"/>
    </w:rPr>
  </w:style>
  <w:style w:type="paragraph" w:customStyle="1" w:styleId="102">
    <w:name w:val="Table Paragraph"/>
    <w:basedOn w:val="1"/>
    <w:autoRedefine/>
    <w:qFormat/>
    <w:uiPriority w:val="1"/>
    <w:rPr>
      <w:rFonts w:ascii="宋体" w:hAnsi="宋体" w:eastAsia="宋体" w:cs="宋体"/>
      <w:lang w:val="zh-CN" w:bidi="zh-CN"/>
    </w:rPr>
  </w:style>
  <w:style w:type="paragraph" w:customStyle="1" w:styleId="103">
    <w:name w:val="小标题"/>
    <w:basedOn w:val="104"/>
    <w:next w:val="104"/>
    <w:link w:val="153"/>
    <w:autoRedefine/>
    <w:qFormat/>
    <w:uiPriority w:val="0"/>
    <w:pPr>
      <w:outlineLvl w:val="2"/>
    </w:pPr>
    <w:rPr>
      <w:rFonts w:ascii="宋体" w:hAnsi="宋体"/>
    </w:rPr>
  </w:style>
  <w:style w:type="paragraph" w:customStyle="1" w:styleId="104">
    <w:name w:val="招标正文"/>
    <w:basedOn w:val="1"/>
    <w:link w:val="198"/>
    <w:autoRedefine/>
    <w:qFormat/>
    <w:uiPriority w:val="0"/>
    <w:pPr>
      <w:widowControl w:val="0"/>
      <w:spacing w:line="300" w:lineRule="auto"/>
      <w:ind w:firstLine="420" w:firstLineChars="200"/>
      <w:jc w:val="both"/>
    </w:pPr>
    <w:rPr>
      <w:rFonts w:ascii="Times New Roman" w:hAnsi="Times New Roman" w:eastAsia="宋体"/>
      <w:szCs w:val="18"/>
    </w:rPr>
  </w:style>
  <w:style w:type="paragraph" w:customStyle="1" w:styleId="105">
    <w:name w:val="示例条目样式"/>
    <w:basedOn w:val="1"/>
    <w:autoRedefine/>
    <w:qFormat/>
    <w:uiPriority w:val="0"/>
    <w:pPr>
      <w:numPr>
        <w:ilvl w:val="1"/>
        <w:numId w:val="2"/>
      </w:numPr>
      <w:spacing w:line="240" w:lineRule="auto"/>
    </w:pPr>
    <w:rPr>
      <w:rFonts w:ascii="华文宋体" w:hAnsi="华文宋体" w:eastAsia="华文宋体"/>
      <w:i/>
      <w:szCs w:val="21"/>
    </w:rPr>
  </w:style>
  <w:style w:type="paragraph" w:customStyle="1" w:styleId="106">
    <w:name w:val="g11"/>
    <w:basedOn w:val="1"/>
    <w:autoRedefine/>
    <w:qFormat/>
    <w:uiPriority w:val="0"/>
    <w:pPr>
      <w:spacing w:beforeAutospacing="1" w:afterAutospacing="1" w:line="465" w:lineRule="atLeast"/>
    </w:pPr>
    <w:rPr>
      <w:rFonts w:ascii="华文中宋" w:hAnsi="华文中宋" w:eastAsia="华文中宋" w:cs="宋体"/>
      <w:b/>
      <w:bCs/>
      <w:color w:val="FF0000"/>
      <w:kern w:val="0"/>
      <w:sz w:val="31"/>
      <w:szCs w:val="31"/>
    </w:rPr>
  </w:style>
  <w:style w:type="paragraph" w:customStyle="1" w:styleId="107">
    <w:name w:val="intel1"/>
    <w:basedOn w:val="1"/>
    <w:autoRedefine/>
    <w:qFormat/>
    <w:uiPriority w:val="0"/>
    <w:pPr>
      <w:spacing w:beforeAutospacing="1" w:afterAutospacing="1"/>
    </w:pPr>
    <w:rPr>
      <w:rFonts w:ascii="宋体" w:hAnsi="宋体" w:cs="宋体"/>
      <w:kern w:val="0"/>
      <w:sz w:val="24"/>
    </w:rPr>
  </w:style>
  <w:style w:type="paragraph" w:customStyle="1" w:styleId="108">
    <w:name w:val="正文格式"/>
    <w:basedOn w:val="1"/>
    <w:autoRedefine/>
    <w:qFormat/>
    <w:uiPriority w:val="0"/>
    <w:pPr>
      <w:widowControl w:val="0"/>
      <w:adjustRightInd w:val="0"/>
      <w:snapToGrid w:val="0"/>
      <w:spacing w:beforeLines="50"/>
      <w:ind w:left="120" w:leftChars="57" w:firstLine="360" w:firstLineChars="150"/>
    </w:pPr>
    <w:rPr>
      <w:rFonts w:ascii="楷体_GB2312" w:hAnsi="宋体" w:eastAsia="楷体_GB2312" w:cs="宋体"/>
      <w:bCs/>
      <w:color w:val="000000"/>
      <w:sz w:val="24"/>
      <w:szCs w:val="30"/>
    </w:rPr>
  </w:style>
  <w:style w:type="paragraph" w:customStyle="1" w:styleId="109">
    <w:name w:val="正文 New New"/>
    <w:autoRedefine/>
    <w:qFormat/>
    <w:uiPriority w:val="0"/>
    <w:pPr>
      <w:widowControl w:val="0"/>
      <w:spacing w:line="360" w:lineRule="auto"/>
      <w:jc w:val="both"/>
    </w:pPr>
    <w:rPr>
      <w:rFonts w:ascii="Courier New" w:hAnsi="Courier New" w:eastAsia="Calibri" w:cs="Times New Roman"/>
      <w:kern w:val="2"/>
      <w:sz w:val="21"/>
      <w:szCs w:val="24"/>
      <w:lang w:val="en-US" w:eastAsia="zh-CN" w:bidi="ar-SA"/>
    </w:rPr>
  </w:style>
  <w:style w:type="paragraph" w:customStyle="1" w:styleId="110">
    <w:name w:val="样式 标题 3 + (中文) 黑体 小四 非加粗 段前: 7.8 磅 段后: 0 磅 行距: 固定值 20 磅"/>
    <w:basedOn w:val="4"/>
    <w:next w:val="1"/>
    <w:autoRedefine/>
    <w:qFormat/>
    <w:uiPriority w:val="0"/>
    <w:pPr>
      <w:spacing w:line="400" w:lineRule="exact"/>
    </w:pPr>
    <w:rPr>
      <w:rFonts w:eastAsia="黑体" w:cs="宋体"/>
      <w:b w:val="0"/>
      <w:bCs w:val="0"/>
      <w:sz w:val="24"/>
      <w:szCs w:val="20"/>
    </w:rPr>
  </w:style>
  <w:style w:type="paragraph" w:customStyle="1" w:styleId="111">
    <w:name w:val="ly"/>
    <w:basedOn w:val="1"/>
    <w:autoRedefine/>
    <w:qFormat/>
    <w:uiPriority w:val="0"/>
    <w:pPr>
      <w:jc w:val="right"/>
    </w:pPr>
    <w:rPr>
      <w:rFonts w:ascii="方正书宋简体" w:hAnsi="宋体" w:eastAsia="方正书宋简体"/>
      <w:color w:val="000000"/>
      <w:kern w:val="0"/>
      <w:szCs w:val="21"/>
    </w:rPr>
  </w:style>
  <w:style w:type="paragraph" w:customStyle="1" w:styleId="11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13">
    <w:name w:val="Blockquote"/>
    <w:basedOn w:val="1"/>
    <w:link w:val="173"/>
    <w:autoRedefine/>
    <w:qFormat/>
    <w:uiPriority w:val="0"/>
    <w:pPr>
      <w:widowControl w:val="0"/>
      <w:autoSpaceDE w:val="0"/>
      <w:autoSpaceDN w:val="0"/>
      <w:adjustRightInd w:val="0"/>
      <w:spacing w:line="240" w:lineRule="auto"/>
      <w:ind w:left="360" w:right="360"/>
    </w:pPr>
    <w:rPr>
      <w:rFonts w:ascii="Times New Roman" w:hAnsi="Times New Roman" w:eastAsia="宋体"/>
      <w:kern w:val="0"/>
      <w:sz w:val="24"/>
      <w:szCs w:val="20"/>
    </w:rPr>
  </w:style>
  <w:style w:type="paragraph" w:customStyle="1" w:styleId="114">
    <w:name w:val="_Style 1"/>
    <w:basedOn w:val="1"/>
    <w:autoRedefine/>
    <w:qFormat/>
    <w:uiPriority w:val="0"/>
    <w:pPr>
      <w:numPr>
        <w:ilvl w:val="1"/>
        <w:numId w:val="3"/>
      </w:numPr>
      <w:contextualSpacing/>
    </w:pPr>
    <w:rPr>
      <w:rFonts w:eastAsia="仿宋_GB2312"/>
      <w:kern w:val="0"/>
      <w:szCs w:val="21"/>
      <w:lang w:bidi="en-US"/>
    </w:rPr>
  </w:style>
  <w:style w:type="paragraph" w:customStyle="1" w:styleId="115">
    <w:name w:val="g3"/>
    <w:basedOn w:val="1"/>
    <w:autoRedefine/>
    <w:qFormat/>
    <w:uiPriority w:val="0"/>
    <w:pPr>
      <w:spacing w:beforeAutospacing="1" w:afterAutospacing="1"/>
    </w:pPr>
    <w:rPr>
      <w:rFonts w:ascii="宋体" w:hAnsi="宋体" w:cs="宋体"/>
      <w:kern w:val="0"/>
      <w:sz w:val="24"/>
    </w:rPr>
  </w:style>
  <w:style w:type="paragraph" w:customStyle="1" w:styleId="116">
    <w:name w:val="标题四"/>
    <w:basedOn w:val="77"/>
    <w:autoRedefine/>
    <w:qFormat/>
    <w:uiPriority w:val="0"/>
    <w:rPr>
      <w:sz w:val="24"/>
      <w:szCs w:val="24"/>
    </w:rPr>
  </w:style>
  <w:style w:type="paragraph" w:customStyle="1" w:styleId="117">
    <w:name w:val="安 Char"/>
    <w:basedOn w:val="1"/>
    <w:autoRedefine/>
    <w:qFormat/>
    <w:uiPriority w:val="0"/>
    <w:pPr>
      <w:adjustRightInd w:val="0"/>
      <w:snapToGrid w:val="0"/>
      <w:spacing w:line="300" w:lineRule="auto"/>
      <w:textAlignment w:val="baseline"/>
    </w:pPr>
    <w:rPr>
      <w:rFonts w:ascii="Arial Narrow" w:hAnsi="Arial Narrow" w:eastAsia="黑体"/>
      <w:b/>
      <w:bCs/>
      <w:sz w:val="28"/>
    </w:rPr>
  </w:style>
  <w:style w:type="paragraph" w:customStyle="1" w:styleId="118">
    <w:name w:val="l-2"/>
    <w:basedOn w:val="1"/>
    <w:autoRedefine/>
    <w:qFormat/>
    <w:uiPriority w:val="0"/>
    <w:pPr>
      <w:spacing w:beforeAutospacing="1" w:afterAutospacing="1"/>
    </w:pPr>
    <w:rPr>
      <w:rFonts w:ascii="宋体" w:hAnsi="宋体" w:cs="宋体"/>
      <w:b/>
      <w:bCs/>
      <w:color w:val="000000"/>
      <w:kern w:val="0"/>
      <w:sz w:val="13"/>
      <w:szCs w:val="13"/>
    </w:rPr>
  </w:style>
  <w:style w:type="paragraph" w:customStyle="1" w:styleId="119">
    <w:name w:val="Char Char Char Char Char Char Char"/>
    <w:basedOn w:val="1"/>
    <w:autoRedefine/>
    <w:qFormat/>
    <w:uiPriority w:val="0"/>
    <w:pPr>
      <w:spacing w:line="240" w:lineRule="exact"/>
      <w:ind w:firstLine="980" w:firstLineChars="350"/>
    </w:pPr>
  </w:style>
  <w:style w:type="paragraph" w:customStyle="1" w:styleId="120">
    <w:name w:val="HTML 预设格式1"/>
    <w:basedOn w:val="1"/>
    <w:link w:val="178"/>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宋体"/>
      <w:kern w:val="0"/>
      <w:sz w:val="20"/>
      <w:szCs w:val="20"/>
    </w:rPr>
  </w:style>
  <w:style w:type="paragraph" w:customStyle="1" w:styleId="121">
    <w:name w:val="Char7"/>
    <w:basedOn w:val="1"/>
    <w:autoRedefine/>
    <w:qFormat/>
    <w:uiPriority w:val="0"/>
    <w:pPr>
      <w:spacing w:line="240" w:lineRule="exact"/>
    </w:pPr>
  </w:style>
  <w:style w:type="paragraph" w:customStyle="1" w:styleId="122">
    <w:name w:val="正文_3_0"/>
    <w:next w:val="85"/>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Char Char2 Char Char Char Char Char Char Char Char Char Char"/>
    <w:basedOn w:val="1"/>
    <w:autoRedefine/>
    <w:qFormat/>
    <w:uiPriority w:val="0"/>
    <w:pPr>
      <w:widowControl w:val="0"/>
      <w:snapToGrid w:val="0"/>
      <w:ind w:firstLine="200" w:firstLineChars="200"/>
      <w:jc w:val="both"/>
    </w:pPr>
    <w:rPr>
      <w:rFonts w:eastAsia="仿宋_GB2312"/>
      <w:sz w:val="24"/>
    </w:rPr>
  </w:style>
  <w:style w:type="paragraph" w:customStyle="1" w:styleId="124">
    <w:name w:val="Char1 Char Char Char Char Char Char Char Char Char Char Char"/>
    <w:basedOn w:val="1"/>
    <w:autoRedefine/>
    <w:qFormat/>
    <w:uiPriority w:val="0"/>
    <w:pPr>
      <w:pageBreakBefore/>
      <w:tabs>
        <w:tab w:val="left" w:pos="432"/>
      </w:tabs>
      <w:spacing w:line="240" w:lineRule="auto"/>
      <w:ind w:left="432" w:hanging="432"/>
    </w:pPr>
    <w:rPr>
      <w:kern w:val="0"/>
      <w:sz w:val="20"/>
      <w:szCs w:val="20"/>
    </w:rPr>
  </w:style>
  <w:style w:type="paragraph" w:customStyle="1" w:styleId="125">
    <w:name w:val="a1"/>
    <w:basedOn w:val="1"/>
    <w:autoRedefine/>
    <w:qFormat/>
    <w:uiPriority w:val="0"/>
    <w:pPr>
      <w:tabs>
        <w:tab w:val="left" w:pos="936"/>
        <w:tab w:val="right" w:pos="7416"/>
      </w:tabs>
      <w:overflowPunct w:val="0"/>
      <w:autoSpaceDE w:val="0"/>
      <w:autoSpaceDN w:val="0"/>
      <w:adjustRightInd w:val="0"/>
      <w:spacing w:line="240" w:lineRule="auto"/>
      <w:textAlignment w:val="baseline"/>
    </w:pPr>
    <w:rPr>
      <w:kern w:val="0"/>
      <w:sz w:val="20"/>
      <w:szCs w:val="20"/>
      <w:lang w:eastAsia="en-US"/>
    </w:rPr>
  </w:style>
  <w:style w:type="paragraph" w:customStyle="1" w:styleId="126">
    <w:name w:val="WW-表格标题"/>
    <w:basedOn w:val="61"/>
    <w:autoRedefine/>
    <w:qFormat/>
    <w:uiPriority w:val="0"/>
  </w:style>
  <w:style w:type="paragraph" w:customStyle="1" w:styleId="127">
    <w:name w:val="Char Char Char Char Char Char Char Char Char"/>
    <w:basedOn w:val="1"/>
    <w:autoRedefine/>
    <w:qFormat/>
    <w:uiPriority w:val="0"/>
    <w:pPr>
      <w:widowControl w:val="0"/>
      <w:spacing w:line="240" w:lineRule="auto"/>
      <w:jc w:val="both"/>
    </w:pPr>
  </w:style>
  <w:style w:type="paragraph" w:styleId="128">
    <w:name w:val="List Paragraph"/>
    <w:basedOn w:val="1"/>
    <w:autoRedefine/>
    <w:qFormat/>
    <w:uiPriority w:val="0"/>
    <w:pPr>
      <w:ind w:firstLine="420" w:firstLineChars="200"/>
    </w:pPr>
    <w:rPr>
      <w:sz w:val="28"/>
      <w:szCs w:val="28"/>
    </w:rPr>
  </w:style>
  <w:style w:type="paragraph" w:customStyle="1" w:styleId="129">
    <w:name w:val="批注主题1"/>
    <w:basedOn w:val="15"/>
    <w:next w:val="15"/>
    <w:link w:val="183"/>
    <w:autoRedefine/>
    <w:qFormat/>
    <w:uiPriority w:val="0"/>
    <w:rPr>
      <w:b/>
      <w:kern w:val="0"/>
      <w:sz w:val="20"/>
      <w:szCs w:val="20"/>
    </w:rPr>
  </w:style>
  <w:style w:type="paragraph" w:customStyle="1" w:styleId="130">
    <w:name w:val="g2"/>
    <w:basedOn w:val="1"/>
    <w:autoRedefine/>
    <w:qFormat/>
    <w:uiPriority w:val="0"/>
    <w:pPr>
      <w:spacing w:beforeAutospacing="1" w:afterAutospacing="1"/>
    </w:pPr>
    <w:rPr>
      <w:rFonts w:ascii="仿宋_GB2312" w:hAnsi="宋体" w:eastAsia="仿宋_GB2312" w:cs="宋体"/>
      <w:kern w:val="0"/>
      <w:sz w:val="17"/>
      <w:szCs w:val="17"/>
    </w:rPr>
  </w:style>
  <w:style w:type="paragraph" w:customStyle="1" w:styleId="131">
    <w:name w:val="自定样式1"/>
    <w:basedOn w:val="1"/>
    <w:autoRedefine/>
    <w:qFormat/>
    <w:uiPriority w:val="0"/>
    <w:pPr>
      <w:suppressAutoHyphens/>
      <w:jc w:val="center"/>
    </w:pPr>
    <w:rPr>
      <w:rFonts w:ascii="宋体" w:hAnsi="宋体"/>
      <w:color w:val="000000"/>
      <w:sz w:val="18"/>
    </w:rPr>
  </w:style>
  <w:style w:type="paragraph" w:customStyle="1" w:styleId="132">
    <w:name w:val="样式2"/>
    <w:basedOn w:val="3"/>
    <w:autoRedefine/>
    <w:qFormat/>
    <w:uiPriority w:val="0"/>
    <w:pPr>
      <w:widowControl w:val="0"/>
      <w:autoSpaceDE w:val="0"/>
      <w:autoSpaceDN w:val="0"/>
      <w:adjustRightInd w:val="0"/>
      <w:spacing w:line="300" w:lineRule="exact"/>
      <w:ind w:left="220" w:right="-20"/>
      <w:jc w:val="center"/>
    </w:pPr>
    <w:rPr>
      <w:rFonts w:ascii="宋体" w:hAnsi="宋体" w:eastAsia="仿宋_GB2312"/>
      <w:w w:val="99"/>
      <w:kern w:val="0"/>
      <w:sz w:val="28"/>
      <w:szCs w:val="28"/>
      <w:lang w:val="en-US" w:eastAsia="zh-CN"/>
    </w:rPr>
  </w:style>
  <w:style w:type="paragraph" w:customStyle="1" w:styleId="133">
    <w:name w:val="目录"/>
    <w:basedOn w:val="1"/>
    <w:autoRedefine/>
    <w:qFormat/>
    <w:uiPriority w:val="0"/>
    <w:pPr>
      <w:spacing w:line="240" w:lineRule="auto"/>
      <w:jc w:val="center"/>
    </w:pPr>
    <w:rPr>
      <w:rFonts w:ascii="宋体"/>
      <w:kern w:val="0"/>
      <w:sz w:val="36"/>
      <w:szCs w:val="20"/>
    </w:rPr>
  </w:style>
  <w:style w:type="paragraph" w:customStyle="1" w:styleId="134">
    <w:name w:val="rr"/>
    <w:basedOn w:val="1"/>
    <w:autoRedefine/>
    <w:qFormat/>
    <w:uiPriority w:val="0"/>
    <w:pPr>
      <w:spacing w:beforeAutospacing="1" w:afterAutospacing="1"/>
    </w:pPr>
    <w:rPr>
      <w:rFonts w:hint="eastAsia" w:ascii="宋体" w:hAnsi="宋体"/>
      <w:kern w:val="0"/>
      <w:szCs w:val="21"/>
    </w:rPr>
  </w:style>
  <w:style w:type="paragraph" w:customStyle="1" w:styleId="135">
    <w:name w:val="表内容"/>
    <w:basedOn w:val="1"/>
    <w:autoRedefine/>
    <w:qFormat/>
    <w:uiPriority w:val="0"/>
    <w:pPr>
      <w:widowControl w:val="0"/>
      <w:autoSpaceDE w:val="0"/>
      <w:autoSpaceDN w:val="0"/>
      <w:adjustRightInd w:val="0"/>
      <w:spacing w:line="240" w:lineRule="auto"/>
      <w:ind w:left="40"/>
      <w:jc w:val="center"/>
    </w:pPr>
    <w:rPr>
      <w:rFonts w:ascii="宋体" w:hAnsi="宋体" w:cs="宋体"/>
      <w:color w:val="000000"/>
      <w:kern w:val="0"/>
      <w:szCs w:val="21"/>
      <w:lang w:val="zh-CN"/>
    </w:rPr>
  </w:style>
  <w:style w:type="paragraph" w:customStyle="1" w:styleId="136">
    <w:name w:val="Char Char Char"/>
    <w:basedOn w:val="1"/>
    <w:autoRedefine/>
    <w:qFormat/>
    <w:uiPriority w:val="0"/>
    <w:pPr>
      <w:widowControl w:val="0"/>
      <w:spacing w:line="240" w:lineRule="auto"/>
      <w:jc w:val="both"/>
    </w:pPr>
    <w:rPr>
      <w:rFonts w:ascii="Tahoma" w:hAnsi="Tahoma"/>
      <w:sz w:val="24"/>
      <w:szCs w:val="20"/>
    </w:rPr>
  </w:style>
  <w:style w:type="paragraph" w:customStyle="1" w:styleId="137">
    <w:name w:val="pa-34"/>
    <w:basedOn w:val="1"/>
    <w:autoRedefine/>
    <w:qFormat/>
    <w:uiPriority w:val="0"/>
    <w:pPr>
      <w:spacing w:line="360" w:lineRule="atLeast"/>
      <w:ind w:firstLine="420"/>
    </w:pPr>
    <w:rPr>
      <w:rFonts w:ascii="宋体" w:hAnsi="宋体" w:cs="宋体"/>
      <w:kern w:val="0"/>
      <w:sz w:val="24"/>
    </w:rPr>
  </w:style>
  <w:style w:type="paragraph" w:customStyle="1" w:styleId="138">
    <w:name w:val="Char1"/>
    <w:basedOn w:val="1"/>
    <w:autoRedefine/>
    <w:qFormat/>
    <w:uiPriority w:val="0"/>
    <w:pPr>
      <w:widowControl w:val="0"/>
      <w:spacing w:line="240" w:lineRule="auto"/>
      <w:jc w:val="both"/>
    </w:pPr>
  </w:style>
  <w:style w:type="paragraph" w:customStyle="1" w:styleId="139">
    <w:name w:val="样式3"/>
    <w:basedOn w:val="4"/>
    <w:autoRedefine/>
    <w:qFormat/>
    <w:uiPriority w:val="0"/>
    <w:pPr>
      <w:widowControl w:val="0"/>
      <w:autoSpaceDE w:val="0"/>
      <w:autoSpaceDN w:val="0"/>
      <w:adjustRightInd w:val="0"/>
      <w:spacing w:line="360" w:lineRule="auto"/>
      <w:ind w:left="119" w:right="-23"/>
    </w:pPr>
    <w:rPr>
      <w:rFonts w:ascii="宋体" w:hAnsi="宋体" w:eastAsia="仿宋_GB2312"/>
      <w:kern w:val="0"/>
      <w:sz w:val="24"/>
      <w:lang w:val="en-US" w:eastAsia="zh-CN"/>
    </w:rPr>
  </w:style>
  <w:style w:type="paragraph" w:customStyle="1" w:styleId="140">
    <w:name w:val="pa-27"/>
    <w:basedOn w:val="1"/>
    <w:autoRedefine/>
    <w:qFormat/>
    <w:uiPriority w:val="0"/>
    <w:pPr>
      <w:spacing w:line="360" w:lineRule="atLeast"/>
      <w:ind w:firstLine="420"/>
    </w:pPr>
    <w:rPr>
      <w:rFonts w:ascii="宋体" w:hAnsi="宋体" w:cs="宋体"/>
      <w:kern w:val="0"/>
      <w:sz w:val="24"/>
    </w:rPr>
  </w:style>
  <w:style w:type="paragraph" w:customStyle="1" w:styleId="141">
    <w:name w:val="Char1 Char Char Char Char Char Char Char Char Char Char Char1"/>
    <w:basedOn w:val="1"/>
    <w:autoRedefine/>
    <w:qFormat/>
    <w:uiPriority w:val="0"/>
    <w:pPr>
      <w:pageBreakBefore/>
      <w:tabs>
        <w:tab w:val="left" w:pos="432"/>
      </w:tabs>
      <w:spacing w:line="240" w:lineRule="auto"/>
      <w:ind w:left="432" w:hanging="432"/>
    </w:pPr>
    <w:rPr>
      <w:kern w:val="0"/>
      <w:sz w:val="20"/>
      <w:szCs w:val="20"/>
    </w:rPr>
  </w:style>
  <w:style w:type="paragraph" w:customStyle="1" w:styleId="142">
    <w:name w:val="Char Char Char Char Char Char Char1"/>
    <w:basedOn w:val="1"/>
    <w:autoRedefine/>
    <w:qFormat/>
    <w:uiPriority w:val="0"/>
    <w:pPr>
      <w:widowControl w:val="0"/>
      <w:spacing w:line="240" w:lineRule="auto"/>
      <w:jc w:val="both"/>
    </w:pPr>
  </w:style>
  <w:style w:type="character" w:customStyle="1" w:styleId="143">
    <w:name w:val="标题 8 Char"/>
    <w:link w:val="10"/>
    <w:autoRedefine/>
    <w:qFormat/>
    <w:uiPriority w:val="0"/>
    <w:rPr>
      <w:rFonts w:hAnsi="Arial" w:eastAsia="仿宋_GB2312"/>
      <w:sz w:val="30"/>
    </w:rPr>
  </w:style>
  <w:style w:type="character" w:customStyle="1" w:styleId="144">
    <w:name w:val="标题 Char"/>
    <w:link w:val="43"/>
    <w:autoRedefine/>
    <w:qFormat/>
    <w:uiPriority w:val="0"/>
    <w:rPr>
      <w:szCs w:val="24"/>
      <w:u w:val="single"/>
      <w:lang w:eastAsia="en-US"/>
    </w:rPr>
  </w:style>
  <w:style w:type="character" w:customStyle="1" w:styleId="145">
    <w:name w:val="脚注文本 Char"/>
    <w:link w:val="34"/>
    <w:autoRedefine/>
    <w:qFormat/>
    <w:uiPriority w:val="0"/>
    <w:rPr>
      <w:rFonts w:ascii="Arial" w:hAnsi="Arial" w:cs="Arial"/>
      <w:sz w:val="18"/>
      <w:szCs w:val="18"/>
      <w:lang w:eastAsia="en-US"/>
    </w:rPr>
  </w:style>
  <w:style w:type="character" w:customStyle="1" w:styleId="146">
    <w:name w:val="批注框文本 Char"/>
    <w:link w:val="27"/>
    <w:autoRedefine/>
    <w:qFormat/>
    <w:uiPriority w:val="0"/>
    <w:rPr>
      <w:kern w:val="2"/>
      <w:sz w:val="18"/>
      <w:szCs w:val="18"/>
    </w:rPr>
  </w:style>
  <w:style w:type="character" w:customStyle="1" w:styleId="147">
    <w:name w:val="标题 3 Char Char"/>
    <w:autoRedefine/>
    <w:qFormat/>
    <w:uiPriority w:val="0"/>
    <w:rPr>
      <w:rFonts w:ascii="Times New Roman" w:hAnsi="Times New Roman" w:eastAsia="宋体" w:cs="Times New Roman"/>
      <w:b/>
      <w:bCs/>
      <w:kern w:val="0"/>
      <w:sz w:val="32"/>
      <w:szCs w:val="32"/>
    </w:rPr>
  </w:style>
  <w:style w:type="character" w:customStyle="1" w:styleId="148">
    <w:name w:val="表格 Char Char"/>
    <w:link w:val="80"/>
    <w:autoRedefine/>
    <w:qFormat/>
    <w:uiPriority w:val="0"/>
    <w:rPr>
      <w:rFonts w:ascii="华文细黑" w:hAnsi="华文细黑" w:eastAsia="宋体"/>
      <w:sz w:val="21"/>
      <w:lang w:val="en-US" w:eastAsia="zh-CN" w:bidi="ar-SA"/>
    </w:rPr>
  </w:style>
  <w:style w:type="character" w:customStyle="1" w:styleId="149">
    <w:name w:val="正文文本缩进 2 Char"/>
    <w:link w:val="25"/>
    <w:autoRedefine/>
    <w:qFormat/>
    <w:uiPriority w:val="0"/>
    <w:rPr>
      <w:sz w:val="28"/>
      <w:szCs w:val="24"/>
    </w:rPr>
  </w:style>
  <w:style w:type="character" w:customStyle="1" w:styleId="150">
    <w:name w:val="副标题 Char"/>
    <w:link w:val="33"/>
    <w:autoRedefine/>
    <w:qFormat/>
    <w:uiPriority w:val="0"/>
    <w:rPr>
      <w:szCs w:val="24"/>
      <w:u w:val="single"/>
      <w:lang w:eastAsia="en-US"/>
    </w:rPr>
  </w:style>
  <w:style w:type="character" w:customStyle="1" w:styleId="151">
    <w:name w:val="正文文本 Char"/>
    <w:link w:val="17"/>
    <w:autoRedefine/>
    <w:qFormat/>
    <w:uiPriority w:val="0"/>
    <w:rPr>
      <w:kern w:val="2"/>
      <w:sz w:val="21"/>
      <w:szCs w:val="24"/>
    </w:rPr>
  </w:style>
  <w:style w:type="character" w:customStyle="1" w:styleId="152">
    <w:name w:val="标题 5 Char"/>
    <w:link w:val="6"/>
    <w:autoRedefine/>
    <w:qFormat/>
    <w:uiPriority w:val="0"/>
    <w:rPr>
      <w:rFonts w:ascii="宋体" w:hAnsi="宋体" w:cs="宋体"/>
      <w:b/>
      <w:bCs/>
    </w:rPr>
  </w:style>
  <w:style w:type="character" w:customStyle="1" w:styleId="153">
    <w:name w:val="小标题 Char Char"/>
    <w:link w:val="103"/>
    <w:autoRedefine/>
    <w:qFormat/>
    <w:uiPriority w:val="0"/>
    <w:rPr>
      <w:rFonts w:ascii="宋体" w:hAnsi="宋体" w:eastAsia="宋体"/>
      <w:kern w:val="2"/>
      <w:sz w:val="21"/>
      <w:szCs w:val="18"/>
      <w:lang w:val="en-US" w:eastAsia="zh-CN" w:bidi="ar-SA"/>
    </w:rPr>
  </w:style>
  <w:style w:type="character" w:customStyle="1" w:styleId="154">
    <w:name w:val="标题 1 Char"/>
    <w:link w:val="2"/>
    <w:autoRedefine/>
    <w:qFormat/>
    <w:uiPriority w:val="0"/>
    <w:rPr>
      <w:b/>
      <w:bCs/>
      <w:kern w:val="44"/>
      <w:sz w:val="44"/>
      <w:szCs w:val="44"/>
    </w:rPr>
  </w:style>
  <w:style w:type="character" w:customStyle="1" w:styleId="155">
    <w:name w:val="标题 4 Char"/>
    <w:link w:val="5"/>
    <w:autoRedefine/>
    <w:qFormat/>
    <w:uiPriority w:val="0"/>
    <w:rPr>
      <w:rFonts w:ascii="宋体" w:hAnsi="宋体" w:cs="宋体"/>
      <w:b/>
      <w:bCs/>
      <w:sz w:val="24"/>
      <w:szCs w:val="24"/>
    </w:rPr>
  </w:style>
  <w:style w:type="character" w:customStyle="1" w:styleId="156">
    <w:name w:val="普通文字 Char Char1"/>
    <w:autoRedefine/>
    <w:qFormat/>
    <w:uiPriority w:val="0"/>
    <w:rPr>
      <w:rFonts w:ascii="宋体" w:hAnsi="Courier New" w:eastAsia="宋体"/>
      <w:kern w:val="2"/>
      <w:sz w:val="28"/>
      <w:szCs w:val="28"/>
      <w:lang w:val="en-US" w:eastAsia="zh-CN" w:bidi="ar-SA"/>
    </w:rPr>
  </w:style>
  <w:style w:type="character" w:customStyle="1" w:styleId="157">
    <w:name w:val="正文文本缩进 3 Char"/>
    <w:link w:val="36"/>
    <w:autoRedefine/>
    <w:qFormat/>
    <w:uiPriority w:val="0"/>
    <w:rPr>
      <w:rFonts w:ascii="宋体" w:hAnsi="宋体"/>
      <w:kern w:val="2"/>
      <w:sz w:val="28"/>
      <w:szCs w:val="28"/>
    </w:rPr>
  </w:style>
  <w:style w:type="character" w:customStyle="1" w:styleId="158">
    <w:name w:val="纯文本 Char"/>
    <w:link w:val="22"/>
    <w:autoRedefine/>
    <w:qFormat/>
    <w:uiPriority w:val="0"/>
    <w:rPr>
      <w:rFonts w:ascii="宋体" w:hAnsi="Courier New" w:cs="Courier New"/>
      <w:kern w:val="2"/>
      <w:sz w:val="21"/>
      <w:szCs w:val="21"/>
    </w:rPr>
  </w:style>
  <w:style w:type="character" w:customStyle="1" w:styleId="159">
    <w:name w:val="正文文本 3 Char"/>
    <w:link w:val="16"/>
    <w:autoRedefine/>
    <w:qFormat/>
    <w:uiPriority w:val="0"/>
    <w:rPr>
      <w:kern w:val="2"/>
      <w:sz w:val="16"/>
      <w:szCs w:val="16"/>
    </w:rPr>
  </w:style>
  <w:style w:type="character" w:customStyle="1" w:styleId="160">
    <w:name w:val="标题 3 Char"/>
    <w:link w:val="4"/>
    <w:autoRedefine/>
    <w:qFormat/>
    <w:uiPriority w:val="0"/>
    <w:rPr>
      <w:b/>
      <w:bCs/>
      <w:kern w:val="2"/>
      <w:sz w:val="32"/>
      <w:szCs w:val="32"/>
    </w:rPr>
  </w:style>
  <w:style w:type="character" w:customStyle="1" w:styleId="161">
    <w:name w:val="unnamed1"/>
    <w:basedOn w:val="49"/>
    <w:autoRedefine/>
    <w:qFormat/>
    <w:uiPriority w:val="0"/>
  </w:style>
  <w:style w:type="character" w:customStyle="1" w:styleId="162">
    <w:name w:val="批注主题 Char"/>
    <w:link w:val="44"/>
    <w:autoRedefine/>
    <w:qFormat/>
    <w:uiPriority w:val="0"/>
    <w:rPr>
      <w:rFonts w:ascii="宋体" w:hAnsi="宋体"/>
      <w:kern w:val="2"/>
      <w:sz w:val="24"/>
      <w:szCs w:val="28"/>
    </w:rPr>
  </w:style>
  <w:style w:type="character" w:customStyle="1" w:styleId="163">
    <w:name w:val="标题 2 Char"/>
    <w:link w:val="3"/>
    <w:autoRedefine/>
    <w:qFormat/>
    <w:uiPriority w:val="0"/>
    <w:rPr>
      <w:rFonts w:ascii="Cambria" w:hAnsi="Cambria" w:eastAsia="宋体" w:cs="Times New Roman"/>
      <w:b/>
      <w:bCs/>
      <w:kern w:val="2"/>
      <w:sz w:val="32"/>
      <w:szCs w:val="32"/>
    </w:rPr>
  </w:style>
  <w:style w:type="character" w:customStyle="1" w:styleId="164">
    <w:name w:val="Char Char11"/>
    <w:autoRedefine/>
    <w:qFormat/>
    <w:uiPriority w:val="0"/>
    <w:rPr>
      <w:rFonts w:eastAsia="黑体"/>
      <w:kern w:val="2"/>
      <w:sz w:val="44"/>
      <w:szCs w:val="44"/>
      <w:lang w:val="en-US" w:eastAsia="zh-CN" w:bidi="ar-SA"/>
    </w:rPr>
  </w:style>
  <w:style w:type="character" w:customStyle="1" w:styleId="165">
    <w:name w:val="14t1"/>
    <w:autoRedefine/>
    <w:qFormat/>
    <w:uiPriority w:val="0"/>
    <w:rPr>
      <w:rFonts w:hint="eastAsia" w:ascii="宋体" w:hAnsi="宋体" w:eastAsia="宋体"/>
      <w:sz w:val="11"/>
      <w:szCs w:val="11"/>
    </w:rPr>
  </w:style>
  <w:style w:type="character" w:customStyle="1" w:styleId="166">
    <w:name w:val="title11"/>
    <w:autoRedefine/>
    <w:qFormat/>
    <w:uiPriority w:val="0"/>
    <w:rPr>
      <w:b/>
      <w:bCs/>
      <w:color w:val="FFFFFF"/>
      <w:sz w:val="11"/>
      <w:szCs w:val="11"/>
    </w:rPr>
  </w:style>
  <w:style w:type="character" w:customStyle="1" w:styleId="167">
    <w:name w:val="已访问的超链接1"/>
    <w:autoRedefine/>
    <w:qFormat/>
    <w:uiPriority w:val="0"/>
    <w:rPr>
      <w:rFonts w:hint="default"/>
      <w:color w:val="800080"/>
      <w:u w:val="single"/>
    </w:rPr>
  </w:style>
  <w:style w:type="character" w:customStyle="1" w:styleId="168">
    <w:name w:val="日期 Char"/>
    <w:link w:val="24"/>
    <w:autoRedefine/>
    <w:qFormat/>
    <w:uiPriority w:val="0"/>
    <w:rPr>
      <w:kern w:val="2"/>
      <w:sz w:val="21"/>
      <w:szCs w:val="24"/>
    </w:rPr>
  </w:style>
  <w:style w:type="character" w:customStyle="1" w:styleId="169">
    <w:name w:val="批注文字 Char"/>
    <w:link w:val="15"/>
    <w:autoRedefine/>
    <w:qFormat/>
    <w:uiPriority w:val="0"/>
    <w:rPr>
      <w:kern w:val="2"/>
      <w:sz w:val="21"/>
      <w:szCs w:val="24"/>
    </w:rPr>
  </w:style>
  <w:style w:type="character" w:customStyle="1" w:styleId="170">
    <w:name w:val="main_tdbg_7601"/>
    <w:autoRedefine/>
    <w:qFormat/>
    <w:uiPriority w:val="0"/>
    <w:rPr>
      <w:sz w:val="14"/>
      <w:szCs w:val="14"/>
    </w:rPr>
  </w:style>
  <w:style w:type="character" w:customStyle="1" w:styleId="171">
    <w:name w:val="ht1"/>
    <w:autoRedefine/>
    <w:qFormat/>
    <w:uiPriority w:val="0"/>
    <w:rPr>
      <w:rFonts w:ascii="黑体" w:eastAsia="黑体"/>
      <w:b/>
      <w:bCs/>
    </w:rPr>
  </w:style>
  <w:style w:type="character" w:customStyle="1" w:styleId="172">
    <w:name w:val="批注文字 Char1"/>
    <w:autoRedefine/>
    <w:qFormat/>
    <w:uiPriority w:val="0"/>
    <w:rPr>
      <w:rFonts w:eastAsia="宋体"/>
      <w:sz w:val="24"/>
      <w:lang w:val="en-US" w:eastAsia="zh-CN" w:bidi="ar-SA"/>
    </w:rPr>
  </w:style>
  <w:style w:type="character" w:customStyle="1" w:styleId="173">
    <w:name w:val="Blockquote Char Char"/>
    <w:link w:val="113"/>
    <w:autoRedefine/>
    <w:qFormat/>
    <w:uiPriority w:val="0"/>
    <w:rPr>
      <w:rFonts w:eastAsia="宋体"/>
      <w:sz w:val="24"/>
      <w:lang w:bidi="ar-SA"/>
    </w:rPr>
  </w:style>
  <w:style w:type="character" w:customStyle="1" w:styleId="174">
    <w:name w:val="正文文本缩进 Char"/>
    <w:link w:val="18"/>
    <w:autoRedefine/>
    <w:qFormat/>
    <w:uiPriority w:val="0"/>
    <w:rPr>
      <w:kern w:val="2"/>
      <w:sz w:val="21"/>
      <w:szCs w:val="24"/>
    </w:rPr>
  </w:style>
  <w:style w:type="character" w:customStyle="1" w:styleId="175">
    <w:name w:val="0d1471"/>
    <w:autoRedefine/>
    <w:qFormat/>
    <w:uiPriority w:val="0"/>
    <w:rPr>
      <w:color w:val="000000"/>
      <w:sz w:val="11"/>
      <w:szCs w:val="11"/>
      <w:u w:val="none"/>
    </w:rPr>
  </w:style>
  <w:style w:type="character" w:customStyle="1" w:styleId="176">
    <w:name w:val="标题 9 Char"/>
    <w:link w:val="11"/>
    <w:autoRedefine/>
    <w:qFormat/>
    <w:uiPriority w:val="0"/>
    <w:rPr>
      <w:rFonts w:eastAsia="仿宋_GB2312"/>
      <w:sz w:val="30"/>
    </w:rPr>
  </w:style>
  <w:style w:type="character" w:customStyle="1" w:styleId="177">
    <w:name w:val="普通(网站) Char"/>
    <w:link w:val="41"/>
    <w:autoRedefine/>
    <w:qFormat/>
    <w:uiPriority w:val="0"/>
    <w:rPr>
      <w:rFonts w:ascii="宋体" w:hAnsi="宋体" w:eastAsia="宋体" w:cs="宋体"/>
      <w:sz w:val="24"/>
      <w:szCs w:val="24"/>
      <w:lang w:val="en-US" w:eastAsia="zh-CN" w:bidi="ar-SA"/>
    </w:rPr>
  </w:style>
  <w:style w:type="character" w:customStyle="1" w:styleId="178">
    <w:name w:val="HTML 预设格式 Char Char"/>
    <w:link w:val="120"/>
    <w:autoRedefine/>
    <w:qFormat/>
    <w:uiPriority w:val="0"/>
    <w:rPr>
      <w:rFonts w:ascii="Courier New" w:hAnsi="Courier New"/>
      <w:lang w:bidi="ar-SA"/>
    </w:rPr>
  </w:style>
  <w:style w:type="character" w:customStyle="1" w:styleId="179">
    <w:name w:val="font161"/>
    <w:autoRedefine/>
    <w:qFormat/>
    <w:uiPriority w:val="0"/>
    <w:rPr>
      <w:b/>
      <w:bCs/>
      <w:sz w:val="32"/>
      <w:szCs w:val="32"/>
    </w:rPr>
  </w:style>
  <w:style w:type="character" w:customStyle="1" w:styleId="180">
    <w:name w:val="标题 2 Char1"/>
    <w:autoRedefine/>
    <w:qFormat/>
    <w:uiPriority w:val="0"/>
    <w:rPr>
      <w:rFonts w:ascii="仿宋_GB2312" w:eastAsia="仿宋_GB2312" w:cs="MingLiU"/>
      <w:b/>
      <w:spacing w:val="1"/>
      <w:w w:val="99"/>
      <w:sz w:val="28"/>
      <w:szCs w:val="32"/>
      <w:lang w:val="en-US" w:eastAsia="zh-CN" w:bidi="ar-SA"/>
    </w:rPr>
  </w:style>
  <w:style w:type="character" w:customStyle="1" w:styleId="181">
    <w:name w:val="style161"/>
    <w:autoRedefine/>
    <w:qFormat/>
    <w:uiPriority w:val="0"/>
    <w:rPr>
      <w:b/>
      <w:bCs/>
      <w:color w:val="333333"/>
    </w:rPr>
  </w:style>
  <w:style w:type="character" w:customStyle="1" w:styleId="182">
    <w:name w:val="ss16"/>
    <w:autoRedefine/>
    <w:qFormat/>
    <w:uiPriority w:val="0"/>
    <w:rPr>
      <w:rFonts w:hint="eastAsia" w:ascii="宋体" w:hAnsi="宋体" w:eastAsia="宋体"/>
      <w:color w:val="000000"/>
      <w:sz w:val="9"/>
      <w:szCs w:val="9"/>
    </w:rPr>
  </w:style>
  <w:style w:type="character" w:customStyle="1" w:styleId="183">
    <w:name w:val="批注主题 Char Char"/>
    <w:link w:val="129"/>
    <w:autoRedefine/>
    <w:qFormat/>
    <w:uiPriority w:val="0"/>
    <w:rPr>
      <w:b/>
      <w:lang w:bidi="ar-SA"/>
    </w:rPr>
  </w:style>
  <w:style w:type="character" w:customStyle="1" w:styleId="184">
    <w:name w:val="标题 7 Char"/>
    <w:link w:val="9"/>
    <w:autoRedefine/>
    <w:qFormat/>
    <w:uiPriority w:val="0"/>
    <w:rPr>
      <w:rFonts w:eastAsia="仿宋_GB2312"/>
      <w:sz w:val="30"/>
    </w:rPr>
  </w:style>
  <w:style w:type="character" w:customStyle="1" w:styleId="185">
    <w:name w:val="批注框文本 Char Char"/>
    <w:link w:val="82"/>
    <w:autoRedefine/>
    <w:qFormat/>
    <w:uiPriority w:val="0"/>
    <w:rPr>
      <w:sz w:val="18"/>
      <w:lang w:bidi="ar-SA"/>
    </w:rPr>
  </w:style>
  <w:style w:type="character" w:customStyle="1" w:styleId="186">
    <w:name w:val="页眉 Char"/>
    <w:link w:val="30"/>
    <w:autoRedefine/>
    <w:qFormat/>
    <w:uiPriority w:val="0"/>
    <w:rPr>
      <w:kern w:val="2"/>
      <w:sz w:val="18"/>
      <w:szCs w:val="18"/>
    </w:rPr>
  </w:style>
  <w:style w:type="character" w:customStyle="1" w:styleId="187">
    <w:name w:val="l1"/>
    <w:basedOn w:val="49"/>
    <w:autoRedefine/>
    <w:qFormat/>
    <w:uiPriority w:val="0"/>
  </w:style>
  <w:style w:type="character" w:customStyle="1" w:styleId="188">
    <w:name w:val="ca-141"/>
    <w:autoRedefine/>
    <w:qFormat/>
    <w:uiPriority w:val="0"/>
    <w:rPr>
      <w:rFonts w:hint="eastAsia" w:ascii="仿宋_GB2312" w:eastAsia="仿宋_GB2312"/>
      <w:sz w:val="21"/>
      <w:szCs w:val="21"/>
    </w:rPr>
  </w:style>
  <w:style w:type="character" w:customStyle="1" w:styleId="189">
    <w:name w:val="页脚 Char"/>
    <w:link w:val="28"/>
    <w:autoRedefine/>
    <w:qFormat/>
    <w:uiPriority w:val="0"/>
    <w:rPr>
      <w:kern w:val="2"/>
      <w:sz w:val="18"/>
      <w:szCs w:val="18"/>
    </w:rPr>
  </w:style>
  <w:style w:type="character" w:customStyle="1" w:styleId="190">
    <w:name w:val="HTML 预设格式 Char"/>
    <w:link w:val="40"/>
    <w:autoRedefine/>
    <w:qFormat/>
    <w:uiPriority w:val="0"/>
    <w:rPr>
      <w:rFonts w:ascii="宋体" w:hAnsi="宋体" w:cs="宋体"/>
      <w:color w:val="000000"/>
      <w:sz w:val="24"/>
      <w:szCs w:val="24"/>
    </w:rPr>
  </w:style>
  <w:style w:type="character" w:customStyle="1" w:styleId="191">
    <w:name w:val="标题 6 Char"/>
    <w:link w:val="7"/>
    <w:autoRedefine/>
    <w:qFormat/>
    <w:uiPriority w:val="0"/>
    <w:rPr>
      <w:rFonts w:hAnsi="Arial" w:eastAsia="仿宋_GB2312"/>
      <w:sz w:val="30"/>
    </w:rPr>
  </w:style>
  <w:style w:type="character" w:customStyle="1" w:styleId="192">
    <w:name w:val="style121"/>
    <w:autoRedefine/>
    <w:qFormat/>
    <w:uiPriority w:val="0"/>
    <w:rPr>
      <w:rFonts w:hint="eastAsia" w:ascii="宋体" w:hAnsi="宋体" w:eastAsia="宋体"/>
      <w:sz w:val="18"/>
      <w:szCs w:val="18"/>
    </w:rPr>
  </w:style>
  <w:style w:type="character" w:customStyle="1" w:styleId="193">
    <w:name w:val="尾注文本 Char"/>
    <w:link w:val="26"/>
    <w:autoRedefine/>
    <w:qFormat/>
    <w:uiPriority w:val="0"/>
    <w:rPr>
      <w:rFonts w:ascii="Arial" w:hAnsi="Arial" w:cs="Arial"/>
      <w:szCs w:val="24"/>
      <w:lang w:eastAsia="en-US"/>
    </w:rPr>
  </w:style>
  <w:style w:type="character" w:customStyle="1" w:styleId="194">
    <w:name w:val="文档结构图 Char"/>
    <w:link w:val="13"/>
    <w:autoRedefine/>
    <w:qFormat/>
    <w:uiPriority w:val="0"/>
    <w:rPr>
      <w:kern w:val="2"/>
      <w:sz w:val="21"/>
      <w:szCs w:val="24"/>
      <w:shd w:val="clear" w:color="auto" w:fill="000080"/>
    </w:rPr>
  </w:style>
  <w:style w:type="character" w:customStyle="1" w:styleId="195">
    <w:name w:val="docpro"/>
    <w:basedOn w:val="49"/>
    <w:autoRedefine/>
    <w:qFormat/>
    <w:uiPriority w:val="0"/>
  </w:style>
  <w:style w:type="character" w:customStyle="1" w:styleId="196">
    <w:name w:val="style21"/>
    <w:autoRedefine/>
    <w:qFormat/>
    <w:uiPriority w:val="0"/>
    <w:rPr>
      <w:b/>
      <w:bCs/>
      <w:sz w:val="28"/>
      <w:szCs w:val="28"/>
    </w:rPr>
  </w:style>
  <w:style w:type="character" w:customStyle="1" w:styleId="197">
    <w:name w:val="color_red1"/>
    <w:autoRedefine/>
    <w:qFormat/>
    <w:uiPriority w:val="0"/>
    <w:rPr>
      <w:color w:val="FA0004"/>
    </w:rPr>
  </w:style>
  <w:style w:type="character" w:customStyle="1" w:styleId="198">
    <w:name w:val="招标正文 Char Char"/>
    <w:link w:val="104"/>
    <w:autoRedefine/>
    <w:qFormat/>
    <w:uiPriority w:val="0"/>
    <w:rPr>
      <w:rFonts w:eastAsia="宋体"/>
      <w:kern w:val="2"/>
      <w:sz w:val="21"/>
      <w:szCs w:val="18"/>
      <w:lang w:val="en-US" w:eastAsia="zh-CN" w:bidi="ar-SA"/>
    </w:rPr>
  </w:style>
  <w:style w:type="character" w:customStyle="1" w:styleId="199">
    <w:name w:val="style31"/>
    <w:autoRedefine/>
    <w:qFormat/>
    <w:uiPriority w:val="0"/>
    <w:rPr>
      <w:sz w:val="10"/>
      <w:szCs w:val="10"/>
    </w:rPr>
  </w:style>
  <w:style w:type="character" w:customStyle="1" w:styleId="200">
    <w:name w:val="Char Char24"/>
    <w:autoRedefine/>
    <w:qFormat/>
    <w:uiPriority w:val="0"/>
    <w:rPr>
      <w:rFonts w:eastAsia="宋体"/>
      <w:b/>
      <w:bCs/>
      <w:kern w:val="44"/>
      <w:sz w:val="44"/>
      <w:szCs w:val="44"/>
      <w:lang w:val="en-US" w:eastAsia="zh-CN" w:bidi="ar-SA"/>
    </w:rPr>
  </w:style>
  <w:style w:type="character" w:customStyle="1" w:styleId="201">
    <w:name w:val="intel3"/>
    <w:basedOn w:val="49"/>
    <w:autoRedefine/>
    <w:qFormat/>
    <w:uiPriority w:val="0"/>
  </w:style>
  <w:style w:type="character" w:customStyle="1" w:styleId="202">
    <w:name w:val="NormalCharacter"/>
    <w:autoRedefine/>
    <w:qFormat/>
    <w:uiPriority w:val="0"/>
    <w:rPr>
      <w:rFonts w:ascii="Calibri" w:hAnsi="Calibri" w:eastAsia="宋体" w:cs="Times New Roman"/>
      <w:sz w:val="21"/>
      <w:szCs w:val="21"/>
      <w:lang w:val="en-US" w:eastAsia="zh-CN" w:bidi="ar-SA"/>
    </w:rPr>
  </w:style>
  <w:style w:type="character" w:customStyle="1" w:styleId="203">
    <w:name w:val="normaltext1"/>
    <w:autoRedefine/>
    <w:qFormat/>
    <w:uiPriority w:val="0"/>
    <w:rPr>
      <w:rFonts w:hint="default" w:ascii="ˎ̥" w:hAnsi="ˎ̥"/>
      <w:sz w:val="9"/>
      <w:szCs w:val="9"/>
    </w:rPr>
  </w:style>
  <w:style w:type="paragraph" w:customStyle="1" w:styleId="204">
    <w:name w:val="节"/>
    <w:basedOn w:val="3"/>
    <w:autoRedefine/>
    <w:qFormat/>
    <w:uiPriority w:val="0"/>
    <w:pPr>
      <w:numPr>
        <w:ilvl w:val="1"/>
        <w:numId w:val="4"/>
      </w:numPr>
      <w:spacing w:line="240" w:lineRule="auto"/>
    </w:pPr>
    <w:rPr>
      <w:rFonts w:ascii="黑体"/>
      <w:b w:val="0"/>
      <w:sz w:val="28"/>
      <w:szCs w:val="28"/>
    </w:rPr>
  </w:style>
  <w:style w:type="character" w:customStyle="1" w:styleId="205">
    <w:name w:val="font01"/>
    <w:basedOn w:val="49"/>
    <w:autoRedefine/>
    <w:qFormat/>
    <w:uiPriority w:val="0"/>
    <w:rPr>
      <w:rFonts w:hint="eastAsia" w:ascii="宋体" w:hAnsi="宋体" w:eastAsia="宋体" w:cs="宋体"/>
      <w:color w:val="000000"/>
      <w:sz w:val="22"/>
      <w:szCs w:val="22"/>
      <w:u w:val="none"/>
    </w:rPr>
  </w:style>
  <w:style w:type="character" w:customStyle="1" w:styleId="206">
    <w:name w:val="font11"/>
    <w:basedOn w:val="49"/>
    <w:autoRedefine/>
    <w:qFormat/>
    <w:uiPriority w:val="0"/>
    <w:rPr>
      <w:rFonts w:hint="default" w:ascii="Symbol" w:hAnsi="Symbol" w:cs="Symbol"/>
      <w:color w:val="000000"/>
      <w:sz w:val="22"/>
      <w:szCs w:val="22"/>
      <w:u w:val="none"/>
    </w:rPr>
  </w:style>
  <w:style w:type="paragraph" w:customStyle="1" w:styleId="207">
    <w:name w:val="Normal_0"/>
    <w:basedOn w:val="1"/>
    <w:autoRedefine/>
    <w:qFormat/>
    <w:uiPriority w:val="0"/>
    <w:rPr>
      <w:rFonts w:ascii="Times New Roman" w:hAnsi="Times New Roman" w:cs="Times New Roman"/>
      <w:szCs w:val="21"/>
    </w:rPr>
  </w:style>
  <w:style w:type="paragraph" w:customStyle="1" w:styleId="208">
    <w:name w:val="_Style 3"/>
    <w:basedOn w:val="1"/>
    <w:next w:val="1"/>
    <w:autoRedefine/>
    <w:qFormat/>
    <w:uiPriority w:val="0"/>
    <w:pPr>
      <w:pBdr>
        <w:top w:val="single" w:color="auto" w:sz="6" w:space="1"/>
      </w:pBdr>
      <w:jc w:val="center"/>
    </w:pPr>
    <w:rPr>
      <w:rFonts w:ascii="Arial" w:eastAsia="宋体"/>
      <w:vanish/>
      <w:sz w:val="16"/>
    </w:rPr>
  </w:style>
  <w:style w:type="paragraph" w:customStyle="1" w:styleId="209">
    <w:name w:val="样式"/>
    <w:next w:val="210"/>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10">
    <w:name w:val="kerning2lochf13hichaf2db"/>
    <w:autoRedefine/>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211">
    <w:name w:val="正文_7"/>
    <w:autoRedefine/>
    <w:qFormat/>
    <w:uiPriority w:val="0"/>
    <w:rPr>
      <w:rFonts w:ascii="Times New Roman" w:hAnsi="Times New Roman" w:eastAsia="宋体" w:cs="Times New Roman"/>
      <w:sz w:val="21"/>
      <w:lang w:val="en-US" w:eastAsia="zh-CN" w:bidi="ar-SA"/>
    </w:rPr>
  </w:style>
  <w:style w:type="paragraph" w:customStyle="1" w:styleId="212">
    <w:name w:val="样式 首行缩进:  2 字符"/>
    <w:basedOn w:val="1"/>
    <w:autoRedefine/>
    <w:qFormat/>
    <w:uiPriority w:val="0"/>
    <w:pPr>
      <w:ind w:firstLine="480" w:firstLineChars="200"/>
    </w:pPr>
    <w:rPr>
      <w:rFonts w:cs="宋体"/>
      <w:sz w:val="24"/>
      <w:szCs w:val="20"/>
    </w:rPr>
  </w:style>
  <w:style w:type="paragraph" w:customStyle="1" w:styleId="213">
    <w:name w:val="正文4"/>
    <w:basedOn w:val="1"/>
    <w:autoRedefine/>
    <w:qFormat/>
    <w:uiPriority w:val="0"/>
    <w:pPr>
      <w:tabs>
        <w:tab w:val="left" w:pos="8640"/>
      </w:tabs>
      <w:autoSpaceDE w:val="0"/>
      <w:autoSpaceDN w:val="0"/>
      <w:ind w:right="6"/>
      <w:jc w:val="center"/>
      <w:textAlignment w:val="bottom"/>
    </w:pPr>
    <w:rPr>
      <w:rFonts w:ascii="宋体"/>
      <w:kern w:val="0"/>
    </w:rPr>
  </w:style>
  <w:style w:type="paragraph" w:customStyle="1" w:styleId="214">
    <w:name w:val="UserStyle_0"/>
    <w:basedOn w:val="1"/>
    <w:autoRedefine/>
    <w:qFormat/>
    <w:uiPriority w:val="0"/>
    <w:pPr>
      <w:ind w:firstLine="560"/>
      <w:jc w:val="both"/>
      <w:textAlignment w:val="baseline"/>
    </w:pPr>
    <w:rPr>
      <w:rFonts w:ascii="宋体" w:hAnsi="宋体"/>
      <w:color w:val="FF0000"/>
      <w:kern w:val="2"/>
      <w:sz w:val="21"/>
      <w:szCs w:val="20"/>
      <w:lang w:val="en-US" w:eastAsia="zh-CN" w:bidi="ar-SA"/>
    </w:rPr>
  </w:style>
  <w:style w:type="character" w:customStyle="1" w:styleId="215">
    <w:name w:val="font51"/>
    <w:basedOn w:val="49"/>
    <w:autoRedefine/>
    <w:qFormat/>
    <w:uiPriority w:val="0"/>
    <w:rPr>
      <w:rFonts w:ascii="Times New Roman" w:hAnsi="Times New Roman" w:cs="Times New Roman"/>
      <w:color w:val="000000"/>
      <w:sz w:val="21"/>
      <w:szCs w:val="21"/>
      <w:u w:val="none"/>
    </w:rPr>
  </w:style>
  <w:style w:type="character" w:customStyle="1" w:styleId="216">
    <w:name w:val="font71"/>
    <w:basedOn w:val="49"/>
    <w:autoRedefine/>
    <w:qFormat/>
    <w:uiPriority w:val="0"/>
    <w:rPr>
      <w:rFonts w:hint="default" w:ascii="仿宋_GB2312" w:eastAsia="仿宋_GB2312" w:cs="仿宋_GB2312"/>
      <w:color w:val="000000"/>
      <w:sz w:val="24"/>
      <w:szCs w:val="24"/>
      <w:u w:val="none"/>
      <w:vertAlign w:val="subscript"/>
    </w:rPr>
  </w:style>
  <w:style w:type="paragraph" w:customStyle="1" w:styleId="217">
    <w:name w:val="正文_0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8">
    <w:name w:val="正文_16"/>
    <w:qFormat/>
    <w:uiPriority w:val="0"/>
    <w:rPr>
      <w:rFonts w:ascii="Times New Roman" w:hAnsi="Times New Roman" w:eastAsia="宋体" w:cs="Times New Roman"/>
      <w:sz w:val="21"/>
      <w:lang w:val="en-US" w:eastAsia="zh-CN" w:bidi="ar-SA"/>
    </w:rPr>
  </w:style>
  <w:style w:type="paragraph" w:customStyle="1" w:styleId="21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20">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221">
    <w:name w:val="无间隔1"/>
    <w:qFormat/>
    <w:uiPriority w:val="0"/>
    <w:pPr>
      <w:widowControl w:val="0"/>
      <w:jc w:val="both"/>
    </w:pPr>
    <w:rPr>
      <w:rFonts w:ascii="Calibri" w:hAnsi="Calibri" w:eastAsia="宋体" w:cs="Calibri"/>
      <w:kern w:val="2"/>
      <w:sz w:val="21"/>
      <w:szCs w:val="21"/>
      <w:lang w:val="en-US" w:eastAsia="zh-CN" w:bidi="ar-SA"/>
    </w:rPr>
  </w:style>
  <w:style w:type="character" w:customStyle="1" w:styleId="222">
    <w:name w:val="font21"/>
    <w:basedOn w:val="49"/>
    <w:qFormat/>
    <w:uiPriority w:val="0"/>
    <w:rPr>
      <w:rFonts w:hint="eastAsia" w:ascii="宋体" w:hAnsi="宋体" w:eastAsia="宋体" w:cs="宋体"/>
      <w:b/>
      <w:bCs/>
      <w:color w:val="000000"/>
      <w:sz w:val="20"/>
      <w:szCs w:val="20"/>
      <w:u w:val="none"/>
    </w:rPr>
  </w:style>
  <w:style w:type="character" w:customStyle="1" w:styleId="223">
    <w:name w:val="font31"/>
    <w:basedOn w:val="4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114</Pages>
  <Words>6039</Words>
  <Characters>6790</Characters>
  <Lines>169</Lines>
  <Paragraphs>47</Paragraphs>
  <TotalTime>139</TotalTime>
  <ScaleCrop>false</ScaleCrop>
  <LinksUpToDate>false</LinksUpToDate>
  <CharactersWithSpaces>6878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2017-04-27T03:24:00Z</dcterms:created>
  <dc:creator>Administrator</dc:creator>
  <cp:lastModifiedBy>赵</cp:lastModifiedBy>
  <cp:lastPrinted>2021-05-19T07:54:00Z</cp:lastPrinted>
  <dcterms:modified xsi:type="dcterms:W3CDTF">2024-11-11T05:24:55Z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58E8E79A93B5404ABF50659C6FF9E591_13</vt:lpwstr>
  </property>
</Properties>
</file>