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EB13B">
      <w:pPr>
        <w:keepNext w:val="0"/>
        <w:keepLines w:val="0"/>
        <w:pageBreakBefore w:val="0"/>
        <w:widowControl/>
        <w:kinsoku/>
        <w:wordWrap w:val="0"/>
        <w:overflowPunct/>
        <w:topLinePunct w:val="0"/>
        <w:bidi w:val="0"/>
        <w:spacing w:line="360" w:lineRule="auto"/>
        <w:jc w:val="center"/>
        <w:outlineLvl w:val="0"/>
        <w:rPr>
          <w:rFonts w:hint="eastAsia" w:ascii="黑体" w:hAnsi="黑体" w:eastAsia="黑体" w:cs="黑体"/>
          <w:b/>
          <w:bCs/>
          <w:snapToGrid w:val="0"/>
          <w:color w:val="auto"/>
          <w:spacing w:val="3"/>
          <w:kern w:val="0"/>
          <w:sz w:val="47"/>
          <w:szCs w:val="47"/>
          <w:lang w:val="en-US" w:eastAsia="zh-CN" w:bidi="ar-SA"/>
        </w:rPr>
      </w:pPr>
      <w:bookmarkStart w:id="0" w:name="_Toc4912"/>
    </w:p>
    <w:bookmarkEnd w:id="0"/>
    <w:p w14:paraId="4B6CE0C6">
      <w:pPr>
        <w:keepNext w:val="0"/>
        <w:keepLines w:val="0"/>
        <w:pageBreakBefore w:val="0"/>
        <w:widowControl/>
        <w:kinsoku/>
        <w:wordWrap w:val="0"/>
        <w:overflowPunct/>
        <w:topLinePunct w:val="0"/>
        <w:bidi w:val="0"/>
        <w:spacing w:line="360" w:lineRule="auto"/>
        <w:jc w:val="center"/>
        <w:outlineLvl w:val="0"/>
        <w:rPr>
          <w:rFonts w:hint="eastAsia" w:ascii="黑体" w:hAnsi="黑体" w:eastAsia="黑体" w:cs="黑体"/>
          <w:b/>
          <w:bCs/>
          <w:snapToGrid w:val="0"/>
          <w:color w:val="auto"/>
          <w:spacing w:val="3"/>
          <w:kern w:val="0"/>
          <w:sz w:val="47"/>
          <w:szCs w:val="47"/>
          <w:lang w:val="en-US" w:eastAsia="zh-CN" w:bidi="ar-SA"/>
        </w:rPr>
      </w:pPr>
      <w:r>
        <w:rPr>
          <w:rFonts w:hint="eastAsia" w:ascii="黑体" w:hAnsi="黑体" w:eastAsia="黑体" w:cs="黑体"/>
          <w:b/>
          <w:bCs/>
          <w:snapToGrid w:val="0"/>
          <w:color w:val="auto"/>
          <w:spacing w:val="3"/>
          <w:kern w:val="0"/>
          <w:sz w:val="47"/>
          <w:szCs w:val="47"/>
          <w:lang w:val="en-US" w:eastAsia="zh-CN" w:bidi="ar-SA"/>
        </w:rPr>
        <w:t>2025年进口医疗设备购置项目（眼科进口医疗设备）</w:t>
      </w:r>
    </w:p>
    <w:p w14:paraId="03D62D23">
      <w:pPr>
        <w:keepNext w:val="0"/>
        <w:keepLines w:val="0"/>
        <w:pageBreakBefore w:val="0"/>
        <w:widowControl/>
        <w:kinsoku/>
        <w:wordWrap w:val="0"/>
        <w:overflowPunct/>
        <w:topLinePunct w:val="0"/>
        <w:bidi w:val="0"/>
        <w:spacing w:line="360" w:lineRule="auto"/>
        <w:rPr>
          <w:rFonts w:hint="eastAsia" w:ascii="黑体" w:hAnsi="黑体" w:eastAsia="黑体" w:cs="黑体"/>
          <w:color w:val="auto"/>
          <w:sz w:val="21"/>
        </w:rPr>
      </w:pPr>
    </w:p>
    <w:p w14:paraId="35DF5948">
      <w:pPr>
        <w:pStyle w:val="6"/>
        <w:keepNext w:val="0"/>
        <w:keepLines w:val="0"/>
        <w:pageBreakBefore w:val="0"/>
        <w:widowControl/>
        <w:kinsoku/>
        <w:wordWrap w:val="0"/>
        <w:overflowPunct/>
        <w:topLinePunct w:val="0"/>
        <w:bidi w:val="0"/>
        <w:spacing w:before="202" w:line="360" w:lineRule="auto"/>
        <w:jc w:val="center"/>
        <w:outlineLvl w:val="0"/>
        <w:rPr>
          <w:rFonts w:hint="eastAsia" w:ascii="黑体" w:hAnsi="黑体" w:eastAsia="黑体" w:cs="黑体"/>
          <w:b/>
          <w:bCs/>
          <w:color w:val="auto"/>
          <w:spacing w:val="3"/>
          <w:sz w:val="47"/>
          <w:szCs w:val="47"/>
        </w:rPr>
      </w:pPr>
      <w:bookmarkStart w:id="1" w:name="_Toc9527"/>
    </w:p>
    <w:p w14:paraId="7F4E36F0">
      <w:pPr>
        <w:pStyle w:val="6"/>
        <w:keepNext w:val="0"/>
        <w:keepLines w:val="0"/>
        <w:pageBreakBefore w:val="0"/>
        <w:widowControl/>
        <w:kinsoku/>
        <w:wordWrap w:val="0"/>
        <w:overflowPunct/>
        <w:topLinePunct w:val="0"/>
        <w:bidi w:val="0"/>
        <w:spacing w:before="202" w:line="360" w:lineRule="auto"/>
        <w:jc w:val="center"/>
        <w:outlineLvl w:val="0"/>
        <w:rPr>
          <w:rFonts w:hint="eastAsia" w:ascii="黑体" w:hAnsi="黑体" w:eastAsia="黑体" w:cs="黑体"/>
          <w:b/>
          <w:bCs/>
          <w:color w:val="auto"/>
          <w:spacing w:val="6"/>
        </w:rPr>
      </w:pPr>
      <w:bookmarkStart w:id="2" w:name="_Toc28991"/>
      <w:bookmarkStart w:id="3" w:name="_Toc26749"/>
      <w:r>
        <w:rPr>
          <w:rFonts w:hint="eastAsia" w:ascii="黑体" w:hAnsi="黑体" w:eastAsia="黑体" w:cs="黑体"/>
          <w:b/>
          <w:bCs/>
          <w:color w:val="auto"/>
          <w:spacing w:val="3"/>
          <w:sz w:val="47"/>
          <w:szCs w:val="47"/>
        </w:rPr>
        <w:t>招标文件</w:t>
      </w:r>
      <w:bookmarkEnd w:id="1"/>
      <w:bookmarkEnd w:id="2"/>
      <w:bookmarkEnd w:id="3"/>
      <w:bookmarkStart w:id="4" w:name="_Toc467"/>
    </w:p>
    <w:p w14:paraId="72081349">
      <w:pPr>
        <w:pStyle w:val="6"/>
        <w:keepNext w:val="0"/>
        <w:keepLines w:val="0"/>
        <w:pageBreakBefore w:val="0"/>
        <w:widowControl/>
        <w:kinsoku/>
        <w:wordWrap w:val="0"/>
        <w:overflowPunct/>
        <w:topLinePunct w:val="0"/>
        <w:bidi w:val="0"/>
        <w:spacing w:before="202" w:line="360" w:lineRule="auto"/>
        <w:ind w:left="1478" w:leftChars="704" w:firstLine="0" w:firstLineChars="0"/>
        <w:jc w:val="both"/>
        <w:outlineLvl w:val="0"/>
        <w:rPr>
          <w:rFonts w:hint="eastAsia" w:ascii="黑体" w:hAnsi="黑体" w:eastAsia="黑体" w:cs="黑体"/>
          <w:color w:val="auto"/>
          <w:u w:val="none" w:color="auto"/>
          <w:lang w:val="en-US" w:eastAsia="zh-CN"/>
        </w:rPr>
      </w:pPr>
      <w:bookmarkStart w:id="5" w:name="_Toc1985"/>
      <w:bookmarkStart w:id="6" w:name="_Toc511"/>
      <w:r>
        <w:rPr>
          <w:rFonts w:hint="eastAsia" w:ascii="黑体" w:hAnsi="黑体" w:eastAsia="黑体" w:cs="黑体"/>
          <w:b/>
          <w:bCs/>
          <w:color w:val="auto"/>
          <w:spacing w:val="6"/>
        </w:rPr>
        <w:t>项目编号：</w:t>
      </w:r>
      <w:bookmarkEnd w:id="4"/>
      <w:bookmarkEnd w:id="5"/>
      <w:bookmarkEnd w:id="6"/>
      <w:r>
        <w:rPr>
          <w:rFonts w:hint="eastAsia" w:ascii="黑体" w:hAnsi="黑体" w:eastAsia="黑体" w:cs="黑体"/>
          <w:b/>
          <w:bCs/>
          <w:color w:val="auto"/>
          <w:spacing w:val="8"/>
          <w:u w:val="none" w:color="auto"/>
          <w:lang w:eastAsia="zh-CN"/>
        </w:rPr>
        <w:t>ZBGJKSDQ(GK)202</w:t>
      </w:r>
      <w:r>
        <w:rPr>
          <w:rFonts w:hint="eastAsia" w:ascii="黑体" w:hAnsi="黑体" w:eastAsia="黑体" w:cs="黑体"/>
          <w:b/>
          <w:bCs/>
          <w:color w:val="auto"/>
          <w:spacing w:val="8"/>
          <w:u w:val="none" w:color="auto"/>
          <w:lang w:val="en-US" w:eastAsia="zh-CN"/>
        </w:rPr>
        <w:t>5</w:t>
      </w:r>
      <w:r>
        <w:rPr>
          <w:rFonts w:hint="eastAsia" w:ascii="黑体" w:hAnsi="黑体" w:eastAsia="黑体" w:cs="黑体"/>
          <w:b/>
          <w:bCs/>
          <w:color w:val="auto"/>
          <w:spacing w:val="8"/>
          <w:u w:val="none" w:color="auto"/>
          <w:lang w:eastAsia="zh-CN"/>
        </w:rPr>
        <w:t>-0</w:t>
      </w:r>
      <w:r>
        <w:rPr>
          <w:rFonts w:hint="eastAsia" w:ascii="黑体" w:hAnsi="黑体" w:eastAsia="黑体" w:cs="黑体"/>
          <w:b/>
          <w:bCs/>
          <w:color w:val="auto"/>
          <w:spacing w:val="8"/>
          <w:u w:val="none" w:color="auto"/>
          <w:lang w:val="en-US" w:eastAsia="zh-CN"/>
        </w:rPr>
        <w:t>8</w:t>
      </w:r>
    </w:p>
    <w:p w14:paraId="3058786B">
      <w:pPr>
        <w:keepNext w:val="0"/>
        <w:keepLines w:val="0"/>
        <w:pageBreakBefore w:val="0"/>
        <w:widowControl/>
        <w:kinsoku/>
        <w:wordWrap w:val="0"/>
        <w:overflowPunct/>
        <w:topLinePunct w:val="0"/>
        <w:bidi w:val="0"/>
        <w:spacing w:line="360" w:lineRule="auto"/>
        <w:rPr>
          <w:rFonts w:hint="eastAsia" w:ascii="黑体" w:hAnsi="黑体" w:eastAsia="黑体" w:cs="黑体"/>
          <w:color w:val="auto"/>
          <w:sz w:val="21"/>
        </w:rPr>
      </w:pPr>
    </w:p>
    <w:p w14:paraId="30AB1A67">
      <w:pPr>
        <w:keepNext w:val="0"/>
        <w:keepLines w:val="0"/>
        <w:pageBreakBefore w:val="0"/>
        <w:widowControl/>
        <w:kinsoku/>
        <w:wordWrap w:val="0"/>
        <w:overflowPunct/>
        <w:topLinePunct w:val="0"/>
        <w:bidi w:val="0"/>
        <w:spacing w:line="360" w:lineRule="auto"/>
        <w:ind w:left="1478" w:leftChars="704" w:firstLine="0" w:firstLineChars="0"/>
        <w:rPr>
          <w:rFonts w:hint="eastAsia" w:ascii="黑体" w:hAnsi="黑体" w:eastAsia="黑体" w:cs="黑体"/>
          <w:color w:val="auto"/>
          <w:sz w:val="21"/>
        </w:rPr>
      </w:pPr>
    </w:p>
    <w:p w14:paraId="6FB4F948">
      <w:pPr>
        <w:pStyle w:val="6"/>
        <w:keepNext w:val="0"/>
        <w:keepLines w:val="0"/>
        <w:pageBreakBefore w:val="0"/>
        <w:widowControl/>
        <w:kinsoku/>
        <w:wordWrap w:val="0"/>
        <w:overflowPunct/>
        <w:topLinePunct w:val="0"/>
        <w:bidi w:val="0"/>
        <w:spacing w:before="133" w:line="360" w:lineRule="auto"/>
        <w:ind w:left="1478" w:leftChars="704" w:firstLine="0" w:firstLineChars="0"/>
        <w:outlineLvl w:val="0"/>
        <w:rPr>
          <w:rFonts w:hint="eastAsia" w:ascii="黑体" w:hAnsi="黑体" w:eastAsia="黑体" w:cs="黑体"/>
          <w:color w:val="auto"/>
        </w:rPr>
      </w:pPr>
      <w:bookmarkStart w:id="7" w:name="_Toc9270"/>
      <w:bookmarkStart w:id="8" w:name="_Toc10465"/>
      <w:bookmarkStart w:id="9" w:name="_Toc6084"/>
      <w:r>
        <w:rPr>
          <w:rFonts w:hint="eastAsia" w:ascii="黑体" w:hAnsi="黑体" w:eastAsia="黑体" w:cs="黑体"/>
          <w:b/>
          <w:bCs/>
          <w:color w:val="auto"/>
          <w:spacing w:val="8"/>
        </w:rPr>
        <w:t>采购单位名称：</w:t>
      </w:r>
      <w:r>
        <w:rPr>
          <w:rFonts w:hint="eastAsia" w:ascii="黑体" w:hAnsi="黑体" w:eastAsia="黑体" w:cs="黑体"/>
          <w:b/>
          <w:bCs/>
          <w:color w:val="auto"/>
          <w:spacing w:val="8"/>
          <w:u w:val="single" w:color="auto"/>
        </w:rPr>
        <w:t>喀什地区第二人民医院</w:t>
      </w:r>
      <w:bookmarkEnd w:id="7"/>
      <w:bookmarkEnd w:id="8"/>
      <w:bookmarkEnd w:id="9"/>
    </w:p>
    <w:p w14:paraId="4FD7D857">
      <w:pPr>
        <w:pStyle w:val="6"/>
        <w:keepNext w:val="0"/>
        <w:keepLines w:val="0"/>
        <w:pageBreakBefore w:val="0"/>
        <w:widowControl/>
        <w:kinsoku/>
        <w:wordWrap w:val="0"/>
        <w:overflowPunct/>
        <w:topLinePunct w:val="0"/>
        <w:bidi w:val="0"/>
        <w:spacing w:before="135" w:line="360" w:lineRule="auto"/>
        <w:ind w:left="1478" w:leftChars="704" w:firstLine="0" w:firstLineChars="0"/>
        <w:rPr>
          <w:rFonts w:hint="eastAsia" w:ascii="黑体" w:hAnsi="黑体" w:eastAsia="黑体" w:cs="黑体"/>
          <w:color w:val="auto"/>
          <w:lang w:eastAsia="zh-CN"/>
        </w:rPr>
      </w:pPr>
      <w:r>
        <w:rPr>
          <w:rFonts w:hint="eastAsia" w:ascii="黑体" w:hAnsi="黑体" w:eastAsia="黑体" w:cs="黑体"/>
          <w:b/>
          <w:bCs/>
          <w:color w:val="auto"/>
          <w:spacing w:val="2"/>
        </w:rPr>
        <w:t>联系人：</w:t>
      </w:r>
      <w:r>
        <w:rPr>
          <w:rFonts w:hint="eastAsia" w:ascii="黑体" w:hAnsi="黑体" w:eastAsia="黑体" w:cs="黑体"/>
          <w:b/>
          <w:bCs/>
          <w:color w:val="auto"/>
          <w:spacing w:val="2"/>
          <w:u w:val="single" w:color="auto"/>
          <w:lang w:eastAsia="zh-CN"/>
        </w:rPr>
        <w:t>喀什地区第二人民医院</w:t>
      </w:r>
    </w:p>
    <w:p w14:paraId="01A3A2E2">
      <w:pPr>
        <w:pStyle w:val="6"/>
        <w:keepNext w:val="0"/>
        <w:keepLines w:val="0"/>
        <w:pageBreakBefore w:val="0"/>
        <w:widowControl/>
        <w:kinsoku/>
        <w:wordWrap w:val="0"/>
        <w:overflowPunct/>
        <w:topLinePunct w:val="0"/>
        <w:bidi w:val="0"/>
        <w:spacing w:before="135" w:line="360" w:lineRule="auto"/>
        <w:ind w:left="1478" w:leftChars="704" w:firstLine="0" w:firstLineChars="0"/>
        <w:rPr>
          <w:rFonts w:hint="eastAsia" w:ascii="黑体" w:hAnsi="黑体" w:eastAsia="黑体" w:cs="黑体"/>
          <w:color w:val="auto"/>
          <w:lang w:eastAsia="zh-CN"/>
        </w:rPr>
      </w:pPr>
      <w:r>
        <w:rPr>
          <w:rFonts w:hint="eastAsia" w:ascii="黑体" w:hAnsi="黑体" w:eastAsia="黑体" w:cs="黑体"/>
          <w:b/>
          <w:bCs/>
          <w:color w:val="auto"/>
        </w:rPr>
        <w:t>联系电话：</w:t>
      </w:r>
      <w:r>
        <w:rPr>
          <w:rFonts w:hint="eastAsia" w:ascii="黑体" w:hAnsi="黑体" w:eastAsia="黑体" w:cs="黑体"/>
          <w:b/>
          <w:bCs/>
          <w:color w:val="auto"/>
          <w:u w:val="single" w:color="auto"/>
          <w:lang w:eastAsia="zh-CN"/>
        </w:rPr>
        <w:t>0998-2229512</w:t>
      </w:r>
    </w:p>
    <w:p w14:paraId="2A954C93">
      <w:pPr>
        <w:keepNext w:val="0"/>
        <w:keepLines w:val="0"/>
        <w:pageBreakBefore w:val="0"/>
        <w:widowControl/>
        <w:kinsoku/>
        <w:wordWrap w:val="0"/>
        <w:overflowPunct/>
        <w:topLinePunct w:val="0"/>
        <w:bidi w:val="0"/>
        <w:spacing w:line="360" w:lineRule="auto"/>
        <w:ind w:left="1478" w:leftChars="704" w:firstLine="0" w:firstLineChars="0"/>
        <w:rPr>
          <w:rFonts w:hint="eastAsia" w:ascii="黑体" w:hAnsi="黑体" w:eastAsia="黑体" w:cs="黑体"/>
          <w:color w:val="auto"/>
          <w:sz w:val="21"/>
        </w:rPr>
      </w:pPr>
    </w:p>
    <w:p w14:paraId="23073E14">
      <w:pPr>
        <w:keepNext w:val="0"/>
        <w:keepLines w:val="0"/>
        <w:pageBreakBefore w:val="0"/>
        <w:widowControl/>
        <w:kinsoku/>
        <w:wordWrap w:val="0"/>
        <w:overflowPunct/>
        <w:topLinePunct w:val="0"/>
        <w:bidi w:val="0"/>
        <w:spacing w:line="360" w:lineRule="auto"/>
        <w:ind w:left="1478" w:leftChars="704" w:firstLine="0" w:firstLineChars="0"/>
        <w:rPr>
          <w:rFonts w:hint="eastAsia" w:ascii="黑体" w:hAnsi="黑体" w:eastAsia="黑体" w:cs="黑体"/>
          <w:color w:val="auto"/>
          <w:sz w:val="21"/>
        </w:rPr>
      </w:pPr>
    </w:p>
    <w:p w14:paraId="5C682DAF">
      <w:pPr>
        <w:keepNext w:val="0"/>
        <w:keepLines w:val="0"/>
        <w:pageBreakBefore w:val="0"/>
        <w:widowControl/>
        <w:kinsoku/>
        <w:wordWrap w:val="0"/>
        <w:overflowPunct/>
        <w:topLinePunct w:val="0"/>
        <w:bidi w:val="0"/>
        <w:spacing w:line="360" w:lineRule="auto"/>
        <w:rPr>
          <w:rFonts w:hint="eastAsia" w:ascii="黑体" w:hAnsi="黑体" w:eastAsia="黑体" w:cs="黑体"/>
          <w:color w:val="auto"/>
          <w:sz w:val="21"/>
        </w:rPr>
      </w:pPr>
    </w:p>
    <w:p w14:paraId="7C78B654">
      <w:pPr>
        <w:pStyle w:val="6"/>
        <w:keepNext w:val="0"/>
        <w:keepLines w:val="0"/>
        <w:pageBreakBefore w:val="0"/>
        <w:widowControl/>
        <w:kinsoku/>
        <w:wordWrap w:val="0"/>
        <w:overflowPunct/>
        <w:topLinePunct w:val="0"/>
        <w:bidi w:val="0"/>
        <w:spacing w:before="133" w:line="360" w:lineRule="auto"/>
        <w:ind w:left="1478" w:leftChars="704" w:firstLine="0" w:firstLineChars="0"/>
        <w:outlineLvl w:val="0"/>
        <w:rPr>
          <w:rFonts w:hint="eastAsia" w:ascii="黑体" w:hAnsi="黑体" w:eastAsia="黑体" w:cs="黑体"/>
          <w:color w:val="auto"/>
          <w:lang w:eastAsia="zh-CN"/>
        </w:rPr>
      </w:pPr>
      <w:bookmarkStart w:id="10" w:name="_Toc29270"/>
      <w:bookmarkStart w:id="11" w:name="_Toc29566"/>
      <w:bookmarkStart w:id="12" w:name="_Toc9548"/>
      <w:r>
        <w:rPr>
          <w:rFonts w:hint="eastAsia" w:ascii="黑体" w:hAnsi="黑体" w:eastAsia="黑体" w:cs="黑体"/>
          <w:b/>
          <w:bCs/>
          <w:color w:val="auto"/>
          <w:spacing w:val="9"/>
        </w:rPr>
        <w:t>代理机构名称：</w:t>
      </w:r>
      <w:r>
        <w:rPr>
          <w:rFonts w:hint="eastAsia" w:ascii="黑体" w:hAnsi="黑体" w:eastAsia="黑体" w:cs="黑体"/>
          <w:b/>
          <w:bCs/>
          <w:color w:val="auto"/>
          <w:spacing w:val="9"/>
          <w:u w:val="single" w:color="auto"/>
          <w:lang w:eastAsia="zh-CN"/>
        </w:rPr>
        <w:t>智博国际工程咨询有限公司</w:t>
      </w:r>
      <w:bookmarkEnd w:id="10"/>
      <w:bookmarkEnd w:id="11"/>
      <w:bookmarkEnd w:id="12"/>
    </w:p>
    <w:p w14:paraId="4DF1A9DC">
      <w:pPr>
        <w:pStyle w:val="6"/>
        <w:keepNext w:val="0"/>
        <w:keepLines w:val="0"/>
        <w:pageBreakBefore w:val="0"/>
        <w:widowControl/>
        <w:kinsoku/>
        <w:wordWrap w:val="0"/>
        <w:overflowPunct/>
        <w:topLinePunct w:val="0"/>
        <w:bidi w:val="0"/>
        <w:spacing w:before="133" w:line="360" w:lineRule="auto"/>
        <w:ind w:left="1478" w:leftChars="704" w:firstLine="0" w:firstLineChars="0"/>
        <w:rPr>
          <w:rFonts w:hint="eastAsia" w:ascii="黑体" w:hAnsi="黑体" w:eastAsia="黑体" w:cs="黑体"/>
          <w:color w:val="auto"/>
          <w:lang w:eastAsia="zh-CN"/>
        </w:rPr>
      </w:pPr>
      <w:r>
        <w:rPr>
          <w:rFonts w:hint="eastAsia" w:ascii="黑体" w:hAnsi="黑体" w:eastAsia="黑体" w:cs="黑体"/>
          <w:b/>
          <w:bCs/>
          <w:color w:val="auto"/>
          <w:spacing w:val="2"/>
        </w:rPr>
        <w:t>联系人：</w:t>
      </w:r>
      <w:r>
        <w:rPr>
          <w:rFonts w:hint="eastAsia" w:ascii="黑体" w:hAnsi="黑体" w:eastAsia="黑体" w:cs="黑体"/>
          <w:b/>
          <w:bCs/>
          <w:color w:val="auto"/>
          <w:spacing w:val="2"/>
          <w:u w:val="single" w:color="auto"/>
          <w:lang w:eastAsia="zh-CN"/>
        </w:rPr>
        <w:t>刘静</w:t>
      </w:r>
    </w:p>
    <w:p w14:paraId="03AF565F">
      <w:pPr>
        <w:pStyle w:val="6"/>
        <w:keepNext w:val="0"/>
        <w:keepLines w:val="0"/>
        <w:pageBreakBefore w:val="0"/>
        <w:widowControl/>
        <w:kinsoku/>
        <w:wordWrap w:val="0"/>
        <w:overflowPunct/>
        <w:topLinePunct w:val="0"/>
        <w:bidi w:val="0"/>
        <w:spacing w:before="135" w:line="360" w:lineRule="auto"/>
        <w:ind w:left="1478" w:leftChars="704" w:firstLine="0" w:firstLineChars="0"/>
        <w:rPr>
          <w:rFonts w:hint="eastAsia" w:ascii="黑体" w:hAnsi="黑体" w:eastAsia="黑体" w:cs="黑体"/>
          <w:color w:val="auto"/>
          <w:lang w:eastAsia="zh-CN"/>
        </w:rPr>
      </w:pPr>
      <w:r>
        <w:rPr>
          <w:rFonts w:hint="eastAsia" w:ascii="黑体" w:hAnsi="黑体" w:eastAsia="黑体" w:cs="黑体"/>
          <w:b/>
          <w:bCs/>
          <w:color w:val="auto"/>
          <w:spacing w:val="1"/>
        </w:rPr>
        <w:t>联系电话：</w:t>
      </w:r>
      <w:r>
        <w:rPr>
          <w:rFonts w:hint="eastAsia" w:ascii="黑体" w:hAnsi="黑体" w:eastAsia="黑体" w:cs="黑体"/>
          <w:b/>
          <w:bCs/>
          <w:color w:val="auto"/>
          <w:spacing w:val="1"/>
          <w:u w:val="single" w:color="auto"/>
          <w:lang w:eastAsia="zh-CN"/>
        </w:rPr>
        <w:t>18197668299</w:t>
      </w:r>
    </w:p>
    <w:p w14:paraId="47D48BD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7A32B5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617E3DF">
      <w:pPr>
        <w:rPr>
          <w:rFonts w:hint="eastAsia" w:ascii="黑体" w:hAnsi="黑体" w:eastAsia="黑体" w:cs="黑体"/>
          <w:b/>
          <w:bCs/>
          <w:snapToGrid w:val="0"/>
          <w:color w:val="auto"/>
          <w:spacing w:val="3"/>
          <w:kern w:val="0"/>
          <w:sz w:val="28"/>
          <w:szCs w:val="28"/>
          <w:lang w:val="en-US" w:eastAsia="en-US" w:bidi="ar-SA"/>
        </w:rPr>
      </w:pPr>
      <w:r>
        <w:rPr>
          <w:rFonts w:hint="eastAsia" w:ascii="黑体" w:hAnsi="黑体" w:eastAsia="黑体" w:cs="黑体"/>
          <w:b/>
          <w:bCs/>
          <w:snapToGrid w:val="0"/>
          <w:color w:val="auto"/>
          <w:spacing w:val="3"/>
          <w:kern w:val="0"/>
          <w:sz w:val="28"/>
          <w:szCs w:val="28"/>
          <w:lang w:val="en-US" w:eastAsia="en-US" w:bidi="ar-SA"/>
        </w:rPr>
        <w:br w:type="page"/>
      </w:r>
    </w:p>
    <w:p w14:paraId="271923CD">
      <w:pPr>
        <w:keepNext w:val="0"/>
        <w:keepLines w:val="0"/>
        <w:pageBreakBefore w:val="0"/>
        <w:widowControl/>
        <w:kinsoku/>
        <w:wordWrap w:val="0"/>
        <w:overflowPunct/>
        <w:topLinePunct w:val="0"/>
        <w:bidi w:val="0"/>
        <w:spacing w:before="0" w:beforeLines="0" w:after="0" w:afterLines="0" w:line="460" w:lineRule="exact"/>
        <w:ind w:left="0" w:leftChars="0" w:right="0" w:rightChars="0" w:firstLine="0" w:firstLineChars="0"/>
        <w:jc w:val="center"/>
        <w:rPr>
          <w:rFonts w:hint="eastAsia" w:ascii="黑体" w:hAnsi="黑体" w:eastAsia="黑体" w:cs="黑体"/>
          <w:snapToGrid w:val="0"/>
          <w:color w:val="auto"/>
          <w:kern w:val="0"/>
          <w:sz w:val="21"/>
          <w:szCs w:val="18"/>
          <w:lang w:val="en-US" w:eastAsia="en-US" w:bidi="ar-SA"/>
        </w:rPr>
      </w:pPr>
      <w:r>
        <w:rPr>
          <w:rFonts w:hint="eastAsia" w:ascii="黑体" w:hAnsi="黑体" w:eastAsia="黑体" w:cs="黑体"/>
          <w:b/>
          <w:bCs/>
          <w:snapToGrid w:val="0"/>
          <w:color w:val="auto"/>
          <w:spacing w:val="3"/>
          <w:kern w:val="0"/>
          <w:sz w:val="28"/>
          <w:szCs w:val="28"/>
          <w:lang w:val="en-US" w:eastAsia="en-US" w:bidi="ar-SA"/>
        </w:rPr>
        <w:t>目录</w:t>
      </w:r>
      <w:r>
        <w:rPr>
          <w:rFonts w:hint="eastAsia" w:ascii="黑体" w:hAnsi="黑体" w:eastAsia="黑体" w:cs="黑体"/>
          <w:color w:val="auto"/>
          <w:sz w:val="18"/>
          <w:szCs w:val="18"/>
        </w:rPr>
        <w:fldChar w:fldCharType="begin"/>
      </w:r>
      <w:r>
        <w:rPr>
          <w:rFonts w:hint="eastAsia" w:ascii="黑体" w:hAnsi="黑体" w:eastAsia="黑体" w:cs="黑体"/>
          <w:color w:val="auto"/>
          <w:sz w:val="18"/>
          <w:szCs w:val="18"/>
        </w:rPr>
        <w:instrText xml:space="preserve">TOC \o "1-1" \h \u </w:instrText>
      </w:r>
      <w:r>
        <w:rPr>
          <w:rFonts w:hint="eastAsia" w:ascii="黑体" w:hAnsi="黑体" w:eastAsia="黑体" w:cs="黑体"/>
          <w:color w:val="auto"/>
          <w:sz w:val="18"/>
          <w:szCs w:val="18"/>
        </w:rPr>
        <w:fldChar w:fldCharType="separate"/>
      </w:r>
    </w:p>
    <w:p w14:paraId="01CC903F">
      <w:pPr>
        <w:pStyle w:val="10"/>
        <w:tabs>
          <w:tab w:val="right" w:leader="dot" w:pos="8820"/>
        </w:tabs>
        <w:rPr>
          <w:rFonts w:hint="eastAsia" w:ascii="黑体" w:hAnsi="黑体" w:eastAsia="黑体" w:cs="黑体"/>
          <w:color w:val="auto"/>
        </w:rPr>
      </w:pPr>
    </w:p>
    <w:p w14:paraId="0C0A97C5">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_Toc3849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8"/>
          <w:sz w:val="24"/>
          <w:szCs w:val="24"/>
        </w:rPr>
        <w:t>第1章供应商须知</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_Toc3849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3CA0170">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_Toc24135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7"/>
          <w:sz w:val="24"/>
          <w:szCs w:val="24"/>
        </w:rPr>
        <w:t>第2章投标文件格式</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_Toc24135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CE7A983">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_Toc28038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3"/>
          <w:sz w:val="24"/>
          <w:szCs w:val="36"/>
        </w:rPr>
        <w:t>第3章投标邀请</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_Toc28038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FF7DA88">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_Toc21235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8"/>
          <w:sz w:val="24"/>
          <w:szCs w:val="36"/>
        </w:rPr>
        <w:t>第4章供应商须知资料表</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_Toc21235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42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4240C26">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_Toc17789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5"/>
          <w:sz w:val="24"/>
          <w:szCs w:val="24"/>
        </w:rPr>
        <w:t>第5章货物内容及项目要求</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_Toc17789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47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1F3D0B3">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_Toc23522 </w:instrText>
      </w:r>
      <w:r>
        <w:rPr>
          <w:rFonts w:hint="eastAsia" w:ascii="黑体" w:hAnsi="黑体" w:eastAsia="黑体" w:cs="黑体"/>
          <w:color w:val="auto"/>
          <w:sz w:val="24"/>
          <w:szCs w:val="21"/>
        </w:rPr>
        <w:fldChar w:fldCharType="separate"/>
      </w:r>
      <w:r>
        <w:rPr>
          <w:rFonts w:hint="eastAsia" w:ascii="黑体" w:hAnsi="黑体" w:eastAsia="黑体" w:cs="黑体"/>
          <w:bCs/>
          <w:color w:val="auto"/>
          <w:spacing w:val="5"/>
          <w:sz w:val="24"/>
          <w:szCs w:val="24"/>
        </w:rPr>
        <w:t>第6章评标方法和标准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_Toc23522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97BC0DE">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_Toc13149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1.1合同组成部分</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_Toc13149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B770D16">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_Toc857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1.2货物</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_Toc857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AEE5971">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_Toc27790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1.3价款</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_Toc27790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6EE7A20C">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_Toc20510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1.4付款方式和发票开具方式</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_Toc20510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243BE77F">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_Toc2001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1.5货物交付期限、地点和方式</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_Toc2001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CD56E69">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_Toc14785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1.6违约责任</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_Toc14785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75711BD1">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_Toc22598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1.7合同争议的解决</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_Toc22598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D49887A">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_Toc24937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1.8</w:t>
      </w:r>
      <w:r>
        <w:rPr>
          <w:rFonts w:hint="eastAsia" w:ascii="黑体" w:hAnsi="黑体" w:eastAsia="黑体" w:cs="黑体"/>
          <w:i w:val="0"/>
          <w:iCs w:val="0"/>
          <w:color w:val="auto"/>
          <w:sz w:val="24"/>
          <w:szCs w:val="32"/>
          <w:lang w:val="en-US" w:eastAsia="zh-CN"/>
        </w:rPr>
        <w:t>送达条款</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_Toc24937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380AABD">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_Toc21211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highlight w:val="none"/>
          <w:lang w:val="en-US" w:eastAsia="zh-CN"/>
        </w:rPr>
        <w:t>1.9</w:t>
      </w:r>
      <w:r>
        <w:rPr>
          <w:rFonts w:hint="eastAsia" w:ascii="黑体" w:hAnsi="黑体" w:eastAsia="黑体" w:cs="黑体"/>
          <w:i w:val="0"/>
          <w:iCs w:val="0"/>
          <w:color w:val="auto"/>
          <w:sz w:val="24"/>
          <w:szCs w:val="32"/>
          <w:highlight w:val="none"/>
        </w:rPr>
        <w:t>合同生效</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_Toc21211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69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6E206660">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_Toc26405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2.1定义</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_Toc26405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0B48CC2">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_Toc722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2.2技术规范</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_Toc722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3A073D4">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_Toc11997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2.3知识产权</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_Toc11997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12BF132">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_Toc21371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2.4包装和装运</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_Toc21371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CCDE1C8">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_Toc14743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2.5履约检查和问题反馈</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_Toc14743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0AD0DA3">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_Toc24781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2.6结算方式和付款条件</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_Toc24781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4ECDFE7">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_Toc7735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2.7技术资料和保密义务</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_Toc7735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6CAC81B">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_Toc19912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2.8质量保证</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_Toc19912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7F14C9CD">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_Toc17629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2.9货物的风险负担</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_Toc17629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7CD6695">
      <w:pPr>
        <w:rPr>
          <w:rFonts w:hint="eastAsia" w:ascii="黑体" w:hAnsi="黑体" w:eastAsia="黑体" w:cs="黑体"/>
          <w:color w:val="auto"/>
          <w:sz w:val="24"/>
          <w:szCs w:val="21"/>
        </w:rPr>
      </w:pPr>
      <w:r>
        <w:rPr>
          <w:rFonts w:hint="eastAsia" w:ascii="黑体" w:hAnsi="黑体" w:eastAsia="黑体" w:cs="黑体"/>
          <w:color w:val="auto"/>
          <w:sz w:val="24"/>
          <w:szCs w:val="21"/>
        </w:rPr>
        <w:br w:type="page"/>
      </w:r>
    </w:p>
    <w:p w14:paraId="0E34D1F1">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_Toc22199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2.10延迟交货</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_Toc22199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707063BF">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_Toc25227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2.11合同变更</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_Toc25227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5997360C">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_Toc18136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2.12合同转让和分包</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_Toc18136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9526120">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_Toc24260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2.13不可抗力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_Toc24260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73</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A4445A9">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_Toc29685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2.14税费</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_Toc29685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6C44C24">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_Toc23350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2.15乙方破产</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_Toc23350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6772F3B2">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_Toc14308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2.16合同中止、终止</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_Toc14308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79B31096">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_Toc5559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2.17检验和验收</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_Toc5559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3A06464">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_Toc24345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2.18通知和送达</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_Toc24345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AC177CD">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_Toc24341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2.19计量单位</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_Toc24341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267A4E05">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_Toc31912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2.20合同使用的文字和适用的法律</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_Toc31912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1A39F037">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_Toc30095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2.21履约保证金</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_Toc30095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9B9C12A">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_Toc22372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2.22合同份数</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_Toc22372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673D42D7">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_Toc18420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2.3知识产权</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_Toc18420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CFAE5E2">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_Toc265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2.9货物的风险负担</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_Toc265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76</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2DC16C7E">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_Toc3757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w:t>
      </w:r>
      <w:r>
        <w:rPr>
          <w:rFonts w:hint="eastAsia" w:ascii="黑体" w:hAnsi="黑体" w:eastAsia="黑体" w:cs="黑体"/>
          <w:i w:val="0"/>
          <w:iCs w:val="0"/>
          <w:color w:val="auto"/>
          <w:sz w:val="24"/>
          <w:szCs w:val="32"/>
          <w:lang w:val="en-US" w:eastAsia="zh-CN"/>
        </w:rPr>
        <w:t>3</w:t>
      </w:r>
      <w:r>
        <w:rPr>
          <w:rFonts w:hint="eastAsia" w:ascii="黑体" w:hAnsi="黑体" w:eastAsia="黑体" w:cs="黑体"/>
          <w:i w:val="0"/>
          <w:iCs w:val="0"/>
          <w:color w:val="auto"/>
          <w:sz w:val="24"/>
          <w:szCs w:val="32"/>
        </w:rPr>
        <w:t>不可抗力</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_Toc3757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4EC8E248">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_Toc28553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2.1</w:t>
      </w:r>
      <w:r>
        <w:rPr>
          <w:rFonts w:hint="eastAsia" w:ascii="黑体" w:hAnsi="黑体" w:eastAsia="黑体" w:cs="黑体"/>
          <w:i w:val="0"/>
          <w:iCs w:val="0"/>
          <w:color w:val="auto"/>
          <w:sz w:val="24"/>
          <w:szCs w:val="32"/>
          <w:lang w:val="en-US" w:eastAsia="zh-CN"/>
        </w:rPr>
        <w:t>7</w:t>
      </w:r>
      <w:r>
        <w:rPr>
          <w:rFonts w:hint="eastAsia" w:ascii="黑体" w:hAnsi="黑体" w:eastAsia="黑体" w:cs="黑体"/>
          <w:i w:val="0"/>
          <w:iCs w:val="0"/>
          <w:color w:val="auto"/>
          <w:sz w:val="24"/>
          <w:szCs w:val="32"/>
        </w:rPr>
        <w:t>检验和验收</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_Toc28553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2B46B7FD">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_Toc21065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2.21履约保证金</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_Toc21065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E0502AA">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_Toc29178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rPr>
        <w:t>2.</w:t>
      </w:r>
      <w:r>
        <w:rPr>
          <w:rFonts w:hint="eastAsia" w:ascii="黑体" w:hAnsi="黑体" w:eastAsia="黑体" w:cs="黑体"/>
          <w:i w:val="0"/>
          <w:iCs w:val="0"/>
          <w:color w:val="auto"/>
          <w:sz w:val="24"/>
          <w:szCs w:val="32"/>
          <w:lang w:val="en-US" w:eastAsia="zh-CN"/>
        </w:rPr>
        <w:t>22</w:t>
      </w:r>
      <w:r>
        <w:rPr>
          <w:rFonts w:hint="eastAsia" w:ascii="黑体" w:hAnsi="黑体" w:eastAsia="黑体" w:cs="黑体"/>
          <w:i w:val="0"/>
          <w:iCs w:val="0"/>
          <w:color w:val="auto"/>
          <w:sz w:val="24"/>
          <w:szCs w:val="32"/>
        </w:rPr>
        <w:t>合同份数</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_Toc29178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040A178F">
      <w:pPr>
        <w:pStyle w:val="10"/>
        <w:tabs>
          <w:tab w:val="right" w:leader="dot" w:pos="8820"/>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_Toc29510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lang w:val="en-US" w:eastAsia="zh-CN"/>
        </w:rPr>
        <w:t>2.23质保期</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_Toc29510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37C8C22D">
      <w:pPr>
        <w:pStyle w:val="10"/>
        <w:tabs>
          <w:tab w:val="right" w:leader="dot" w:pos="8820"/>
        </w:tabs>
        <w:spacing w:line="360" w:lineRule="auto"/>
        <w:rPr>
          <w:rFonts w:hint="eastAsia" w:ascii="黑体" w:hAnsi="黑体" w:eastAsia="黑体" w:cs="黑体"/>
          <w:color w:val="auto"/>
        </w:rPr>
      </w:pPr>
      <w:r>
        <w:rPr>
          <w:rFonts w:hint="eastAsia" w:ascii="黑体" w:hAnsi="黑体" w:eastAsia="黑体" w:cs="黑体"/>
          <w:color w:val="auto"/>
          <w:sz w:val="24"/>
          <w:szCs w:val="21"/>
        </w:rPr>
        <w:fldChar w:fldCharType="begin"/>
      </w:r>
      <w:r>
        <w:rPr>
          <w:rFonts w:hint="eastAsia" w:ascii="黑体" w:hAnsi="黑体" w:eastAsia="黑体" w:cs="黑体"/>
          <w:color w:val="auto"/>
          <w:sz w:val="24"/>
          <w:szCs w:val="21"/>
        </w:rPr>
        <w:instrText xml:space="preserve"> HYPERLINK \l _Toc26036 </w:instrText>
      </w:r>
      <w:r>
        <w:rPr>
          <w:rFonts w:hint="eastAsia" w:ascii="黑体" w:hAnsi="黑体" w:eastAsia="黑体" w:cs="黑体"/>
          <w:color w:val="auto"/>
          <w:sz w:val="24"/>
          <w:szCs w:val="21"/>
        </w:rPr>
        <w:fldChar w:fldCharType="separate"/>
      </w:r>
      <w:r>
        <w:rPr>
          <w:rFonts w:hint="eastAsia" w:ascii="黑体" w:hAnsi="黑体" w:eastAsia="黑体" w:cs="黑体"/>
          <w:i w:val="0"/>
          <w:iCs w:val="0"/>
          <w:color w:val="auto"/>
          <w:sz w:val="24"/>
          <w:szCs w:val="32"/>
          <w:lang w:val="en-US" w:eastAsia="zh-CN"/>
        </w:rPr>
        <w:t>2.24售后服务</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_Toc26036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1"/>
        </w:rPr>
        <w:fldChar w:fldCharType="end"/>
      </w:r>
    </w:p>
    <w:p w14:paraId="76A9DDE4">
      <w:pPr>
        <w:keepNext w:val="0"/>
        <w:keepLines w:val="0"/>
        <w:pageBreakBefore w:val="0"/>
        <w:widowControl/>
        <w:kinsoku/>
        <w:wordWrap w:val="0"/>
        <w:overflowPunct/>
        <w:topLinePunct w:val="0"/>
        <w:bidi w:val="0"/>
        <w:spacing w:before="0" w:beforeLines="0" w:after="0" w:afterLines="0" w:line="240" w:lineRule="auto"/>
        <w:ind w:left="0" w:leftChars="0" w:right="0" w:rightChars="0" w:firstLine="0" w:firstLineChars="0"/>
        <w:jc w:val="center"/>
        <w:rPr>
          <w:rFonts w:hint="eastAsia" w:ascii="黑体" w:hAnsi="黑体" w:eastAsia="黑体" w:cs="黑体"/>
          <w:color w:val="auto"/>
          <w:lang w:val="en-US" w:eastAsia="zh-CN"/>
        </w:rPr>
        <w:sectPr>
          <w:headerReference r:id="rId5" w:type="default"/>
          <w:footerReference r:id="rId6" w:type="default"/>
          <w:pgSz w:w="11906" w:h="16839"/>
          <w:pgMar w:top="400" w:right="1301" w:bottom="0" w:left="1785" w:header="0" w:footer="0" w:gutter="0"/>
          <w:cols w:space="720" w:num="1"/>
        </w:sectPr>
      </w:pPr>
      <w:r>
        <w:rPr>
          <w:rFonts w:hint="eastAsia" w:ascii="黑体" w:hAnsi="黑体" w:eastAsia="黑体" w:cs="黑体"/>
          <w:color w:val="auto"/>
          <w:szCs w:val="18"/>
        </w:rPr>
        <w:fldChar w:fldCharType="end"/>
      </w:r>
    </w:p>
    <w:p w14:paraId="4D0542E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jc w:val="center"/>
        <w:textAlignment w:val="baseline"/>
        <w:outlineLvl w:val="0"/>
        <w:rPr>
          <w:rFonts w:hint="eastAsia" w:ascii="黑体" w:hAnsi="黑体" w:eastAsia="黑体" w:cs="黑体"/>
          <w:color w:val="auto"/>
        </w:rPr>
      </w:pPr>
      <w:bookmarkStart w:id="13" w:name="bookmark2"/>
      <w:bookmarkEnd w:id="13"/>
      <w:bookmarkStart w:id="14" w:name="bookmark1"/>
      <w:bookmarkEnd w:id="14"/>
      <w:bookmarkStart w:id="15" w:name="_Toc3849"/>
      <w:r>
        <w:rPr>
          <w:rFonts w:hint="eastAsia" w:ascii="黑体" w:hAnsi="黑体" w:eastAsia="黑体" w:cs="黑体"/>
          <w:b/>
          <w:bCs/>
          <w:color w:val="auto"/>
          <w:spacing w:val="8"/>
        </w:rPr>
        <w:t>第1章供应商须知</w:t>
      </w:r>
      <w:bookmarkEnd w:id="15"/>
    </w:p>
    <w:p w14:paraId="38E72F6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jc w:val="center"/>
        <w:textAlignment w:val="baseline"/>
        <w:outlineLvl w:val="1"/>
        <w:rPr>
          <w:rFonts w:hint="eastAsia" w:ascii="黑体" w:hAnsi="黑体" w:eastAsia="黑体" w:cs="黑体"/>
          <w:color w:val="auto"/>
          <w:sz w:val="28"/>
          <w:szCs w:val="28"/>
        </w:rPr>
      </w:pPr>
      <w:r>
        <w:rPr>
          <w:rFonts w:hint="eastAsia" w:ascii="黑体" w:hAnsi="黑体" w:eastAsia="黑体" w:cs="黑体"/>
          <w:b/>
          <w:bCs/>
          <w:color w:val="auto"/>
          <w:spacing w:val="-4"/>
          <w:sz w:val="28"/>
          <w:szCs w:val="28"/>
        </w:rPr>
        <w:t>一总则</w:t>
      </w:r>
    </w:p>
    <w:p w14:paraId="6CF26A2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u w:val="none" w:color="auto"/>
        </w:rPr>
      </w:pPr>
      <w:r>
        <w:rPr>
          <w:rFonts w:hint="eastAsia" w:ascii="黑体" w:hAnsi="黑体" w:eastAsia="黑体" w:cs="黑体"/>
          <w:b/>
          <w:bCs/>
          <w:color w:val="auto"/>
          <w:spacing w:val="-2"/>
          <w:sz w:val="24"/>
          <w:szCs w:val="24"/>
          <w:u w:val="none" w:color="auto"/>
        </w:rPr>
        <w:t>1.采购人、采购代理机构及供应商</w:t>
      </w:r>
    </w:p>
    <w:p w14:paraId="79EA097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rightChars="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1.1采购人：是指依法开展政府采购活动的国家</w:t>
      </w:r>
      <w:r>
        <w:rPr>
          <w:rFonts w:hint="eastAsia" w:ascii="黑体" w:hAnsi="黑体" w:eastAsia="黑体" w:cs="黑体"/>
          <w:color w:val="auto"/>
          <w:spacing w:val="-2"/>
          <w:sz w:val="24"/>
          <w:szCs w:val="24"/>
        </w:rPr>
        <w:t>机关、事业单位、团体组织。</w:t>
      </w:r>
      <w:r>
        <w:rPr>
          <w:rFonts w:hint="eastAsia" w:ascii="黑体" w:hAnsi="黑体" w:eastAsia="黑体" w:cs="黑体"/>
          <w:color w:val="auto"/>
          <w:spacing w:val="-1"/>
          <w:sz w:val="24"/>
          <w:szCs w:val="24"/>
        </w:rPr>
        <w:t>本项目的采购人见</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w:t>
      </w:r>
    </w:p>
    <w:p w14:paraId="4EB20E4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6"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1.2采购代理机构：是指在集中采购机构或从事采购代理业务</w:t>
      </w:r>
      <w:r>
        <w:rPr>
          <w:rFonts w:hint="eastAsia" w:ascii="黑体" w:hAnsi="黑体" w:eastAsia="黑体" w:cs="黑体"/>
          <w:color w:val="auto"/>
          <w:spacing w:val="3"/>
          <w:sz w:val="24"/>
          <w:szCs w:val="24"/>
        </w:rPr>
        <w:t>的社会中介机</w:t>
      </w:r>
      <w:r>
        <w:rPr>
          <w:rFonts w:hint="eastAsia" w:ascii="黑体" w:hAnsi="黑体" w:eastAsia="黑体" w:cs="黑体"/>
          <w:color w:val="auto"/>
          <w:spacing w:val="-1"/>
          <w:sz w:val="24"/>
          <w:szCs w:val="24"/>
        </w:rPr>
        <w:t>构。本项目的采购代理机构见</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w:t>
      </w:r>
    </w:p>
    <w:p w14:paraId="2BADD68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9"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1.3供应商：是指向采购人提供货物、工程或者服务的法人、非法人组织或</w:t>
      </w:r>
      <w:r>
        <w:rPr>
          <w:rFonts w:hint="eastAsia" w:ascii="黑体" w:hAnsi="黑体" w:eastAsia="黑体" w:cs="黑体"/>
          <w:color w:val="auto"/>
          <w:sz w:val="24"/>
          <w:szCs w:val="24"/>
        </w:rPr>
        <w:t>者自然人。本项目的供应商及其投标货物须满足以下</w:t>
      </w:r>
      <w:r>
        <w:rPr>
          <w:rFonts w:hint="eastAsia" w:ascii="黑体" w:hAnsi="黑体" w:eastAsia="黑体" w:cs="黑体"/>
          <w:color w:val="auto"/>
          <w:spacing w:val="-1"/>
          <w:sz w:val="24"/>
          <w:szCs w:val="24"/>
        </w:rPr>
        <w:t>条件：</w:t>
      </w:r>
    </w:p>
    <w:p w14:paraId="7C339E4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1.3.1在中华人民共和国境内注册，能够独立承担</w:t>
      </w:r>
      <w:r>
        <w:rPr>
          <w:rFonts w:hint="eastAsia" w:ascii="黑体" w:hAnsi="黑体" w:eastAsia="黑体" w:cs="黑体"/>
          <w:color w:val="auto"/>
          <w:spacing w:val="-2"/>
          <w:sz w:val="24"/>
          <w:szCs w:val="24"/>
        </w:rPr>
        <w:t>民事责任，有生产或供应能</w:t>
      </w:r>
      <w:r>
        <w:rPr>
          <w:rFonts w:hint="eastAsia" w:ascii="黑体" w:hAnsi="黑体" w:eastAsia="黑体" w:cs="黑体"/>
          <w:color w:val="auto"/>
          <w:spacing w:val="-1"/>
          <w:sz w:val="24"/>
          <w:szCs w:val="24"/>
        </w:rPr>
        <w:t>力的本国供应商。</w:t>
      </w:r>
    </w:p>
    <w:p w14:paraId="54884FE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1.3.2具备《中华人民共和国政府采购法》第二十二条关于供应商条件的规定，</w:t>
      </w:r>
      <w:r>
        <w:rPr>
          <w:rFonts w:hint="eastAsia" w:ascii="黑体" w:hAnsi="黑体" w:eastAsia="黑体" w:cs="黑体"/>
          <w:color w:val="auto"/>
          <w:sz w:val="24"/>
          <w:szCs w:val="24"/>
        </w:rPr>
        <w:t>遵守本项目采购人本级和上级财政部门政府采购的</w:t>
      </w:r>
      <w:r>
        <w:rPr>
          <w:rFonts w:hint="eastAsia" w:ascii="黑体" w:hAnsi="黑体" w:eastAsia="黑体" w:cs="黑体"/>
          <w:color w:val="auto"/>
          <w:spacing w:val="-1"/>
          <w:sz w:val="24"/>
          <w:szCs w:val="24"/>
        </w:rPr>
        <w:t>有关规定。</w:t>
      </w:r>
    </w:p>
    <w:p w14:paraId="1EFEE1B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1.3.3以采购代理机构认可的方式获得了本项目的招标文件。</w:t>
      </w:r>
    </w:p>
    <w:p w14:paraId="001444D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1.3.4符合</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中规定的其他要求。</w:t>
      </w:r>
    </w:p>
    <w:p w14:paraId="5395E50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1.3.5若</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中写明专门面向中小企业采购的，</w:t>
      </w:r>
      <w:r>
        <w:rPr>
          <w:rFonts w:hint="eastAsia" w:ascii="黑体" w:hAnsi="黑体" w:eastAsia="黑体" w:cs="黑体"/>
          <w:color w:val="auto"/>
          <w:spacing w:val="-2"/>
          <w:sz w:val="24"/>
          <w:szCs w:val="24"/>
        </w:rPr>
        <w:t>如供应商为非中小企业且所投产品为非中小企业产品，其投标将被认定为</w:t>
      </w:r>
      <w:r>
        <w:rPr>
          <w:rFonts w:hint="eastAsia" w:ascii="黑体" w:hAnsi="黑体" w:eastAsia="黑体" w:cs="黑体"/>
          <w:b/>
          <w:bCs/>
          <w:color w:val="auto"/>
          <w:spacing w:val="-2"/>
          <w:sz w:val="24"/>
          <w:szCs w:val="24"/>
        </w:rPr>
        <w:t>投标无效</w:t>
      </w:r>
      <w:r>
        <w:rPr>
          <w:rFonts w:hint="eastAsia" w:ascii="黑体" w:hAnsi="黑体" w:eastAsia="黑体" w:cs="黑体"/>
          <w:color w:val="auto"/>
          <w:spacing w:val="-2"/>
          <w:sz w:val="24"/>
          <w:szCs w:val="24"/>
        </w:rPr>
        <w:t>。</w:t>
      </w:r>
    </w:p>
    <w:p w14:paraId="62FD834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2" w:firstLineChars="176"/>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1.4如</w:t>
      </w:r>
      <w:r>
        <w:rPr>
          <w:rFonts w:hint="eastAsia" w:ascii="黑体" w:hAnsi="黑体" w:eastAsia="黑体" w:cs="黑体"/>
          <w:color w:val="auto"/>
          <w:sz w:val="24"/>
          <w:szCs w:val="24"/>
          <w:u w:val="single" w:color="auto"/>
        </w:rPr>
        <w:t>供应商须知资料表</w:t>
      </w:r>
      <w:r>
        <w:rPr>
          <w:rFonts w:hint="eastAsia" w:ascii="黑体" w:hAnsi="黑体" w:eastAsia="黑体" w:cs="黑体"/>
          <w:color w:val="auto"/>
          <w:sz w:val="24"/>
          <w:szCs w:val="24"/>
        </w:rPr>
        <w:t>中允许联合体投标</w:t>
      </w:r>
      <w:r>
        <w:rPr>
          <w:rFonts w:hint="eastAsia" w:ascii="黑体" w:hAnsi="黑体" w:eastAsia="黑体" w:cs="黑体"/>
          <w:color w:val="auto"/>
          <w:spacing w:val="-1"/>
          <w:sz w:val="24"/>
          <w:szCs w:val="24"/>
        </w:rPr>
        <w:t>，对联合体规定如下：</w:t>
      </w:r>
    </w:p>
    <w:p w14:paraId="22C11F6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1.4.1两个以上供应商可以组成一</w:t>
      </w:r>
      <w:r>
        <w:rPr>
          <w:rFonts w:hint="eastAsia" w:ascii="黑体" w:hAnsi="黑体" w:eastAsia="黑体" w:cs="黑体"/>
          <w:color w:val="auto"/>
          <w:spacing w:val="-2"/>
          <w:sz w:val="24"/>
          <w:szCs w:val="24"/>
        </w:rPr>
        <w:t>个投标联合体，以一个供应商的身份投标。</w:t>
      </w:r>
    </w:p>
    <w:p w14:paraId="3177354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1.4.2联合体各方均应符合《中华人民共和国政府采购法》第</w:t>
      </w:r>
      <w:r>
        <w:rPr>
          <w:rFonts w:hint="eastAsia" w:ascii="黑体" w:hAnsi="黑体" w:eastAsia="黑体" w:cs="黑体"/>
          <w:color w:val="auto"/>
          <w:spacing w:val="-2"/>
          <w:sz w:val="24"/>
          <w:szCs w:val="24"/>
        </w:rPr>
        <w:t>二十二条规定的条件。</w:t>
      </w:r>
    </w:p>
    <w:p w14:paraId="112C6F1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1.4.3采购人根据采购项目对供应商的特殊要求，联合体中至</w:t>
      </w:r>
      <w:r>
        <w:rPr>
          <w:rFonts w:hint="eastAsia" w:ascii="黑体" w:hAnsi="黑体" w:eastAsia="黑体" w:cs="黑体"/>
          <w:color w:val="auto"/>
          <w:spacing w:val="-2"/>
          <w:sz w:val="24"/>
          <w:szCs w:val="24"/>
        </w:rPr>
        <w:t>少应当有一方符</w:t>
      </w:r>
      <w:r>
        <w:rPr>
          <w:rFonts w:hint="eastAsia" w:ascii="黑体" w:hAnsi="黑体" w:eastAsia="黑体" w:cs="黑体"/>
          <w:color w:val="auto"/>
          <w:spacing w:val="-1"/>
          <w:sz w:val="24"/>
          <w:szCs w:val="24"/>
        </w:rPr>
        <w:t>合相关规定。</w:t>
      </w:r>
    </w:p>
    <w:p w14:paraId="7FF37F7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1.4.4联合体各方应签订共同投标协议，明确约定联合体各方</w:t>
      </w:r>
      <w:r>
        <w:rPr>
          <w:rFonts w:hint="eastAsia" w:ascii="黑体" w:hAnsi="黑体" w:eastAsia="黑体" w:cs="黑体"/>
          <w:color w:val="auto"/>
          <w:spacing w:val="-2"/>
          <w:sz w:val="24"/>
          <w:szCs w:val="24"/>
        </w:rPr>
        <w:t>承担的工作和相</w:t>
      </w:r>
      <w:r>
        <w:rPr>
          <w:rFonts w:hint="eastAsia" w:ascii="黑体" w:hAnsi="黑体" w:eastAsia="黑体" w:cs="黑体"/>
          <w:color w:val="auto"/>
          <w:spacing w:val="-1"/>
          <w:sz w:val="24"/>
          <w:szCs w:val="24"/>
        </w:rPr>
        <w:t>应的责任，并将共同投标协议连同作为投标文件第一</w:t>
      </w:r>
      <w:r>
        <w:rPr>
          <w:rFonts w:hint="eastAsia" w:ascii="黑体" w:hAnsi="黑体" w:eastAsia="黑体" w:cs="黑体"/>
          <w:color w:val="auto"/>
          <w:spacing w:val="-2"/>
          <w:sz w:val="24"/>
          <w:szCs w:val="24"/>
        </w:rPr>
        <w:t>部分的内容提交。</w:t>
      </w:r>
    </w:p>
    <w:p w14:paraId="7F71FD4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1.4.5大中型企业、其他自然人、法人或者非法人组织与小型</w:t>
      </w:r>
      <w:r>
        <w:rPr>
          <w:rFonts w:hint="eastAsia" w:ascii="黑体" w:hAnsi="黑体" w:eastAsia="黑体" w:cs="黑体"/>
          <w:color w:val="auto"/>
          <w:spacing w:val="-2"/>
          <w:sz w:val="24"/>
          <w:szCs w:val="24"/>
        </w:rPr>
        <w:t>、微型企业组成</w:t>
      </w:r>
      <w:r>
        <w:rPr>
          <w:rFonts w:hint="eastAsia" w:ascii="黑体" w:hAnsi="黑体" w:eastAsia="黑体" w:cs="黑体"/>
          <w:color w:val="auto"/>
          <w:spacing w:val="-1"/>
          <w:sz w:val="24"/>
          <w:szCs w:val="24"/>
        </w:rPr>
        <w:t>联合体共同参加投标，共同投标协议中应写明小型、微型企业的协</w:t>
      </w:r>
      <w:r>
        <w:rPr>
          <w:rFonts w:hint="eastAsia" w:ascii="黑体" w:hAnsi="黑体" w:eastAsia="黑体" w:cs="黑体"/>
          <w:color w:val="auto"/>
          <w:spacing w:val="-2"/>
          <w:sz w:val="24"/>
          <w:szCs w:val="24"/>
        </w:rPr>
        <w:t>议合</w:t>
      </w:r>
      <w:r>
        <w:rPr>
          <w:rFonts w:hint="eastAsia" w:ascii="黑体" w:hAnsi="黑体" w:eastAsia="黑体" w:cs="黑体"/>
          <w:color w:val="auto"/>
          <w:spacing w:val="-1"/>
          <w:sz w:val="24"/>
          <w:szCs w:val="24"/>
        </w:rPr>
        <w:t>同金额占到共同投标协议投标总金额的比例。</w:t>
      </w:r>
    </w:p>
    <w:p w14:paraId="5EF2D1C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1.4.6联合体中有同类资质的供应商按照联合体分工承担相同工作的，按照较</w:t>
      </w:r>
      <w:r>
        <w:rPr>
          <w:rFonts w:hint="eastAsia" w:ascii="黑体" w:hAnsi="黑体" w:eastAsia="黑体" w:cs="黑体"/>
          <w:color w:val="auto"/>
          <w:spacing w:val="-1"/>
          <w:sz w:val="24"/>
          <w:szCs w:val="24"/>
        </w:rPr>
        <w:t>低的资质等级确定联合体的资质等级。</w:t>
      </w:r>
    </w:p>
    <w:p w14:paraId="13F1465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1.4.7以联合体形式参加政府采购活动的，联合体各方不得再单独参加或者与</w:t>
      </w:r>
      <w:r>
        <w:rPr>
          <w:rFonts w:hint="eastAsia" w:ascii="黑体" w:hAnsi="黑体" w:eastAsia="黑体" w:cs="黑体"/>
          <w:color w:val="auto"/>
          <w:spacing w:val="-1"/>
          <w:sz w:val="24"/>
          <w:szCs w:val="24"/>
        </w:rPr>
        <w:t>其他供应商另外组成联合体参加本项目投标，否则相关投标将被</w:t>
      </w:r>
      <w:r>
        <w:rPr>
          <w:rFonts w:hint="eastAsia" w:ascii="黑体" w:hAnsi="黑体" w:eastAsia="黑体" w:cs="黑体"/>
          <w:color w:val="auto"/>
          <w:spacing w:val="-2"/>
          <w:sz w:val="24"/>
          <w:szCs w:val="24"/>
        </w:rPr>
        <w:t>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354170C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1"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1.4.8对联合体投标的其他资格要求见</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w:t>
      </w:r>
    </w:p>
    <w:p w14:paraId="21CD9E0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1.5单位负责人为同一人或者存在直接控股、管理关系的不同供应商，其相</w:t>
      </w:r>
      <w:r>
        <w:rPr>
          <w:rFonts w:hint="eastAsia" w:ascii="黑体" w:hAnsi="黑体" w:eastAsia="黑体" w:cs="黑体"/>
          <w:color w:val="auto"/>
          <w:spacing w:val="-1"/>
          <w:sz w:val="24"/>
          <w:szCs w:val="24"/>
        </w:rPr>
        <w:t>关投标将被认定为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5FC3C33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1.6供应商在投标过程中不得向采购人提供、给予任何有价值的物品，影响</w:t>
      </w:r>
      <w:r>
        <w:rPr>
          <w:rFonts w:hint="eastAsia" w:ascii="黑体" w:hAnsi="黑体" w:eastAsia="黑体" w:cs="黑体"/>
          <w:color w:val="auto"/>
          <w:spacing w:val="-2"/>
          <w:sz w:val="24"/>
          <w:szCs w:val="24"/>
        </w:rPr>
        <w:t>其正常决策行为。一经发现，其将被认定为</w:t>
      </w:r>
      <w:r>
        <w:rPr>
          <w:rFonts w:hint="eastAsia" w:ascii="黑体" w:hAnsi="黑体" w:eastAsia="黑体" w:cs="黑体"/>
          <w:b/>
          <w:bCs/>
          <w:color w:val="auto"/>
          <w:spacing w:val="-2"/>
          <w:sz w:val="24"/>
          <w:szCs w:val="24"/>
        </w:rPr>
        <w:t>投标无效</w:t>
      </w:r>
      <w:r>
        <w:rPr>
          <w:rFonts w:hint="eastAsia" w:ascii="黑体" w:hAnsi="黑体" w:eastAsia="黑体" w:cs="黑体"/>
          <w:color w:val="auto"/>
          <w:spacing w:val="-2"/>
          <w:sz w:val="24"/>
          <w:szCs w:val="24"/>
        </w:rPr>
        <w:t>。</w:t>
      </w:r>
    </w:p>
    <w:p w14:paraId="4DD37BE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2.资金来源</w:t>
      </w:r>
    </w:p>
    <w:p w14:paraId="28FABFC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9" w:firstLineChars="165"/>
        <w:textAlignment w:val="baseline"/>
        <w:rPr>
          <w:rFonts w:hint="eastAsia" w:ascii="黑体" w:hAnsi="黑体" w:eastAsia="黑体" w:cs="黑体"/>
          <w:color w:val="auto"/>
          <w:sz w:val="24"/>
          <w:szCs w:val="24"/>
        </w:rPr>
      </w:pPr>
      <w:r>
        <w:rPr>
          <w:rFonts w:hint="eastAsia" w:ascii="黑体" w:hAnsi="黑体" w:eastAsia="黑体" w:cs="黑体"/>
          <w:color w:val="auto"/>
          <w:spacing w:val="7"/>
          <w:sz w:val="24"/>
          <w:szCs w:val="24"/>
        </w:rPr>
        <w:t>2.1本项目的采购人已获</w:t>
      </w:r>
      <w:r>
        <w:rPr>
          <w:rFonts w:hint="eastAsia" w:ascii="黑体" w:hAnsi="黑体" w:eastAsia="黑体" w:cs="黑体"/>
          <w:color w:val="auto"/>
          <w:spacing w:val="6"/>
          <w:sz w:val="24"/>
          <w:szCs w:val="24"/>
        </w:rPr>
        <w:t>得足以支付本次招标后所签订的合同项下的资金</w:t>
      </w:r>
      <w:r>
        <w:rPr>
          <w:rFonts w:hint="eastAsia" w:ascii="黑体" w:hAnsi="黑体" w:eastAsia="黑体" w:cs="黑体"/>
          <w:color w:val="auto"/>
          <w:spacing w:val="5"/>
          <w:sz w:val="24"/>
          <w:szCs w:val="24"/>
        </w:rPr>
        <w:t>（包括财政性资金和本项目采购中无法与财政性资金分割的非财政性</w:t>
      </w:r>
      <w:r>
        <w:rPr>
          <w:rFonts w:hint="eastAsia" w:ascii="黑体" w:hAnsi="黑体" w:eastAsia="黑体" w:cs="黑体"/>
          <w:color w:val="auto"/>
          <w:spacing w:val="2"/>
          <w:sz w:val="24"/>
          <w:szCs w:val="24"/>
        </w:rPr>
        <w:t>资金）。</w:t>
      </w:r>
    </w:p>
    <w:p w14:paraId="4514AA2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99" w:firstLineChars="16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2.2项目预算金额和分项或分包最高限价</w:t>
      </w:r>
      <w:r>
        <w:rPr>
          <w:rFonts w:hint="eastAsia" w:ascii="黑体" w:hAnsi="黑体" w:eastAsia="黑体" w:cs="黑体"/>
          <w:color w:val="auto"/>
          <w:spacing w:val="1"/>
          <w:sz w:val="24"/>
          <w:szCs w:val="24"/>
          <w:u w:val="single" w:color="auto"/>
        </w:rPr>
        <w:t>见供应商须知资料表</w:t>
      </w:r>
      <w:r>
        <w:rPr>
          <w:rFonts w:hint="eastAsia" w:ascii="黑体" w:hAnsi="黑体" w:eastAsia="黑体" w:cs="黑体"/>
          <w:color w:val="auto"/>
          <w:spacing w:val="1"/>
          <w:sz w:val="24"/>
          <w:szCs w:val="24"/>
        </w:rPr>
        <w:t>。</w:t>
      </w:r>
    </w:p>
    <w:p w14:paraId="519C2D5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99" w:firstLineChars="16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2.3供应商报价超过招标文件规定的预算金额或者分项、分包最高限价的，</w:t>
      </w:r>
      <w:r>
        <w:rPr>
          <w:rFonts w:hint="eastAsia" w:ascii="黑体" w:hAnsi="黑体" w:eastAsia="黑体" w:cs="黑体"/>
          <w:color w:val="auto"/>
          <w:spacing w:val="-1"/>
          <w:sz w:val="24"/>
          <w:szCs w:val="24"/>
        </w:rPr>
        <w:t>其投标将被认定为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55483F6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3.投标费用</w:t>
      </w:r>
    </w:p>
    <w:p w14:paraId="699E407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67"/>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不论投标的结果如何，供应商应承担所有与准备和参加投标有关的费</w:t>
      </w:r>
      <w:r>
        <w:rPr>
          <w:rFonts w:hint="eastAsia" w:ascii="黑体" w:hAnsi="黑体" w:eastAsia="黑体" w:cs="黑体"/>
          <w:color w:val="auto"/>
          <w:spacing w:val="-3"/>
          <w:sz w:val="24"/>
          <w:szCs w:val="24"/>
        </w:rPr>
        <w:t>用。</w:t>
      </w:r>
    </w:p>
    <w:p w14:paraId="3FDABE1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4.适用法律</w:t>
      </w:r>
    </w:p>
    <w:p w14:paraId="23FBA94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85"/>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7"/>
          <w:sz w:val="24"/>
          <w:szCs w:val="24"/>
        </w:rPr>
        <w:t>本项目采购人、采购代理机构、供应商、评标委员会的相关行为均受《中</w:t>
      </w:r>
      <w:r>
        <w:rPr>
          <w:rFonts w:hint="eastAsia" w:ascii="黑体" w:hAnsi="黑体" w:eastAsia="黑体" w:cs="黑体"/>
          <w:color w:val="auto"/>
          <w:spacing w:val="-6"/>
          <w:sz w:val="24"/>
          <w:szCs w:val="24"/>
        </w:rPr>
        <w:t>华人民共和国政府采购法》、《中华人民共</w:t>
      </w:r>
      <w:r>
        <w:rPr>
          <w:rFonts w:hint="eastAsia" w:ascii="黑体" w:hAnsi="黑体" w:eastAsia="黑体" w:cs="黑体"/>
          <w:color w:val="auto"/>
          <w:spacing w:val="-7"/>
          <w:sz w:val="24"/>
          <w:szCs w:val="24"/>
        </w:rPr>
        <w:t>和国政府采购法实施条例》、</w:t>
      </w:r>
      <w:r>
        <w:rPr>
          <w:rFonts w:hint="eastAsia" w:ascii="黑体" w:hAnsi="黑体" w:eastAsia="黑体" w:cs="黑体"/>
          <w:color w:val="auto"/>
          <w:spacing w:val="2"/>
          <w:sz w:val="24"/>
          <w:szCs w:val="24"/>
        </w:rPr>
        <w:t>《中华人民共和国财政部令第87号--政府采</w:t>
      </w:r>
      <w:r>
        <w:rPr>
          <w:rFonts w:hint="eastAsia" w:ascii="黑体" w:hAnsi="黑体" w:eastAsia="黑体" w:cs="黑体"/>
          <w:color w:val="auto"/>
          <w:spacing w:val="1"/>
          <w:sz w:val="24"/>
          <w:szCs w:val="24"/>
        </w:rPr>
        <w:t>购货物和货物招标投标管</w:t>
      </w:r>
      <w:r>
        <w:rPr>
          <w:rFonts w:hint="eastAsia" w:ascii="黑体" w:hAnsi="黑体" w:eastAsia="黑体" w:cs="黑体"/>
          <w:color w:val="auto"/>
          <w:spacing w:val="-1"/>
          <w:sz w:val="24"/>
          <w:szCs w:val="24"/>
        </w:rPr>
        <w:t>理办法》及本项目本级和上级财政部门政府采购有关规定的约束，其权利受到上述法律法规的保护。</w:t>
      </w:r>
    </w:p>
    <w:p w14:paraId="1172F1D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center"/>
        <w:textAlignment w:val="baseline"/>
        <w:outlineLvl w:val="1"/>
        <w:rPr>
          <w:rFonts w:hint="eastAsia" w:ascii="黑体" w:hAnsi="黑体" w:eastAsia="黑体" w:cs="黑体"/>
          <w:color w:val="auto"/>
          <w:sz w:val="28"/>
          <w:szCs w:val="28"/>
        </w:rPr>
      </w:pPr>
      <w:bookmarkStart w:id="16" w:name="bookmark3"/>
      <w:bookmarkEnd w:id="16"/>
      <w:r>
        <w:rPr>
          <w:rFonts w:hint="eastAsia" w:ascii="黑体" w:hAnsi="黑体" w:eastAsia="黑体" w:cs="黑体"/>
          <w:b/>
          <w:bCs/>
          <w:color w:val="auto"/>
          <w:spacing w:val="-1"/>
          <w:sz w:val="28"/>
          <w:szCs w:val="28"/>
        </w:rPr>
        <w:t>二招标文件</w:t>
      </w:r>
    </w:p>
    <w:p w14:paraId="42B971EB">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招标文件构成</w:t>
      </w:r>
    </w:p>
    <w:p w14:paraId="1B6CAAB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right="0" w:firstLine="419" w:firstLineChars="181"/>
        <w:textAlignment w:val="baseline"/>
        <w:outlineLvl w:val="2"/>
        <w:rPr>
          <w:rFonts w:hint="eastAsia" w:ascii="黑体" w:hAnsi="黑体" w:eastAsia="黑体" w:cs="黑体"/>
          <w:color w:val="auto"/>
          <w:spacing w:val="-5"/>
          <w:sz w:val="24"/>
          <w:szCs w:val="24"/>
        </w:rPr>
      </w:pPr>
      <w:r>
        <w:rPr>
          <w:rFonts w:hint="eastAsia" w:ascii="黑体" w:hAnsi="黑体" w:eastAsia="黑体" w:cs="黑体"/>
          <w:color w:val="auto"/>
          <w:spacing w:val="-4"/>
          <w:sz w:val="24"/>
          <w:szCs w:val="24"/>
        </w:rPr>
        <w:t>5.1</w:t>
      </w:r>
      <w:r>
        <w:rPr>
          <w:rFonts w:hint="eastAsia" w:ascii="黑体" w:hAnsi="黑体" w:eastAsia="黑体" w:cs="黑体"/>
          <w:color w:val="auto"/>
          <w:spacing w:val="-4"/>
          <w:sz w:val="24"/>
          <w:szCs w:val="24"/>
          <w:lang w:val="en-US" w:eastAsia="zh-CN"/>
        </w:rPr>
        <w:t>.</w:t>
      </w:r>
      <w:r>
        <w:rPr>
          <w:rFonts w:hint="eastAsia" w:ascii="黑体" w:hAnsi="黑体" w:eastAsia="黑体" w:cs="黑体"/>
          <w:color w:val="auto"/>
          <w:spacing w:val="-4"/>
          <w:sz w:val="24"/>
          <w:szCs w:val="24"/>
        </w:rPr>
        <w:t>招标文件分为三册共7章</w:t>
      </w:r>
      <w:r>
        <w:rPr>
          <w:rFonts w:hint="eastAsia" w:ascii="黑体" w:hAnsi="黑体" w:eastAsia="黑体" w:cs="黑体"/>
          <w:color w:val="auto"/>
          <w:spacing w:val="-5"/>
          <w:sz w:val="24"/>
          <w:szCs w:val="24"/>
        </w:rPr>
        <w:t>，内容如下：</w:t>
      </w:r>
    </w:p>
    <w:p w14:paraId="422051B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0"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第一册</w:t>
      </w:r>
    </w:p>
    <w:p w14:paraId="4B36F1A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1</w:t>
      </w:r>
      <w:r>
        <w:rPr>
          <w:rFonts w:hint="eastAsia" w:ascii="黑体" w:hAnsi="黑体" w:eastAsia="黑体" w:cs="黑体"/>
          <w:color w:val="auto"/>
          <w:spacing w:val="-5"/>
          <w:sz w:val="24"/>
          <w:szCs w:val="24"/>
          <w:lang w:val="en-US" w:eastAsia="zh-CN"/>
        </w:rPr>
        <w:t>.</w:t>
      </w:r>
      <w:r>
        <w:rPr>
          <w:rFonts w:hint="eastAsia" w:ascii="黑体" w:hAnsi="黑体" w:eastAsia="黑体" w:cs="黑体"/>
          <w:color w:val="auto"/>
          <w:spacing w:val="-5"/>
          <w:sz w:val="24"/>
          <w:szCs w:val="24"/>
        </w:rPr>
        <w:t>供应商须知</w:t>
      </w:r>
    </w:p>
    <w:p w14:paraId="44DEEE0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9"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2</w:t>
      </w:r>
      <w:r>
        <w:rPr>
          <w:rFonts w:hint="eastAsia" w:ascii="黑体" w:hAnsi="黑体" w:eastAsia="黑体" w:cs="黑体"/>
          <w:color w:val="auto"/>
          <w:spacing w:val="-4"/>
          <w:sz w:val="24"/>
          <w:szCs w:val="24"/>
          <w:lang w:val="en-US" w:eastAsia="zh-CN"/>
        </w:rPr>
        <w:t>.</w:t>
      </w:r>
      <w:r>
        <w:rPr>
          <w:rFonts w:hint="eastAsia" w:ascii="黑体" w:hAnsi="黑体" w:eastAsia="黑体" w:cs="黑体"/>
          <w:color w:val="auto"/>
          <w:spacing w:val="-4"/>
          <w:sz w:val="24"/>
          <w:szCs w:val="24"/>
        </w:rPr>
        <w:t>投标文件格式</w:t>
      </w:r>
    </w:p>
    <w:p w14:paraId="6CCDA1F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0"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第二册</w:t>
      </w:r>
    </w:p>
    <w:p w14:paraId="14D84FB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3</w:t>
      </w:r>
      <w:r>
        <w:rPr>
          <w:rFonts w:hint="eastAsia" w:ascii="黑体" w:hAnsi="黑体" w:eastAsia="黑体" w:cs="黑体"/>
          <w:color w:val="auto"/>
          <w:spacing w:val="-5"/>
          <w:sz w:val="24"/>
          <w:szCs w:val="24"/>
          <w:lang w:val="en-US" w:eastAsia="zh-CN"/>
        </w:rPr>
        <w:t>.</w:t>
      </w:r>
      <w:r>
        <w:rPr>
          <w:rFonts w:hint="eastAsia" w:ascii="黑体" w:hAnsi="黑体" w:eastAsia="黑体" w:cs="黑体"/>
          <w:color w:val="auto"/>
          <w:spacing w:val="-5"/>
          <w:sz w:val="24"/>
          <w:szCs w:val="24"/>
        </w:rPr>
        <w:t>投标邀请</w:t>
      </w:r>
    </w:p>
    <w:p w14:paraId="1D88CC8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0"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4</w:t>
      </w:r>
      <w:r>
        <w:rPr>
          <w:rFonts w:hint="eastAsia" w:ascii="黑体" w:hAnsi="黑体" w:eastAsia="黑体" w:cs="黑体"/>
          <w:color w:val="auto"/>
          <w:spacing w:val="-1"/>
          <w:sz w:val="24"/>
          <w:szCs w:val="24"/>
          <w:lang w:val="en-US" w:eastAsia="zh-CN"/>
        </w:rPr>
        <w:t>.</w:t>
      </w:r>
      <w:r>
        <w:rPr>
          <w:rFonts w:hint="eastAsia" w:ascii="黑体" w:hAnsi="黑体" w:eastAsia="黑体" w:cs="黑体"/>
          <w:color w:val="auto"/>
          <w:spacing w:val="-1"/>
          <w:sz w:val="24"/>
          <w:szCs w:val="24"/>
        </w:rPr>
        <w:t>供应商须知资料表</w:t>
      </w:r>
    </w:p>
    <w:p w14:paraId="2C17DE3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5</w:t>
      </w:r>
      <w:r>
        <w:rPr>
          <w:rFonts w:hint="eastAsia" w:ascii="黑体" w:hAnsi="黑体" w:eastAsia="黑体" w:cs="黑体"/>
          <w:color w:val="auto"/>
          <w:spacing w:val="-3"/>
          <w:sz w:val="24"/>
          <w:szCs w:val="24"/>
          <w:lang w:val="en-US" w:eastAsia="zh-CN"/>
        </w:rPr>
        <w:t>.</w:t>
      </w:r>
      <w:r>
        <w:rPr>
          <w:rFonts w:hint="eastAsia" w:ascii="黑体" w:hAnsi="黑体" w:eastAsia="黑体" w:cs="黑体"/>
          <w:color w:val="auto"/>
          <w:spacing w:val="-3"/>
          <w:sz w:val="24"/>
          <w:szCs w:val="24"/>
        </w:rPr>
        <w:t>货物内容及项目要求</w:t>
      </w:r>
    </w:p>
    <w:p w14:paraId="5106BDF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6</w:t>
      </w:r>
      <w:r>
        <w:rPr>
          <w:rFonts w:hint="eastAsia" w:ascii="黑体" w:hAnsi="黑体" w:eastAsia="黑体" w:cs="黑体"/>
          <w:color w:val="auto"/>
          <w:spacing w:val="-3"/>
          <w:sz w:val="24"/>
          <w:szCs w:val="24"/>
          <w:lang w:val="en-US" w:eastAsia="zh-CN"/>
        </w:rPr>
        <w:t>.</w:t>
      </w:r>
      <w:r>
        <w:rPr>
          <w:rFonts w:hint="eastAsia" w:ascii="黑体" w:hAnsi="黑体" w:eastAsia="黑体" w:cs="黑体"/>
          <w:color w:val="auto"/>
          <w:spacing w:val="-3"/>
          <w:sz w:val="24"/>
          <w:szCs w:val="24"/>
        </w:rPr>
        <w:t>评标方法和标准</w:t>
      </w:r>
    </w:p>
    <w:p w14:paraId="562AC9F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0"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第三册</w:t>
      </w:r>
    </w:p>
    <w:p w14:paraId="68D66F0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7</w:t>
      </w:r>
      <w:r>
        <w:rPr>
          <w:rFonts w:hint="eastAsia" w:ascii="黑体" w:hAnsi="黑体" w:eastAsia="黑体" w:cs="黑体"/>
          <w:color w:val="auto"/>
          <w:spacing w:val="-3"/>
          <w:sz w:val="24"/>
          <w:szCs w:val="24"/>
          <w:lang w:val="en-US" w:eastAsia="zh-CN"/>
        </w:rPr>
        <w:t>.</w:t>
      </w:r>
      <w:r>
        <w:rPr>
          <w:rFonts w:hint="eastAsia" w:ascii="黑体" w:hAnsi="黑体" w:eastAsia="黑体" w:cs="黑体"/>
          <w:color w:val="auto"/>
          <w:spacing w:val="-3"/>
          <w:sz w:val="24"/>
          <w:szCs w:val="24"/>
        </w:rPr>
        <w:t>政府采购合同格式</w:t>
      </w:r>
    </w:p>
    <w:p w14:paraId="683ACFE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5.2如本文件的前后内容不一致，以最后描述为准。</w:t>
      </w:r>
    </w:p>
    <w:p w14:paraId="3A0D196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41" w:firstLineChars="181"/>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5.3供应商应认真阅读招标文件所有的事项、格式、条款和技术规范等。如</w:t>
      </w:r>
      <w:r>
        <w:rPr>
          <w:rFonts w:hint="eastAsia" w:ascii="黑体" w:hAnsi="黑体" w:eastAsia="黑体" w:cs="黑体"/>
          <w:color w:val="auto"/>
          <w:spacing w:val="-1"/>
          <w:sz w:val="24"/>
          <w:szCs w:val="24"/>
        </w:rPr>
        <w:t>供应商没有按照招标文件要求提交全部资料，或者投标文件没有对招标</w:t>
      </w:r>
      <w:r>
        <w:rPr>
          <w:rFonts w:hint="eastAsia" w:ascii="黑体" w:hAnsi="黑体" w:eastAsia="黑体" w:cs="黑体"/>
          <w:color w:val="auto"/>
          <w:spacing w:val="5"/>
          <w:sz w:val="24"/>
          <w:szCs w:val="24"/>
        </w:rPr>
        <w:t>文件在各方面都做出实质性响应，可能导致其投标将被认定为</w:t>
      </w:r>
      <w:r>
        <w:rPr>
          <w:rFonts w:hint="eastAsia" w:ascii="黑体" w:hAnsi="黑体" w:eastAsia="黑体" w:cs="黑体"/>
          <w:b/>
          <w:bCs/>
          <w:color w:val="auto"/>
          <w:spacing w:val="5"/>
          <w:sz w:val="24"/>
          <w:szCs w:val="24"/>
        </w:rPr>
        <w:t>投标无</w:t>
      </w:r>
      <w:r>
        <w:rPr>
          <w:rFonts w:hint="eastAsia" w:ascii="黑体" w:hAnsi="黑体" w:eastAsia="黑体" w:cs="黑体"/>
          <w:b/>
          <w:bCs/>
          <w:color w:val="auto"/>
          <w:spacing w:val="-1"/>
          <w:sz w:val="24"/>
          <w:szCs w:val="24"/>
        </w:rPr>
        <w:t>效</w:t>
      </w:r>
      <w:r>
        <w:rPr>
          <w:rFonts w:hint="eastAsia" w:ascii="黑体" w:hAnsi="黑体" w:eastAsia="黑体" w:cs="黑体"/>
          <w:color w:val="auto"/>
          <w:spacing w:val="-1"/>
          <w:sz w:val="24"/>
          <w:szCs w:val="24"/>
        </w:rPr>
        <w:t>。</w:t>
      </w:r>
    </w:p>
    <w:p w14:paraId="22BEF30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6.招标文件的澄清与修改</w:t>
      </w:r>
    </w:p>
    <w:p w14:paraId="2C04E89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6.1为了保证对招标文件的澄清和修改满足法律的时限要求，任何要求对招</w:t>
      </w:r>
      <w:r>
        <w:rPr>
          <w:rFonts w:hint="eastAsia" w:ascii="黑体" w:hAnsi="黑体" w:eastAsia="黑体" w:cs="黑体"/>
          <w:color w:val="auto"/>
          <w:spacing w:val="-3"/>
          <w:sz w:val="24"/>
          <w:szCs w:val="24"/>
        </w:rPr>
        <w:t>标文件进行澄清的供应商，均应在投标截止期十五日前，以书面形式将</w:t>
      </w:r>
      <w:r>
        <w:rPr>
          <w:rFonts w:hint="eastAsia" w:ascii="黑体" w:hAnsi="黑体" w:eastAsia="黑体" w:cs="黑体"/>
          <w:color w:val="auto"/>
          <w:spacing w:val="-1"/>
          <w:sz w:val="24"/>
          <w:szCs w:val="24"/>
        </w:rPr>
        <w:t>澄清要求通知采购人或采购代理机构。</w:t>
      </w:r>
    </w:p>
    <w:p w14:paraId="3CA6E159">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6.2采购人可主动地或在解答供应商提出的澄清</w:t>
      </w:r>
      <w:r>
        <w:rPr>
          <w:rFonts w:hint="eastAsia" w:ascii="黑体" w:hAnsi="黑体" w:eastAsia="黑体" w:cs="黑体"/>
          <w:color w:val="auto"/>
          <w:spacing w:val="-1"/>
          <w:sz w:val="24"/>
          <w:szCs w:val="24"/>
        </w:rPr>
        <w:t>问题时对招标文件进行澄清或修改</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rPr>
        <w:t>采购代理机构将以发布澄清（更正）公</w:t>
      </w:r>
      <w:r>
        <w:rPr>
          <w:rFonts w:hint="eastAsia" w:ascii="黑体" w:hAnsi="黑体" w:eastAsia="黑体" w:cs="黑体"/>
          <w:color w:val="auto"/>
          <w:spacing w:val="-2"/>
          <w:sz w:val="24"/>
          <w:szCs w:val="24"/>
        </w:rPr>
        <w:t>告的方式，澄清或修改招标文件，澄清或修改内容作为招标文件的组成部分。</w:t>
      </w:r>
    </w:p>
    <w:p w14:paraId="6FAEBA08">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lang w:val="en-US" w:eastAsia="zh-CN"/>
        </w:rPr>
        <w:t>6.3</w:t>
      </w:r>
      <w:r>
        <w:rPr>
          <w:rFonts w:hint="eastAsia" w:ascii="黑体" w:hAnsi="黑体" w:eastAsia="黑体" w:cs="黑体"/>
          <w:i w:val="0"/>
          <w:iCs w:val="0"/>
          <w:color w:val="auto"/>
          <w:sz w:val="24"/>
          <w:szCs w:val="24"/>
          <w:highlight w:val="none"/>
        </w:rPr>
        <w:t>澄清或者修改的内容将在新疆政府采购网发布，一经发布视为潜在投标人已收到，不再进行确认。若因投标单位个人原因未及时查看，造成的一切后果需自行承担</w:t>
      </w:r>
      <w:r>
        <w:rPr>
          <w:rFonts w:hint="eastAsia" w:ascii="黑体" w:hAnsi="黑体" w:eastAsia="黑体" w:cs="黑体"/>
          <w:i w:val="0"/>
          <w:iCs w:val="0"/>
          <w:color w:val="auto"/>
          <w:sz w:val="24"/>
          <w:szCs w:val="24"/>
          <w:highlight w:val="none"/>
          <w:lang w:eastAsia="zh-CN"/>
        </w:rPr>
        <w:t>。</w:t>
      </w:r>
    </w:p>
    <w:p w14:paraId="170473A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7.投标截止时间的顺延</w:t>
      </w:r>
    </w:p>
    <w:p w14:paraId="6ECCECE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9" w:firstLineChars="165"/>
        <w:textAlignment w:val="baseline"/>
        <w:rPr>
          <w:rFonts w:hint="eastAsia" w:ascii="黑体" w:hAnsi="黑体" w:eastAsia="黑体" w:cs="黑体"/>
          <w:color w:val="auto"/>
          <w:spacing w:val="-2"/>
          <w:sz w:val="24"/>
          <w:szCs w:val="24"/>
        </w:rPr>
      </w:pPr>
      <w:r>
        <w:rPr>
          <w:rFonts w:hint="eastAsia" w:ascii="黑体" w:hAnsi="黑体" w:eastAsia="黑体" w:cs="黑体"/>
          <w:color w:val="auto"/>
          <w:spacing w:val="7"/>
          <w:sz w:val="24"/>
          <w:szCs w:val="24"/>
        </w:rPr>
        <w:t>为使供应商准备投标时有足够的时间对招标文件</w:t>
      </w:r>
      <w:r>
        <w:rPr>
          <w:rFonts w:hint="eastAsia" w:ascii="黑体" w:hAnsi="黑体" w:eastAsia="黑体" w:cs="黑体"/>
          <w:color w:val="auto"/>
          <w:spacing w:val="6"/>
          <w:sz w:val="24"/>
          <w:szCs w:val="24"/>
        </w:rPr>
        <w:t>的澄清或者修改部分</w:t>
      </w:r>
      <w:r>
        <w:rPr>
          <w:rFonts w:hint="eastAsia" w:ascii="黑体" w:hAnsi="黑体" w:eastAsia="黑体" w:cs="黑体"/>
          <w:color w:val="auto"/>
          <w:spacing w:val="-2"/>
          <w:sz w:val="24"/>
          <w:szCs w:val="24"/>
        </w:rPr>
        <w:t>进行研究，采购人将依法决定是否顺延投标截止时间。</w:t>
      </w:r>
      <w:bookmarkStart w:id="17" w:name="bookmark4"/>
      <w:bookmarkEnd w:id="17"/>
    </w:p>
    <w:p w14:paraId="40B8EFE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61" w:firstLineChars="165"/>
        <w:jc w:val="center"/>
        <w:textAlignment w:val="baseline"/>
        <w:rPr>
          <w:rFonts w:hint="eastAsia" w:ascii="黑体" w:hAnsi="黑体" w:eastAsia="黑体" w:cs="黑体"/>
          <w:color w:val="auto"/>
          <w:sz w:val="28"/>
          <w:szCs w:val="28"/>
        </w:rPr>
      </w:pPr>
      <w:r>
        <w:rPr>
          <w:rFonts w:hint="eastAsia" w:ascii="黑体" w:hAnsi="黑体" w:eastAsia="黑体" w:cs="黑体"/>
          <w:b/>
          <w:bCs/>
          <w:color w:val="auto"/>
          <w:spacing w:val="-1"/>
          <w:sz w:val="28"/>
          <w:szCs w:val="28"/>
        </w:rPr>
        <w:t>三投标文件的编制</w:t>
      </w:r>
    </w:p>
    <w:p w14:paraId="0A8DD4A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8.投标范围及投标文件中标准和计量单位的使用</w:t>
      </w:r>
    </w:p>
    <w:p w14:paraId="51B2569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8.1项目有分包的，供应商可对</w:t>
      </w:r>
      <w:r>
        <w:rPr>
          <w:rFonts w:hint="eastAsia" w:ascii="黑体" w:hAnsi="黑体" w:eastAsia="黑体" w:cs="黑体"/>
          <w:color w:val="auto"/>
          <w:sz w:val="24"/>
          <w:szCs w:val="24"/>
        </w:rPr>
        <w:t>招标文件其中某一个或几个分包服务进行投</w:t>
      </w:r>
      <w:r>
        <w:rPr>
          <w:rFonts w:hint="eastAsia" w:ascii="黑体" w:hAnsi="黑体" w:eastAsia="黑体" w:cs="黑体"/>
          <w:color w:val="auto"/>
          <w:spacing w:val="-3"/>
          <w:sz w:val="24"/>
          <w:szCs w:val="24"/>
        </w:rPr>
        <w:t>标，除非在</w:t>
      </w:r>
      <w:r>
        <w:rPr>
          <w:rFonts w:hint="eastAsia" w:ascii="黑体" w:hAnsi="黑体" w:eastAsia="黑体" w:cs="黑体"/>
          <w:color w:val="auto"/>
          <w:spacing w:val="-3"/>
          <w:sz w:val="24"/>
          <w:szCs w:val="24"/>
          <w:u w:val="single" w:color="auto"/>
        </w:rPr>
        <w:t>供应商须知资料表</w:t>
      </w:r>
      <w:r>
        <w:rPr>
          <w:rFonts w:hint="eastAsia" w:ascii="黑体" w:hAnsi="黑体" w:eastAsia="黑体" w:cs="黑体"/>
          <w:color w:val="auto"/>
          <w:spacing w:val="-3"/>
          <w:sz w:val="24"/>
          <w:szCs w:val="24"/>
        </w:rPr>
        <w:t>中另有规定。</w:t>
      </w:r>
    </w:p>
    <w:p w14:paraId="46B0083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1"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8.2供应商应当对所投分包招标文件中“货物内容及项目要</w:t>
      </w:r>
      <w:r>
        <w:rPr>
          <w:rFonts w:hint="eastAsia" w:ascii="黑体" w:hAnsi="黑体" w:eastAsia="黑体" w:cs="黑体"/>
          <w:color w:val="auto"/>
          <w:spacing w:val="-2"/>
          <w:sz w:val="24"/>
          <w:szCs w:val="24"/>
        </w:rPr>
        <w:t>求”所列的所有</w:t>
      </w:r>
      <w:r>
        <w:rPr>
          <w:rFonts w:hint="eastAsia" w:ascii="黑体" w:hAnsi="黑体" w:eastAsia="黑体" w:cs="黑体"/>
          <w:color w:val="auto"/>
          <w:spacing w:val="-1"/>
          <w:sz w:val="24"/>
          <w:szCs w:val="24"/>
        </w:rPr>
        <w:t>内容进行投标，如仅响应某一包中的部分内容，其该包投标将被</w:t>
      </w:r>
      <w:r>
        <w:rPr>
          <w:rFonts w:hint="eastAsia" w:ascii="黑体" w:hAnsi="黑体" w:eastAsia="黑体" w:cs="黑体"/>
          <w:color w:val="auto"/>
          <w:spacing w:val="-2"/>
          <w:sz w:val="24"/>
          <w:szCs w:val="24"/>
        </w:rPr>
        <w:t>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2B02ECF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1"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8.3除招标文件中有特殊要求外，投标文件中所使用的计量</w:t>
      </w:r>
      <w:r>
        <w:rPr>
          <w:rFonts w:hint="eastAsia" w:ascii="黑体" w:hAnsi="黑体" w:eastAsia="黑体" w:cs="黑体"/>
          <w:color w:val="auto"/>
          <w:spacing w:val="-2"/>
          <w:sz w:val="24"/>
          <w:szCs w:val="24"/>
        </w:rPr>
        <w:t>单位，应采用中</w:t>
      </w:r>
      <w:r>
        <w:rPr>
          <w:rFonts w:hint="eastAsia" w:ascii="黑体" w:hAnsi="黑体" w:eastAsia="黑体" w:cs="黑体"/>
          <w:color w:val="auto"/>
          <w:spacing w:val="-1"/>
          <w:sz w:val="24"/>
          <w:szCs w:val="24"/>
        </w:rPr>
        <w:t>华人民共和国法定计量单位。</w:t>
      </w:r>
    </w:p>
    <w:p w14:paraId="66FF7A2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9.投标文件构成</w:t>
      </w:r>
    </w:p>
    <w:p w14:paraId="67A1F63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6"/>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9.1</w:t>
      </w:r>
      <w:r>
        <w:rPr>
          <w:rFonts w:hint="eastAsia" w:ascii="黑体" w:hAnsi="黑体" w:eastAsia="黑体" w:cs="黑体"/>
          <w:b/>
          <w:bCs/>
          <w:color w:val="auto"/>
          <w:spacing w:val="-1"/>
          <w:sz w:val="24"/>
          <w:szCs w:val="24"/>
          <w:u w:val="single" w:color="auto"/>
        </w:rPr>
        <w:t>供应商应完整地按招标文件提供的投标文件格式及要求编写投标文件，</w:t>
      </w:r>
      <w:r>
        <w:rPr>
          <w:rFonts w:hint="eastAsia" w:ascii="黑体" w:hAnsi="黑体" w:eastAsia="黑体" w:cs="黑体"/>
          <w:b/>
          <w:bCs/>
          <w:color w:val="auto"/>
          <w:spacing w:val="-3"/>
          <w:sz w:val="24"/>
          <w:szCs w:val="24"/>
          <w:u w:val="single" w:color="auto"/>
        </w:rPr>
        <w:t>根据平台关联点上传对应佐证资料，投标文件应包括“开标一览表及资格证明文件”和“商务及技术文件”两部分，两部分合并成完整一册上</w:t>
      </w:r>
      <w:r>
        <w:rPr>
          <w:rFonts w:hint="eastAsia" w:ascii="黑体" w:hAnsi="黑体" w:eastAsia="黑体" w:cs="黑体"/>
          <w:b/>
          <w:bCs/>
          <w:color w:val="auto"/>
          <w:sz w:val="24"/>
          <w:szCs w:val="24"/>
          <w:u w:val="single" w:color="auto"/>
        </w:rPr>
        <w:t>传至政采云平台。供应商应承担上传失误产生的任</w:t>
      </w:r>
      <w:r>
        <w:rPr>
          <w:rFonts w:hint="eastAsia" w:ascii="黑体" w:hAnsi="黑体" w:eastAsia="黑体" w:cs="黑体"/>
          <w:b/>
          <w:bCs/>
          <w:color w:val="auto"/>
          <w:spacing w:val="-1"/>
          <w:sz w:val="24"/>
          <w:szCs w:val="24"/>
          <w:u w:val="single" w:color="auto"/>
        </w:rPr>
        <w:t>何后果。</w:t>
      </w:r>
    </w:p>
    <w:p w14:paraId="3D1B3D2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9.2上述文件应按照招标文件规定的格式填写、签署和盖章。</w:t>
      </w:r>
    </w:p>
    <w:p w14:paraId="2A6D735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10.证明投标的的合格性和符合招标文件规定的技术文件</w:t>
      </w:r>
      <w:r>
        <w:rPr>
          <w:rFonts w:hint="eastAsia" w:ascii="黑体" w:hAnsi="黑体" w:eastAsia="黑体" w:cs="黑体"/>
          <w:color w:val="auto"/>
          <w:spacing w:val="-1"/>
          <w:sz w:val="24"/>
          <w:szCs w:val="24"/>
        </w:rPr>
        <w:t>。</w:t>
      </w:r>
    </w:p>
    <w:p w14:paraId="354166D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10.1供应商应提交证明文件，证明其投标内容符合招标文件规定。该证明文</w:t>
      </w:r>
      <w:r>
        <w:rPr>
          <w:rFonts w:hint="eastAsia" w:ascii="黑体" w:hAnsi="黑体" w:eastAsia="黑体" w:cs="黑体"/>
          <w:color w:val="auto"/>
          <w:spacing w:val="-1"/>
          <w:sz w:val="24"/>
          <w:szCs w:val="24"/>
        </w:rPr>
        <w:t>件是投标文件的一部分。</w:t>
      </w:r>
    </w:p>
    <w:p w14:paraId="35EC832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10.2上款所述的证明文件，可以是文字资料、图纸和数据，它包括：</w:t>
      </w:r>
    </w:p>
    <w:p w14:paraId="39A8AE2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10.2.1设备主要技术指标的详细说明；</w:t>
      </w:r>
    </w:p>
    <w:p w14:paraId="73211E8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10.2.2货物从买方开始使用至谈判文件规定的保质期内正常、</w:t>
      </w:r>
      <w:r>
        <w:rPr>
          <w:rFonts w:hint="eastAsia" w:ascii="黑体" w:hAnsi="黑体" w:eastAsia="黑体" w:cs="黑体"/>
          <w:color w:val="auto"/>
          <w:spacing w:val="-2"/>
          <w:sz w:val="24"/>
          <w:szCs w:val="24"/>
        </w:rPr>
        <w:t>连续地使用所必须的备件和专用工具清单，包括备件和专用工具的货源及现行价格；</w:t>
      </w:r>
    </w:p>
    <w:p w14:paraId="0747C57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10.2.3对照招标文件技术规格，逐条说明所提供货物及伴随的</w:t>
      </w:r>
      <w:r>
        <w:rPr>
          <w:rFonts w:hint="eastAsia" w:ascii="黑体" w:hAnsi="黑体" w:eastAsia="黑体" w:cs="黑体"/>
          <w:color w:val="auto"/>
          <w:spacing w:val="-2"/>
          <w:sz w:val="24"/>
          <w:szCs w:val="24"/>
        </w:rPr>
        <w:t>工程和货物已对</w:t>
      </w:r>
      <w:r>
        <w:rPr>
          <w:rFonts w:hint="eastAsia" w:ascii="黑体" w:hAnsi="黑体" w:eastAsia="黑体" w:cs="黑体"/>
          <w:color w:val="auto"/>
          <w:spacing w:val="-1"/>
          <w:sz w:val="24"/>
          <w:szCs w:val="24"/>
        </w:rPr>
        <w:t>招标文件的技术规格做出了实质性的响应，或申明与技术规格条文的偏差和例外。</w:t>
      </w:r>
    </w:p>
    <w:p w14:paraId="2CB3BCB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10.3供应商在投标中可以选用替代牌号或分类号，但这些替代要实质上相当</w:t>
      </w:r>
      <w:r>
        <w:rPr>
          <w:rFonts w:hint="eastAsia" w:ascii="黑体" w:hAnsi="黑体" w:eastAsia="黑体" w:cs="黑体"/>
          <w:color w:val="auto"/>
          <w:spacing w:val="-1"/>
          <w:sz w:val="24"/>
          <w:szCs w:val="24"/>
        </w:rPr>
        <w:t>于技术规格的要求。采购人、采购代理机构承诺不以上述参照</w:t>
      </w:r>
      <w:r>
        <w:rPr>
          <w:rFonts w:hint="eastAsia" w:ascii="黑体" w:hAnsi="黑体" w:eastAsia="黑体" w:cs="黑体"/>
          <w:color w:val="auto"/>
          <w:spacing w:val="-2"/>
          <w:sz w:val="24"/>
          <w:szCs w:val="24"/>
        </w:rPr>
        <w:t>品牌型号</w:t>
      </w:r>
      <w:r>
        <w:rPr>
          <w:rFonts w:hint="eastAsia" w:ascii="黑体" w:hAnsi="黑体" w:eastAsia="黑体" w:cs="黑体"/>
          <w:color w:val="auto"/>
          <w:spacing w:val="-1"/>
          <w:sz w:val="24"/>
          <w:szCs w:val="24"/>
        </w:rPr>
        <w:t>或分类号作为评标时判定其投标是否有效的标准。</w:t>
      </w:r>
    </w:p>
    <w:p w14:paraId="06338B1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11.投标报价</w:t>
      </w:r>
    </w:p>
    <w:p w14:paraId="4445971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11.1所有投标均以人民币报价。供应商的投标报价应遵守《中华人民共和国</w:t>
      </w:r>
      <w:r>
        <w:rPr>
          <w:rFonts w:hint="eastAsia" w:ascii="黑体" w:hAnsi="黑体" w:eastAsia="黑体" w:cs="黑体"/>
          <w:color w:val="auto"/>
          <w:spacing w:val="-2"/>
          <w:sz w:val="24"/>
          <w:szCs w:val="24"/>
        </w:rPr>
        <w:t>价格法》。同时，根据《中华人民共和国政府采购法》</w:t>
      </w:r>
      <w:r>
        <w:rPr>
          <w:rFonts w:hint="eastAsia" w:ascii="黑体" w:hAnsi="黑体" w:eastAsia="黑体" w:cs="黑体"/>
          <w:color w:val="auto"/>
          <w:spacing w:val="-3"/>
          <w:sz w:val="24"/>
          <w:szCs w:val="24"/>
        </w:rPr>
        <w:t>第二条的规定，</w:t>
      </w:r>
      <w:r>
        <w:rPr>
          <w:rFonts w:hint="eastAsia" w:ascii="黑体" w:hAnsi="黑体" w:eastAsia="黑体" w:cs="黑体"/>
          <w:color w:val="auto"/>
          <w:spacing w:val="-1"/>
          <w:sz w:val="24"/>
          <w:szCs w:val="24"/>
        </w:rPr>
        <w:t>为保证公平竞争，如有主体部分的赠与行为，其投标将被认定为</w:t>
      </w:r>
      <w:r>
        <w:rPr>
          <w:rFonts w:hint="eastAsia" w:ascii="黑体" w:hAnsi="黑体" w:eastAsia="黑体" w:cs="黑体"/>
          <w:b/>
          <w:bCs/>
          <w:color w:val="auto"/>
          <w:spacing w:val="-1"/>
          <w:sz w:val="24"/>
          <w:szCs w:val="24"/>
        </w:rPr>
        <w:t>投标无</w:t>
      </w:r>
      <w:r>
        <w:rPr>
          <w:rFonts w:hint="eastAsia" w:ascii="黑体" w:hAnsi="黑体" w:eastAsia="黑体" w:cs="黑体"/>
          <w:b/>
          <w:bCs/>
          <w:color w:val="auto"/>
          <w:spacing w:val="-2"/>
          <w:sz w:val="24"/>
          <w:szCs w:val="24"/>
        </w:rPr>
        <w:t>效</w:t>
      </w:r>
      <w:r>
        <w:rPr>
          <w:rFonts w:hint="eastAsia" w:ascii="黑体" w:hAnsi="黑体" w:eastAsia="黑体" w:cs="黑体"/>
          <w:color w:val="auto"/>
          <w:spacing w:val="-2"/>
          <w:sz w:val="24"/>
          <w:szCs w:val="24"/>
        </w:rPr>
        <w:t>。</w:t>
      </w:r>
    </w:p>
    <w:p w14:paraId="611B147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11.2供应商应在投标分项报价表上标明投标相关货物的单价（如适用）和总</w:t>
      </w:r>
      <w:r>
        <w:rPr>
          <w:rFonts w:hint="eastAsia" w:ascii="黑体" w:hAnsi="黑体" w:eastAsia="黑体" w:cs="黑体"/>
          <w:color w:val="auto"/>
          <w:spacing w:val="-3"/>
          <w:sz w:val="24"/>
          <w:szCs w:val="24"/>
        </w:rPr>
        <w:t>价，并由法定代表人或其授权代表签署。</w:t>
      </w:r>
    </w:p>
    <w:p w14:paraId="705BD55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11.3投标分项报价表上的价格应按下列</w:t>
      </w:r>
      <w:r>
        <w:rPr>
          <w:rFonts w:hint="eastAsia" w:ascii="黑体" w:hAnsi="黑体" w:eastAsia="黑体" w:cs="黑体"/>
          <w:color w:val="auto"/>
          <w:spacing w:val="-2"/>
          <w:sz w:val="24"/>
          <w:szCs w:val="24"/>
        </w:rPr>
        <w:t>方式填写；</w:t>
      </w:r>
    </w:p>
    <w:p w14:paraId="224F801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11.4供应商所报的各分项投标单价在合同履行过程中是固定不变的，不得以</w:t>
      </w:r>
      <w:r>
        <w:rPr>
          <w:rFonts w:hint="eastAsia" w:ascii="黑体" w:hAnsi="黑体" w:eastAsia="黑体" w:cs="黑体"/>
          <w:color w:val="auto"/>
          <w:spacing w:val="-1"/>
          <w:sz w:val="24"/>
          <w:szCs w:val="24"/>
        </w:rPr>
        <w:t>任何理由予以变更。任何包含价格调整要求的投标，其投标将被认</w:t>
      </w:r>
      <w:r>
        <w:rPr>
          <w:rFonts w:hint="eastAsia" w:ascii="黑体" w:hAnsi="黑体" w:eastAsia="黑体" w:cs="黑体"/>
          <w:color w:val="auto"/>
          <w:spacing w:val="-2"/>
          <w:sz w:val="24"/>
          <w:szCs w:val="24"/>
        </w:rPr>
        <w:t>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2004FCD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11.5每种货物只能有一个投标报价。采购人不接受具有附加条件的报价。</w:t>
      </w:r>
    </w:p>
    <w:p w14:paraId="1196912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12.投标保证金</w:t>
      </w:r>
    </w:p>
    <w:p w14:paraId="15ED4D82">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lang w:eastAsia="zh-CN"/>
        </w:rPr>
      </w:pPr>
      <w:r>
        <w:rPr>
          <w:rFonts w:hint="eastAsia" w:ascii="黑体" w:hAnsi="黑体" w:eastAsia="黑体" w:cs="黑体"/>
          <w:color w:val="auto"/>
          <w:sz w:val="24"/>
          <w:szCs w:val="24"/>
        </w:rPr>
        <w:t>12.1供应商应提交</w:t>
      </w:r>
      <w:r>
        <w:rPr>
          <w:rFonts w:hint="eastAsia" w:ascii="黑体" w:hAnsi="黑体" w:eastAsia="黑体" w:cs="黑体"/>
          <w:color w:val="auto"/>
          <w:sz w:val="24"/>
          <w:szCs w:val="24"/>
          <w:u w:val="single" w:color="auto"/>
        </w:rPr>
        <w:t>供应商须知资料表</w:t>
      </w:r>
      <w:r>
        <w:rPr>
          <w:rFonts w:hint="eastAsia" w:ascii="黑体" w:hAnsi="黑体" w:eastAsia="黑体" w:cs="黑体"/>
          <w:color w:val="auto"/>
          <w:sz w:val="24"/>
          <w:szCs w:val="24"/>
        </w:rPr>
        <w:t>中规定的投标保证金，并作为其投标的</w:t>
      </w:r>
      <w:r>
        <w:rPr>
          <w:rFonts w:hint="eastAsia" w:ascii="黑体" w:hAnsi="黑体" w:eastAsia="黑体" w:cs="黑体"/>
          <w:color w:val="auto"/>
          <w:spacing w:val="-1"/>
          <w:sz w:val="24"/>
          <w:szCs w:val="24"/>
        </w:rPr>
        <w:t>一部分</w:t>
      </w:r>
      <w:r>
        <w:rPr>
          <w:rFonts w:hint="eastAsia" w:ascii="黑体" w:hAnsi="黑体" w:eastAsia="黑体" w:cs="黑体"/>
          <w:color w:val="auto"/>
          <w:spacing w:val="-1"/>
          <w:sz w:val="24"/>
          <w:szCs w:val="24"/>
          <w:lang w:eastAsia="zh-CN"/>
        </w:rPr>
        <w:t>。</w:t>
      </w:r>
    </w:p>
    <w:p w14:paraId="6A68B6D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12.2供应商存在下列情形的，投标保证金不予退还：</w:t>
      </w:r>
    </w:p>
    <w:p w14:paraId="748D807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2"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（1）在投标有效期内，撤销投标的；</w:t>
      </w:r>
    </w:p>
    <w:p w14:paraId="6C46404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（2）中标后不按本须知第30条的规定与采购人签</w:t>
      </w:r>
      <w:r>
        <w:rPr>
          <w:rFonts w:hint="eastAsia" w:ascii="黑体" w:hAnsi="黑体" w:eastAsia="黑体" w:cs="黑体"/>
          <w:color w:val="auto"/>
          <w:spacing w:val="-3"/>
          <w:sz w:val="24"/>
          <w:szCs w:val="24"/>
        </w:rPr>
        <w:t>订合同的；</w:t>
      </w:r>
    </w:p>
    <w:p w14:paraId="3DD5833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（3）中标后不按本须知第31条的规定提交</w:t>
      </w:r>
      <w:r>
        <w:rPr>
          <w:rFonts w:hint="eastAsia" w:ascii="黑体" w:hAnsi="黑体" w:eastAsia="黑体" w:cs="黑体"/>
          <w:color w:val="auto"/>
          <w:spacing w:val="-3"/>
          <w:sz w:val="24"/>
          <w:szCs w:val="24"/>
        </w:rPr>
        <w:t>履约保证金的；</w:t>
      </w:r>
    </w:p>
    <w:p w14:paraId="1C60DAF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（4）中标后不按本须知第32条的规定缴纳</w:t>
      </w:r>
      <w:r>
        <w:rPr>
          <w:rFonts w:hint="eastAsia" w:ascii="黑体" w:hAnsi="黑体" w:eastAsia="黑体" w:cs="黑体"/>
          <w:color w:val="auto"/>
          <w:spacing w:val="-3"/>
          <w:sz w:val="24"/>
          <w:szCs w:val="24"/>
        </w:rPr>
        <w:t>中标服务费的；</w:t>
      </w:r>
    </w:p>
    <w:p w14:paraId="128B0FF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（5）存在其他违法违规行为的。</w:t>
      </w:r>
    </w:p>
    <w:p w14:paraId="1E040ED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12.3政府采购信用担保试点范围内的项目，接受符合财政部门规定的政府采</w:t>
      </w:r>
      <w:r>
        <w:rPr>
          <w:rFonts w:hint="eastAsia" w:ascii="黑体" w:hAnsi="黑体" w:eastAsia="黑体" w:cs="黑体"/>
          <w:color w:val="auto"/>
          <w:spacing w:val="-1"/>
          <w:sz w:val="24"/>
          <w:szCs w:val="24"/>
        </w:rPr>
        <w:t>购投标担开户行银行</w:t>
      </w:r>
      <w:r>
        <w:rPr>
          <w:rFonts w:hint="eastAsia" w:ascii="黑体" w:hAnsi="黑体" w:eastAsia="黑体" w:cs="黑体"/>
          <w:color w:val="auto"/>
          <w:spacing w:val="-1"/>
          <w:sz w:val="24"/>
          <w:szCs w:val="24"/>
          <w:lang w:eastAsia="zh-CN"/>
        </w:rPr>
        <w:t>保函扫描件</w:t>
      </w:r>
      <w:r>
        <w:rPr>
          <w:rFonts w:hint="eastAsia" w:ascii="黑体" w:hAnsi="黑体" w:eastAsia="黑体" w:cs="黑体"/>
          <w:color w:val="auto"/>
          <w:spacing w:val="-1"/>
          <w:sz w:val="24"/>
          <w:szCs w:val="24"/>
        </w:rPr>
        <w:t>。</w:t>
      </w:r>
    </w:p>
    <w:p w14:paraId="66D6397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12.4供应商未按本须知第12.1和12.3</w:t>
      </w:r>
      <w:r>
        <w:rPr>
          <w:rFonts w:hint="eastAsia" w:ascii="黑体" w:hAnsi="黑体" w:eastAsia="黑体" w:cs="黑体"/>
          <w:color w:val="auto"/>
          <w:spacing w:val="-2"/>
          <w:sz w:val="24"/>
          <w:szCs w:val="24"/>
        </w:rPr>
        <w:t>条规定提交投标保证金的，其投标将</w:t>
      </w:r>
      <w:r>
        <w:rPr>
          <w:rFonts w:hint="eastAsia" w:ascii="黑体" w:hAnsi="黑体" w:eastAsia="黑体" w:cs="黑体"/>
          <w:color w:val="auto"/>
          <w:spacing w:val="-1"/>
          <w:sz w:val="24"/>
          <w:szCs w:val="24"/>
        </w:rPr>
        <w:t>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72398B9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12.4.1采用电汇形式的，一般可以实时入账。</w:t>
      </w:r>
    </w:p>
    <w:p w14:paraId="0392A773">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12.4.2采用支票形式的，供应商则应充分考虑支票入账时间，</w:t>
      </w:r>
      <w:r>
        <w:rPr>
          <w:rFonts w:hint="eastAsia" w:ascii="黑体" w:hAnsi="黑体" w:eastAsia="黑体" w:cs="黑体"/>
          <w:color w:val="auto"/>
          <w:spacing w:val="-2"/>
          <w:sz w:val="24"/>
          <w:szCs w:val="24"/>
        </w:rPr>
        <w:t>以确保投标保证</w:t>
      </w:r>
      <w:r>
        <w:rPr>
          <w:rFonts w:hint="eastAsia" w:ascii="黑体" w:hAnsi="黑体" w:eastAsia="黑体" w:cs="黑体"/>
          <w:color w:val="auto"/>
          <w:spacing w:val="-3"/>
          <w:sz w:val="24"/>
          <w:szCs w:val="24"/>
        </w:rPr>
        <w:t>金能按时进入指定账户。根据银行信息交换和付款时间，支票从递交至</w:t>
      </w:r>
      <w:r>
        <w:rPr>
          <w:rFonts w:hint="eastAsia" w:ascii="黑体" w:hAnsi="黑体" w:eastAsia="黑体" w:cs="黑体"/>
          <w:color w:val="auto"/>
          <w:spacing w:val="-4"/>
          <w:sz w:val="24"/>
          <w:szCs w:val="24"/>
        </w:rPr>
        <w:t>实际入账一般需要4-5个工作日。如供应商未及时提交支票或</w:t>
      </w:r>
      <w:r>
        <w:rPr>
          <w:rFonts w:hint="eastAsia" w:ascii="黑体" w:hAnsi="黑体" w:eastAsia="黑体" w:cs="黑体"/>
          <w:color w:val="auto"/>
          <w:spacing w:val="-5"/>
          <w:sz w:val="24"/>
          <w:szCs w:val="24"/>
        </w:rPr>
        <w:t>支票不符</w:t>
      </w:r>
      <w:r>
        <w:rPr>
          <w:rFonts w:hint="eastAsia" w:ascii="黑体" w:hAnsi="黑体" w:eastAsia="黑体" w:cs="黑体"/>
          <w:color w:val="auto"/>
          <w:spacing w:val="-2"/>
          <w:sz w:val="24"/>
          <w:szCs w:val="24"/>
        </w:rPr>
        <w:t>合银行委托收款要求（如污损、折叠、胶装等</w:t>
      </w:r>
      <w:r>
        <w:rPr>
          <w:rFonts w:hint="eastAsia" w:ascii="黑体" w:hAnsi="黑体" w:eastAsia="黑体" w:cs="黑体"/>
          <w:color w:val="auto"/>
          <w:spacing w:val="-16"/>
          <w:sz w:val="24"/>
          <w:szCs w:val="24"/>
        </w:rPr>
        <w:t>），</w:t>
      </w:r>
      <w:r>
        <w:rPr>
          <w:rFonts w:hint="eastAsia" w:ascii="黑体" w:hAnsi="黑体" w:eastAsia="黑体" w:cs="黑体"/>
          <w:color w:val="auto"/>
          <w:spacing w:val="-2"/>
          <w:sz w:val="24"/>
          <w:szCs w:val="24"/>
        </w:rPr>
        <w:t>导致投标保证金</w:t>
      </w:r>
      <w:r>
        <w:rPr>
          <w:rFonts w:hint="eastAsia" w:ascii="黑体" w:hAnsi="黑体" w:eastAsia="黑体" w:cs="黑体"/>
          <w:color w:val="auto"/>
          <w:spacing w:val="-3"/>
          <w:sz w:val="24"/>
          <w:szCs w:val="24"/>
        </w:rPr>
        <w:t>不能</w:t>
      </w:r>
      <w:r>
        <w:rPr>
          <w:rFonts w:hint="eastAsia" w:ascii="黑体" w:hAnsi="黑体" w:eastAsia="黑体" w:cs="黑体"/>
          <w:color w:val="auto"/>
          <w:spacing w:val="-2"/>
          <w:sz w:val="24"/>
          <w:szCs w:val="24"/>
        </w:rPr>
        <w:t>按时进入指定账户的，将按照招标文件的第22.2条相关规定处理。</w:t>
      </w:r>
    </w:p>
    <w:p w14:paraId="711AD56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12.5联合体投标的，可以由联合体中的一方或者共同提交投标保证金。以一</w:t>
      </w:r>
      <w:r>
        <w:rPr>
          <w:rFonts w:hint="eastAsia" w:ascii="黑体" w:hAnsi="黑体" w:eastAsia="黑体" w:cs="黑体"/>
          <w:color w:val="auto"/>
          <w:spacing w:val="-2"/>
          <w:sz w:val="24"/>
          <w:szCs w:val="24"/>
        </w:rPr>
        <w:t>方名义提交投标保证金的，对联合体各方均具有约束力。</w:t>
      </w:r>
    </w:p>
    <w:p w14:paraId="57BAD8C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12.6投标保证金的退还</w:t>
      </w:r>
    </w:p>
    <w:p w14:paraId="415B31C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12.6.1中标人应在与采购人签订合同之日起5个工作日内，及时</w:t>
      </w:r>
      <w:r>
        <w:rPr>
          <w:rFonts w:hint="eastAsia" w:ascii="黑体" w:hAnsi="黑体" w:eastAsia="黑体" w:cs="黑体"/>
          <w:color w:val="auto"/>
          <w:spacing w:val="-3"/>
          <w:sz w:val="24"/>
          <w:szCs w:val="24"/>
        </w:rPr>
        <w:t>联系保证金收</w:t>
      </w:r>
      <w:r>
        <w:rPr>
          <w:rFonts w:hint="eastAsia" w:ascii="黑体" w:hAnsi="黑体" w:eastAsia="黑体" w:cs="黑体"/>
          <w:color w:val="auto"/>
          <w:spacing w:val="-1"/>
          <w:sz w:val="24"/>
          <w:szCs w:val="24"/>
        </w:rPr>
        <w:t>受机构办理投标保证金无息退还手续。</w:t>
      </w:r>
    </w:p>
    <w:p w14:paraId="6EBD874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7"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12.6.2未中标供应商的投标保证金将在中标通知书发出之日暨中标结果</w:t>
      </w:r>
      <w:r>
        <w:rPr>
          <w:rFonts w:hint="eastAsia" w:ascii="黑体" w:hAnsi="黑体" w:eastAsia="黑体" w:cs="黑体"/>
          <w:color w:val="auto"/>
          <w:spacing w:val="4"/>
          <w:sz w:val="24"/>
          <w:szCs w:val="24"/>
        </w:rPr>
        <w:t>公告</w:t>
      </w:r>
      <w:r>
        <w:rPr>
          <w:rFonts w:hint="eastAsia" w:ascii="黑体" w:hAnsi="黑体" w:eastAsia="黑体" w:cs="黑体"/>
          <w:color w:val="auto"/>
          <w:spacing w:val="-4"/>
          <w:sz w:val="24"/>
          <w:szCs w:val="24"/>
        </w:rPr>
        <w:t>公布之日起5个工作日内无息退还。供应商应及时联系保证金</w:t>
      </w:r>
      <w:r>
        <w:rPr>
          <w:rFonts w:hint="eastAsia" w:ascii="黑体" w:hAnsi="黑体" w:eastAsia="黑体" w:cs="黑体"/>
          <w:color w:val="auto"/>
          <w:spacing w:val="-5"/>
          <w:sz w:val="24"/>
          <w:szCs w:val="24"/>
        </w:rPr>
        <w:t>收受机构</w:t>
      </w:r>
      <w:r>
        <w:rPr>
          <w:rFonts w:hint="eastAsia" w:ascii="黑体" w:hAnsi="黑体" w:eastAsia="黑体" w:cs="黑体"/>
          <w:color w:val="auto"/>
          <w:spacing w:val="-1"/>
          <w:sz w:val="24"/>
          <w:szCs w:val="24"/>
        </w:rPr>
        <w:t>办理退还投标保证金手续。</w:t>
      </w:r>
    </w:p>
    <w:p w14:paraId="1233A75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12.6.3政府采购投标担开户行银行保函不予退回。</w:t>
      </w:r>
    </w:p>
    <w:p w14:paraId="2BC4900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12.7因供应商自身原因导致无法及时退还的，采购人或采购代</w:t>
      </w:r>
      <w:r>
        <w:rPr>
          <w:rFonts w:hint="eastAsia" w:ascii="黑体" w:hAnsi="黑体" w:eastAsia="黑体" w:cs="黑体"/>
          <w:color w:val="auto"/>
          <w:spacing w:val="-4"/>
          <w:sz w:val="24"/>
          <w:szCs w:val="24"/>
        </w:rPr>
        <w:t>理机构将不承</w:t>
      </w:r>
      <w:r>
        <w:rPr>
          <w:rFonts w:hint="eastAsia" w:ascii="黑体" w:hAnsi="黑体" w:eastAsia="黑体" w:cs="黑体"/>
          <w:color w:val="auto"/>
          <w:spacing w:val="-1"/>
          <w:sz w:val="24"/>
          <w:szCs w:val="24"/>
        </w:rPr>
        <w:t>担相应责任。</w:t>
      </w:r>
    </w:p>
    <w:p w14:paraId="760AC71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13.投标有效期</w:t>
      </w:r>
    </w:p>
    <w:p w14:paraId="0E7F2F8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13.1投标应在</w:t>
      </w:r>
      <w:r>
        <w:rPr>
          <w:rFonts w:hint="eastAsia" w:ascii="黑体" w:hAnsi="黑体" w:eastAsia="黑体" w:cs="黑体"/>
          <w:color w:val="auto"/>
          <w:sz w:val="24"/>
          <w:szCs w:val="24"/>
          <w:u w:val="single" w:color="auto"/>
        </w:rPr>
        <w:t>供应商须知资料表</w:t>
      </w:r>
      <w:r>
        <w:rPr>
          <w:rFonts w:hint="eastAsia" w:ascii="黑体" w:hAnsi="黑体" w:eastAsia="黑体" w:cs="黑体"/>
          <w:color w:val="auto"/>
          <w:sz w:val="24"/>
          <w:szCs w:val="24"/>
        </w:rPr>
        <w:t>中规定时间内保持有效。投标有效期不满足</w:t>
      </w:r>
      <w:r>
        <w:rPr>
          <w:rFonts w:hint="eastAsia" w:ascii="黑体" w:hAnsi="黑体" w:eastAsia="黑体" w:cs="黑体"/>
          <w:color w:val="auto"/>
          <w:spacing w:val="-3"/>
          <w:sz w:val="24"/>
          <w:szCs w:val="24"/>
        </w:rPr>
        <w:t>要求的投标，其投标将被认定为</w:t>
      </w:r>
      <w:r>
        <w:rPr>
          <w:rFonts w:hint="eastAsia" w:ascii="黑体" w:hAnsi="黑体" w:eastAsia="黑体" w:cs="黑体"/>
          <w:b/>
          <w:bCs/>
          <w:color w:val="auto"/>
          <w:spacing w:val="-3"/>
          <w:sz w:val="24"/>
          <w:szCs w:val="24"/>
        </w:rPr>
        <w:t>投标无效</w:t>
      </w:r>
      <w:r>
        <w:rPr>
          <w:rFonts w:hint="eastAsia" w:ascii="黑体" w:hAnsi="黑体" w:eastAsia="黑体" w:cs="黑体"/>
          <w:color w:val="auto"/>
          <w:spacing w:val="-3"/>
          <w:sz w:val="24"/>
          <w:szCs w:val="24"/>
        </w:rPr>
        <w:t>。</w:t>
      </w:r>
    </w:p>
    <w:p w14:paraId="693C0E9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13.2为保证有充分时间签订合同，采购人或采购代理机构可根据实际情况，</w:t>
      </w:r>
      <w:r>
        <w:rPr>
          <w:rFonts w:hint="eastAsia" w:ascii="黑体" w:hAnsi="黑体" w:eastAsia="黑体" w:cs="黑体"/>
          <w:color w:val="auto"/>
          <w:spacing w:val="-1"/>
          <w:sz w:val="24"/>
          <w:szCs w:val="24"/>
        </w:rPr>
        <w:t>在原投标有效期截止之前，要求供应商延长投标文件的有效期。接</w:t>
      </w:r>
      <w:r>
        <w:rPr>
          <w:rFonts w:hint="eastAsia" w:ascii="黑体" w:hAnsi="黑体" w:eastAsia="黑体" w:cs="黑体"/>
          <w:color w:val="auto"/>
          <w:spacing w:val="-2"/>
          <w:sz w:val="24"/>
          <w:szCs w:val="24"/>
        </w:rPr>
        <w:t>受该</w:t>
      </w:r>
      <w:r>
        <w:rPr>
          <w:rFonts w:hint="eastAsia" w:ascii="黑体" w:hAnsi="黑体" w:eastAsia="黑体" w:cs="黑体"/>
          <w:color w:val="auto"/>
          <w:spacing w:val="-1"/>
          <w:sz w:val="24"/>
          <w:szCs w:val="24"/>
        </w:rPr>
        <w:t>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483B280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14.投标文件的签署及规定</w:t>
      </w:r>
    </w:p>
    <w:p w14:paraId="356F409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5"/>
        <w:jc w:val="both"/>
        <w:textAlignment w:val="baseline"/>
        <w:rPr>
          <w:rFonts w:hint="eastAsia" w:ascii="黑体" w:hAnsi="黑体" w:eastAsia="黑体" w:cs="黑体"/>
          <w:b/>
          <w:bCs/>
          <w:color w:val="auto"/>
          <w:spacing w:val="-1"/>
          <w:sz w:val="24"/>
          <w:szCs w:val="24"/>
        </w:rPr>
      </w:pPr>
      <w:bookmarkStart w:id="18" w:name="bookmark5"/>
      <w:bookmarkEnd w:id="18"/>
      <w:r>
        <w:rPr>
          <w:rFonts w:hint="eastAsia" w:ascii="黑体" w:hAnsi="黑体" w:eastAsia="黑体" w:cs="黑体"/>
          <w:b/>
          <w:bCs/>
          <w:color w:val="auto"/>
          <w:spacing w:val="-1"/>
          <w:sz w:val="24"/>
          <w:szCs w:val="24"/>
        </w:rPr>
        <w:t>14.1投标人应按投标人须知资料表中的规定，供应商须在</w:t>
      </w:r>
      <w:r>
        <w:rPr>
          <w:rFonts w:hint="eastAsia" w:ascii="黑体" w:hAnsi="黑体" w:eastAsia="黑体" w:cs="黑体"/>
          <w:b/>
          <w:bCs/>
          <w:color w:val="auto"/>
          <w:spacing w:val="-1"/>
          <w:sz w:val="24"/>
          <w:szCs w:val="24"/>
          <w:lang w:eastAsia="zh-CN"/>
        </w:rPr>
        <w:t>投标</w:t>
      </w:r>
      <w:r>
        <w:rPr>
          <w:rFonts w:hint="eastAsia" w:ascii="黑体" w:hAnsi="黑体" w:eastAsia="黑体" w:cs="黑体"/>
          <w:b/>
          <w:bCs/>
          <w:color w:val="auto"/>
          <w:spacing w:val="-1"/>
          <w:sz w:val="24"/>
          <w:szCs w:val="24"/>
        </w:rPr>
        <w:t>文件递交截止时间</w:t>
      </w:r>
      <w:r>
        <w:rPr>
          <w:rFonts w:hint="eastAsia" w:ascii="黑体" w:hAnsi="黑体" w:eastAsia="黑体" w:cs="黑体"/>
          <w:b/>
          <w:bCs/>
          <w:color w:val="auto"/>
          <w:spacing w:val="-1"/>
          <w:sz w:val="24"/>
          <w:szCs w:val="24"/>
          <w:lang w:eastAsia="zh-CN"/>
        </w:rPr>
        <w:t>前</w:t>
      </w:r>
      <w:r>
        <w:rPr>
          <w:rFonts w:hint="eastAsia" w:ascii="黑体" w:hAnsi="黑体" w:eastAsia="黑体" w:cs="黑体"/>
          <w:b/>
          <w:bCs/>
          <w:color w:val="auto"/>
          <w:spacing w:val="-1"/>
          <w:sz w:val="24"/>
          <w:szCs w:val="24"/>
        </w:rPr>
        <w:t>完成在系统上递交电子响应文件。供应商的电子</w:t>
      </w:r>
      <w:r>
        <w:rPr>
          <w:rFonts w:hint="eastAsia" w:ascii="黑体" w:hAnsi="黑体" w:eastAsia="黑体" w:cs="黑体"/>
          <w:b/>
          <w:bCs/>
          <w:color w:val="auto"/>
          <w:spacing w:val="-1"/>
          <w:sz w:val="24"/>
          <w:szCs w:val="24"/>
          <w:lang w:eastAsia="zh-CN"/>
        </w:rPr>
        <w:t>投标</w:t>
      </w:r>
      <w:r>
        <w:rPr>
          <w:rFonts w:hint="eastAsia" w:ascii="黑体" w:hAnsi="黑体" w:eastAsia="黑体" w:cs="黑体"/>
          <w:b/>
          <w:bCs/>
          <w:color w:val="auto"/>
          <w:spacing w:val="-1"/>
          <w:sz w:val="24"/>
          <w:szCs w:val="24"/>
        </w:rPr>
        <w:t>文件是经过CA证书加密后上传提交的，任何单位或个人均无法在</w:t>
      </w:r>
      <w:r>
        <w:rPr>
          <w:rFonts w:hint="eastAsia" w:ascii="黑体" w:hAnsi="黑体" w:eastAsia="黑体" w:cs="黑体"/>
          <w:b/>
          <w:bCs/>
          <w:color w:val="auto"/>
          <w:spacing w:val="-1"/>
          <w:sz w:val="24"/>
          <w:szCs w:val="24"/>
          <w:lang w:eastAsia="zh-CN"/>
        </w:rPr>
        <w:t>投标文件递交</w:t>
      </w:r>
      <w:r>
        <w:rPr>
          <w:rFonts w:hint="eastAsia" w:ascii="黑体" w:hAnsi="黑体" w:eastAsia="黑体" w:cs="黑体"/>
          <w:b/>
          <w:bCs/>
          <w:color w:val="auto"/>
          <w:spacing w:val="-1"/>
          <w:sz w:val="24"/>
          <w:szCs w:val="24"/>
        </w:rPr>
        <w:t>截止(即开标时间)之前查看或篡改，不存在泄密风险。（严格按照政采云电子投标流程制作并上传电子</w:t>
      </w:r>
      <w:r>
        <w:rPr>
          <w:rFonts w:hint="eastAsia" w:ascii="黑体" w:hAnsi="黑体" w:eastAsia="黑体" w:cs="黑体"/>
          <w:b/>
          <w:bCs/>
          <w:color w:val="auto"/>
          <w:spacing w:val="-1"/>
          <w:sz w:val="24"/>
          <w:szCs w:val="24"/>
          <w:lang w:eastAsia="zh-CN"/>
        </w:rPr>
        <w:t>投标</w:t>
      </w:r>
      <w:r>
        <w:rPr>
          <w:rFonts w:hint="eastAsia" w:ascii="黑体" w:hAnsi="黑体" w:eastAsia="黑体" w:cs="黑体"/>
          <w:b/>
          <w:bCs/>
          <w:color w:val="auto"/>
          <w:spacing w:val="-1"/>
          <w:sz w:val="24"/>
          <w:szCs w:val="24"/>
        </w:rPr>
        <w:t>文件）所有投标文件采用</w:t>
      </w:r>
      <w:r>
        <w:rPr>
          <w:rFonts w:hint="eastAsia" w:ascii="黑体" w:hAnsi="黑体" w:eastAsia="黑体" w:cs="黑体"/>
          <w:b/>
          <w:bCs/>
          <w:color w:val="auto"/>
          <w:spacing w:val="-1"/>
          <w:sz w:val="24"/>
          <w:szCs w:val="24"/>
          <w:lang w:val="en-US" w:eastAsia="zh-CN"/>
        </w:rPr>
        <w:t>电子版</w:t>
      </w:r>
      <w:r>
        <w:rPr>
          <w:rFonts w:hint="eastAsia" w:ascii="黑体" w:hAnsi="黑体" w:eastAsia="黑体" w:cs="黑体"/>
          <w:b/>
          <w:bCs/>
          <w:color w:val="auto"/>
          <w:spacing w:val="-1"/>
          <w:sz w:val="24"/>
          <w:szCs w:val="24"/>
        </w:rPr>
        <w:t>，否则将被认定为投标无效。</w:t>
      </w:r>
    </w:p>
    <w:p w14:paraId="53F0C56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jc w:val="both"/>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14.2</w:t>
      </w:r>
      <w:r>
        <w:rPr>
          <w:rFonts w:hint="eastAsia" w:ascii="黑体" w:hAnsi="黑体" w:eastAsia="黑体" w:cs="黑体"/>
          <w:color w:val="auto"/>
          <w:spacing w:val="-1"/>
          <w:sz w:val="24"/>
          <w:szCs w:val="24"/>
        </w:rPr>
        <w:tab/>
      </w:r>
      <w:r>
        <w:rPr>
          <w:rFonts w:hint="eastAsia" w:ascii="黑体" w:hAnsi="黑体" w:eastAsia="黑体" w:cs="黑体"/>
          <w:color w:val="auto"/>
          <w:spacing w:val="-1"/>
          <w:sz w:val="24"/>
          <w:szCs w:val="24"/>
        </w:rPr>
        <w:t>所有投标文件应按照招标文件规定的格式填写、签署和盖章。</w:t>
      </w:r>
    </w:p>
    <w:p w14:paraId="3CEA379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jc w:val="both"/>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14.3投标文件因表达不清或未按照招标文件规定的格式填写、签署和盖章所引起的后果由投标人负责。</w:t>
      </w:r>
    </w:p>
    <w:p w14:paraId="0E2D95D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center"/>
        <w:textAlignment w:val="baseline"/>
        <w:outlineLvl w:val="1"/>
        <w:rPr>
          <w:rFonts w:hint="eastAsia" w:ascii="黑体" w:hAnsi="黑体" w:eastAsia="黑体" w:cs="黑体"/>
          <w:color w:val="auto"/>
          <w:sz w:val="28"/>
          <w:szCs w:val="28"/>
        </w:rPr>
      </w:pPr>
      <w:r>
        <w:rPr>
          <w:rFonts w:hint="eastAsia" w:ascii="黑体" w:hAnsi="黑体" w:eastAsia="黑体" w:cs="黑体"/>
          <w:b/>
          <w:bCs/>
          <w:color w:val="auto"/>
          <w:spacing w:val="-1"/>
          <w:sz w:val="28"/>
          <w:szCs w:val="28"/>
        </w:rPr>
        <w:t>四投标文件的递交</w:t>
      </w:r>
    </w:p>
    <w:p w14:paraId="6342236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15.投标文件的密封和标记</w:t>
      </w:r>
    </w:p>
    <w:p w14:paraId="3D18E62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15.1为方便评审及进行资格审查，投标单位应完整地按招标文件提供的投标</w:t>
      </w:r>
      <w:r>
        <w:rPr>
          <w:rFonts w:hint="eastAsia" w:ascii="黑体" w:hAnsi="黑体" w:eastAsia="黑体" w:cs="黑体"/>
          <w:color w:val="auto"/>
          <w:spacing w:val="2"/>
          <w:sz w:val="24"/>
          <w:szCs w:val="24"/>
        </w:rPr>
        <w:t>文件格式及要求编写投标文件，投标单位须在投标截止时间前完成在</w:t>
      </w:r>
      <w:r>
        <w:rPr>
          <w:rFonts w:hint="eastAsia" w:ascii="黑体" w:hAnsi="黑体" w:eastAsia="黑体" w:cs="黑体"/>
          <w:color w:val="auto"/>
          <w:spacing w:val="-1"/>
          <w:sz w:val="24"/>
          <w:szCs w:val="24"/>
        </w:rPr>
        <w:t>系统上递交电子投标文件。投标单位的电子投标文件是经过CA证书加</w:t>
      </w:r>
      <w:r>
        <w:rPr>
          <w:rFonts w:hint="eastAsia" w:ascii="黑体" w:hAnsi="黑体" w:eastAsia="黑体" w:cs="黑体"/>
          <w:color w:val="auto"/>
          <w:sz w:val="24"/>
          <w:szCs w:val="24"/>
        </w:rPr>
        <w:t>密后上传提交的，任何单位或个人均无法在投标截止时间(即投标时间)</w:t>
      </w:r>
      <w:r>
        <w:rPr>
          <w:rFonts w:hint="eastAsia" w:ascii="黑体" w:hAnsi="黑体" w:eastAsia="黑体" w:cs="黑体"/>
          <w:color w:val="auto"/>
          <w:spacing w:val="-1"/>
          <w:sz w:val="24"/>
          <w:szCs w:val="24"/>
        </w:rPr>
        <w:t>之前查看或篡改，不存在泄密风险。（严格按照政采云电子投标流程制作并上传电子投标文件）</w:t>
      </w:r>
    </w:p>
    <w:p w14:paraId="0B22C6D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15.2供应商因自身原因导致电</w:t>
      </w:r>
      <w:r>
        <w:rPr>
          <w:rFonts w:hint="eastAsia" w:ascii="黑体" w:hAnsi="黑体" w:eastAsia="黑体" w:cs="黑体"/>
          <w:color w:val="auto"/>
          <w:spacing w:val="-2"/>
          <w:sz w:val="24"/>
          <w:szCs w:val="24"/>
        </w:rPr>
        <w:t>子投标文件无法导入电子评标系统的，该响应</w:t>
      </w:r>
      <w:r>
        <w:rPr>
          <w:rFonts w:hint="eastAsia" w:ascii="黑体" w:hAnsi="黑体" w:eastAsia="黑体" w:cs="黑体"/>
          <w:color w:val="auto"/>
          <w:spacing w:val="-1"/>
          <w:sz w:val="24"/>
          <w:szCs w:val="24"/>
        </w:rPr>
        <w:t>文件视为无效文件。</w:t>
      </w:r>
    </w:p>
    <w:p w14:paraId="19F8A3F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40"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15.3电子投标文件具有法律效力,与其他形式的响应文件</w:t>
      </w:r>
      <w:r>
        <w:rPr>
          <w:rFonts w:hint="eastAsia" w:ascii="黑体" w:hAnsi="黑体" w:eastAsia="黑体" w:cs="黑体"/>
          <w:color w:val="auto"/>
          <w:spacing w:val="4"/>
          <w:sz w:val="24"/>
          <w:szCs w:val="24"/>
        </w:rPr>
        <w:t>在内容和格式上等</w:t>
      </w:r>
      <w:r>
        <w:rPr>
          <w:rFonts w:hint="eastAsia" w:ascii="黑体" w:hAnsi="黑体" w:eastAsia="黑体" w:cs="黑体"/>
          <w:color w:val="auto"/>
          <w:spacing w:val="-2"/>
          <w:sz w:val="24"/>
          <w:szCs w:val="24"/>
        </w:rPr>
        <w:t>同，若投标文件与招标文件要求不一致，其内容影响成交结果时，责任</w:t>
      </w:r>
      <w:r>
        <w:rPr>
          <w:rFonts w:hint="eastAsia" w:ascii="黑体" w:hAnsi="黑体" w:eastAsia="黑体" w:cs="黑体"/>
          <w:color w:val="auto"/>
          <w:spacing w:val="-3"/>
          <w:sz w:val="24"/>
          <w:szCs w:val="24"/>
        </w:rPr>
        <w:t>由供应商自行承担。</w:t>
      </w:r>
    </w:p>
    <w:p w14:paraId="02DA0CD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16.投标截止</w:t>
      </w:r>
    </w:p>
    <w:p w14:paraId="78A60DD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16.1供应商应在供应商须知资料表中规定的投标截止时间前，将投标文件上传到公开招标公告中规定的地点。</w:t>
      </w:r>
    </w:p>
    <w:p w14:paraId="3AB5E44F">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16.2采购人和采购代理机构有权按本须知的规定，延迟投标截止时间。在此</w:t>
      </w:r>
      <w:r>
        <w:rPr>
          <w:rFonts w:hint="eastAsia" w:ascii="黑体" w:hAnsi="黑体" w:eastAsia="黑体" w:cs="黑体"/>
          <w:color w:val="auto"/>
          <w:spacing w:val="-3"/>
          <w:sz w:val="24"/>
          <w:szCs w:val="24"/>
        </w:rPr>
        <w:t>情况下</w:t>
      </w:r>
      <w:r>
        <w:rPr>
          <w:rFonts w:hint="eastAsia" w:ascii="黑体" w:hAnsi="黑体" w:eastAsia="黑体" w:cs="黑体"/>
          <w:color w:val="auto"/>
          <w:spacing w:val="-3"/>
          <w:sz w:val="24"/>
          <w:szCs w:val="24"/>
          <w:lang w:eastAsia="zh-CN"/>
        </w:rPr>
        <w:t>，</w:t>
      </w:r>
      <w:r>
        <w:rPr>
          <w:rFonts w:hint="eastAsia" w:ascii="黑体" w:hAnsi="黑体" w:eastAsia="黑体" w:cs="黑体"/>
          <w:color w:val="auto"/>
          <w:spacing w:val="-3"/>
          <w:sz w:val="24"/>
          <w:szCs w:val="24"/>
        </w:rPr>
        <w:t>采购人、采购代理机构和供应商受投标截止时间制约的所有权利和义务</w:t>
      </w:r>
      <w:r>
        <w:rPr>
          <w:rFonts w:hint="eastAsia" w:ascii="黑体" w:hAnsi="黑体" w:eastAsia="黑体" w:cs="黑体"/>
          <w:color w:val="auto"/>
          <w:spacing w:val="-1"/>
          <w:sz w:val="24"/>
          <w:szCs w:val="24"/>
        </w:rPr>
        <w:t>均应延长至新的截止时间。</w:t>
      </w:r>
    </w:p>
    <w:p w14:paraId="632FDA3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16.3采购人和采购代理机构将拒绝接收在投标截止时间后上传的投标文件。</w:t>
      </w:r>
    </w:p>
    <w:p w14:paraId="62DCBC6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17.投标文件的接收、修改与撤回</w:t>
      </w:r>
    </w:p>
    <w:p w14:paraId="63FE91C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17.1在投标截止时间后上传的投标文件的，采购人和采购代理机构将拒绝接</w:t>
      </w:r>
      <w:r>
        <w:rPr>
          <w:rFonts w:hint="eastAsia" w:ascii="黑体" w:hAnsi="黑体" w:eastAsia="黑体" w:cs="黑体"/>
          <w:color w:val="auto"/>
          <w:spacing w:val="-5"/>
          <w:sz w:val="24"/>
          <w:szCs w:val="24"/>
        </w:rPr>
        <w:t>收。</w:t>
      </w:r>
    </w:p>
    <w:p w14:paraId="539AD98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6"/>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17.2上传投标文件以后，如果供应商要进行修改或撤回投标，供应商对投标</w:t>
      </w:r>
      <w:r>
        <w:rPr>
          <w:rFonts w:hint="eastAsia" w:ascii="黑体" w:hAnsi="黑体" w:eastAsia="黑体" w:cs="黑体"/>
          <w:color w:val="auto"/>
          <w:spacing w:val="-3"/>
          <w:sz w:val="24"/>
          <w:szCs w:val="24"/>
        </w:rPr>
        <w:t>文件的修改或撤回通知应按本须知规定编制、标记。采购人和采购代理机构将予以接收，并视为投标文件的组成部分。</w:t>
      </w:r>
    </w:p>
    <w:p w14:paraId="11C0B99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173在投标截止期之后，采购人和采购代理机构不接</w:t>
      </w:r>
      <w:r>
        <w:rPr>
          <w:rFonts w:hint="eastAsia" w:ascii="黑体" w:hAnsi="黑体" w:eastAsia="黑体" w:cs="黑体"/>
          <w:color w:val="auto"/>
          <w:sz w:val="24"/>
          <w:szCs w:val="24"/>
        </w:rPr>
        <w:t>受供应商主动对其投标</w:t>
      </w:r>
      <w:r>
        <w:rPr>
          <w:rFonts w:hint="eastAsia" w:ascii="黑体" w:hAnsi="黑体" w:eastAsia="黑体" w:cs="黑体"/>
          <w:color w:val="auto"/>
          <w:spacing w:val="-1"/>
          <w:sz w:val="24"/>
          <w:szCs w:val="24"/>
        </w:rPr>
        <w:t>文件做任何修改。</w:t>
      </w:r>
    </w:p>
    <w:p w14:paraId="6D4B4F4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17.4采购人和采购代理机构对所接收投标文件概不退回。</w:t>
      </w:r>
    </w:p>
    <w:p w14:paraId="16269B6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center"/>
        <w:textAlignment w:val="baseline"/>
        <w:outlineLvl w:val="1"/>
        <w:rPr>
          <w:rFonts w:hint="eastAsia" w:ascii="黑体" w:hAnsi="黑体" w:eastAsia="黑体" w:cs="黑体"/>
          <w:color w:val="auto"/>
          <w:sz w:val="28"/>
          <w:szCs w:val="28"/>
        </w:rPr>
      </w:pPr>
      <w:bookmarkStart w:id="19" w:name="bookmark6"/>
      <w:bookmarkEnd w:id="19"/>
      <w:r>
        <w:rPr>
          <w:rFonts w:hint="eastAsia" w:ascii="黑体" w:hAnsi="黑体" w:eastAsia="黑体" w:cs="黑体"/>
          <w:b/>
          <w:bCs/>
          <w:color w:val="auto"/>
          <w:spacing w:val="-1"/>
          <w:sz w:val="28"/>
          <w:szCs w:val="28"/>
        </w:rPr>
        <w:t>五开标及评标</w:t>
      </w:r>
    </w:p>
    <w:p w14:paraId="2F26B86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5"/>
          <w:sz w:val="24"/>
          <w:szCs w:val="24"/>
        </w:rPr>
        <w:t>18.开标</w:t>
      </w:r>
    </w:p>
    <w:p w14:paraId="689F2A7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95"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7"/>
          <w:sz w:val="24"/>
          <w:szCs w:val="24"/>
        </w:rPr>
        <w:t>18.2到投标截止时间，对供应商上传的投标文件进行解</w:t>
      </w:r>
      <w:r>
        <w:rPr>
          <w:rFonts w:hint="eastAsia" w:ascii="黑体" w:hAnsi="黑体" w:eastAsia="黑体" w:cs="黑体"/>
          <w:color w:val="auto"/>
          <w:spacing w:val="-8"/>
          <w:sz w:val="24"/>
          <w:szCs w:val="24"/>
        </w:rPr>
        <w:t>密，解密时长为30分钟。</w:t>
      </w:r>
      <w:r>
        <w:rPr>
          <w:rFonts w:hint="eastAsia" w:ascii="黑体" w:hAnsi="黑体" w:eastAsia="黑体" w:cs="黑体"/>
          <w:color w:val="auto"/>
          <w:spacing w:val="-2"/>
          <w:sz w:val="24"/>
          <w:szCs w:val="24"/>
        </w:rPr>
        <w:t>供应商须在规定时间内使用CA锁在政</w:t>
      </w:r>
      <w:r>
        <w:rPr>
          <w:rFonts w:hint="eastAsia" w:ascii="黑体" w:hAnsi="黑体" w:eastAsia="黑体" w:cs="黑体"/>
          <w:color w:val="auto"/>
          <w:spacing w:val="-3"/>
          <w:sz w:val="24"/>
          <w:szCs w:val="24"/>
        </w:rPr>
        <w:t>采云平台解密，解密失败或未在规定时间内解密，将无法参加下一阶段的投标，将被认定为无效投标。请供应商提前调试好CA锁，确定在操作时能正常使用。</w:t>
      </w:r>
    </w:p>
    <w:p w14:paraId="0780099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18.3在开标记录时，代理机构开启签字时段</w:t>
      </w:r>
      <w:r>
        <w:rPr>
          <w:rFonts w:hint="eastAsia" w:ascii="黑体" w:hAnsi="黑体" w:eastAsia="黑体" w:cs="黑体"/>
          <w:color w:val="auto"/>
          <w:spacing w:val="-5"/>
          <w:sz w:val="24"/>
          <w:szCs w:val="24"/>
        </w:rPr>
        <w:t>，须供应商使用CA锁在政采云平台</w:t>
      </w:r>
      <w:r>
        <w:rPr>
          <w:rFonts w:hint="eastAsia" w:ascii="黑体" w:hAnsi="黑体" w:eastAsia="黑体" w:cs="黑体"/>
          <w:color w:val="auto"/>
          <w:spacing w:val="-1"/>
          <w:sz w:val="24"/>
          <w:szCs w:val="24"/>
        </w:rPr>
        <w:t>进行签字确认报价。</w:t>
      </w:r>
    </w:p>
    <w:p w14:paraId="053B289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18.4采购人登录政采云平台对供应商的资格证明材</w:t>
      </w:r>
      <w:r>
        <w:rPr>
          <w:rFonts w:hint="eastAsia" w:ascii="黑体" w:hAnsi="黑体" w:eastAsia="黑体" w:cs="黑体"/>
          <w:color w:val="auto"/>
          <w:spacing w:val="-2"/>
          <w:sz w:val="24"/>
          <w:szCs w:val="24"/>
        </w:rPr>
        <w:t>料进行审查。</w:t>
      </w:r>
    </w:p>
    <w:p w14:paraId="226D8E1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19.资格审查及组建评标委员会</w:t>
      </w:r>
    </w:p>
    <w:p w14:paraId="3A0C538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19.1采购人或采购代理机构依据法律法规和招标文件中规定的内容，对供应商</w:t>
      </w:r>
      <w:r>
        <w:rPr>
          <w:rFonts w:hint="eastAsia" w:ascii="黑体" w:hAnsi="黑体" w:eastAsia="黑体" w:cs="黑体"/>
          <w:color w:val="auto"/>
          <w:spacing w:val="-2"/>
          <w:sz w:val="24"/>
          <w:szCs w:val="24"/>
        </w:rPr>
        <w:t>及其服务的资格进行审查，本项目审查内容如下：</w:t>
      </w:r>
    </w:p>
    <w:p w14:paraId="7008ECB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b/>
          <w:bCs/>
          <w:color w:val="auto"/>
          <w:spacing w:val="-2"/>
          <w:sz w:val="24"/>
          <w:szCs w:val="24"/>
        </w:rPr>
      </w:pPr>
      <w:r>
        <w:rPr>
          <w:rFonts w:hint="eastAsia" w:ascii="黑体" w:hAnsi="黑体" w:eastAsia="黑体" w:cs="黑体"/>
          <w:b/>
          <w:bCs/>
          <w:color w:val="auto"/>
          <w:spacing w:val="-2"/>
          <w:sz w:val="24"/>
          <w:szCs w:val="24"/>
        </w:rPr>
        <w:t>本项目资格审查资料须附在投标文件中并上传至对应关联节点：</w:t>
      </w:r>
    </w:p>
    <w:p w14:paraId="44AAF26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9" w:firstLineChars="177"/>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1、具有有效的营业执照；</w:t>
      </w:r>
    </w:p>
    <w:p w14:paraId="76C7BD6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7"/>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1"/>
          <w:sz w:val="24"/>
          <w:szCs w:val="24"/>
        </w:rPr>
        <w:t>2、</w:t>
      </w:r>
      <w:r>
        <w:rPr>
          <w:rFonts w:hint="eastAsia" w:ascii="黑体" w:hAnsi="黑体" w:eastAsia="黑体" w:cs="黑体"/>
          <w:b/>
          <w:bCs/>
          <w:color w:val="auto"/>
          <w:spacing w:val="-1"/>
          <w:sz w:val="24"/>
          <w:szCs w:val="24"/>
          <w:lang w:eastAsia="zh-CN"/>
        </w:rPr>
        <w:t>法定代表人授权书及被委托人身份证（法定代表人投标提供法定代表人身份证明及身份证）；</w:t>
      </w:r>
    </w:p>
    <w:p w14:paraId="0AC08E6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7"/>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1"/>
          <w:sz w:val="24"/>
          <w:szCs w:val="24"/>
        </w:rPr>
        <w:t>3、</w:t>
      </w:r>
      <w:r>
        <w:rPr>
          <w:rFonts w:hint="eastAsia" w:ascii="黑体" w:hAnsi="黑体" w:eastAsia="黑体" w:cs="黑体"/>
          <w:b/>
          <w:bCs/>
          <w:color w:val="auto"/>
          <w:spacing w:val="-1"/>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6DD3D7C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7"/>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1"/>
          <w:sz w:val="24"/>
          <w:szCs w:val="24"/>
        </w:rPr>
        <w:t>4、</w:t>
      </w:r>
      <w:r>
        <w:rPr>
          <w:rFonts w:hint="eastAsia" w:ascii="黑体" w:hAnsi="黑体" w:eastAsia="黑体" w:cs="黑体"/>
          <w:b/>
          <w:bCs/>
          <w:color w:val="auto"/>
          <w:spacing w:val="-1"/>
          <w:sz w:val="24"/>
          <w:szCs w:val="24"/>
          <w:lang w:eastAsia="zh-CN"/>
        </w:rPr>
        <w:t>提供2023年度或2024年度的财务审计报告（新成立未满一年的公司需提供有效的银行资信证明）；</w:t>
      </w:r>
    </w:p>
    <w:p w14:paraId="2C7C384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7"/>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3"/>
          <w:sz w:val="24"/>
          <w:szCs w:val="24"/>
        </w:rPr>
        <w:t>5、</w:t>
      </w:r>
      <w:r>
        <w:rPr>
          <w:rFonts w:hint="eastAsia" w:ascii="黑体" w:hAnsi="黑体" w:eastAsia="黑体" w:cs="黑体"/>
          <w:b/>
          <w:bCs/>
          <w:color w:val="auto"/>
          <w:spacing w:val="-3"/>
          <w:sz w:val="24"/>
          <w:szCs w:val="24"/>
          <w:lang w:eastAsia="zh-CN"/>
        </w:rPr>
        <w:t>提供依法缴纳公告发布之日起近6个月任意1个月社会保险证明；</w:t>
      </w:r>
    </w:p>
    <w:p w14:paraId="64EAC73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9" w:firstLineChars="177"/>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2"/>
          <w:sz w:val="24"/>
          <w:szCs w:val="24"/>
        </w:rPr>
        <w:t>6、</w:t>
      </w:r>
      <w:r>
        <w:rPr>
          <w:rFonts w:hint="eastAsia" w:ascii="黑体" w:hAnsi="黑体" w:eastAsia="黑体" w:cs="黑体"/>
          <w:b/>
          <w:bCs/>
          <w:color w:val="auto"/>
          <w:spacing w:val="-2"/>
          <w:sz w:val="24"/>
          <w:szCs w:val="24"/>
          <w:lang w:eastAsia="zh-CN"/>
        </w:rPr>
        <w:t>提供依法缴纳公告发布之日起近6个月任意1个月的税收证明；</w:t>
      </w:r>
    </w:p>
    <w:p w14:paraId="5F8FBB8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2" w:firstLineChars="177"/>
        <w:jc w:val="both"/>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4"/>
          <w:sz w:val="24"/>
          <w:szCs w:val="24"/>
        </w:rPr>
        <w:t>7、</w:t>
      </w:r>
      <w:r>
        <w:rPr>
          <w:rFonts w:hint="eastAsia" w:ascii="黑体" w:hAnsi="黑体" w:eastAsia="黑体" w:cs="黑体"/>
          <w:b/>
          <w:bCs/>
          <w:color w:val="auto"/>
          <w:spacing w:val="-4"/>
          <w:sz w:val="24"/>
          <w:szCs w:val="24"/>
          <w:lang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中国政府采购网（http：//www.ccgp.gov.cn/search/cr/）严重违法失信行为记录名单的（尚在处罚期内的），国家企业信用信息公示系统（https：//www.gsxt.gov.cn/）列入经营异常名录信息、列入严重违法失信名单(黑名单)信息，将拒绝其参加本次招标活动；（以采购代理机构或采购人查询为准）</w:t>
      </w:r>
    </w:p>
    <w:p w14:paraId="76E1A78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7"/>
        <w:jc w:val="both"/>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8、提供参加政府采购活动前3年内在经营活动中没有重大违法记录的书面声明；</w:t>
      </w:r>
    </w:p>
    <w:p w14:paraId="15E5BE2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7"/>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9、缴纳投标保证金有效凭证。</w:t>
      </w:r>
    </w:p>
    <w:p w14:paraId="3A9DBBE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7"/>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注：“</w:t>
      </w:r>
      <w:r>
        <w:rPr>
          <w:rFonts w:hint="eastAsia" w:ascii="黑体" w:hAnsi="黑体" w:eastAsia="黑体" w:cs="黑体"/>
          <w:b/>
          <w:bCs/>
          <w:color w:val="auto"/>
          <w:spacing w:val="-3"/>
          <w:sz w:val="24"/>
          <w:szCs w:val="24"/>
          <w:lang w:eastAsia="zh-CN"/>
        </w:rPr>
        <w:t>提供依法缴纳公告发布之日起近6个月任意1个月的税收证明</w:t>
      </w:r>
      <w:r>
        <w:rPr>
          <w:rFonts w:hint="eastAsia" w:ascii="黑体" w:hAnsi="黑体" w:eastAsia="黑体" w:cs="黑体"/>
          <w:b/>
          <w:bCs/>
          <w:color w:val="auto"/>
          <w:spacing w:val="-3"/>
          <w:sz w:val="24"/>
          <w:szCs w:val="24"/>
        </w:rPr>
        <w:t>”：①若供应商某月税收为零申报，须提供当月加盖税务局公章的无欠税证明或“国家税务总局电子</w:t>
      </w:r>
      <w:r>
        <w:rPr>
          <w:rFonts w:hint="eastAsia" w:ascii="黑体" w:hAnsi="黑体" w:eastAsia="黑体" w:cs="黑体"/>
          <w:b/>
          <w:bCs/>
          <w:color w:val="auto"/>
          <w:spacing w:val="-1"/>
          <w:sz w:val="24"/>
          <w:szCs w:val="24"/>
        </w:rPr>
        <w:t>税务局（12366.chinatax.gov.cn/bsfw/onlinetaxati</w:t>
      </w:r>
      <w:r>
        <w:rPr>
          <w:rFonts w:hint="eastAsia" w:ascii="黑体" w:hAnsi="黑体" w:eastAsia="黑体" w:cs="黑体"/>
          <w:b/>
          <w:bCs/>
          <w:color w:val="auto"/>
          <w:spacing w:val="-2"/>
          <w:sz w:val="24"/>
          <w:szCs w:val="24"/>
        </w:rPr>
        <w:t>on/main）”的申报结</w:t>
      </w:r>
      <w:r>
        <w:rPr>
          <w:rFonts w:hint="eastAsia" w:ascii="黑体" w:hAnsi="黑体" w:eastAsia="黑体" w:cs="黑体"/>
          <w:b/>
          <w:bCs/>
          <w:color w:val="auto"/>
          <w:spacing w:val="-3"/>
          <w:sz w:val="24"/>
          <w:szCs w:val="24"/>
        </w:rPr>
        <w:t>果查询截图。②完税证明中“税种”非养老保险、医疗保险、失业保险、工伤保</w:t>
      </w:r>
      <w:r>
        <w:rPr>
          <w:rFonts w:hint="eastAsia" w:ascii="黑体" w:hAnsi="黑体" w:eastAsia="黑体" w:cs="黑体"/>
          <w:b/>
          <w:bCs/>
          <w:color w:val="auto"/>
          <w:spacing w:val="-1"/>
          <w:sz w:val="24"/>
          <w:szCs w:val="24"/>
        </w:rPr>
        <w:t>险和生育保险。请各供应商注意！</w:t>
      </w:r>
      <w:r>
        <w:rPr>
          <w:rFonts w:hint="eastAsia" w:ascii="黑体" w:hAnsi="黑体" w:eastAsia="黑体" w:cs="黑体"/>
          <w:b/>
          <w:bCs/>
          <w:color w:val="auto"/>
          <w:spacing w:val="-3"/>
          <w:sz w:val="24"/>
          <w:szCs w:val="24"/>
        </w:rPr>
        <w:t>未通过资格审查的供应商不进入评标；通过资格审查的供应商少于不足三家</w:t>
      </w:r>
      <w:r>
        <w:rPr>
          <w:rFonts w:hint="eastAsia" w:ascii="黑体" w:hAnsi="黑体" w:eastAsia="黑体" w:cs="黑体"/>
          <w:b/>
          <w:bCs/>
          <w:color w:val="auto"/>
          <w:spacing w:val="-7"/>
          <w:sz w:val="24"/>
          <w:szCs w:val="24"/>
        </w:rPr>
        <w:t>的，不得评标。</w:t>
      </w:r>
    </w:p>
    <w:p w14:paraId="309955D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19.2采购人或采购代理机构将在开标前1个工作日至投标截止后1小时的期间内查询供应商的信用记录。供应商存在不良信用记录的，其投标将被</w:t>
      </w:r>
      <w:r>
        <w:rPr>
          <w:rFonts w:hint="eastAsia" w:ascii="黑体" w:hAnsi="黑体" w:eastAsia="黑体" w:cs="黑体"/>
          <w:color w:val="auto"/>
          <w:spacing w:val="-1"/>
          <w:sz w:val="24"/>
          <w:szCs w:val="24"/>
        </w:rPr>
        <w:t>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2147DCF4">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385"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1"/>
          <w:sz w:val="24"/>
          <w:szCs w:val="24"/>
        </w:rPr>
        <w:t>19.2.1不良信用记录指：供应商在“信用中国”网站（www.creditchina.gov.cn）</w:t>
      </w:r>
      <w:r>
        <w:rPr>
          <w:rFonts w:hint="eastAsia" w:ascii="黑体" w:hAnsi="黑体" w:eastAsia="黑体" w:cs="黑体"/>
          <w:color w:val="auto"/>
          <w:spacing w:val="1"/>
          <w:sz w:val="24"/>
          <w:szCs w:val="24"/>
        </w:rPr>
        <w:t>被列入失信被执行人、</w:t>
      </w:r>
      <w:r>
        <w:rPr>
          <w:rFonts w:hint="eastAsia" w:ascii="黑体" w:hAnsi="黑体" w:eastAsia="黑体" w:cs="黑体"/>
          <w:color w:val="auto"/>
          <w:spacing w:val="1"/>
          <w:sz w:val="24"/>
          <w:szCs w:val="24"/>
          <w:lang w:eastAsia="zh-CN"/>
        </w:rPr>
        <w:t>重大税收违法失信主体</w:t>
      </w:r>
      <w:r>
        <w:rPr>
          <w:rFonts w:hint="eastAsia" w:ascii="黑体" w:hAnsi="黑体" w:eastAsia="黑体" w:cs="黑体"/>
          <w:color w:val="auto"/>
          <w:sz w:val="24"/>
          <w:szCs w:val="24"/>
        </w:rPr>
        <w:t>(信用服务-重点领</w:t>
      </w:r>
      <w:r>
        <w:rPr>
          <w:rFonts w:hint="eastAsia" w:ascii="黑体" w:hAnsi="黑体" w:eastAsia="黑体" w:cs="黑体"/>
          <w:color w:val="auto"/>
          <w:spacing w:val="13"/>
          <w:sz w:val="24"/>
          <w:szCs w:val="24"/>
        </w:rPr>
        <w:t>域严重失信主体名单查询-搜索栏输入单位全称)、中国政府采购网</w:t>
      </w:r>
      <w:r>
        <w:rPr>
          <w:rFonts w:hint="eastAsia" w:ascii="黑体" w:hAnsi="黑体" w:eastAsia="黑体" w:cs="黑体"/>
          <w:color w:val="auto"/>
          <w:sz w:val="24"/>
          <w:szCs w:val="24"/>
        </w:rPr>
        <w:t>（</w:t>
      </w:r>
      <w:r>
        <w:rPr>
          <w:rFonts w:hint="eastAsia" w:ascii="黑体" w:hAnsi="黑体" w:eastAsia="黑体" w:cs="黑体"/>
          <w:color w:val="auto"/>
        </w:rPr>
        <w:fldChar w:fldCharType="begin"/>
      </w:r>
      <w:r>
        <w:rPr>
          <w:rFonts w:hint="eastAsia" w:ascii="黑体" w:hAnsi="黑体" w:eastAsia="黑体" w:cs="黑体"/>
          <w:color w:val="auto"/>
        </w:rPr>
        <w:instrText xml:space="preserve">HYPERLINK"http://www.ccgp.gov.cn/search/cr/"</w:instrText>
      </w:r>
      <w:r>
        <w:rPr>
          <w:rFonts w:hint="eastAsia" w:ascii="黑体" w:hAnsi="黑体" w:eastAsia="黑体" w:cs="黑体"/>
          <w:color w:val="auto"/>
        </w:rPr>
        <w:fldChar w:fldCharType="separate"/>
      </w:r>
      <w:r>
        <w:rPr>
          <w:rFonts w:hint="eastAsia" w:ascii="黑体" w:hAnsi="黑体" w:eastAsia="黑体" w:cs="黑体"/>
          <w:color w:val="auto"/>
          <w:sz w:val="24"/>
          <w:szCs w:val="24"/>
        </w:rPr>
        <w:t>http</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//www.ccgp.gov.cn/search/cr/</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t>）严重违法失信行为记录名单</w:t>
      </w:r>
      <w:r>
        <w:rPr>
          <w:rFonts w:hint="eastAsia" w:ascii="黑体" w:hAnsi="黑体" w:eastAsia="黑体" w:cs="黑体"/>
          <w:color w:val="auto"/>
          <w:spacing w:val="1"/>
          <w:sz w:val="24"/>
          <w:szCs w:val="24"/>
        </w:rPr>
        <w:t>的（尚在处罚期内的）</w:t>
      </w:r>
      <w:r>
        <w:rPr>
          <w:rFonts w:hint="eastAsia" w:ascii="黑体" w:hAnsi="黑体" w:eastAsia="黑体" w:cs="黑体"/>
          <w:color w:val="auto"/>
          <w:spacing w:val="1"/>
          <w:sz w:val="24"/>
          <w:szCs w:val="24"/>
          <w:lang w:eastAsia="zh-CN"/>
        </w:rPr>
        <w:t>国家企业信用信息公示系统（https：//www.gsxt.gov.cn/）列入经营异常名录信息、列入严重违法失信名单(黑名单)信息。</w:t>
      </w:r>
    </w:p>
    <w:p w14:paraId="3CF25A8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以联合体形式参加投标的，联合体任何成员存在以上不良信用记录的，</w:t>
      </w:r>
      <w:r>
        <w:rPr>
          <w:rFonts w:hint="eastAsia" w:ascii="黑体" w:hAnsi="黑体" w:eastAsia="黑体" w:cs="黑体"/>
          <w:color w:val="auto"/>
          <w:spacing w:val="-1"/>
          <w:sz w:val="24"/>
          <w:szCs w:val="24"/>
        </w:rPr>
        <w:t>联合体投标将被认定为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6E4D4F0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8"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19.2.2查询及记录方式：采购人或采购代理机构经办人将查询网页打印、签字</w:t>
      </w:r>
      <w:r>
        <w:rPr>
          <w:rFonts w:hint="eastAsia" w:ascii="黑体" w:hAnsi="黑体" w:eastAsia="黑体" w:cs="黑体"/>
          <w:color w:val="auto"/>
          <w:sz w:val="24"/>
          <w:szCs w:val="24"/>
        </w:rPr>
        <w:t>并存档备查。供应商不良信用记录以采购人或采购代理机构查询结果为</w:t>
      </w:r>
      <w:r>
        <w:rPr>
          <w:rFonts w:hint="eastAsia" w:ascii="黑体" w:hAnsi="黑体" w:eastAsia="黑体" w:cs="黑体"/>
          <w:color w:val="auto"/>
          <w:spacing w:val="-3"/>
          <w:sz w:val="24"/>
          <w:szCs w:val="24"/>
        </w:rPr>
        <w:t>准。</w:t>
      </w:r>
    </w:p>
    <w:p w14:paraId="2E3699C9">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21" w:firstLineChars="179"/>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3"/>
          <w:sz w:val="24"/>
          <w:szCs w:val="24"/>
        </w:rPr>
        <w:t>在本招标文件规定的查询时间之后，网站信息发生的任何变更均不再作为评标依</w:t>
      </w:r>
      <w:r>
        <w:rPr>
          <w:rFonts w:hint="eastAsia" w:ascii="黑体" w:hAnsi="黑体" w:eastAsia="黑体" w:cs="黑体"/>
          <w:b/>
          <w:bCs/>
          <w:color w:val="auto"/>
          <w:spacing w:val="-2"/>
          <w:sz w:val="24"/>
          <w:szCs w:val="24"/>
        </w:rPr>
        <w:t>据</w:t>
      </w:r>
      <w:r>
        <w:rPr>
          <w:rFonts w:hint="eastAsia" w:ascii="黑体" w:hAnsi="黑体" w:eastAsia="黑体" w:cs="黑体"/>
          <w:b/>
          <w:bCs/>
          <w:color w:val="auto"/>
          <w:spacing w:val="-2"/>
          <w:sz w:val="24"/>
          <w:szCs w:val="24"/>
          <w:lang w:eastAsia="zh-CN"/>
        </w:rPr>
        <w:t>。</w:t>
      </w:r>
    </w:p>
    <w:p w14:paraId="7ACAB9D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right="0"/>
        <w:textAlignment w:val="baseline"/>
        <w:rPr>
          <w:rFonts w:hint="eastAsia" w:ascii="黑体" w:hAnsi="黑体" w:eastAsia="黑体" w:cs="黑体"/>
          <w:color w:val="auto"/>
          <w:sz w:val="24"/>
          <w:szCs w:val="24"/>
        </w:rPr>
      </w:pPr>
      <w:r>
        <w:rPr>
          <w:rFonts w:hint="eastAsia" w:ascii="黑体" w:hAnsi="黑体" w:eastAsia="黑体" w:cs="黑体"/>
          <w:b/>
          <w:bCs/>
          <w:color w:val="auto"/>
          <w:sz w:val="24"/>
          <w:szCs w:val="24"/>
        </w:rPr>
        <w:t>供应商自行提供的与网站信息不一致的其他证明材料亦不作为资</w:t>
      </w:r>
      <w:r>
        <w:rPr>
          <w:rFonts w:hint="eastAsia" w:ascii="黑体" w:hAnsi="黑体" w:eastAsia="黑体" w:cs="黑体"/>
          <w:b/>
          <w:bCs/>
          <w:color w:val="auto"/>
          <w:spacing w:val="-1"/>
          <w:sz w:val="24"/>
          <w:szCs w:val="24"/>
        </w:rPr>
        <w:t>格审查依据。</w:t>
      </w:r>
    </w:p>
    <w:p w14:paraId="54F4D91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7"/>
        <w:textAlignment w:val="baseline"/>
        <w:rPr>
          <w:rFonts w:hint="eastAsia" w:ascii="黑体" w:hAnsi="黑体" w:eastAsia="黑体" w:cs="黑体"/>
          <w:b/>
          <w:bCs/>
          <w:color w:val="auto"/>
          <w:spacing w:val="-1"/>
          <w:sz w:val="24"/>
          <w:szCs w:val="24"/>
        </w:rPr>
      </w:pPr>
      <w:r>
        <w:rPr>
          <w:rFonts w:hint="eastAsia" w:ascii="黑体" w:hAnsi="黑体" w:eastAsia="黑体" w:cs="黑体"/>
          <w:color w:val="auto"/>
          <w:sz w:val="24"/>
          <w:szCs w:val="24"/>
        </w:rPr>
        <w:t>19.3按照《中华人民共和国政府采购法》、《中华人民共和国政府采购法实</w:t>
      </w:r>
      <w:r>
        <w:rPr>
          <w:rFonts w:hint="eastAsia" w:ascii="黑体" w:hAnsi="黑体" w:eastAsia="黑体" w:cs="黑体"/>
          <w:color w:val="auto"/>
          <w:spacing w:val="4"/>
          <w:sz w:val="24"/>
          <w:szCs w:val="24"/>
        </w:rPr>
        <w:t>施条例》、《政府采购货物和服务招标投标管理办法》财政部令第87</w:t>
      </w:r>
      <w:r>
        <w:rPr>
          <w:rFonts w:hint="eastAsia" w:ascii="黑体" w:hAnsi="黑体" w:eastAsia="黑体" w:cs="黑体"/>
          <w:color w:val="auto"/>
          <w:spacing w:val="-2"/>
          <w:sz w:val="24"/>
          <w:szCs w:val="24"/>
        </w:rPr>
        <w:t>号及本项目本级和上级财政部门的有关规定</w:t>
      </w:r>
      <w:r>
        <w:rPr>
          <w:rFonts w:hint="eastAsia" w:ascii="黑体" w:hAnsi="黑体" w:eastAsia="黑体" w:cs="黑体"/>
          <w:b/>
          <w:bCs/>
          <w:color w:val="auto"/>
          <w:spacing w:val="-2"/>
          <w:sz w:val="24"/>
          <w:szCs w:val="24"/>
          <w:lang w:val="en-US" w:eastAsia="zh-CN"/>
        </w:rPr>
        <w:t>本次项目评标专家共5名，其中采购人代表1名，</w:t>
      </w:r>
      <w:r>
        <w:rPr>
          <w:rFonts w:hint="eastAsia" w:ascii="黑体" w:hAnsi="黑体" w:eastAsia="黑体" w:cs="黑体"/>
          <w:b/>
          <w:bCs/>
          <w:color w:val="auto"/>
          <w:spacing w:val="-2"/>
          <w:sz w:val="24"/>
          <w:szCs w:val="24"/>
        </w:rPr>
        <w:t>依法</w:t>
      </w:r>
      <w:r>
        <w:rPr>
          <w:rFonts w:hint="eastAsia" w:ascii="黑体" w:hAnsi="黑体" w:eastAsia="黑体" w:cs="黑体"/>
          <w:b/>
          <w:bCs/>
          <w:color w:val="auto"/>
          <w:spacing w:val="-2"/>
          <w:sz w:val="24"/>
          <w:szCs w:val="24"/>
          <w:lang w:val="en-US" w:eastAsia="zh-CN"/>
        </w:rPr>
        <w:t>从政采云平台专家库中，采用随机抽取的方式，抽取4</w:t>
      </w:r>
      <w:r>
        <w:rPr>
          <w:rFonts w:hint="eastAsia" w:ascii="黑体" w:hAnsi="黑体" w:eastAsia="黑体" w:cs="黑体"/>
          <w:b/>
          <w:bCs/>
          <w:color w:val="auto"/>
          <w:spacing w:val="-2"/>
          <w:sz w:val="24"/>
          <w:szCs w:val="24"/>
        </w:rPr>
        <w:t>名评标委员，负</w:t>
      </w:r>
      <w:r>
        <w:rPr>
          <w:rFonts w:hint="eastAsia" w:ascii="黑体" w:hAnsi="黑体" w:eastAsia="黑体" w:cs="黑体"/>
          <w:b/>
          <w:bCs/>
          <w:color w:val="auto"/>
          <w:spacing w:val="-1"/>
          <w:sz w:val="24"/>
          <w:szCs w:val="24"/>
        </w:rPr>
        <w:t>责评标工作。</w:t>
      </w:r>
    </w:p>
    <w:p w14:paraId="670E6BB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20.投标文件符合性审查与澄清</w:t>
      </w:r>
    </w:p>
    <w:p w14:paraId="4DA069A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20.1符合性审查是指依据招标文件的规</w:t>
      </w:r>
      <w:r>
        <w:rPr>
          <w:rFonts w:hint="eastAsia" w:ascii="黑体" w:hAnsi="黑体" w:eastAsia="黑体" w:cs="黑体"/>
          <w:color w:val="auto"/>
          <w:spacing w:val="-1"/>
          <w:sz w:val="24"/>
          <w:szCs w:val="24"/>
        </w:rPr>
        <w:t>定，从投标文件的有效性和完整性对招标文件的响应程度进行审查，以确定是否对招标文件的实质性</w:t>
      </w:r>
      <w:r>
        <w:rPr>
          <w:rFonts w:hint="eastAsia" w:ascii="黑体" w:hAnsi="黑体" w:eastAsia="黑体" w:cs="黑体"/>
          <w:color w:val="auto"/>
          <w:spacing w:val="-2"/>
          <w:sz w:val="24"/>
          <w:szCs w:val="24"/>
        </w:rPr>
        <w:t>要求做</w:t>
      </w:r>
      <w:r>
        <w:rPr>
          <w:rFonts w:hint="eastAsia" w:ascii="黑体" w:hAnsi="黑体" w:eastAsia="黑体" w:cs="黑体"/>
          <w:color w:val="auto"/>
          <w:spacing w:val="-6"/>
          <w:sz w:val="24"/>
          <w:szCs w:val="24"/>
        </w:rPr>
        <w:t>出响应。</w:t>
      </w:r>
    </w:p>
    <w:p w14:paraId="023E071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20.2投标文件的澄清</w:t>
      </w:r>
    </w:p>
    <w:p w14:paraId="161F1BE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20.2.1在评标期间，评标委员会将以书面方式要求供应商对其投标文件中含义不明确、对同类问题表述不一致或者有明显文字和计算错误的内容，以</w:t>
      </w:r>
      <w:r>
        <w:rPr>
          <w:rFonts w:hint="eastAsia" w:ascii="黑体" w:hAnsi="黑体" w:eastAsia="黑体" w:cs="黑体"/>
          <w:color w:val="auto"/>
          <w:spacing w:val="7"/>
          <w:sz w:val="24"/>
          <w:szCs w:val="24"/>
        </w:rPr>
        <w:t>及评标委员会认为供应商的报价明显低于其他通过符合性检查供</w:t>
      </w:r>
      <w:r>
        <w:rPr>
          <w:rFonts w:hint="eastAsia" w:ascii="黑体" w:hAnsi="黑体" w:eastAsia="黑体" w:cs="黑体"/>
          <w:color w:val="auto"/>
          <w:spacing w:val="6"/>
          <w:sz w:val="24"/>
          <w:szCs w:val="24"/>
        </w:rPr>
        <w:t>应商</w:t>
      </w:r>
      <w:r>
        <w:rPr>
          <w:rFonts w:hint="eastAsia" w:ascii="黑体" w:hAnsi="黑体" w:eastAsia="黑体" w:cs="黑体"/>
          <w:color w:val="auto"/>
          <w:spacing w:val="-1"/>
          <w:sz w:val="24"/>
          <w:szCs w:val="24"/>
        </w:rPr>
        <w:t>的报价，有可能影响履约的情况作必要的澄清、说明或补正。供应商的澄清、说明或补正应在评标委员会规定的时间内以书面方式进行，并不</w:t>
      </w:r>
      <w:r>
        <w:rPr>
          <w:rFonts w:hint="eastAsia" w:ascii="黑体" w:hAnsi="黑体" w:eastAsia="黑体" w:cs="黑体"/>
          <w:color w:val="auto"/>
          <w:sz w:val="24"/>
          <w:szCs w:val="24"/>
        </w:rPr>
        <w:t>得超出投标文件范围或者改变投标文件的实质性</w:t>
      </w:r>
      <w:r>
        <w:rPr>
          <w:rFonts w:hint="eastAsia" w:ascii="黑体" w:hAnsi="黑体" w:eastAsia="黑体" w:cs="黑体"/>
          <w:color w:val="auto"/>
          <w:spacing w:val="-1"/>
          <w:sz w:val="24"/>
          <w:szCs w:val="24"/>
        </w:rPr>
        <w:t>内容。</w:t>
      </w:r>
    </w:p>
    <w:p w14:paraId="0277B70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20.2.2供应商的的澄清、说明或补正将作为投标文件的一部分。</w:t>
      </w:r>
    </w:p>
    <w:p w14:paraId="6781B89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20.3投标文件报价出现前后不一致的，按照下列规定修正：</w:t>
      </w:r>
    </w:p>
    <w:p w14:paraId="38BE7FE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（一）投标文件中开标一览表（报价表）内</w:t>
      </w:r>
      <w:r>
        <w:rPr>
          <w:rFonts w:hint="eastAsia" w:ascii="黑体" w:hAnsi="黑体" w:eastAsia="黑体" w:cs="黑体"/>
          <w:color w:val="auto"/>
          <w:spacing w:val="-2"/>
          <w:sz w:val="24"/>
          <w:szCs w:val="24"/>
        </w:rPr>
        <w:t>容与投标文件中相应内容不</w:t>
      </w:r>
      <w:r>
        <w:rPr>
          <w:rFonts w:hint="eastAsia" w:ascii="黑体" w:hAnsi="黑体" w:eastAsia="黑体" w:cs="黑体"/>
          <w:color w:val="auto"/>
          <w:spacing w:val="-3"/>
          <w:sz w:val="24"/>
          <w:szCs w:val="24"/>
        </w:rPr>
        <w:t>一致的，以开标一览表（报价表）为准；</w:t>
      </w:r>
    </w:p>
    <w:p w14:paraId="3AF773E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（二）大写金额和小写金额不一致的，</w:t>
      </w:r>
      <w:r>
        <w:rPr>
          <w:rFonts w:hint="eastAsia" w:ascii="黑体" w:hAnsi="黑体" w:eastAsia="黑体" w:cs="黑体"/>
          <w:b/>
          <w:bCs/>
          <w:color w:val="auto"/>
          <w:spacing w:val="-3"/>
          <w:sz w:val="24"/>
          <w:szCs w:val="24"/>
        </w:rPr>
        <w:t>以大写金</w:t>
      </w:r>
      <w:r>
        <w:rPr>
          <w:rFonts w:hint="eastAsia" w:ascii="黑体" w:hAnsi="黑体" w:eastAsia="黑体" w:cs="黑体"/>
          <w:b/>
          <w:bCs/>
          <w:color w:val="auto"/>
          <w:spacing w:val="-4"/>
          <w:sz w:val="24"/>
          <w:szCs w:val="24"/>
        </w:rPr>
        <w:t>额为准</w:t>
      </w:r>
      <w:r>
        <w:rPr>
          <w:rFonts w:hint="eastAsia" w:ascii="黑体" w:hAnsi="黑体" w:eastAsia="黑体" w:cs="黑体"/>
          <w:color w:val="auto"/>
          <w:spacing w:val="-4"/>
          <w:sz w:val="24"/>
          <w:szCs w:val="24"/>
        </w:rPr>
        <w:t>；</w:t>
      </w:r>
    </w:p>
    <w:p w14:paraId="2D9F302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（三）单价金额小数点或者百分比有明显错位的，以开标一览表的总价</w:t>
      </w:r>
      <w:r>
        <w:rPr>
          <w:rFonts w:hint="eastAsia" w:ascii="黑体" w:hAnsi="黑体" w:eastAsia="黑体" w:cs="黑体"/>
          <w:color w:val="auto"/>
          <w:spacing w:val="-5"/>
          <w:sz w:val="24"/>
          <w:szCs w:val="24"/>
        </w:rPr>
        <w:t>为准，并修改单价；</w:t>
      </w:r>
    </w:p>
    <w:p w14:paraId="67EB01B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2"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（四）总价金额与按单价汇总金额不一致的，以单价金额计算结果为准。</w:t>
      </w:r>
      <w:r>
        <w:rPr>
          <w:rFonts w:hint="eastAsia" w:ascii="黑体" w:hAnsi="黑体" w:eastAsia="黑体" w:cs="黑体"/>
          <w:color w:val="auto"/>
          <w:spacing w:val="-1"/>
          <w:sz w:val="24"/>
          <w:szCs w:val="24"/>
        </w:rPr>
        <w:t>同时出现两种以上不一致的，按照前款规定的顺序修正。修正后</w:t>
      </w:r>
      <w:r>
        <w:rPr>
          <w:rFonts w:hint="eastAsia" w:ascii="黑体" w:hAnsi="黑体" w:eastAsia="黑体" w:cs="黑体"/>
          <w:color w:val="auto"/>
          <w:spacing w:val="-2"/>
          <w:sz w:val="24"/>
          <w:szCs w:val="24"/>
        </w:rPr>
        <w:t>的报价</w:t>
      </w:r>
      <w:r>
        <w:rPr>
          <w:rFonts w:hint="eastAsia" w:ascii="黑体" w:hAnsi="黑体" w:eastAsia="黑体" w:cs="黑体"/>
          <w:color w:val="auto"/>
          <w:spacing w:val="1"/>
          <w:sz w:val="24"/>
          <w:szCs w:val="24"/>
        </w:rPr>
        <w:t>按照第20.2条的规定经供应商确认后产</w:t>
      </w:r>
      <w:r>
        <w:rPr>
          <w:rFonts w:hint="eastAsia" w:ascii="黑体" w:hAnsi="黑体" w:eastAsia="黑体" w:cs="黑体"/>
          <w:color w:val="auto"/>
          <w:sz w:val="24"/>
          <w:szCs w:val="24"/>
        </w:rPr>
        <w:t>生约束力，供应商不确认的，</w:t>
      </w:r>
      <w:r>
        <w:rPr>
          <w:rFonts w:hint="eastAsia" w:ascii="黑体" w:hAnsi="黑体" w:eastAsia="黑体" w:cs="黑体"/>
          <w:color w:val="auto"/>
          <w:spacing w:val="-1"/>
          <w:sz w:val="24"/>
          <w:szCs w:val="24"/>
        </w:rPr>
        <w:t>其投标将被认定为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0DDD746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对不同文字文本投标文件的解释发生异议的，以中文文本为准。</w:t>
      </w:r>
    </w:p>
    <w:p w14:paraId="7B8C55D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20.4如一个分包内只有一种产品，不同供应</w:t>
      </w:r>
      <w:r>
        <w:rPr>
          <w:rFonts w:hint="eastAsia" w:ascii="黑体" w:hAnsi="黑体" w:eastAsia="黑体" w:cs="黑体"/>
          <w:color w:val="auto"/>
          <w:spacing w:val="-2"/>
          <w:sz w:val="24"/>
          <w:szCs w:val="24"/>
        </w:rPr>
        <w:t>商所投产品为同一品牌的，按如</w:t>
      </w:r>
      <w:r>
        <w:rPr>
          <w:rFonts w:hint="eastAsia" w:ascii="黑体" w:hAnsi="黑体" w:eastAsia="黑体" w:cs="黑体"/>
          <w:color w:val="auto"/>
          <w:spacing w:val="-1"/>
          <w:sz w:val="24"/>
          <w:szCs w:val="24"/>
        </w:rPr>
        <w:t>下方式处理：</w:t>
      </w:r>
    </w:p>
    <w:p w14:paraId="068CF60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20.4.1如本项目使用最低评标价法，提供相同品牌产品的不同供应商以其中通</w:t>
      </w:r>
      <w:r>
        <w:rPr>
          <w:rFonts w:hint="eastAsia" w:ascii="黑体" w:hAnsi="黑体" w:eastAsia="黑体" w:cs="黑体"/>
          <w:color w:val="auto"/>
          <w:spacing w:val="-2"/>
          <w:sz w:val="24"/>
          <w:szCs w:val="24"/>
        </w:rPr>
        <w:t>过资格审查、符合性审查且报价最低的参加评标；报价相</w:t>
      </w:r>
      <w:r>
        <w:rPr>
          <w:rFonts w:hint="eastAsia" w:ascii="黑体" w:hAnsi="黑体" w:eastAsia="黑体" w:cs="黑体"/>
          <w:color w:val="auto"/>
          <w:spacing w:val="-3"/>
          <w:sz w:val="24"/>
          <w:szCs w:val="24"/>
        </w:rPr>
        <w:t>同的，由采购</w:t>
      </w:r>
      <w:r>
        <w:rPr>
          <w:rFonts w:hint="eastAsia" w:ascii="黑体" w:hAnsi="黑体" w:eastAsia="黑体" w:cs="黑体"/>
          <w:color w:val="auto"/>
          <w:spacing w:val="7"/>
          <w:sz w:val="24"/>
          <w:szCs w:val="24"/>
        </w:rPr>
        <w:t>人或者采购人委托评标委员会按照招标文件中评标办法规定的方</w:t>
      </w:r>
      <w:r>
        <w:rPr>
          <w:rFonts w:hint="eastAsia" w:ascii="黑体" w:hAnsi="黑体" w:eastAsia="黑体" w:cs="黑体"/>
          <w:color w:val="auto"/>
          <w:spacing w:val="6"/>
          <w:sz w:val="24"/>
          <w:szCs w:val="24"/>
        </w:rPr>
        <w:t>式确</w:t>
      </w:r>
      <w:r>
        <w:rPr>
          <w:rFonts w:hint="eastAsia" w:ascii="黑体" w:hAnsi="黑体" w:eastAsia="黑体" w:cs="黑体"/>
          <w:color w:val="auto"/>
          <w:spacing w:val="-1"/>
          <w:sz w:val="24"/>
          <w:szCs w:val="24"/>
        </w:rPr>
        <w:t>定一个参加评标的供应商；未规定的采取随机抽取方式确定，其他投标将被认定为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397658E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20.4.2如本项目使用综合评分法，提供相同品牌产品且通过资格审查、符合性审查的不同供应商，按一家供应商计算，评审后得分最高的同品牌</w:t>
      </w:r>
      <w:r>
        <w:rPr>
          <w:rFonts w:hint="eastAsia" w:ascii="黑体" w:hAnsi="黑体" w:eastAsia="黑体" w:cs="黑体"/>
          <w:color w:val="auto"/>
          <w:spacing w:val="-2"/>
          <w:sz w:val="24"/>
          <w:szCs w:val="24"/>
        </w:rPr>
        <w:t>供应商获得中标人推荐资格；评审得分相同的，由采购人或</w:t>
      </w:r>
      <w:r>
        <w:rPr>
          <w:rFonts w:hint="eastAsia" w:ascii="黑体" w:hAnsi="黑体" w:eastAsia="黑体" w:cs="黑体"/>
          <w:color w:val="auto"/>
          <w:spacing w:val="-3"/>
          <w:sz w:val="24"/>
          <w:szCs w:val="24"/>
        </w:rPr>
        <w:t>者采购人委托评</w:t>
      </w:r>
      <w:r>
        <w:rPr>
          <w:rFonts w:hint="eastAsia" w:ascii="黑体" w:hAnsi="黑体" w:eastAsia="黑体" w:cs="黑体"/>
          <w:color w:val="auto"/>
          <w:spacing w:val="7"/>
          <w:sz w:val="24"/>
          <w:szCs w:val="24"/>
        </w:rPr>
        <w:t>标委员会按照招标文件中评标办法规定的方式确定一个供应商</w:t>
      </w:r>
      <w:r>
        <w:rPr>
          <w:rFonts w:hint="eastAsia" w:ascii="黑体" w:hAnsi="黑体" w:eastAsia="黑体" w:cs="黑体"/>
          <w:color w:val="auto"/>
          <w:spacing w:val="6"/>
          <w:sz w:val="24"/>
          <w:szCs w:val="24"/>
        </w:rPr>
        <w:t>获得中</w:t>
      </w:r>
      <w:r>
        <w:rPr>
          <w:rFonts w:hint="eastAsia" w:ascii="黑体" w:hAnsi="黑体" w:eastAsia="黑体" w:cs="黑体"/>
          <w:color w:val="auto"/>
          <w:spacing w:val="-1"/>
          <w:sz w:val="24"/>
          <w:szCs w:val="24"/>
        </w:rPr>
        <w:t>标人推荐资格；未规定的采取随机抽取方式确定，其他同品牌供应</w:t>
      </w:r>
      <w:r>
        <w:rPr>
          <w:rFonts w:hint="eastAsia" w:ascii="黑体" w:hAnsi="黑体" w:eastAsia="黑体" w:cs="黑体"/>
          <w:color w:val="auto"/>
          <w:spacing w:val="-2"/>
          <w:sz w:val="24"/>
          <w:szCs w:val="24"/>
        </w:rPr>
        <w:t>商不</w:t>
      </w:r>
      <w:r>
        <w:rPr>
          <w:rFonts w:hint="eastAsia" w:ascii="黑体" w:hAnsi="黑体" w:eastAsia="黑体" w:cs="黑体"/>
          <w:color w:val="auto"/>
          <w:spacing w:val="-1"/>
          <w:sz w:val="24"/>
          <w:szCs w:val="24"/>
        </w:rPr>
        <w:t>作为中标候选人。</w:t>
      </w:r>
    </w:p>
    <w:p w14:paraId="40DA3C6D">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2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20.5供应商所投产品如被列入财</w:t>
      </w:r>
      <w:r>
        <w:rPr>
          <w:rFonts w:hint="eastAsia" w:ascii="黑体" w:hAnsi="黑体" w:eastAsia="黑体" w:cs="黑体"/>
          <w:color w:val="auto"/>
          <w:sz w:val="24"/>
          <w:szCs w:val="24"/>
        </w:rPr>
        <w:t>政部与国家主管部门颁发的节能产品目录或</w:t>
      </w:r>
      <w:r>
        <w:rPr>
          <w:rFonts w:hint="eastAsia" w:ascii="黑体" w:hAnsi="黑体" w:eastAsia="黑体" w:cs="黑体"/>
          <w:color w:val="auto"/>
          <w:spacing w:val="-1"/>
          <w:sz w:val="24"/>
          <w:szCs w:val="24"/>
        </w:rPr>
        <w:t>环境标志产品目录或无线局域网产品目录，应提供相关证明，在</w:t>
      </w:r>
      <w:r>
        <w:rPr>
          <w:rFonts w:hint="eastAsia" w:ascii="黑体" w:hAnsi="黑体" w:eastAsia="黑体" w:cs="黑体"/>
          <w:color w:val="auto"/>
          <w:spacing w:val="-2"/>
          <w:sz w:val="24"/>
          <w:szCs w:val="24"/>
        </w:rPr>
        <w:t>评标时予以优先采购，具体优先采购办法见第六章评标方法和标准。</w:t>
      </w:r>
    </w:p>
    <w:p w14:paraId="6550B8C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9" w:firstLineChars="175"/>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如采购人所采购产品为政府强制采购的节能产品，供应商所投产品的品</w:t>
      </w:r>
      <w:r>
        <w:rPr>
          <w:rFonts w:hint="eastAsia" w:ascii="黑体" w:hAnsi="黑体" w:eastAsia="黑体" w:cs="黑体"/>
          <w:color w:val="auto"/>
          <w:spacing w:val="-1"/>
          <w:sz w:val="24"/>
          <w:szCs w:val="24"/>
        </w:rPr>
        <w:t>牌及型号必须为清单中有效期内产品并提供证明文件，否则其投</w:t>
      </w:r>
      <w:r>
        <w:rPr>
          <w:rFonts w:hint="eastAsia" w:ascii="黑体" w:hAnsi="黑体" w:eastAsia="黑体" w:cs="黑体"/>
          <w:color w:val="auto"/>
          <w:spacing w:val="-2"/>
          <w:sz w:val="24"/>
          <w:szCs w:val="24"/>
        </w:rPr>
        <w:t>标将被</w:t>
      </w:r>
      <w:r>
        <w:rPr>
          <w:rFonts w:hint="eastAsia" w:ascii="黑体" w:hAnsi="黑体" w:eastAsia="黑体" w:cs="黑体"/>
          <w:color w:val="auto"/>
          <w:spacing w:val="-1"/>
          <w:sz w:val="24"/>
          <w:szCs w:val="24"/>
        </w:rPr>
        <w:t>认定为</w:t>
      </w:r>
      <w:r>
        <w:rPr>
          <w:rFonts w:hint="eastAsia" w:ascii="黑体" w:hAnsi="黑体" w:eastAsia="黑体" w:cs="黑体"/>
          <w:b/>
          <w:bCs/>
          <w:color w:val="auto"/>
          <w:spacing w:val="-1"/>
          <w:sz w:val="24"/>
          <w:szCs w:val="24"/>
        </w:rPr>
        <w:t>投标无效</w:t>
      </w:r>
      <w:r>
        <w:rPr>
          <w:rFonts w:hint="eastAsia" w:ascii="黑体" w:hAnsi="黑体" w:eastAsia="黑体" w:cs="黑体"/>
          <w:color w:val="auto"/>
          <w:spacing w:val="-1"/>
          <w:sz w:val="24"/>
          <w:szCs w:val="24"/>
        </w:rPr>
        <w:t>。</w:t>
      </w:r>
    </w:p>
    <w:p w14:paraId="28E62F2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21.投标偏离</w:t>
      </w:r>
    </w:p>
    <w:p w14:paraId="76DD2A3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9" w:firstLineChars="179"/>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评标委员会可以接受投标文件中不构成实质性偏离的不正规</w:t>
      </w:r>
      <w:r>
        <w:rPr>
          <w:rFonts w:hint="eastAsia" w:ascii="黑体" w:hAnsi="黑体" w:eastAsia="黑体" w:cs="黑体"/>
          <w:color w:val="auto"/>
          <w:spacing w:val="-1"/>
          <w:sz w:val="24"/>
          <w:szCs w:val="24"/>
        </w:rPr>
        <w:t>或不一致。</w:t>
      </w:r>
    </w:p>
    <w:p w14:paraId="6AACDF1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22.投标无效</w:t>
      </w:r>
    </w:p>
    <w:p w14:paraId="525905D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6"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22.1在比较与评价之前，根据本须知的规定</w:t>
      </w:r>
      <w:r>
        <w:rPr>
          <w:rFonts w:hint="eastAsia" w:ascii="黑体" w:hAnsi="黑体" w:eastAsia="黑体" w:cs="黑体"/>
          <w:color w:val="auto"/>
          <w:spacing w:val="-2"/>
          <w:sz w:val="24"/>
          <w:szCs w:val="24"/>
        </w:rPr>
        <w:t>，评标委员会要审查每份投标文</w:t>
      </w:r>
      <w:r>
        <w:rPr>
          <w:rFonts w:hint="eastAsia" w:ascii="黑体" w:hAnsi="黑体" w:eastAsia="黑体" w:cs="黑体"/>
          <w:color w:val="auto"/>
          <w:spacing w:val="-1"/>
          <w:sz w:val="24"/>
          <w:szCs w:val="24"/>
        </w:rPr>
        <w:t>件是否实质上响应了招标文件的要求。实质上响应的投标应该是与</w:t>
      </w:r>
      <w:r>
        <w:rPr>
          <w:rFonts w:hint="eastAsia" w:ascii="黑体" w:hAnsi="黑体" w:eastAsia="黑体" w:cs="黑体"/>
          <w:color w:val="auto"/>
          <w:spacing w:val="-2"/>
          <w:sz w:val="24"/>
          <w:szCs w:val="24"/>
        </w:rPr>
        <w:t>招标</w:t>
      </w:r>
      <w:r>
        <w:rPr>
          <w:rFonts w:hint="eastAsia" w:ascii="黑体" w:hAnsi="黑体" w:eastAsia="黑体" w:cs="黑体"/>
          <w:color w:val="auto"/>
          <w:spacing w:val="-1"/>
          <w:sz w:val="24"/>
          <w:szCs w:val="24"/>
        </w:rPr>
        <w:t>文件要求的全部条款、条件和规格相符，没有重大偏离的投标。供应商不得通过修正或撤销不符合要求的偏离，从而使其投标成为实质上响应的投标。</w:t>
      </w:r>
    </w:p>
    <w:p w14:paraId="088FD90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评标委员会决定投标的响应性只根据招标文件要求、投标文件内容及财政</w:t>
      </w:r>
      <w:r>
        <w:rPr>
          <w:rFonts w:hint="eastAsia" w:ascii="黑体" w:hAnsi="黑体" w:eastAsia="黑体" w:cs="黑体"/>
          <w:color w:val="auto"/>
          <w:spacing w:val="-1"/>
          <w:sz w:val="24"/>
          <w:szCs w:val="24"/>
        </w:rPr>
        <w:t>主管部门指定相关信息发布媒体。</w:t>
      </w:r>
    </w:p>
    <w:p w14:paraId="3C2173D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2"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22.2</w:t>
      </w:r>
      <w:r>
        <w:rPr>
          <w:rFonts w:hint="eastAsia" w:ascii="黑体" w:hAnsi="黑体" w:eastAsia="黑体" w:cs="黑体"/>
          <w:b/>
          <w:bCs/>
          <w:color w:val="auto"/>
          <w:spacing w:val="-2"/>
          <w:sz w:val="24"/>
          <w:szCs w:val="24"/>
        </w:rPr>
        <w:t>如发现下列情况之一的，其投标将被认定为投标无效</w:t>
      </w:r>
      <w:r>
        <w:rPr>
          <w:rFonts w:hint="eastAsia" w:ascii="黑体" w:hAnsi="黑体" w:eastAsia="黑体" w:cs="黑体"/>
          <w:color w:val="auto"/>
          <w:spacing w:val="-2"/>
          <w:sz w:val="24"/>
          <w:szCs w:val="24"/>
        </w:rPr>
        <w:t>：</w:t>
      </w:r>
    </w:p>
    <w:p w14:paraId="4A189C5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（1）未按招标文件规定的形式和金额提交投标保证金的；</w:t>
      </w:r>
    </w:p>
    <w:p w14:paraId="1966411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（2）未按照招标文件规定要求签署、盖章的；</w:t>
      </w:r>
    </w:p>
    <w:p w14:paraId="48019D4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（3）未满足招标文件中技术条款的实质性要求；</w:t>
      </w:r>
    </w:p>
    <w:p w14:paraId="4A78C33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（4）与其他供应商串通投标，或者与采购人串通投标；</w:t>
      </w:r>
    </w:p>
    <w:p w14:paraId="38CB873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（5）属于招标文件规定的其他投标无效情形；</w:t>
      </w:r>
    </w:p>
    <w:p w14:paraId="6E761C2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74" w:firstLineChars="179"/>
        <w:jc w:val="both"/>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12"/>
          <w:sz w:val="24"/>
          <w:szCs w:val="24"/>
        </w:rPr>
        <w:t>（6）评标委员会认为供应商的报价明显低于其他通过符合性检查供应</w:t>
      </w:r>
      <w:r>
        <w:rPr>
          <w:rFonts w:hint="eastAsia" w:ascii="黑体" w:hAnsi="黑体" w:eastAsia="黑体" w:cs="黑体"/>
          <w:b/>
          <w:bCs/>
          <w:color w:val="auto"/>
          <w:spacing w:val="-2"/>
          <w:sz w:val="24"/>
          <w:szCs w:val="24"/>
        </w:rPr>
        <w:t>商的报价，有可能影响履约的，且供应商未</w:t>
      </w:r>
      <w:r>
        <w:rPr>
          <w:rFonts w:hint="eastAsia" w:ascii="黑体" w:hAnsi="黑体" w:eastAsia="黑体" w:cs="黑体"/>
          <w:b/>
          <w:bCs/>
          <w:color w:val="auto"/>
          <w:spacing w:val="-3"/>
          <w:sz w:val="24"/>
          <w:szCs w:val="24"/>
        </w:rPr>
        <w:t>按照规定证明其报价合理性的；</w:t>
      </w:r>
    </w:p>
    <w:p w14:paraId="2D5B8A0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8" w:firstLineChars="179"/>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（7）投标文件含有采购人不能接受的附加条件的；</w:t>
      </w:r>
    </w:p>
    <w:p w14:paraId="726C83E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9"/>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（8）不符合法规和招标文件中规定的其他实质性要求的。</w:t>
      </w:r>
    </w:p>
    <w:p w14:paraId="34FB9B7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6"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22.3有下列情形之一的，属于恶意串通，对供应</w:t>
      </w:r>
      <w:r>
        <w:rPr>
          <w:rFonts w:hint="eastAsia" w:ascii="黑体" w:hAnsi="黑体" w:eastAsia="黑体" w:cs="黑体"/>
          <w:color w:val="auto"/>
          <w:spacing w:val="-2"/>
          <w:sz w:val="24"/>
          <w:szCs w:val="24"/>
        </w:rPr>
        <w:t>商依照政府采购法第七十七</w:t>
      </w:r>
      <w:r>
        <w:rPr>
          <w:rFonts w:hint="eastAsia" w:ascii="黑体" w:hAnsi="黑体" w:eastAsia="黑体" w:cs="黑体"/>
          <w:color w:val="auto"/>
          <w:spacing w:val="-1"/>
          <w:sz w:val="24"/>
          <w:szCs w:val="24"/>
        </w:rPr>
        <w:t>条第一款的规定追究法律责任，对采购人、采购代理机构及其工作</w:t>
      </w:r>
      <w:r>
        <w:rPr>
          <w:rFonts w:hint="eastAsia" w:ascii="黑体" w:hAnsi="黑体" w:eastAsia="黑体" w:cs="黑体"/>
          <w:color w:val="auto"/>
          <w:spacing w:val="-2"/>
          <w:sz w:val="24"/>
          <w:szCs w:val="24"/>
        </w:rPr>
        <w:t>人员</w:t>
      </w:r>
      <w:r>
        <w:rPr>
          <w:rFonts w:hint="eastAsia" w:ascii="黑体" w:hAnsi="黑体" w:eastAsia="黑体" w:cs="黑体"/>
          <w:color w:val="auto"/>
          <w:spacing w:val="-1"/>
          <w:sz w:val="24"/>
          <w:szCs w:val="24"/>
        </w:rPr>
        <w:t>依照政府采购法第七十二条的规定追究法律责任：</w:t>
      </w:r>
    </w:p>
    <w:p w14:paraId="39DF65B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（1）供应商直接或者间接从采购人或者采购代理机构处获得其他供应商的</w:t>
      </w:r>
      <w:r>
        <w:rPr>
          <w:rFonts w:hint="eastAsia" w:ascii="黑体" w:hAnsi="黑体" w:eastAsia="黑体" w:cs="黑体"/>
          <w:color w:val="auto"/>
          <w:spacing w:val="-1"/>
          <w:sz w:val="24"/>
          <w:szCs w:val="24"/>
        </w:rPr>
        <w:t>相关情况并修改其投标文件或者投标文件；</w:t>
      </w:r>
    </w:p>
    <w:p w14:paraId="630F4563">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4"/>
          <w:sz w:val="24"/>
          <w:szCs w:val="24"/>
        </w:rPr>
        <w:t>（2）供应商按照采购人或者采购代理机构的授意撤换、修改投标文件或者</w:t>
      </w:r>
      <w:r>
        <w:rPr>
          <w:rFonts w:hint="eastAsia" w:ascii="黑体" w:hAnsi="黑体" w:eastAsia="黑体" w:cs="黑体"/>
          <w:color w:val="auto"/>
          <w:spacing w:val="-1"/>
          <w:sz w:val="24"/>
          <w:szCs w:val="24"/>
        </w:rPr>
        <w:t>投标文件</w:t>
      </w:r>
      <w:r>
        <w:rPr>
          <w:rFonts w:hint="eastAsia" w:ascii="黑体" w:hAnsi="黑体" w:eastAsia="黑体" w:cs="黑体"/>
          <w:color w:val="auto"/>
          <w:spacing w:val="-1"/>
          <w:sz w:val="24"/>
          <w:szCs w:val="24"/>
          <w:lang w:eastAsia="zh-CN"/>
        </w:rPr>
        <w:t>；</w:t>
      </w:r>
    </w:p>
    <w:p w14:paraId="4FE0343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（3）供应商之间协商报价、技术方案等投标文件或者投标文件的实质性内</w:t>
      </w:r>
      <w:r>
        <w:rPr>
          <w:rFonts w:hint="eastAsia" w:ascii="黑体" w:hAnsi="黑体" w:eastAsia="黑体" w:cs="黑体"/>
          <w:color w:val="auto"/>
          <w:spacing w:val="-2"/>
          <w:sz w:val="24"/>
          <w:szCs w:val="24"/>
        </w:rPr>
        <w:t>容；</w:t>
      </w:r>
    </w:p>
    <w:p w14:paraId="19D314F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（4）属于同一集团、协会、商会等组织成员的供应商按照该组织要求协同</w:t>
      </w:r>
      <w:r>
        <w:rPr>
          <w:rFonts w:hint="eastAsia" w:ascii="黑体" w:hAnsi="黑体" w:eastAsia="黑体" w:cs="黑体"/>
          <w:color w:val="auto"/>
          <w:spacing w:val="-1"/>
          <w:sz w:val="24"/>
          <w:szCs w:val="24"/>
        </w:rPr>
        <w:t>参加政府采购活动；</w:t>
      </w:r>
    </w:p>
    <w:p w14:paraId="0298023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2"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（5）供应商之间事先约定由某一特定供应商中标、成交；</w:t>
      </w:r>
    </w:p>
    <w:p w14:paraId="5319F98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（6）供应商之间商定部分供应商放弃参加政府采购活动或者放弃中标、成</w:t>
      </w:r>
      <w:r>
        <w:rPr>
          <w:rFonts w:hint="eastAsia" w:ascii="黑体" w:hAnsi="黑体" w:eastAsia="黑体" w:cs="黑体"/>
          <w:color w:val="auto"/>
          <w:spacing w:val="-3"/>
          <w:sz w:val="24"/>
          <w:szCs w:val="24"/>
        </w:rPr>
        <w:t>交；</w:t>
      </w:r>
    </w:p>
    <w:p w14:paraId="75ECD43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（7）供应商与采购人或者采购代理机构之间、供应商相互之间，为谋求特</w:t>
      </w:r>
      <w:r>
        <w:rPr>
          <w:rFonts w:hint="eastAsia" w:ascii="黑体" w:hAnsi="黑体" w:eastAsia="黑体" w:cs="黑体"/>
          <w:color w:val="auto"/>
          <w:sz w:val="24"/>
          <w:szCs w:val="24"/>
        </w:rPr>
        <w:t>定供应商中标、成交或者排斥其他供应商的其他</w:t>
      </w:r>
      <w:r>
        <w:rPr>
          <w:rFonts w:hint="eastAsia" w:ascii="黑体" w:hAnsi="黑体" w:eastAsia="黑体" w:cs="黑体"/>
          <w:color w:val="auto"/>
          <w:spacing w:val="-1"/>
          <w:sz w:val="24"/>
          <w:szCs w:val="24"/>
        </w:rPr>
        <w:t>串通行为。</w:t>
      </w:r>
    </w:p>
    <w:p w14:paraId="6F2A429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23.比较与评价</w:t>
      </w:r>
    </w:p>
    <w:p w14:paraId="74C36B5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3"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23.1经符合性审查合格的投标文</w:t>
      </w:r>
      <w:r>
        <w:rPr>
          <w:rFonts w:hint="eastAsia" w:ascii="黑体" w:hAnsi="黑体" w:eastAsia="黑体" w:cs="黑体"/>
          <w:color w:val="auto"/>
          <w:sz w:val="24"/>
          <w:szCs w:val="24"/>
        </w:rPr>
        <w:t>件，评标委员会将根据招标文件确定的评标</w:t>
      </w:r>
      <w:r>
        <w:rPr>
          <w:rFonts w:hint="eastAsia" w:ascii="黑体" w:hAnsi="黑体" w:eastAsia="黑体" w:cs="黑体"/>
          <w:color w:val="auto"/>
          <w:spacing w:val="-2"/>
          <w:sz w:val="24"/>
          <w:szCs w:val="24"/>
        </w:rPr>
        <w:t>方法和标准，对其技术部分和商务部分作进一步的比较和评价。</w:t>
      </w:r>
    </w:p>
    <w:p w14:paraId="3B9970C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33"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23.2评标严格按照招标文件的要</w:t>
      </w:r>
      <w:r>
        <w:rPr>
          <w:rFonts w:hint="eastAsia" w:ascii="黑体" w:hAnsi="黑体" w:eastAsia="黑体" w:cs="黑体"/>
          <w:color w:val="auto"/>
          <w:sz w:val="24"/>
          <w:szCs w:val="24"/>
        </w:rPr>
        <w:t>求和条件进行。根据实际情况，在</w:t>
      </w:r>
      <w:r>
        <w:rPr>
          <w:rFonts w:hint="eastAsia" w:ascii="黑体" w:hAnsi="黑体" w:eastAsia="黑体" w:cs="黑体"/>
          <w:color w:val="auto"/>
          <w:sz w:val="24"/>
          <w:szCs w:val="24"/>
          <w:u w:val="single" w:color="auto"/>
        </w:rPr>
        <w:t>供应商须</w:t>
      </w:r>
      <w:r>
        <w:rPr>
          <w:rFonts w:hint="eastAsia" w:ascii="黑体" w:hAnsi="黑体" w:eastAsia="黑体" w:cs="黑体"/>
          <w:color w:val="auto"/>
          <w:spacing w:val="-1"/>
          <w:sz w:val="24"/>
          <w:szCs w:val="24"/>
          <w:u w:val="single" w:color="auto"/>
        </w:rPr>
        <w:t>知资料表</w:t>
      </w:r>
      <w:r>
        <w:rPr>
          <w:rFonts w:hint="eastAsia" w:ascii="黑体" w:hAnsi="黑体" w:eastAsia="黑体" w:cs="黑体"/>
          <w:color w:val="auto"/>
          <w:spacing w:val="-1"/>
          <w:sz w:val="24"/>
          <w:szCs w:val="24"/>
        </w:rPr>
        <w:t>中规定采用下列一种评标方法，详细评标标准见招标文件第六</w:t>
      </w:r>
      <w:r>
        <w:rPr>
          <w:rFonts w:hint="eastAsia" w:ascii="黑体" w:hAnsi="黑体" w:eastAsia="黑体" w:cs="黑体"/>
          <w:color w:val="auto"/>
          <w:spacing w:val="-3"/>
          <w:sz w:val="24"/>
          <w:szCs w:val="24"/>
        </w:rPr>
        <w:t>章：</w:t>
      </w:r>
    </w:p>
    <w:p w14:paraId="419B884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2"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（1）最低评标价法，是指投标文件满足招标文件全部实质性要求，且投标报</w:t>
      </w:r>
      <w:r>
        <w:rPr>
          <w:rFonts w:hint="eastAsia" w:ascii="黑体" w:hAnsi="黑体" w:eastAsia="黑体" w:cs="黑体"/>
          <w:color w:val="auto"/>
          <w:spacing w:val="-1"/>
          <w:sz w:val="24"/>
          <w:szCs w:val="24"/>
        </w:rPr>
        <w:t>价最低的供应商为中标候选人的评标方法。</w:t>
      </w:r>
    </w:p>
    <w:p w14:paraId="23B2295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2"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（2）综合评分法，是指投标文件满足招标文件全部实质性要求，且按照评审</w:t>
      </w:r>
      <w:r>
        <w:rPr>
          <w:rFonts w:hint="eastAsia" w:ascii="黑体" w:hAnsi="黑体" w:eastAsia="黑体" w:cs="黑体"/>
          <w:color w:val="auto"/>
          <w:spacing w:val="-1"/>
          <w:sz w:val="24"/>
          <w:szCs w:val="24"/>
        </w:rPr>
        <w:t>因素的量化指标评审得分最高的供应商为中标候选人的评标方法。</w:t>
      </w:r>
    </w:p>
    <w:p w14:paraId="32259EE6">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本项目采用综合评分法</w:t>
      </w:r>
      <w:r>
        <w:rPr>
          <w:rFonts w:hint="eastAsia" w:ascii="黑体" w:hAnsi="黑体" w:eastAsia="黑体" w:cs="黑体"/>
          <w:b/>
          <w:bCs/>
          <w:color w:val="auto"/>
          <w:spacing w:val="-2"/>
          <w:sz w:val="24"/>
          <w:szCs w:val="24"/>
          <w:lang w:eastAsia="zh-CN"/>
        </w:rPr>
        <w:t>：</w:t>
      </w:r>
      <w:r>
        <w:rPr>
          <w:rFonts w:hint="eastAsia" w:ascii="黑体" w:hAnsi="黑体" w:eastAsia="黑体" w:cs="黑体"/>
          <w:b/>
          <w:bCs/>
          <w:color w:val="auto"/>
          <w:spacing w:val="-3"/>
          <w:sz w:val="24"/>
          <w:szCs w:val="24"/>
        </w:rPr>
        <w:t>价格占30%，商务占</w:t>
      </w:r>
      <w:r>
        <w:rPr>
          <w:rFonts w:hint="eastAsia" w:ascii="黑体" w:hAnsi="黑体" w:eastAsia="黑体" w:cs="黑体"/>
          <w:b/>
          <w:bCs/>
          <w:color w:val="auto"/>
          <w:spacing w:val="-3"/>
          <w:sz w:val="24"/>
          <w:szCs w:val="24"/>
          <w:lang w:val="en-US" w:eastAsia="zh-CN"/>
        </w:rPr>
        <w:t>5</w:t>
      </w:r>
      <w:r>
        <w:rPr>
          <w:rFonts w:hint="eastAsia" w:ascii="黑体" w:hAnsi="黑体" w:eastAsia="黑体" w:cs="黑体"/>
          <w:b/>
          <w:bCs/>
          <w:color w:val="auto"/>
          <w:spacing w:val="-3"/>
          <w:sz w:val="24"/>
          <w:szCs w:val="24"/>
        </w:rPr>
        <w:t>%，技术</w:t>
      </w:r>
      <w:r>
        <w:rPr>
          <w:rFonts w:hint="eastAsia" w:ascii="黑体" w:hAnsi="黑体" w:eastAsia="黑体" w:cs="黑体"/>
          <w:b/>
          <w:bCs/>
          <w:color w:val="auto"/>
          <w:spacing w:val="-6"/>
          <w:sz w:val="24"/>
          <w:szCs w:val="24"/>
        </w:rPr>
        <w:t>占6</w:t>
      </w:r>
      <w:r>
        <w:rPr>
          <w:rFonts w:hint="eastAsia" w:ascii="黑体" w:hAnsi="黑体" w:eastAsia="黑体" w:cs="黑体"/>
          <w:b/>
          <w:bCs/>
          <w:color w:val="auto"/>
          <w:spacing w:val="-6"/>
          <w:sz w:val="24"/>
          <w:szCs w:val="24"/>
          <w:lang w:val="en-US" w:eastAsia="zh-CN"/>
        </w:rPr>
        <w:t>5</w:t>
      </w:r>
      <w:r>
        <w:rPr>
          <w:rFonts w:hint="eastAsia" w:ascii="黑体" w:hAnsi="黑体" w:eastAsia="黑体" w:cs="黑体"/>
          <w:b/>
          <w:bCs/>
          <w:color w:val="auto"/>
          <w:spacing w:val="-6"/>
          <w:sz w:val="24"/>
          <w:szCs w:val="24"/>
        </w:rPr>
        <w:t>%。</w:t>
      </w:r>
    </w:p>
    <w:p w14:paraId="579568AD">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0" w:firstLineChars="0"/>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23.3本项目不专门面向中小企业采购。根据《</w:t>
      </w:r>
      <w:r>
        <w:rPr>
          <w:rFonts w:hint="eastAsia" w:ascii="黑体" w:hAnsi="黑体" w:eastAsia="黑体" w:cs="黑体"/>
          <w:b/>
          <w:bCs/>
          <w:color w:val="auto"/>
          <w:spacing w:val="2"/>
          <w:sz w:val="24"/>
          <w:szCs w:val="24"/>
        </w:rPr>
        <w:t>政府采购促进中小企业发展</w:t>
      </w:r>
      <w:r>
        <w:rPr>
          <w:rFonts w:hint="eastAsia" w:ascii="黑体" w:hAnsi="黑体" w:eastAsia="黑体" w:cs="黑体"/>
          <w:b/>
          <w:bCs/>
          <w:color w:val="auto"/>
          <w:spacing w:val="-1"/>
          <w:sz w:val="24"/>
          <w:szCs w:val="24"/>
        </w:rPr>
        <w:t>管理办法》（财库[2020]46号）、《财政部司法部关于政府采购支持监狱企</w:t>
      </w:r>
      <w:r>
        <w:rPr>
          <w:rFonts w:hint="eastAsia" w:ascii="黑体" w:hAnsi="黑体" w:eastAsia="黑体" w:cs="黑体"/>
          <w:b/>
          <w:bCs/>
          <w:color w:val="auto"/>
          <w:spacing w:val="-3"/>
          <w:sz w:val="24"/>
          <w:szCs w:val="24"/>
        </w:rPr>
        <w:t>业发展有关问题的通知》（财库〔2014〕68号）、《三部门联合发布关于</w:t>
      </w:r>
      <w:r>
        <w:rPr>
          <w:rFonts w:hint="eastAsia" w:ascii="黑体" w:hAnsi="黑体" w:eastAsia="黑体" w:cs="黑体"/>
          <w:b/>
          <w:bCs/>
          <w:color w:val="auto"/>
          <w:spacing w:val="-1"/>
          <w:sz w:val="24"/>
          <w:szCs w:val="24"/>
        </w:rPr>
        <w:t>促进残疾人就业政府采购政策的通知》（财库〔2017〕141号）和财政部关</w:t>
      </w:r>
      <w:r>
        <w:rPr>
          <w:rFonts w:hint="eastAsia" w:ascii="黑体" w:hAnsi="黑体" w:eastAsia="黑体" w:cs="黑体"/>
          <w:b/>
          <w:bCs/>
          <w:color w:val="auto"/>
          <w:spacing w:val="-7"/>
          <w:sz w:val="24"/>
          <w:szCs w:val="24"/>
        </w:rPr>
        <w:t>于进一步加大政府采购支持中小企业力度的通知》财库〔2022〕19号的规定，</w:t>
      </w:r>
      <w:r>
        <w:rPr>
          <w:rFonts w:hint="eastAsia" w:ascii="黑体" w:hAnsi="黑体" w:eastAsia="黑体" w:cs="黑体"/>
          <w:b/>
          <w:bCs/>
          <w:color w:val="auto"/>
          <w:spacing w:val="-3"/>
          <w:sz w:val="24"/>
          <w:szCs w:val="24"/>
        </w:rPr>
        <w:t>其中小型、微型及小微企业在投标文件中提交了《中小企业声明函》、《残疾人福利性单位声明函》或省级以上监狱管理局、戒毒管理局（含新疆生产建设</w:t>
      </w:r>
      <w:r>
        <w:rPr>
          <w:rFonts w:hint="eastAsia" w:ascii="黑体" w:hAnsi="黑体" w:eastAsia="黑体" w:cs="黑体"/>
          <w:b/>
          <w:bCs/>
          <w:color w:val="auto"/>
          <w:spacing w:val="-4"/>
          <w:sz w:val="24"/>
          <w:szCs w:val="24"/>
        </w:rPr>
        <w:t>兵团）出具的属于监狱企业的证明文件供应商，其报价扣除</w:t>
      </w:r>
      <w:r>
        <w:rPr>
          <w:rFonts w:hint="eastAsia" w:ascii="黑体" w:hAnsi="黑体" w:eastAsia="黑体" w:cs="黑体"/>
          <w:b/>
          <w:bCs/>
          <w:color w:val="auto"/>
          <w:spacing w:val="-4"/>
          <w:sz w:val="24"/>
          <w:szCs w:val="24"/>
          <w:u w:val="single" w:color="auto"/>
        </w:rPr>
        <w:t>10%</w:t>
      </w:r>
      <w:r>
        <w:rPr>
          <w:rFonts w:hint="eastAsia" w:ascii="黑体" w:hAnsi="黑体" w:eastAsia="黑体" w:cs="黑体"/>
          <w:b/>
          <w:bCs/>
          <w:color w:val="auto"/>
          <w:spacing w:val="-4"/>
          <w:sz w:val="24"/>
          <w:szCs w:val="24"/>
        </w:rPr>
        <w:t>后参与评审。</w:t>
      </w:r>
      <w:r>
        <w:rPr>
          <w:rFonts w:hint="eastAsia" w:ascii="黑体" w:hAnsi="黑体" w:eastAsia="黑体" w:cs="黑体"/>
          <w:b/>
          <w:bCs/>
          <w:color w:val="auto"/>
          <w:spacing w:val="-3"/>
          <w:sz w:val="24"/>
          <w:szCs w:val="24"/>
        </w:rPr>
        <w:t>对于同时属于小型、微型及小微企业、监狱企业或残疾人福利性单位的，不重</w:t>
      </w:r>
      <w:r>
        <w:rPr>
          <w:rFonts w:hint="eastAsia" w:ascii="黑体" w:hAnsi="黑体" w:eastAsia="黑体" w:cs="黑体"/>
          <w:b/>
          <w:bCs/>
          <w:color w:val="auto"/>
          <w:spacing w:val="-1"/>
          <w:sz w:val="24"/>
          <w:szCs w:val="24"/>
        </w:rPr>
        <w:t>复进行报价扣除。</w:t>
      </w:r>
    </w:p>
    <w:p w14:paraId="510CC96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24.废标</w:t>
      </w:r>
    </w:p>
    <w:p w14:paraId="13B746D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24.1出现下列情形之一，将导致项目废标：</w:t>
      </w:r>
    </w:p>
    <w:p w14:paraId="5250382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（1）符合专业条件的供应商或者对招标文件做实质性</w:t>
      </w:r>
      <w:r>
        <w:rPr>
          <w:rFonts w:hint="eastAsia" w:ascii="黑体" w:hAnsi="黑体" w:eastAsia="黑体" w:cs="黑体"/>
          <w:b/>
          <w:bCs/>
          <w:color w:val="auto"/>
          <w:sz w:val="24"/>
          <w:szCs w:val="24"/>
        </w:rPr>
        <w:t>响应的供应商不</w:t>
      </w:r>
      <w:r>
        <w:rPr>
          <w:rFonts w:hint="eastAsia" w:ascii="黑体" w:hAnsi="黑体" w:eastAsia="黑体" w:cs="黑体"/>
          <w:b/>
          <w:bCs/>
          <w:color w:val="auto"/>
          <w:spacing w:val="-1"/>
          <w:sz w:val="24"/>
          <w:szCs w:val="24"/>
        </w:rPr>
        <w:t>足三家；</w:t>
      </w:r>
    </w:p>
    <w:p w14:paraId="214FA1D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（2）出现影响采购公正的违法、违规行为的；</w:t>
      </w:r>
    </w:p>
    <w:p w14:paraId="6073D0A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b/>
          <w:bCs/>
          <w:color w:val="auto"/>
          <w:spacing w:val="-5"/>
          <w:sz w:val="24"/>
          <w:szCs w:val="24"/>
        </w:rPr>
      </w:pPr>
      <w:r>
        <w:rPr>
          <w:rFonts w:hint="eastAsia" w:ascii="黑体" w:hAnsi="黑体" w:eastAsia="黑体" w:cs="黑体"/>
          <w:b/>
          <w:bCs/>
          <w:color w:val="auto"/>
          <w:spacing w:val="-4"/>
          <w:sz w:val="24"/>
          <w:szCs w:val="24"/>
        </w:rPr>
        <w:t>（3）供应商的报价均超过了采购预算，采购人</w:t>
      </w:r>
      <w:r>
        <w:rPr>
          <w:rFonts w:hint="eastAsia" w:ascii="黑体" w:hAnsi="黑体" w:eastAsia="黑体" w:cs="黑体"/>
          <w:b/>
          <w:bCs/>
          <w:color w:val="auto"/>
          <w:spacing w:val="-5"/>
          <w:sz w:val="24"/>
          <w:szCs w:val="24"/>
        </w:rPr>
        <w:t>不能支付的；</w:t>
      </w:r>
    </w:p>
    <w:p w14:paraId="4F1A4FD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5"/>
          <w:sz w:val="24"/>
          <w:szCs w:val="24"/>
        </w:rPr>
        <w:t>（4）因重大变故，采购任务取消的。</w:t>
      </w:r>
    </w:p>
    <w:p w14:paraId="1CFD67E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25.保密原则</w:t>
      </w:r>
    </w:p>
    <w:p w14:paraId="14696FF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25.1评标将在严格保密的情况下进行。</w:t>
      </w:r>
    </w:p>
    <w:p w14:paraId="1F46417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25.2政府采购评审专家应当遵守</w:t>
      </w:r>
      <w:r>
        <w:rPr>
          <w:rFonts w:hint="eastAsia" w:ascii="黑体" w:hAnsi="黑体" w:eastAsia="黑体" w:cs="黑体"/>
          <w:color w:val="auto"/>
          <w:sz w:val="24"/>
          <w:szCs w:val="24"/>
        </w:rPr>
        <w:t>评审工作纪律，不得泄露评审文件、评审情</w:t>
      </w:r>
      <w:r>
        <w:rPr>
          <w:rFonts w:hint="eastAsia" w:ascii="黑体" w:hAnsi="黑体" w:eastAsia="黑体" w:cs="黑体"/>
          <w:color w:val="auto"/>
          <w:spacing w:val="-1"/>
          <w:sz w:val="24"/>
          <w:szCs w:val="24"/>
        </w:rPr>
        <w:t>况和评审中获悉的商业秘密。</w:t>
      </w:r>
    </w:p>
    <w:p w14:paraId="7CB140B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center"/>
        <w:textAlignment w:val="baseline"/>
        <w:outlineLvl w:val="1"/>
        <w:rPr>
          <w:rFonts w:hint="eastAsia" w:ascii="黑体" w:hAnsi="黑体" w:eastAsia="黑体" w:cs="黑体"/>
          <w:color w:val="auto"/>
          <w:sz w:val="28"/>
          <w:szCs w:val="28"/>
        </w:rPr>
      </w:pPr>
      <w:bookmarkStart w:id="20" w:name="bookmark7"/>
      <w:bookmarkEnd w:id="20"/>
      <w:r>
        <w:rPr>
          <w:rFonts w:hint="eastAsia" w:ascii="黑体" w:hAnsi="黑体" w:eastAsia="黑体" w:cs="黑体"/>
          <w:b/>
          <w:bCs/>
          <w:color w:val="auto"/>
          <w:spacing w:val="-1"/>
          <w:sz w:val="28"/>
          <w:szCs w:val="28"/>
        </w:rPr>
        <w:t>六确定中标</w:t>
      </w:r>
    </w:p>
    <w:p w14:paraId="4880406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26.中标候选人的确定原则及标准</w:t>
      </w:r>
    </w:p>
    <w:p w14:paraId="7EC2BF8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pacing w:val="-2"/>
          <w:sz w:val="24"/>
          <w:szCs w:val="24"/>
        </w:rPr>
      </w:pPr>
      <w:r>
        <w:rPr>
          <w:rFonts w:hint="eastAsia" w:ascii="黑体" w:hAnsi="黑体" w:eastAsia="黑体" w:cs="黑体"/>
          <w:color w:val="auto"/>
          <w:spacing w:val="-1"/>
          <w:sz w:val="24"/>
          <w:szCs w:val="24"/>
        </w:rPr>
        <w:t>对实质上响应招标文件的供应商按下列方法进行排序</w:t>
      </w:r>
      <w:r>
        <w:rPr>
          <w:rFonts w:hint="eastAsia" w:ascii="黑体" w:hAnsi="黑体" w:eastAsia="黑体" w:cs="黑体"/>
          <w:color w:val="auto"/>
          <w:spacing w:val="-2"/>
          <w:sz w:val="24"/>
          <w:szCs w:val="24"/>
        </w:rPr>
        <w:t>，确定投标候选人：</w:t>
      </w:r>
    </w:p>
    <w:p w14:paraId="32C46EC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（1）采用最低评标价法的，除了算术修正和落实政府采购政策</w:t>
      </w:r>
      <w:r>
        <w:rPr>
          <w:rFonts w:hint="eastAsia" w:ascii="黑体" w:hAnsi="黑体" w:eastAsia="黑体" w:cs="黑体"/>
          <w:color w:val="auto"/>
          <w:spacing w:val="-3"/>
          <w:sz w:val="24"/>
          <w:szCs w:val="24"/>
        </w:rPr>
        <w:t>需进行的价格扣除外，不对供应商的投标价格进行任何调整。评标结果按修正和扣除后的投</w:t>
      </w:r>
      <w:r>
        <w:rPr>
          <w:rFonts w:hint="eastAsia" w:ascii="黑体" w:hAnsi="黑体" w:eastAsia="黑体" w:cs="黑体"/>
          <w:color w:val="auto"/>
          <w:spacing w:val="-1"/>
          <w:sz w:val="24"/>
          <w:szCs w:val="24"/>
        </w:rPr>
        <w:t>标报价由低到高顺序排列。报价相同的处理方式详见招标文件第6章。</w:t>
      </w:r>
    </w:p>
    <w:p w14:paraId="151AD24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（2）采用综合评分法的，评标结果按评审后得分由高到低顺序排列。得分相</w:t>
      </w:r>
      <w:r>
        <w:rPr>
          <w:rFonts w:hint="eastAsia" w:ascii="黑体" w:hAnsi="黑体" w:eastAsia="黑体" w:cs="黑体"/>
          <w:color w:val="auto"/>
          <w:spacing w:val="-3"/>
          <w:sz w:val="24"/>
          <w:szCs w:val="24"/>
        </w:rPr>
        <w:t>同的，按修正和扣除后的投标报价由低到高顺序排列。得分与投标报价均相同的处理方式详见招标文件第6章。</w:t>
      </w:r>
    </w:p>
    <w:p w14:paraId="1F7D5D2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本项目采用综合评分法</w:t>
      </w:r>
      <w:r>
        <w:rPr>
          <w:rFonts w:hint="eastAsia" w:ascii="黑体" w:hAnsi="黑体" w:eastAsia="黑体" w:cs="黑体"/>
          <w:b/>
          <w:bCs/>
          <w:color w:val="auto"/>
          <w:spacing w:val="-18"/>
          <w:sz w:val="24"/>
          <w:szCs w:val="24"/>
        </w:rPr>
        <w:t>：</w:t>
      </w:r>
      <w:r>
        <w:rPr>
          <w:rFonts w:hint="eastAsia" w:ascii="黑体" w:hAnsi="黑体" w:eastAsia="黑体" w:cs="黑体"/>
          <w:b/>
          <w:bCs/>
          <w:color w:val="auto"/>
          <w:spacing w:val="-3"/>
          <w:sz w:val="24"/>
          <w:szCs w:val="24"/>
        </w:rPr>
        <w:t>价格占30%，商务占</w:t>
      </w:r>
      <w:r>
        <w:rPr>
          <w:rFonts w:hint="eastAsia" w:ascii="黑体" w:hAnsi="黑体" w:eastAsia="黑体" w:cs="黑体"/>
          <w:b/>
          <w:bCs/>
          <w:color w:val="auto"/>
          <w:spacing w:val="-3"/>
          <w:sz w:val="24"/>
          <w:szCs w:val="24"/>
          <w:lang w:val="en-US" w:eastAsia="zh-CN"/>
        </w:rPr>
        <w:t>5</w:t>
      </w:r>
      <w:r>
        <w:rPr>
          <w:rFonts w:hint="eastAsia" w:ascii="黑体" w:hAnsi="黑体" w:eastAsia="黑体" w:cs="黑体"/>
          <w:b/>
          <w:bCs/>
          <w:color w:val="auto"/>
          <w:spacing w:val="-3"/>
          <w:sz w:val="24"/>
          <w:szCs w:val="24"/>
        </w:rPr>
        <w:t>%，技术</w:t>
      </w:r>
      <w:r>
        <w:rPr>
          <w:rFonts w:hint="eastAsia" w:ascii="黑体" w:hAnsi="黑体" w:eastAsia="黑体" w:cs="黑体"/>
          <w:b/>
          <w:bCs/>
          <w:color w:val="auto"/>
          <w:spacing w:val="-6"/>
          <w:sz w:val="24"/>
          <w:szCs w:val="24"/>
        </w:rPr>
        <w:t>占6</w:t>
      </w:r>
      <w:r>
        <w:rPr>
          <w:rFonts w:hint="eastAsia" w:ascii="黑体" w:hAnsi="黑体" w:eastAsia="黑体" w:cs="黑体"/>
          <w:b/>
          <w:bCs/>
          <w:color w:val="auto"/>
          <w:spacing w:val="-6"/>
          <w:sz w:val="24"/>
          <w:szCs w:val="24"/>
          <w:lang w:val="en-US" w:eastAsia="zh-CN"/>
        </w:rPr>
        <w:t>5</w:t>
      </w:r>
      <w:r>
        <w:rPr>
          <w:rFonts w:hint="eastAsia" w:ascii="黑体" w:hAnsi="黑体" w:eastAsia="黑体" w:cs="黑体"/>
          <w:b/>
          <w:bCs/>
          <w:color w:val="auto"/>
          <w:spacing w:val="-6"/>
          <w:sz w:val="24"/>
          <w:szCs w:val="24"/>
        </w:rPr>
        <w:t>%。</w:t>
      </w:r>
    </w:p>
    <w:p w14:paraId="70E120E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u w:val="none" w:color="auto"/>
        </w:rPr>
      </w:pPr>
      <w:r>
        <w:rPr>
          <w:rFonts w:hint="eastAsia" w:ascii="黑体" w:hAnsi="黑体" w:eastAsia="黑体" w:cs="黑体"/>
          <w:b/>
          <w:bCs/>
          <w:color w:val="auto"/>
          <w:spacing w:val="-2"/>
          <w:sz w:val="24"/>
          <w:szCs w:val="24"/>
          <w:u w:val="none" w:color="auto"/>
        </w:rPr>
        <w:t>27.确定成交候选人和成交人</w:t>
      </w:r>
    </w:p>
    <w:p w14:paraId="15F2B07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评标委员会将根据评标标准，按</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2"/>
          <w:sz w:val="24"/>
          <w:szCs w:val="24"/>
          <w:u w:val="single" w:color="auto"/>
        </w:rPr>
        <w:t>中</w:t>
      </w:r>
      <w:r>
        <w:rPr>
          <w:rFonts w:hint="eastAsia" w:ascii="黑体" w:hAnsi="黑体" w:eastAsia="黑体" w:cs="黑体"/>
          <w:color w:val="auto"/>
          <w:spacing w:val="-2"/>
          <w:sz w:val="24"/>
          <w:szCs w:val="24"/>
        </w:rPr>
        <w:t>规定数量推荐中标候选人；或根据采购人的委托，直接确定中标人。</w:t>
      </w:r>
    </w:p>
    <w:p w14:paraId="3C238B1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28.采购任务取消</w:t>
      </w:r>
    </w:p>
    <w:p w14:paraId="383A70D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因重大变故采购任务取消时，采购人有权拒绝任何供应商中标，且对受</w:t>
      </w:r>
      <w:r>
        <w:rPr>
          <w:rFonts w:hint="eastAsia" w:ascii="黑体" w:hAnsi="黑体" w:eastAsia="黑体" w:cs="黑体"/>
          <w:color w:val="auto"/>
          <w:spacing w:val="-1"/>
          <w:sz w:val="24"/>
          <w:szCs w:val="24"/>
        </w:rPr>
        <w:t>影响的供应商不承担任何责任。</w:t>
      </w:r>
    </w:p>
    <w:p w14:paraId="13B6A31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29.中标通知书和招标结果通知书</w:t>
      </w:r>
    </w:p>
    <w:p w14:paraId="04AFC38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29.1在投标有效期内，中标人确定后，</w:t>
      </w:r>
      <w:r>
        <w:rPr>
          <w:rFonts w:hint="eastAsia" w:ascii="黑体" w:hAnsi="黑体" w:eastAsia="黑体" w:cs="黑体"/>
          <w:color w:val="auto"/>
          <w:spacing w:val="-1"/>
          <w:sz w:val="24"/>
          <w:szCs w:val="24"/>
        </w:rPr>
        <w:t>采购人或者采购代理机构发布中标公</w:t>
      </w:r>
      <w:r>
        <w:rPr>
          <w:rFonts w:hint="eastAsia" w:ascii="黑体" w:hAnsi="黑体" w:eastAsia="黑体" w:cs="黑体"/>
          <w:color w:val="auto"/>
          <w:spacing w:val="-2"/>
          <w:sz w:val="24"/>
          <w:szCs w:val="24"/>
        </w:rPr>
        <w:t>告，同时以书面形式向中标人发出中标通知</w:t>
      </w:r>
      <w:r>
        <w:rPr>
          <w:rFonts w:hint="eastAsia" w:ascii="黑体" w:hAnsi="黑体" w:eastAsia="黑体" w:cs="黑体"/>
          <w:color w:val="auto"/>
          <w:spacing w:val="-3"/>
          <w:sz w:val="24"/>
          <w:szCs w:val="24"/>
        </w:rPr>
        <w:t>书。</w:t>
      </w:r>
    </w:p>
    <w:p w14:paraId="447C40B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29.2中标通知书是合同的组成部分。</w:t>
      </w:r>
    </w:p>
    <w:p w14:paraId="185733C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29.3招标结果通知书和中标通知书同时发出。招标结果</w:t>
      </w:r>
      <w:r>
        <w:rPr>
          <w:rFonts w:hint="eastAsia" w:ascii="黑体" w:hAnsi="黑体" w:eastAsia="黑体" w:cs="黑体"/>
          <w:color w:val="auto"/>
          <w:spacing w:val="-2"/>
          <w:sz w:val="24"/>
          <w:szCs w:val="24"/>
        </w:rPr>
        <w:t>通知书中将告知未通</w:t>
      </w:r>
      <w:r>
        <w:rPr>
          <w:rFonts w:hint="eastAsia" w:ascii="黑体" w:hAnsi="黑体" w:eastAsia="黑体" w:cs="黑体"/>
          <w:color w:val="auto"/>
          <w:spacing w:val="-1"/>
          <w:sz w:val="24"/>
          <w:szCs w:val="24"/>
        </w:rPr>
        <w:t>过资格审查的供应商未通过的原因；采用综合评分法评审的，</w:t>
      </w:r>
      <w:r>
        <w:rPr>
          <w:rFonts w:hint="eastAsia" w:ascii="黑体" w:hAnsi="黑体" w:eastAsia="黑体" w:cs="黑体"/>
          <w:color w:val="auto"/>
          <w:spacing w:val="-2"/>
          <w:sz w:val="24"/>
          <w:szCs w:val="24"/>
        </w:rPr>
        <w:t>还将告知</w:t>
      </w:r>
      <w:r>
        <w:rPr>
          <w:rFonts w:hint="eastAsia" w:ascii="黑体" w:hAnsi="黑体" w:eastAsia="黑体" w:cs="黑体"/>
          <w:color w:val="auto"/>
          <w:spacing w:val="-1"/>
          <w:sz w:val="24"/>
          <w:szCs w:val="24"/>
        </w:rPr>
        <w:t>未中标人本人的评审得分和排序。</w:t>
      </w:r>
    </w:p>
    <w:p w14:paraId="3C65120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30.签订合同</w:t>
      </w:r>
    </w:p>
    <w:p w14:paraId="65927C2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30.1中标人应当自发出中标通知书之日起30日内，与采购人签订合同。</w:t>
      </w:r>
    </w:p>
    <w:p w14:paraId="51228B7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9"/>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30.2招标文件、中标人的投标文件及其澄清文件等，均为签订合同的依据。</w:t>
      </w:r>
    </w:p>
    <w:p w14:paraId="63D71C4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9" w:firstLineChars="179"/>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30.3中标人拒绝与采购人签</w:t>
      </w:r>
      <w:r>
        <w:rPr>
          <w:rFonts w:hint="eastAsia" w:ascii="黑体" w:hAnsi="黑体" w:eastAsia="黑体" w:cs="黑体"/>
          <w:color w:val="auto"/>
          <w:spacing w:val="-1"/>
          <w:sz w:val="24"/>
          <w:szCs w:val="24"/>
        </w:rPr>
        <w:t>订合同的，采购人可以按照评审报告推荐的中标候选人名单排序，确定下一中标候选人为中标人，也可以重新开展政府采购活动。</w:t>
      </w:r>
    </w:p>
    <w:p w14:paraId="57985D4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9" w:firstLineChars="179"/>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30.4当出现法规规定的</w:t>
      </w:r>
      <w:r>
        <w:rPr>
          <w:rFonts w:hint="eastAsia" w:ascii="黑体" w:hAnsi="黑体" w:eastAsia="黑体" w:cs="黑体"/>
          <w:b/>
          <w:bCs/>
          <w:color w:val="auto"/>
          <w:sz w:val="24"/>
          <w:szCs w:val="24"/>
        </w:rPr>
        <w:t>中标</w:t>
      </w:r>
      <w:r>
        <w:rPr>
          <w:rFonts w:hint="eastAsia" w:ascii="黑体" w:hAnsi="黑体" w:eastAsia="黑体" w:cs="黑体"/>
          <w:b/>
          <w:bCs/>
          <w:color w:val="auto"/>
          <w:spacing w:val="-1"/>
          <w:sz w:val="24"/>
          <w:szCs w:val="24"/>
        </w:rPr>
        <w:t>无效或中标结果无效</w:t>
      </w:r>
      <w:r>
        <w:rPr>
          <w:rFonts w:hint="eastAsia" w:ascii="黑体" w:hAnsi="黑体" w:eastAsia="黑体" w:cs="黑体"/>
          <w:color w:val="auto"/>
          <w:spacing w:val="-1"/>
          <w:sz w:val="24"/>
          <w:szCs w:val="24"/>
        </w:rPr>
        <w:t>情形时，采购人可与排名下</w:t>
      </w:r>
      <w:r>
        <w:rPr>
          <w:rFonts w:hint="eastAsia" w:ascii="黑体" w:hAnsi="黑体" w:eastAsia="黑体" w:cs="黑体"/>
          <w:color w:val="auto"/>
          <w:spacing w:val="-2"/>
          <w:sz w:val="24"/>
          <w:szCs w:val="24"/>
        </w:rPr>
        <w:t>一位的中标候选人另行签订合同，或依法重新开展采购活动。</w:t>
      </w:r>
    </w:p>
    <w:p w14:paraId="7E1CE9D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31.履约保证金</w:t>
      </w:r>
    </w:p>
    <w:p w14:paraId="08C8FBB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31.1中标人应按照</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规定向采购人缴纳履约保证金。</w:t>
      </w:r>
    </w:p>
    <w:p w14:paraId="72A12FD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5"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31.2政府采购利用担保试点范围内的项目，除31.1规定的情形外，中标人</w:t>
      </w:r>
      <w:r>
        <w:rPr>
          <w:rFonts w:hint="eastAsia" w:ascii="黑体" w:hAnsi="黑体" w:eastAsia="黑体" w:cs="黑体"/>
          <w:color w:val="auto"/>
          <w:spacing w:val="-1"/>
          <w:sz w:val="24"/>
          <w:szCs w:val="24"/>
        </w:rPr>
        <w:t>也可以按照财政部门的规定，向采购人提供合格的履约担开户行银</w:t>
      </w:r>
      <w:r>
        <w:rPr>
          <w:rFonts w:hint="eastAsia" w:ascii="黑体" w:hAnsi="黑体" w:eastAsia="黑体" w:cs="黑体"/>
          <w:color w:val="auto"/>
          <w:spacing w:val="-2"/>
          <w:sz w:val="24"/>
          <w:szCs w:val="24"/>
        </w:rPr>
        <w:t>行保</w:t>
      </w:r>
      <w:r>
        <w:rPr>
          <w:rFonts w:hint="eastAsia" w:ascii="黑体" w:hAnsi="黑体" w:eastAsia="黑体" w:cs="黑体"/>
          <w:color w:val="auto"/>
          <w:spacing w:val="-9"/>
          <w:sz w:val="24"/>
          <w:szCs w:val="24"/>
        </w:rPr>
        <w:t>函。</w:t>
      </w:r>
    </w:p>
    <w:p w14:paraId="1505F4F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32.中标服务费</w:t>
      </w:r>
    </w:p>
    <w:p w14:paraId="7EE5F18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中标人须按照</w:t>
      </w:r>
      <w:r>
        <w:rPr>
          <w:rFonts w:hint="eastAsia" w:ascii="黑体" w:hAnsi="黑体" w:eastAsia="黑体" w:cs="黑体"/>
          <w:color w:val="auto"/>
          <w:spacing w:val="-1"/>
          <w:sz w:val="24"/>
          <w:szCs w:val="24"/>
          <w:u w:val="single" w:color="auto"/>
        </w:rPr>
        <w:t>投标须知资料表</w:t>
      </w:r>
      <w:r>
        <w:rPr>
          <w:rFonts w:hint="eastAsia" w:ascii="黑体" w:hAnsi="黑体" w:eastAsia="黑体" w:cs="黑体"/>
          <w:color w:val="auto"/>
          <w:spacing w:val="-1"/>
          <w:sz w:val="24"/>
          <w:szCs w:val="24"/>
        </w:rPr>
        <w:t>规定，向采购代</w:t>
      </w:r>
      <w:r>
        <w:rPr>
          <w:rFonts w:hint="eastAsia" w:ascii="黑体" w:hAnsi="黑体" w:eastAsia="黑体" w:cs="黑体"/>
          <w:color w:val="auto"/>
          <w:spacing w:val="-2"/>
          <w:sz w:val="24"/>
          <w:szCs w:val="24"/>
        </w:rPr>
        <w:t>理机构支付中标服务费。</w:t>
      </w:r>
    </w:p>
    <w:p w14:paraId="1D5CB50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33.政府采购信用担保</w:t>
      </w:r>
    </w:p>
    <w:p w14:paraId="0E46CE6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pacing w:val="-1"/>
          <w:sz w:val="24"/>
          <w:szCs w:val="24"/>
        </w:rPr>
      </w:pPr>
      <w:r>
        <w:rPr>
          <w:rFonts w:hint="eastAsia" w:ascii="黑体" w:hAnsi="黑体" w:eastAsia="黑体" w:cs="黑体"/>
          <w:color w:val="auto"/>
          <w:sz w:val="24"/>
          <w:szCs w:val="24"/>
        </w:rPr>
        <w:t>33.1本项目是否属于信用担保试</w:t>
      </w:r>
      <w:r>
        <w:rPr>
          <w:rFonts w:hint="eastAsia" w:ascii="黑体" w:hAnsi="黑体" w:eastAsia="黑体" w:cs="黑体"/>
          <w:color w:val="auto"/>
          <w:spacing w:val="-1"/>
          <w:sz w:val="24"/>
          <w:szCs w:val="24"/>
        </w:rPr>
        <w:t>点范围见</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w:t>
      </w:r>
    </w:p>
    <w:p w14:paraId="10C901F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33.2如属于政府采购信用担保试点范围内，中小型企业供应商可以</w:t>
      </w:r>
      <w:r>
        <w:rPr>
          <w:rFonts w:hint="eastAsia" w:ascii="黑体" w:hAnsi="黑体" w:eastAsia="黑体" w:cs="黑体"/>
          <w:color w:val="auto"/>
          <w:spacing w:val="-1"/>
          <w:sz w:val="24"/>
          <w:szCs w:val="24"/>
        </w:rPr>
        <w:t>自由按照</w:t>
      </w:r>
      <w:r>
        <w:rPr>
          <w:rFonts w:hint="eastAsia" w:ascii="黑体" w:hAnsi="黑体" w:eastAsia="黑体" w:cs="黑体"/>
          <w:color w:val="auto"/>
          <w:spacing w:val="-2"/>
          <w:sz w:val="24"/>
          <w:szCs w:val="24"/>
        </w:rPr>
        <w:t>财政部门的规定，采用投标担保、履约担保和融资担保。</w:t>
      </w:r>
    </w:p>
    <w:p w14:paraId="5CDC4C7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3"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33.2.1供应商递交的投标担开户行银行保函和履约担开户行银行保函应符合本</w:t>
      </w:r>
      <w:r>
        <w:rPr>
          <w:rFonts w:hint="eastAsia" w:ascii="黑体" w:hAnsi="黑体" w:eastAsia="黑体" w:cs="黑体"/>
          <w:color w:val="auto"/>
          <w:spacing w:val="-1"/>
          <w:sz w:val="24"/>
          <w:szCs w:val="24"/>
        </w:rPr>
        <w:t>招标文件的规定。</w:t>
      </w:r>
    </w:p>
    <w:p w14:paraId="091B91B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33.2.2中标人可以采取融资担保的形式为政府采购项目履约进</w:t>
      </w:r>
      <w:r>
        <w:rPr>
          <w:rFonts w:hint="eastAsia" w:ascii="黑体" w:hAnsi="黑体" w:eastAsia="黑体" w:cs="黑体"/>
          <w:color w:val="auto"/>
          <w:spacing w:val="-2"/>
          <w:sz w:val="24"/>
          <w:szCs w:val="24"/>
        </w:rPr>
        <w:t>行融资。</w:t>
      </w:r>
    </w:p>
    <w:p w14:paraId="220F227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6" w:firstLineChars="17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33.2.3合格的政府采购专业信用担保机构名单见</w:t>
      </w:r>
      <w:r>
        <w:rPr>
          <w:rFonts w:hint="eastAsia" w:ascii="黑体" w:hAnsi="黑体" w:eastAsia="黑体" w:cs="黑体"/>
          <w:color w:val="auto"/>
          <w:spacing w:val="-1"/>
          <w:sz w:val="24"/>
          <w:szCs w:val="24"/>
          <w:u w:val="single" w:color="auto"/>
        </w:rPr>
        <w:t>供应商须知资料表</w:t>
      </w:r>
      <w:r>
        <w:rPr>
          <w:rFonts w:hint="eastAsia" w:ascii="黑体" w:hAnsi="黑体" w:eastAsia="黑体" w:cs="黑体"/>
          <w:color w:val="auto"/>
          <w:spacing w:val="-1"/>
          <w:sz w:val="24"/>
          <w:szCs w:val="24"/>
        </w:rPr>
        <w:t>。</w:t>
      </w:r>
    </w:p>
    <w:p w14:paraId="7617280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34.廉洁自律规定</w:t>
      </w:r>
    </w:p>
    <w:p w14:paraId="24CB1EF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34.1采购代理机构工作人员不得</w:t>
      </w:r>
      <w:r>
        <w:rPr>
          <w:rFonts w:hint="eastAsia" w:ascii="黑体" w:hAnsi="黑体" w:eastAsia="黑体" w:cs="黑体"/>
          <w:color w:val="auto"/>
          <w:spacing w:val="-1"/>
          <w:sz w:val="24"/>
          <w:szCs w:val="24"/>
        </w:rPr>
        <w:t>以不正当手段获取政府采购代理业务，不得与采购人、供应商恶意串通操纵政府采购活动。</w:t>
      </w:r>
    </w:p>
    <w:p w14:paraId="0958C5D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pacing w:val="-1"/>
          <w:sz w:val="24"/>
          <w:szCs w:val="24"/>
        </w:rPr>
      </w:pPr>
      <w:r>
        <w:rPr>
          <w:rFonts w:hint="eastAsia" w:ascii="黑体" w:hAnsi="黑体" w:eastAsia="黑体" w:cs="黑体"/>
          <w:color w:val="auto"/>
          <w:sz w:val="24"/>
          <w:szCs w:val="24"/>
        </w:rPr>
        <w:t>34.2采购代理机构工作人员不得接受采购人或者供应商组织的宴请、旅游、</w:t>
      </w:r>
      <w:r>
        <w:rPr>
          <w:rFonts w:hint="eastAsia" w:ascii="黑体" w:hAnsi="黑体" w:eastAsia="黑体" w:cs="黑体"/>
          <w:color w:val="auto"/>
          <w:spacing w:val="-1"/>
          <w:sz w:val="24"/>
          <w:szCs w:val="24"/>
        </w:rPr>
        <w:t>娱乐，不得收受礼品、现金、有价证券等，不得向采购人或者供</w:t>
      </w:r>
      <w:r>
        <w:rPr>
          <w:rFonts w:hint="eastAsia" w:ascii="黑体" w:hAnsi="黑体" w:eastAsia="黑体" w:cs="黑体"/>
          <w:color w:val="auto"/>
          <w:spacing w:val="-2"/>
          <w:sz w:val="24"/>
          <w:szCs w:val="24"/>
        </w:rPr>
        <w:t>应商报</w:t>
      </w:r>
      <w:r>
        <w:rPr>
          <w:rFonts w:hint="eastAsia" w:ascii="黑体" w:hAnsi="黑体" w:eastAsia="黑体" w:cs="黑体"/>
          <w:color w:val="auto"/>
          <w:spacing w:val="-1"/>
          <w:sz w:val="24"/>
          <w:szCs w:val="24"/>
        </w:rPr>
        <w:t>销应当由个人承担的费用。</w:t>
      </w:r>
    </w:p>
    <w:p w14:paraId="1365926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0" w:firstLineChars="175"/>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34.3为强化采购代理机构内部监督</w:t>
      </w:r>
      <w:r>
        <w:rPr>
          <w:rFonts w:hint="eastAsia" w:ascii="黑体" w:hAnsi="黑体" w:eastAsia="黑体" w:cs="黑体"/>
          <w:color w:val="auto"/>
          <w:spacing w:val="-1"/>
          <w:sz w:val="24"/>
          <w:szCs w:val="24"/>
        </w:rPr>
        <w:t>机制，供应商可按</w:t>
      </w:r>
      <w:r>
        <w:rPr>
          <w:rFonts w:hint="eastAsia" w:ascii="黑体" w:hAnsi="黑体" w:eastAsia="黑体" w:cs="黑体"/>
          <w:color w:val="auto"/>
          <w:spacing w:val="-1"/>
          <w:sz w:val="24"/>
          <w:szCs w:val="24"/>
          <w:u w:val="single" w:color="auto"/>
        </w:rPr>
        <w:t>供应商须知资料表中的</w:t>
      </w:r>
      <w:r>
        <w:rPr>
          <w:rFonts w:hint="eastAsia" w:ascii="黑体" w:hAnsi="黑体" w:eastAsia="黑体" w:cs="黑体"/>
          <w:color w:val="auto"/>
          <w:spacing w:val="-2"/>
          <w:sz w:val="24"/>
          <w:szCs w:val="24"/>
        </w:rPr>
        <w:t>监督电话和邮箱，反映采购代理机构的廉洁自律等问题。</w:t>
      </w:r>
    </w:p>
    <w:p w14:paraId="4DEF573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35.人员回避</w:t>
      </w:r>
    </w:p>
    <w:p w14:paraId="09E6861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供应商认为采购人员及其相关人员有法律法规所列与其他供应商有</w:t>
      </w:r>
      <w:r>
        <w:rPr>
          <w:rFonts w:hint="eastAsia" w:ascii="黑体" w:hAnsi="黑体" w:eastAsia="黑体" w:cs="黑体"/>
          <w:color w:val="auto"/>
          <w:sz w:val="24"/>
          <w:szCs w:val="24"/>
        </w:rPr>
        <w:t>利害</w:t>
      </w:r>
      <w:r>
        <w:rPr>
          <w:rFonts w:hint="eastAsia" w:ascii="黑体" w:hAnsi="黑体" w:eastAsia="黑体" w:cs="黑体"/>
          <w:color w:val="auto"/>
          <w:spacing w:val="-7"/>
          <w:sz w:val="24"/>
          <w:szCs w:val="24"/>
        </w:rPr>
        <w:t>关系的，可以向采购人或采购代理机构书面提出回避申请，并说明理由。</w:t>
      </w:r>
    </w:p>
    <w:p w14:paraId="1FB91D9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36.质疑与接收</w:t>
      </w:r>
    </w:p>
    <w:p w14:paraId="464557A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36.1供应商认为招标文件、招标过程和中标结果使自己的权益受到损害的</w:t>
      </w:r>
      <w:r>
        <w:rPr>
          <w:rFonts w:hint="eastAsia" w:ascii="黑体" w:hAnsi="黑体" w:eastAsia="黑体" w:cs="黑体"/>
          <w:color w:val="auto"/>
          <w:spacing w:val="-3"/>
          <w:sz w:val="24"/>
          <w:szCs w:val="24"/>
        </w:rPr>
        <w:t>，可以根据《中华人民共和国政府采购法》、《中华人民共和国政府采购法实施条例》和《政府采购质疑和投诉办法》的有关规定，依法向采购人或其</w:t>
      </w:r>
      <w:r>
        <w:rPr>
          <w:rFonts w:hint="eastAsia" w:ascii="黑体" w:hAnsi="黑体" w:eastAsia="黑体" w:cs="黑体"/>
          <w:color w:val="auto"/>
          <w:spacing w:val="-1"/>
          <w:sz w:val="24"/>
          <w:szCs w:val="24"/>
        </w:rPr>
        <w:t>委托的采购代理机构提出质疑。</w:t>
      </w:r>
    </w:p>
    <w:p w14:paraId="7C28289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36.2供应商对本项目提出质疑，必须按照相关法律法规的要求和程序，提</w:t>
      </w:r>
      <w:r>
        <w:rPr>
          <w:rFonts w:hint="eastAsia" w:ascii="黑体" w:hAnsi="黑体" w:eastAsia="黑体" w:cs="黑体"/>
          <w:color w:val="auto"/>
          <w:spacing w:val="-3"/>
          <w:sz w:val="24"/>
          <w:szCs w:val="24"/>
        </w:rPr>
        <w:t>供的质疑材料必须具备事实依据和法律依据。质疑函应当包含具体的质疑事项及事实依据，不得进行虚假及恶意质疑，如所提供的质疑材料出现恶意诋</w:t>
      </w:r>
      <w:r>
        <w:rPr>
          <w:rFonts w:hint="eastAsia" w:ascii="黑体" w:hAnsi="黑体" w:eastAsia="黑体" w:cs="黑体"/>
          <w:color w:val="auto"/>
          <w:spacing w:val="-2"/>
          <w:sz w:val="24"/>
          <w:szCs w:val="24"/>
        </w:rPr>
        <w:t>毁或与事实不符等现象，我公司将该企业的行为上报相应主管部门。</w:t>
      </w:r>
    </w:p>
    <w:p w14:paraId="67A2381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36.3投诉的事项应当包含投诉的请求和法律依据，投诉的事项不得超出所</w:t>
      </w:r>
      <w:r>
        <w:rPr>
          <w:rFonts w:hint="eastAsia" w:ascii="黑体" w:hAnsi="黑体" w:eastAsia="黑体" w:cs="黑体"/>
          <w:color w:val="auto"/>
          <w:spacing w:val="-3"/>
          <w:sz w:val="24"/>
          <w:szCs w:val="24"/>
        </w:rPr>
        <w:t>质疑事项的范围。投诉人有捏造事实、提供虚假材料、以非法手段取得证明材料的行为之一的，属于虚假、恶意投诉，由财政部门列入不良行为记录名</w:t>
      </w:r>
      <w:r>
        <w:rPr>
          <w:rFonts w:hint="eastAsia" w:ascii="黑体" w:hAnsi="黑体" w:eastAsia="黑体" w:cs="黑体"/>
          <w:color w:val="auto"/>
          <w:spacing w:val="-1"/>
          <w:sz w:val="24"/>
          <w:szCs w:val="24"/>
        </w:rPr>
        <w:t>单，禁止其1至3年内参加政府采购活动。证据来</w:t>
      </w:r>
      <w:r>
        <w:rPr>
          <w:rFonts w:hint="eastAsia" w:ascii="黑体" w:hAnsi="黑体" w:eastAsia="黑体" w:cs="黑体"/>
          <w:color w:val="auto"/>
          <w:spacing w:val="-2"/>
          <w:sz w:val="24"/>
          <w:szCs w:val="24"/>
        </w:rPr>
        <w:t>源的合法性存在明显疑</w:t>
      </w:r>
      <w:r>
        <w:rPr>
          <w:rFonts w:hint="eastAsia" w:ascii="黑体" w:hAnsi="黑体" w:eastAsia="黑体" w:cs="黑体"/>
          <w:color w:val="auto"/>
          <w:spacing w:val="-4"/>
          <w:sz w:val="24"/>
          <w:szCs w:val="24"/>
        </w:rPr>
        <w:t>问，投诉人无法证明其取得方式合法的，视为以非法手段取得证明材料。</w:t>
      </w:r>
    </w:p>
    <w:p w14:paraId="2324E8C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7"/>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36.4质疑供应商应按照财政部制定的《政府采购质疑函范本》格式（可从财政</w:t>
      </w:r>
      <w:r>
        <w:rPr>
          <w:rFonts w:hint="eastAsia" w:ascii="黑体" w:hAnsi="黑体" w:eastAsia="黑体" w:cs="黑体"/>
          <w:color w:val="auto"/>
          <w:spacing w:val="-3"/>
          <w:sz w:val="24"/>
          <w:szCs w:val="24"/>
        </w:rPr>
        <w:t>部官方网站下载）和《政府采购质疑和投诉办法》的要求，在法定质疑期内只能一次性提出针对同一采购程序环节的质疑，否则不予受理。超出法定质疑期的、重复提出的、分次提出的或内容、形式不符合《政府采购质</w:t>
      </w:r>
      <w:r>
        <w:rPr>
          <w:rFonts w:hint="eastAsia" w:ascii="黑体" w:hAnsi="黑体" w:eastAsia="黑体" w:cs="黑体"/>
          <w:color w:val="auto"/>
          <w:spacing w:val="-2"/>
          <w:sz w:val="24"/>
          <w:szCs w:val="24"/>
        </w:rPr>
        <w:t>疑和投诉办法》的，质疑供应商将依法承担不利后果。</w:t>
      </w:r>
    </w:p>
    <w:p w14:paraId="495BC15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36.5采购代理机构质疑函接收部门、联系电话和通讯地址,见</w:t>
      </w:r>
      <w:r>
        <w:rPr>
          <w:rFonts w:hint="eastAsia" w:ascii="黑体" w:hAnsi="黑体" w:eastAsia="黑体" w:cs="黑体"/>
          <w:color w:val="auto"/>
          <w:spacing w:val="-1"/>
          <w:sz w:val="24"/>
          <w:szCs w:val="24"/>
          <w:u w:val="single" w:color="auto"/>
        </w:rPr>
        <w:t>供应商须知资料</w:t>
      </w:r>
      <w:r>
        <w:rPr>
          <w:rFonts w:hint="eastAsia" w:ascii="黑体" w:hAnsi="黑体" w:eastAsia="黑体" w:cs="黑体"/>
          <w:color w:val="auto"/>
          <w:spacing w:val="6"/>
          <w:sz w:val="24"/>
          <w:szCs w:val="24"/>
          <w:u w:val="single" w:color="auto"/>
        </w:rPr>
        <w:t>表。</w:t>
      </w:r>
    </w:p>
    <w:p w14:paraId="591CAD0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7"/>
        <w:textAlignment w:val="baseline"/>
        <w:rPr>
          <w:rFonts w:hint="eastAsia" w:ascii="黑体" w:hAnsi="黑体" w:eastAsia="黑体" w:cs="黑体"/>
          <w:color w:val="auto"/>
          <w:spacing w:val="-2"/>
          <w:sz w:val="24"/>
          <w:szCs w:val="24"/>
        </w:rPr>
      </w:pPr>
      <w:r>
        <w:rPr>
          <w:rFonts w:hint="eastAsia" w:ascii="黑体" w:hAnsi="黑体" w:eastAsia="黑体" w:cs="黑体"/>
          <w:color w:val="auto"/>
          <w:sz w:val="24"/>
          <w:szCs w:val="24"/>
        </w:rPr>
        <w:t>36.6供应商认为采购文件、采购过程和中标结</w:t>
      </w:r>
      <w:r>
        <w:rPr>
          <w:rFonts w:hint="eastAsia" w:ascii="黑体" w:hAnsi="黑体" w:eastAsia="黑体" w:cs="黑体"/>
          <w:color w:val="auto"/>
          <w:spacing w:val="-1"/>
          <w:sz w:val="24"/>
          <w:szCs w:val="24"/>
        </w:rPr>
        <w:t>果使自己的权益受到损害的，</w:t>
      </w:r>
      <w:r>
        <w:rPr>
          <w:rFonts w:hint="eastAsia" w:ascii="黑体" w:hAnsi="黑体" w:eastAsia="黑体" w:cs="黑体"/>
          <w:color w:val="auto"/>
          <w:spacing w:val="-4"/>
          <w:sz w:val="24"/>
          <w:szCs w:val="24"/>
        </w:rPr>
        <w:t>可以在知道或者应知其权益受到损害之日起7个工作日内，以书面形</w:t>
      </w:r>
      <w:r>
        <w:rPr>
          <w:rFonts w:hint="eastAsia" w:ascii="黑体" w:hAnsi="黑体" w:eastAsia="黑体" w:cs="黑体"/>
          <w:color w:val="auto"/>
          <w:spacing w:val="-5"/>
          <w:sz w:val="24"/>
          <w:szCs w:val="24"/>
        </w:rPr>
        <w:t>式向</w:t>
      </w:r>
      <w:r>
        <w:rPr>
          <w:rFonts w:hint="eastAsia" w:ascii="黑体" w:hAnsi="黑体" w:eastAsia="黑体" w:cs="黑体"/>
          <w:color w:val="auto"/>
          <w:spacing w:val="-2"/>
          <w:sz w:val="24"/>
          <w:szCs w:val="24"/>
        </w:rPr>
        <w:t>采购方提出质疑。</w:t>
      </w:r>
    </w:p>
    <w:p w14:paraId="389E142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供应商应知其权益受到损害之日，是指：</w:t>
      </w:r>
    </w:p>
    <w:p w14:paraId="693574A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0"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（一）对可以质疑的采购文件提出质疑的，为收到采购文件之日或者采购文件公</w:t>
      </w:r>
      <w:r>
        <w:rPr>
          <w:rFonts w:hint="eastAsia" w:ascii="黑体" w:hAnsi="黑体" w:eastAsia="黑体" w:cs="黑体"/>
          <w:color w:val="auto"/>
          <w:spacing w:val="-1"/>
          <w:sz w:val="24"/>
          <w:szCs w:val="24"/>
        </w:rPr>
        <w:t>告期限届满之日；</w:t>
      </w:r>
    </w:p>
    <w:p w14:paraId="490A53B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（二）对采购过程提出质疑的，为各采购程序环节结束之日；</w:t>
      </w:r>
    </w:p>
    <w:p w14:paraId="22CBC14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（三）对中标结果提出质疑的，为中标结果公告期限届满之日。</w:t>
      </w:r>
    </w:p>
    <w:p w14:paraId="4AF6D5C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36.7供应商在法定质疑期内只能一次性提出针对同一采购程序环节的质疑，否</w:t>
      </w:r>
      <w:r>
        <w:rPr>
          <w:rFonts w:hint="eastAsia" w:ascii="黑体" w:hAnsi="黑体" w:eastAsia="黑体" w:cs="黑体"/>
          <w:color w:val="auto"/>
          <w:spacing w:val="-1"/>
          <w:sz w:val="24"/>
          <w:szCs w:val="24"/>
        </w:rPr>
        <w:t>则不予受理。</w:t>
      </w:r>
    </w:p>
    <w:p w14:paraId="4D8D515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36.8对可以质疑的采购文件提出质疑的，质疑人为参</w:t>
      </w:r>
      <w:r>
        <w:rPr>
          <w:rFonts w:hint="eastAsia" w:ascii="黑体" w:hAnsi="黑体" w:eastAsia="黑体" w:cs="黑体"/>
          <w:color w:val="auto"/>
          <w:spacing w:val="-2"/>
          <w:sz w:val="24"/>
          <w:szCs w:val="24"/>
        </w:rPr>
        <w:t>与本项目的报价方或潜</w:t>
      </w:r>
      <w:r>
        <w:rPr>
          <w:rFonts w:hint="eastAsia" w:ascii="黑体" w:hAnsi="黑体" w:eastAsia="黑体" w:cs="黑体"/>
          <w:color w:val="auto"/>
          <w:spacing w:val="-3"/>
          <w:sz w:val="24"/>
          <w:szCs w:val="24"/>
        </w:rPr>
        <w:t>在报价方。可质疑的文件为采购公告以及采购文件（包括属于其组成部分</w:t>
      </w:r>
      <w:r>
        <w:rPr>
          <w:rFonts w:hint="eastAsia" w:ascii="黑体" w:hAnsi="黑体" w:eastAsia="黑体" w:cs="黑体"/>
          <w:color w:val="auto"/>
          <w:sz w:val="24"/>
          <w:szCs w:val="24"/>
        </w:rPr>
        <w:t>的澄清、修改、补充文件和评审标准、合同文本等）。</w:t>
      </w:r>
    </w:p>
    <w:p w14:paraId="75135C5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36.9对采购过程和中标结果提出质疑的，质疑人为直接参与本项目的报价方。</w:t>
      </w:r>
    </w:p>
    <w:p w14:paraId="5B538C6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采购过程,即从采购项目信息公告发布起到中标</w:t>
      </w:r>
      <w:r>
        <w:rPr>
          <w:rFonts w:hint="eastAsia" w:ascii="黑体" w:hAnsi="黑体" w:eastAsia="黑体" w:cs="黑体"/>
          <w:color w:val="auto"/>
          <w:spacing w:val="-2"/>
          <w:sz w:val="24"/>
          <w:szCs w:val="24"/>
        </w:rPr>
        <w:t>结果公告止，包括采购文</w:t>
      </w:r>
      <w:r>
        <w:rPr>
          <w:rFonts w:hint="eastAsia" w:ascii="黑体" w:hAnsi="黑体" w:eastAsia="黑体" w:cs="黑体"/>
          <w:color w:val="auto"/>
          <w:sz w:val="24"/>
          <w:szCs w:val="24"/>
        </w:rPr>
        <w:t>件的发出、提交投标文件、投标文件开启、评审等各个采购程</w:t>
      </w:r>
      <w:r>
        <w:rPr>
          <w:rFonts w:hint="eastAsia" w:ascii="黑体" w:hAnsi="黑体" w:eastAsia="黑体" w:cs="黑体"/>
          <w:color w:val="auto"/>
          <w:spacing w:val="-1"/>
          <w:sz w:val="24"/>
          <w:szCs w:val="24"/>
        </w:rPr>
        <w:t>序环节。</w:t>
      </w:r>
    </w:p>
    <w:p w14:paraId="7215E4A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7"/>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36.10提出质疑应当符合下列条件：</w:t>
      </w:r>
    </w:p>
    <w:p w14:paraId="7173A48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（一）质疑主体应当符合有关规定；</w:t>
      </w:r>
    </w:p>
    <w:p w14:paraId="7E1272C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（二）在质疑法定期限内提出；</w:t>
      </w:r>
    </w:p>
    <w:p w14:paraId="32645D3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（三）属于可以提出质疑的政府采购事项受理范围和本项</w:t>
      </w:r>
      <w:r>
        <w:rPr>
          <w:rFonts w:hint="eastAsia" w:ascii="黑体" w:hAnsi="黑体" w:eastAsia="黑体" w:cs="黑体"/>
          <w:color w:val="auto"/>
          <w:spacing w:val="-2"/>
          <w:sz w:val="24"/>
          <w:szCs w:val="24"/>
        </w:rPr>
        <w:t>目采购人的管辖权范</w:t>
      </w:r>
      <w:r>
        <w:rPr>
          <w:rFonts w:hint="eastAsia" w:ascii="黑体" w:hAnsi="黑体" w:eastAsia="黑体" w:cs="黑体"/>
          <w:color w:val="auto"/>
          <w:spacing w:val="-9"/>
          <w:sz w:val="24"/>
          <w:szCs w:val="24"/>
        </w:rPr>
        <w:t>围；</w:t>
      </w:r>
    </w:p>
    <w:p w14:paraId="6EDD0AF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7"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（四）政府采购法律、法规、规章规定的其他条件。</w:t>
      </w:r>
    </w:p>
    <w:p w14:paraId="5F0766D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36.11提出质疑应当具有明确的请求和提供必要的证明材料。明确的请求,即质</w:t>
      </w:r>
      <w:r>
        <w:rPr>
          <w:rFonts w:hint="eastAsia" w:ascii="黑体" w:hAnsi="黑体" w:eastAsia="黑体" w:cs="黑体"/>
          <w:color w:val="auto"/>
          <w:spacing w:val="-3"/>
          <w:sz w:val="24"/>
          <w:szCs w:val="24"/>
        </w:rPr>
        <w:t>疑人在质疑函中提出的，要求采购方对其予以支持的主张。必要的证明材</w:t>
      </w:r>
      <w:r>
        <w:rPr>
          <w:rFonts w:hint="eastAsia" w:ascii="黑体" w:hAnsi="黑体" w:eastAsia="黑体" w:cs="黑体"/>
          <w:color w:val="auto"/>
          <w:spacing w:val="-1"/>
          <w:sz w:val="24"/>
          <w:szCs w:val="24"/>
        </w:rPr>
        <w:t>料,即能够证明质疑人的质疑请求成立的必要材</w:t>
      </w:r>
      <w:r>
        <w:rPr>
          <w:rFonts w:hint="eastAsia" w:ascii="黑体" w:hAnsi="黑体" w:eastAsia="黑体" w:cs="黑体"/>
          <w:color w:val="auto"/>
          <w:spacing w:val="-2"/>
          <w:sz w:val="24"/>
          <w:szCs w:val="24"/>
        </w:rPr>
        <w:t>料，包括相关证据、依据</w:t>
      </w:r>
      <w:r>
        <w:rPr>
          <w:rFonts w:hint="eastAsia" w:ascii="黑体" w:hAnsi="黑体" w:eastAsia="黑体" w:cs="黑体"/>
          <w:color w:val="auto"/>
          <w:spacing w:val="-1"/>
          <w:sz w:val="24"/>
          <w:szCs w:val="24"/>
        </w:rPr>
        <w:t>和其他有关材料。</w:t>
      </w:r>
    </w:p>
    <w:p w14:paraId="105200E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4" w:firstLineChars="177"/>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36.12质疑人所提供的证明材料应当具有真实性、合法性以及与质疑事项的关</w:t>
      </w:r>
      <w:r>
        <w:rPr>
          <w:rFonts w:hint="eastAsia" w:ascii="黑体" w:hAnsi="黑体" w:eastAsia="黑体" w:cs="黑体"/>
          <w:color w:val="auto"/>
          <w:spacing w:val="-2"/>
          <w:sz w:val="24"/>
          <w:szCs w:val="24"/>
        </w:rPr>
        <w:t>联性和证明力，否则不能作为认定该质疑事项成立的依据。</w:t>
      </w:r>
    </w:p>
    <w:p w14:paraId="1D2469E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21" w:firstLineChars="177"/>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36.13质疑人提出质疑时应当提交质疑函。质疑函包括下列内容：</w:t>
      </w:r>
    </w:p>
    <w:p w14:paraId="0305454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right="0" w:rightChars="0" w:firstLine="418" w:firstLineChars="179"/>
        <w:textAlignment w:val="baseline"/>
        <w:rPr>
          <w:rFonts w:hint="eastAsia" w:ascii="黑体" w:hAnsi="黑体" w:eastAsia="黑体" w:cs="黑体"/>
          <w:color w:val="auto"/>
          <w:spacing w:val="-3"/>
          <w:sz w:val="24"/>
          <w:szCs w:val="24"/>
        </w:rPr>
      </w:pPr>
      <w:r>
        <w:rPr>
          <w:rFonts w:hint="eastAsia" w:ascii="黑体" w:hAnsi="黑体" w:eastAsia="黑体" w:cs="黑体"/>
          <w:snapToGrid w:val="0"/>
          <w:color w:val="auto"/>
          <w:spacing w:val="-3"/>
          <w:kern w:val="0"/>
          <w:sz w:val="24"/>
          <w:szCs w:val="24"/>
          <w:lang w:val="en-US" w:eastAsia="en-US" w:bidi="ar-SA"/>
        </w:rPr>
        <w:t>（一）</w:t>
      </w:r>
      <w:r>
        <w:rPr>
          <w:rFonts w:hint="eastAsia" w:ascii="黑体" w:hAnsi="黑体" w:eastAsia="黑体" w:cs="黑体"/>
          <w:color w:val="auto"/>
          <w:spacing w:val="-3"/>
          <w:sz w:val="24"/>
          <w:szCs w:val="24"/>
        </w:rPr>
        <w:t>提出质疑的质疑人的名称、地址、邮编、联系人及联系电话等；</w:t>
      </w:r>
    </w:p>
    <w:p w14:paraId="14D26A57">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right="0" w:rightChars="0" w:firstLine="41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（二）质疑项目的名称、编号；</w:t>
      </w:r>
    </w:p>
    <w:p w14:paraId="2309150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6"/>
          <w:sz w:val="24"/>
          <w:szCs w:val="24"/>
        </w:rPr>
        <w:t>（三）质疑事项；</w:t>
      </w:r>
    </w:p>
    <w:p w14:paraId="37C14A0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（四）事实依据和证明材料；</w:t>
      </w:r>
    </w:p>
    <w:p w14:paraId="595A1F7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8"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6"/>
          <w:sz w:val="24"/>
          <w:szCs w:val="24"/>
        </w:rPr>
        <w:t>（五）法律依据；</w:t>
      </w:r>
    </w:p>
    <w:p w14:paraId="2C8E781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5" w:firstLineChars="179"/>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（六）提出质疑的日期。</w:t>
      </w:r>
    </w:p>
    <w:p w14:paraId="5DB96E5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1A60136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36.14质疑人可以委托代理人进行质疑。代理人应当提交授权委托书。授权委托书应当载明委托代理的具体权限、期限和相关事项。</w:t>
      </w:r>
    </w:p>
    <w:p w14:paraId="400D59A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36.15质疑的审查和受理</w:t>
      </w:r>
    </w:p>
    <w:p w14:paraId="3F15309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采购方在收到质疑函后应当及时审查是否符合质疑受理条件，对符合质疑受理条件的，及时予以受理。</w:t>
      </w:r>
    </w:p>
    <w:p w14:paraId="099E750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36.16对不符合质疑受理条件的，分别按照下列不同情形予以处理：</w:t>
      </w:r>
    </w:p>
    <w:p w14:paraId="61037931">
      <w:pPr>
        <w:pStyle w:val="6"/>
        <w:keepNext w:val="0"/>
        <w:keepLines w:val="0"/>
        <w:pageBreakBefore w:val="0"/>
        <w:widowControl/>
        <w:kinsoku w:val="0"/>
        <w:wordWrap w:val="0"/>
        <w:overflowPunct/>
        <w:topLinePunct/>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lang w:eastAsia="zh-CN"/>
        </w:rPr>
      </w:pPr>
      <w:r>
        <w:rPr>
          <w:rFonts w:hint="eastAsia" w:ascii="黑体" w:hAnsi="黑体" w:eastAsia="黑体" w:cs="黑体"/>
          <w:b w:val="0"/>
          <w:bCs w:val="0"/>
          <w:color w:val="auto"/>
          <w:spacing w:val="-1"/>
          <w:sz w:val="24"/>
          <w:szCs w:val="24"/>
        </w:rPr>
        <w:t>（一）质疑函内容不符合规定的，告知质疑人进行修改并重新提出质疑。修改后质疑事项仍不具体、不明确或者最终递交质疑函的时间超过质疑法定期限的，不予受理</w:t>
      </w:r>
      <w:r>
        <w:rPr>
          <w:rFonts w:hint="eastAsia" w:ascii="黑体" w:hAnsi="黑体" w:eastAsia="黑体" w:cs="黑体"/>
          <w:b w:val="0"/>
          <w:bCs w:val="0"/>
          <w:color w:val="auto"/>
          <w:spacing w:val="-1"/>
          <w:sz w:val="24"/>
          <w:szCs w:val="24"/>
          <w:lang w:eastAsia="zh-CN"/>
        </w:rPr>
        <w:t>；</w:t>
      </w:r>
    </w:p>
    <w:p w14:paraId="7F25E38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（二）质疑主体不符合有关规定的，告知质疑人不予受理；</w:t>
      </w:r>
    </w:p>
    <w:p w14:paraId="2C42A5F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（三）超过质疑法定期限提出质疑的，告知质疑人不予受理；</w:t>
      </w:r>
    </w:p>
    <w:p w14:paraId="1DD2399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（四）对不属于可以提出质疑的政府采购事项提出质疑的，告知质疑人不予受理；</w:t>
      </w:r>
    </w:p>
    <w:p w14:paraId="51A6174D">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lang w:eastAsia="zh-CN"/>
        </w:rPr>
      </w:pPr>
      <w:r>
        <w:rPr>
          <w:rFonts w:hint="eastAsia" w:ascii="黑体" w:hAnsi="黑体" w:eastAsia="黑体" w:cs="黑体"/>
          <w:b w:val="0"/>
          <w:bCs w:val="0"/>
          <w:color w:val="auto"/>
          <w:spacing w:val="-1"/>
          <w:sz w:val="24"/>
          <w:szCs w:val="24"/>
        </w:rPr>
        <w:t>（五）质疑不属于本项目采购方管辖的，告知质疑人向有管辖权的采购人提出质疑</w:t>
      </w:r>
      <w:r>
        <w:rPr>
          <w:rFonts w:hint="eastAsia" w:ascii="黑体" w:hAnsi="黑体" w:eastAsia="黑体" w:cs="黑体"/>
          <w:b w:val="0"/>
          <w:bCs w:val="0"/>
          <w:color w:val="auto"/>
          <w:spacing w:val="-1"/>
          <w:sz w:val="24"/>
          <w:szCs w:val="24"/>
          <w:lang w:eastAsia="zh-CN"/>
        </w:rPr>
        <w:t>；</w:t>
      </w:r>
    </w:p>
    <w:p w14:paraId="04335D2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（六）质疑不符合其他条件的，告知质疑人不予受理。</w:t>
      </w:r>
    </w:p>
    <w:p w14:paraId="6EF004F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36.17质疑的处理和答复</w:t>
      </w:r>
    </w:p>
    <w:p w14:paraId="1A54726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36.18采购方受理质疑后，将及时把质疑函发送给被质疑人，并要求其在一定限期内提交书面答复，同时提供有关证据、依据和相关材料。</w:t>
      </w:r>
    </w:p>
    <w:p w14:paraId="1E49950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36.19对于质疑事项中涉及的问题较多、情况比较复杂的，为了全面查清事实、取得充分的证据，采购方认为有必要时，可以进行调查取证或者组织质证。</w:t>
      </w:r>
    </w:p>
    <w:p w14:paraId="05FE6CB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36.20对评审过程、中标结果提出质疑的，采购方可以组织原评审委员会协助答复质疑。</w:t>
      </w:r>
    </w:p>
    <w:p w14:paraId="4117220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36.21质疑处理过程中，质疑人书面申请撤回质疑的，将终止质疑处理程序。</w:t>
      </w:r>
    </w:p>
    <w:p w14:paraId="3E0F00C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36.22质疑人拒绝配合采购方依法对质疑进行调查处理的，采购方将按质疑人自动撤回质疑处理；被质疑人拒绝配合采购方依法对质疑进行调查处理的，采购方将视同其认可质疑事项。</w:t>
      </w:r>
    </w:p>
    <w:p w14:paraId="21C3BFA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36.23质疑人拒绝配合采购方依法对质疑进行调查处理的，采购方将按质疑人自动撤回质疑处理；被质疑人拒绝配合采购方依法对质疑进行调查处理的，采购方将视同其认可质疑事项。</w:t>
      </w:r>
    </w:p>
    <w:p w14:paraId="30CEEA2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36.24采购方将在正式受理质疑后7个工作日内作出答复</w:t>
      </w:r>
      <w:r>
        <w:rPr>
          <w:rFonts w:hint="eastAsia" w:ascii="黑体" w:hAnsi="黑体" w:eastAsia="黑体" w:cs="黑体"/>
          <w:b w:val="0"/>
          <w:bCs w:val="0"/>
          <w:color w:val="auto"/>
          <w:spacing w:val="-1"/>
          <w:sz w:val="24"/>
          <w:szCs w:val="24"/>
          <w:lang w:eastAsia="zh-CN"/>
        </w:rPr>
        <w:t>，</w:t>
      </w:r>
      <w:r>
        <w:rPr>
          <w:rFonts w:hint="eastAsia" w:ascii="黑体" w:hAnsi="黑体" w:eastAsia="黑体" w:cs="黑体"/>
          <w:b w:val="0"/>
          <w:bCs w:val="0"/>
          <w:color w:val="auto"/>
          <w:spacing w:val="-1"/>
          <w:sz w:val="24"/>
          <w:szCs w:val="24"/>
          <w:lang w:val="en-US" w:eastAsia="zh-CN"/>
        </w:rPr>
        <w:t>并以书面形式通知质疑供应商和其他有关供应商</w:t>
      </w:r>
      <w:r>
        <w:rPr>
          <w:rFonts w:hint="eastAsia" w:ascii="黑体" w:hAnsi="黑体" w:eastAsia="黑体" w:cs="黑体"/>
          <w:b w:val="0"/>
          <w:bCs w:val="0"/>
          <w:color w:val="auto"/>
          <w:spacing w:val="-1"/>
          <w:sz w:val="24"/>
          <w:szCs w:val="24"/>
        </w:rPr>
        <w:t>。</w:t>
      </w:r>
    </w:p>
    <w:p w14:paraId="7742A46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36.25质疑答复应当包括下列内容：</w:t>
      </w:r>
    </w:p>
    <w:p w14:paraId="2941334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（一）质疑人的姓名或者名称；</w:t>
      </w:r>
    </w:p>
    <w:p w14:paraId="224763C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（二）收到质疑函的日期、质疑项目名称及编号；</w:t>
      </w:r>
    </w:p>
    <w:p w14:paraId="0B4D2E5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（三）质疑事项、质疑答复的具体内容、事实依据和法律依据；</w:t>
      </w:r>
    </w:p>
    <w:p w14:paraId="104E376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（四）告知质疑供应商依法投诉的权利；</w:t>
      </w:r>
    </w:p>
    <w:p w14:paraId="4ACBCD7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（五）质疑答复人名称；</w:t>
      </w:r>
    </w:p>
    <w:p w14:paraId="0C62097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8" w:firstLineChars="176"/>
        <w:jc w:val="left"/>
        <w:textAlignment w:val="baseline"/>
        <w:outlineLvl w:val="2"/>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（六）答复质疑的日期。</w:t>
      </w:r>
    </w:p>
    <w:p w14:paraId="1181FEC4">
      <w:pPr>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br w:type="page"/>
      </w:r>
    </w:p>
    <w:p w14:paraId="34AC420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0" w:firstLineChars="0"/>
        <w:jc w:val="center"/>
        <w:textAlignment w:val="baseline"/>
        <w:outlineLvl w:val="2"/>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质疑函范本</w:t>
      </w:r>
    </w:p>
    <w:p w14:paraId="0DA701A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一、质疑供应商基本信息</w:t>
      </w:r>
    </w:p>
    <w:p w14:paraId="767A6C6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质疑供应商：</w:t>
      </w:r>
      <w:r>
        <w:rPr>
          <w:rFonts w:hint="eastAsia" w:ascii="黑体" w:hAnsi="黑体" w:eastAsia="黑体" w:cs="黑体"/>
          <w:color w:val="auto"/>
          <w:spacing w:val="-1"/>
          <w:sz w:val="24"/>
          <w:szCs w:val="24"/>
          <w:u w:val="single"/>
          <w:lang w:val="en-US" w:eastAsia="zh-CN"/>
        </w:rPr>
        <w:t xml:space="preserve">                                                       </w:t>
      </w:r>
    </w:p>
    <w:p w14:paraId="29FA4A9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1"/>
        <w:textAlignment w:val="baseline"/>
        <w:rPr>
          <w:rFonts w:hint="eastAsia" w:ascii="黑体" w:hAnsi="黑体" w:eastAsia="黑体" w:cs="黑体"/>
          <w:color w:val="auto"/>
          <w:spacing w:val="-1"/>
          <w:sz w:val="24"/>
          <w:szCs w:val="24"/>
          <w:u w:val="single"/>
          <w:lang w:val="en-US" w:eastAsia="zh-CN"/>
        </w:rPr>
      </w:pPr>
      <w:r>
        <w:rPr>
          <w:rFonts w:hint="eastAsia" w:ascii="黑体" w:hAnsi="黑体" w:eastAsia="黑体" w:cs="黑体"/>
          <w:color w:val="auto"/>
          <w:spacing w:val="-1"/>
          <w:sz w:val="24"/>
          <w:szCs w:val="24"/>
        </w:rPr>
        <w:t>地址：</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1"/>
          <w:sz w:val="24"/>
          <w:szCs w:val="24"/>
        </w:rPr>
        <w:t>邮编：</w:t>
      </w:r>
      <w:r>
        <w:rPr>
          <w:rFonts w:hint="eastAsia" w:ascii="黑体" w:hAnsi="黑体" w:eastAsia="黑体" w:cs="黑体"/>
          <w:color w:val="auto"/>
          <w:spacing w:val="-1"/>
          <w:sz w:val="24"/>
          <w:szCs w:val="24"/>
          <w:u w:val="single"/>
          <w:lang w:val="en-US" w:eastAsia="zh-CN"/>
        </w:rPr>
        <w:t xml:space="preserve">                   </w:t>
      </w:r>
    </w:p>
    <w:p w14:paraId="47F631D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1"/>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联系人：</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z w:val="24"/>
          <w:szCs w:val="24"/>
        </w:rPr>
        <w:t>联系电话：</w:t>
      </w:r>
      <w:r>
        <w:rPr>
          <w:rFonts w:hint="eastAsia" w:ascii="黑体" w:hAnsi="黑体" w:eastAsia="黑体" w:cs="黑体"/>
          <w:color w:val="auto"/>
          <w:spacing w:val="-1"/>
          <w:sz w:val="24"/>
          <w:szCs w:val="24"/>
          <w:u w:val="single"/>
          <w:lang w:val="en-US" w:eastAsia="zh-CN"/>
        </w:rPr>
        <w:t xml:space="preserve">                   </w:t>
      </w:r>
    </w:p>
    <w:p w14:paraId="4BF65EB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授权代表：</w:t>
      </w:r>
      <w:r>
        <w:rPr>
          <w:rFonts w:hint="eastAsia" w:ascii="黑体" w:hAnsi="黑体" w:eastAsia="黑体" w:cs="黑体"/>
          <w:color w:val="auto"/>
          <w:spacing w:val="-1"/>
          <w:sz w:val="24"/>
          <w:szCs w:val="24"/>
          <w:u w:val="single"/>
          <w:lang w:val="en-US" w:eastAsia="zh-CN"/>
        </w:rPr>
        <w:t xml:space="preserve">                                                       </w:t>
      </w:r>
    </w:p>
    <w:p w14:paraId="509E563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联系电话：</w:t>
      </w:r>
      <w:r>
        <w:rPr>
          <w:rFonts w:hint="eastAsia" w:ascii="黑体" w:hAnsi="黑体" w:eastAsia="黑体" w:cs="黑体"/>
          <w:color w:val="auto"/>
          <w:spacing w:val="-1"/>
          <w:sz w:val="24"/>
          <w:szCs w:val="24"/>
          <w:u w:val="single"/>
          <w:lang w:val="en-US" w:eastAsia="zh-CN"/>
        </w:rPr>
        <w:t xml:space="preserve">                                                       </w:t>
      </w:r>
    </w:p>
    <w:p w14:paraId="64DD743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5"/>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地址：</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1"/>
          <w:sz w:val="24"/>
          <w:szCs w:val="24"/>
        </w:rPr>
        <w:t>邮编：</w:t>
      </w:r>
      <w:r>
        <w:rPr>
          <w:rFonts w:hint="eastAsia" w:ascii="黑体" w:hAnsi="黑体" w:eastAsia="黑体" w:cs="黑体"/>
          <w:color w:val="auto"/>
          <w:spacing w:val="-1"/>
          <w:sz w:val="24"/>
          <w:szCs w:val="24"/>
          <w:u w:val="single"/>
          <w:lang w:val="en-US" w:eastAsia="zh-CN"/>
        </w:rPr>
        <w:t xml:space="preserve">                   </w:t>
      </w:r>
    </w:p>
    <w:p w14:paraId="29C601B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5"/>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二、质疑项目基本情况</w:t>
      </w:r>
    </w:p>
    <w:p w14:paraId="6358D603">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质疑项目的名称：</w:t>
      </w:r>
      <w:r>
        <w:rPr>
          <w:rFonts w:hint="eastAsia" w:ascii="黑体" w:hAnsi="黑体" w:eastAsia="黑体" w:cs="黑体"/>
          <w:color w:val="auto"/>
          <w:spacing w:val="-1"/>
          <w:sz w:val="24"/>
          <w:szCs w:val="24"/>
          <w:u w:val="single"/>
          <w:lang w:val="en-US" w:eastAsia="zh-CN"/>
        </w:rPr>
        <w:t xml:space="preserve">                                                       </w:t>
      </w:r>
    </w:p>
    <w:p w14:paraId="2F69BA4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质疑项目的编号：</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z w:val="24"/>
          <w:szCs w:val="24"/>
        </w:rPr>
        <w:t>包号：</w:t>
      </w:r>
      <w:r>
        <w:rPr>
          <w:rFonts w:hint="eastAsia" w:ascii="黑体" w:hAnsi="黑体" w:eastAsia="黑体" w:cs="黑体"/>
          <w:color w:val="auto"/>
          <w:spacing w:val="-1"/>
          <w:sz w:val="24"/>
          <w:szCs w:val="24"/>
          <w:u w:val="single"/>
          <w:lang w:val="en-US" w:eastAsia="zh-CN"/>
        </w:rPr>
        <w:t xml:space="preserve">                   </w:t>
      </w:r>
    </w:p>
    <w:p w14:paraId="3396F1F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采购人名称：</w:t>
      </w:r>
      <w:r>
        <w:rPr>
          <w:rFonts w:hint="eastAsia" w:ascii="黑体" w:hAnsi="黑体" w:eastAsia="黑体" w:cs="黑体"/>
          <w:color w:val="auto"/>
          <w:spacing w:val="-1"/>
          <w:sz w:val="24"/>
          <w:szCs w:val="24"/>
          <w:u w:val="single"/>
          <w:lang w:val="en-US" w:eastAsia="zh-CN"/>
        </w:rPr>
        <w:t xml:space="preserve">                                                       </w:t>
      </w:r>
    </w:p>
    <w:p w14:paraId="15A9FDE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3"/>
        <w:textAlignment w:val="baseline"/>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采购文件获取日期：</w:t>
      </w:r>
      <w:r>
        <w:rPr>
          <w:rFonts w:hint="eastAsia" w:ascii="黑体" w:hAnsi="黑体" w:eastAsia="黑体" w:cs="黑体"/>
          <w:color w:val="auto"/>
          <w:spacing w:val="-1"/>
          <w:sz w:val="24"/>
          <w:szCs w:val="24"/>
          <w:u w:val="single"/>
          <w:lang w:val="en-US" w:eastAsia="zh-CN"/>
        </w:rPr>
        <w:t xml:space="preserve">                                             </w:t>
      </w:r>
    </w:p>
    <w:p w14:paraId="75860AA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hanging="3"/>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三、质疑事项具体内容</w:t>
      </w:r>
    </w:p>
    <w:p w14:paraId="1D179D0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质疑事项1：</w:t>
      </w:r>
      <w:r>
        <w:rPr>
          <w:rFonts w:hint="eastAsia" w:ascii="黑体" w:hAnsi="黑体" w:eastAsia="黑体" w:cs="黑体"/>
          <w:color w:val="auto"/>
          <w:spacing w:val="-1"/>
          <w:sz w:val="24"/>
          <w:szCs w:val="24"/>
          <w:u w:val="single"/>
          <w:lang w:val="en-US" w:eastAsia="zh-CN"/>
        </w:rPr>
        <w:t xml:space="preserve">                                                       </w:t>
      </w:r>
    </w:p>
    <w:p w14:paraId="060743B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事实依据：</w:t>
      </w:r>
      <w:r>
        <w:rPr>
          <w:rFonts w:hint="eastAsia" w:ascii="黑体" w:hAnsi="黑体" w:eastAsia="黑体" w:cs="黑体"/>
          <w:color w:val="auto"/>
          <w:spacing w:val="-1"/>
          <w:sz w:val="24"/>
          <w:szCs w:val="24"/>
          <w:u w:val="single"/>
          <w:lang w:val="en-US" w:eastAsia="zh-CN"/>
        </w:rPr>
        <w:t xml:space="preserve">                                                        </w:t>
      </w:r>
    </w:p>
    <w:p w14:paraId="45E39C6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法律依据：</w:t>
      </w:r>
      <w:r>
        <w:rPr>
          <w:rFonts w:hint="eastAsia" w:ascii="黑体" w:hAnsi="黑体" w:eastAsia="黑体" w:cs="黑体"/>
          <w:color w:val="auto"/>
          <w:spacing w:val="-1"/>
          <w:sz w:val="24"/>
          <w:szCs w:val="24"/>
          <w:u w:val="single"/>
          <w:lang w:val="en-US" w:eastAsia="zh-CN"/>
        </w:rPr>
        <w:t xml:space="preserve">                                                       </w:t>
      </w:r>
    </w:p>
    <w:p w14:paraId="49343F0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质疑事项2</w:t>
      </w:r>
      <w:r>
        <w:rPr>
          <w:rFonts w:hint="eastAsia" w:ascii="黑体" w:hAnsi="黑体" w:eastAsia="黑体" w:cs="黑体"/>
          <w:color w:val="auto"/>
          <w:sz w:val="24"/>
          <w:szCs w:val="24"/>
          <w:lang w:val="en-US" w:eastAsia="zh-CN"/>
        </w:rPr>
        <w:t>......</w:t>
      </w:r>
    </w:p>
    <w:p w14:paraId="0046729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四、与质疑事项相关的质疑请求</w:t>
      </w:r>
    </w:p>
    <w:p w14:paraId="489531D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请求：</w:t>
      </w:r>
      <w:r>
        <w:rPr>
          <w:rFonts w:hint="eastAsia" w:ascii="黑体" w:hAnsi="黑体" w:eastAsia="黑体" w:cs="黑体"/>
          <w:color w:val="auto"/>
          <w:spacing w:val="-1"/>
          <w:sz w:val="24"/>
          <w:szCs w:val="24"/>
          <w:u w:val="single"/>
          <w:lang w:val="en-US" w:eastAsia="zh-CN"/>
        </w:rPr>
        <w:t xml:space="preserve">                                                       </w:t>
      </w:r>
    </w:p>
    <w:p w14:paraId="01697DD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签字(签章)：</w:t>
      </w:r>
      <w:r>
        <w:rPr>
          <w:rFonts w:hint="eastAsia" w:ascii="黑体" w:hAnsi="黑体" w:eastAsia="黑体" w:cs="黑体"/>
          <w:color w:val="auto"/>
          <w:spacing w:val="-1"/>
          <w:sz w:val="24"/>
          <w:szCs w:val="24"/>
          <w:u w:val="single"/>
          <w:lang w:val="en-US" w:eastAsia="zh-CN"/>
        </w:rPr>
        <w:t xml:space="preserve">                                              </w:t>
      </w:r>
    </w:p>
    <w:p w14:paraId="27F18E1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公章：</w:t>
      </w:r>
      <w:r>
        <w:rPr>
          <w:rFonts w:hint="eastAsia" w:ascii="黑体" w:hAnsi="黑体" w:eastAsia="黑体" w:cs="黑体"/>
          <w:color w:val="auto"/>
          <w:spacing w:val="-1"/>
          <w:sz w:val="24"/>
          <w:szCs w:val="24"/>
          <w:u w:val="single"/>
          <w:lang w:val="en-US" w:eastAsia="zh-CN"/>
        </w:rPr>
        <w:t xml:space="preserve">                                                       </w:t>
      </w:r>
    </w:p>
    <w:p w14:paraId="2B82663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3"/>
          <w:sz w:val="24"/>
          <w:szCs w:val="24"/>
        </w:rPr>
        <w:t>日期：</w:t>
      </w:r>
      <w:r>
        <w:rPr>
          <w:rFonts w:hint="eastAsia" w:ascii="黑体" w:hAnsi="黑体" w:eastAsia="黑体" w:cs="黑体"/>
          <w:color w:val="auto"/>
          <w:spacing w:val="-1"/>
          <w:sz w:val="24"/>
          <w:szCs w:val="24"/>
          <w:u w:val="single"/>
          <w:lang w:val="en-US" w:eastAsia="zh-CN"/>
        </w:rPr>
        <w:t xml:space="preserve">                                                       </w:t>
      </w:r>
    </w:p>
    <w:p w14:paraId="731D868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2"/>
          <w:szCs w:val="22"/>
        </w:rPr>
      </w:pPr>
      <w:r>
        <w:rPr>
          <w:rFonts w:hint="eastAsia" w:ascii="黑体" w:hAnsi="黑体" w:eastAsia="黑体" w:cs="黑体"/>
          <w:b/>
          <w:bCs/>
          <w:color w:val="auto"/>
          <w:spacing w:val="-1"/>
          <w:sz w:val="22"/>
          <w:szCs w:val="22"/>
        </w:rPr>
        <w:t>质疑函制作说明：</w:t>
      </w:r>
    </w:p>
    <w:p w14:paraId="1E5BA29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3" w:firstLineChars="179"/>
        <w:textAlignment w:val="baseline"/>
        <w:rPr>
          <w:rFonts w:hint="eastAsia" w:ascii="黑体" w:hAnsi="黑体" w:eastAsia="黑体" w:cs="黑体"/>
          <w:color w:val="auto"/>
          <w:sz w:val="22"/>
          <w:szCs w:val="22"/>
        </w:rPr>
      </w:pPr>
      <w:r>
        <w:rPr>
          <w:rFonts w:hint="eastAsia" w:ascii="黑体" w:hAnsi="黑体" w:eastAsia="黑体" w:cs="黑体"/>
          <w:color w:val="auto"/>
          <w:spacing w:val="-3"/>
          <w:sz w:val="22"/>
          <w:szCs w:val="22"/>
        </w:rPr>
        <w:t>1.供应商提出质疑时，应提交质疑函和必要的证明材料。</w:t>
      </w:r>
    </w:p>
    <w:p w14:paraId="6E0E52A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00" w:firstLineChars="179"/>
        <w:textAlignment w:val="baseline"/>
        <w:rPr>
          <w:rFonts w:hint="eastAsia" w:ascii="黑体" w:hAnsi="黑体" w:eastAsia="黑体" w:cs="黑体"/>
          <w:color w:val="auto"/>
          <w:sz w:val="22"/>
          <w:szCs w:val="22"/>
        </w:rPr>
      </w:pPr>
      <w:r>
        <w:rPr>
          <w:rFonts w:hint="eastAsia" w:ascii="黑体" w:hAnsi="黑体" w:eastAsia="黑体" w:cs="黑体"/>
          <w:color w:val="auto"/>
          <w:spacing w:val="2"/>
          <w:sz w:val="22"/>
          <w:szCs w:val="22"/>
        </w:rPr>
        <w:t>2.质疑供应商若委托代理人进行质疑的，质疑函应按要求列明</w:t>
      </w:r>
      <w:r>
        <w:rPr>
          <w:rFonts w:hint="eastAsia" w:ascii="黑体" w:hAnsi="黑体" w:eastAsia="黑体" w:cs="黑体"/>
          <w:color w:val="auto"/>
          <w:spacing w:val="1"/>
          <w:sz w:val="22"/>
          <w:szCs w:val="22"/>
        </w:rPr>
        <w:t>“授权代表”</w:t>
      </w:r>
      <w:r>
        <w:rPr>
          <w:rFonts w:hint="eastAsia" w:ascii="黑体" w:hAnsi="黑体" w:eastAsia="黑体" w:cs="黑体"/>
          <w:color w:val="auto"/>
          <w:spacing w:val="-4"/>
          <w:sz w:val="22"/>
          <w:szCs w:val="22"/>
        </w:rPr>
        <w:t>的有关内容，并在附件中提交由质疑供应商签署的授权委托书。授权委托书应载</w:t>
      </w:r>
      <w:r>
        <w:rPr>
          <w:rFonts w:hint="eastAsia" w:ascii="黑体" w:hAnsi="黑体" w:eastAsia="黑体" w:cs="黑体"/>
          <w:color w:val="auto"/>
          <w:spacing w:val="-1"/>
          <w:sz w:val="22"/>
          <w:szCs w:val="22"/>
        </w:rPr>
        <w:t>明代理人的姓名或者名称、代理事项、具体权限、期限和相关事项。</w:t>
      </w:r>
    </w:p>
    <w:p w14:paraId="7555524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6" w:firstLineChars="179"/>
        <w:textAlignment w:val="baseline"/>
        <w:rPr>
          <w:rFonts w:hint="eastAsia" w:ascii="黑体" w:hAnsi="黑体" w:eastAsia="黑体" w:cs="黑体"/>
          <w:color w:val="auto"/>
          <w:sz w:val="22"/>
          <w:szCs w:val="22"/>
        </w:rPr>
      </w:pPr>
      <w:r>
        <w:rPr>
          <w:rFonts w:hint="eastAsia" w:ascii="黑体" w:hAnsi="黑体" w:eastAsia="黑体" w:cs="黑体"/>
          <w:color w:val="auto"/>
          <w:spacing w:val="-2"/>
          <w:sz w:val="22"/>
          <w:szCs w:val="22"/>
        </w:rPr>
        <w:t>3.质疑供应商若对项目的某一分包进行质疑，质疑函中应列明具体分包号。</w:t>
      </w:r>
    </w:p>
    <w:p w14:paraId="3CCE36D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3" w:firstLineChars="179"/>
        <w:textAlignment w:val="baseline"/>
        <w:rPr>
          <w:rFonts w:hint="eastAsia" w:ascii="黑体" w:hAnsi="黑体" w:eastAsia="黑体" w:cs="黑体"/>
          <w:color w:val="auto"/>
          <w:spacing w:val="-3"/>
          <w:sz w:val="22"/>
          <w:szCs w:val="22"/>
        </w:rPr>
      </w:pPr>
      <w:r>
        <w:rPr>
          <w:rFonts w:hint="eastAsia" w:ascii="黑体" w:hAnsi="黑体" w:eastAsia="黑体" w:cs="黑体"/>
          <w:color w:val="auto"/>
          <w:spacing w:val="-3"/>
          <w:sz w:val="22"/>
          <w:szCs w:val="22"/>
        </w:rPr>
        <w:t>4.质疑函的质疑事项应具体、明确，并有必要的事实依据和法律依据。</w:t>
      </w:r>
    </w:p>
    <w:p w14:paraId="3CA73D3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6" w:firstLineChars="179"/>
        <w:textAlignment w:val="baseline"/>
        <w:rPr>
          <w:rFonts w:hint="eastAsia" w:ascii="黑体" w:hAnsi="黑体" w:eastAsia="黑体" w:cs="黑体"/>
          <w:color w:val="auto"/>
          <w:sz w:val="22"/>
          <w:szCs w:val="22"/>
        </w:rPr>
      </w:pPr>
      <w:r>
        <w:rPr>
          <w:rFonts w:hint="eastAsia" w:ascii="黑体" w:hAnsi="黑体" w:eastAsia="黑体" w:cs="黑体"/>
          <w:color w:val="auto"/>
          <w:spacing w:val="-2"/>
          <w:sz w:val="22"/>
          <w:szCs w:val="22"/>
        </w:rPr>
        <w:t>5.质疑函的质疑请求应与质疑事项相关。</w:t>
      </w:r>
    </w:p>
    <w:p w14:paraId="623A9234">
      <w:pPr>
        <w:pStyle w:val="6"/>
        <w:keepNext w:val="0"/>
        <w:keepLines w:val="0"/>
        <w:pageBreakBefore w:val="0"/>
        <w:widowControl/>
        <w:kinsoku w:val="0"/>
        <w:wordWrap w:val="0"/>
        <w:overflowPunct/>
        <w:topLinePunct w:val="0"/>
        <w:autoSpaceDE w:val="0"/>
        <w:autoSpaceDN w:val="0"/>
        <w:bidi w:val="0"/>
        <w:adjustRightInd w:val="0"/>
        <w:snapToGrid w:val="0"/>
        <w:spacing w:line="460" w:lineRule="exact"/>
        <w:ind w:left="0" w:leftChars="0" w:right="0" w:firstLine="386" w:firstLineChars="179"/>
        <w:jc w:val="both"/>
        <w:textAlignment w:val="baseline"/>
        <w:rPr>
          <w:rFonts w:hint="eastAsia" w:ascii="黑体" w:hAnsi="黑体" w:eastAsia="黑体" w:cs="黑体"/>
          <w:color w:val="auto"/>
          <w:sz w:val="22"/>
          <w:szCs w:val="22"/>
          <w:lang w:eastAsia="zh-CN"/>
        </w:rPr>
      </w:pPr>
      <w:r>
        <w:rPr>
          <w:rFonts w:hint="eastAsia" w:ascii="黑体" w:hAnsi="黑体" w:eastAsia="黑体" w:cs="黑体"/>
          <w:color w:val="auto"/>
          <w:spacing w:val="-2"/>
          <w:sz w:val="22"/>
          <w:szCs w:val="22"/>
        </w:rPr>
        <w:t>6.质疑供应商为自然人的，质疑函应由本人签字；质疑供应商为法人或者其</w:t>
      </w:r>
      <w:r>
        <w:rPr>
          <w:rFonts w:hint="eastAsia" w:ascii="黑体" w:hAnsi="黑体" w:eastAsia="黑体" w:cs="黑体"/>
          <w:color w:val="auto"/>
          <w:spacing w:val="-7"/>
          <w:sz w:val="22"/>
          <w:szCs w:val="22"/>
        </w:rPr>
        <w:t>他组织的，质疑函应由法定代表人、主要负责人，或</w:t>
      </w:r>
      <w:r>
        <w:rPr>
          <w:rFonts w:hint="eastAsia" w:ascii="黑体" w:hAnsi="黑体" w:eastAsia="黑体" w:cs="黑体"/>
          <w:color w:val="auto"/>
          <w:spacing w:val="-8"/>
          <w:sz w:val="22"/>
          <w:szCs w:val="22"/>
        </w:rPr>
        <w:t>者其授权代表签字或者盖章，</w:t>
      </w:r>
      <w:r>
        <w:rPr>
          <w:rFonts w:hint="eastAsia" w:ascii="黑体" w:hAnsi="黑体" w:eastAsia="黑体" w:cs="黑体"/>
          <w:color w:val="auto"/>
          <w:spacing w:val="-1"/>
          <w:sz w:val="22"/>
          <w:szCs w:val="22"/>
        </w:rPr>
        <w:t>并加盖公章</w:t>
      </w:r>
      <w:r>
        <w:rPr>
          <w:rFonts w:hint="eastAsia" w:ascii="黑体" w:hAnsi="黑体" w:eastAsia="黑体" w:cs="黑体"/>
          <w:color w:val="auto"/>
          <w:spacing w:val="-1"/>
          <w:sz w:val="22"/>
          <w:szCs w:val="22"/>
          <w:lang w:eastAsia="zh-CN"/>
        </w:rPr>
        <w:t>，</w:t>
      </w:r>
      <w:r>
        <w:rPr>
          <w:rFonts w:hint="eastAsia" w:ascii="黑体" w:hAnsi="黑体" w:eastAsia="黑体" w:cs="黑体"/>
          <w:color w:val="auto"/>
          <w:spacing w:val="-1"/>
          <w:sz w:val="22"/>
          <w:szCs w:val="22"/>
          <w:lang w:val="en-US" w:eastAsia="zh-CN"/>
        </w:rPr>
        <w:t>并附有效身份证明文件</w:t>
      </w:r>
      <w:r>
        <w:rPr>
          <w:rFonts w:hint="eastAsia" w:ascii="黑体" w:hAnsi="黑体" w:eastAsia="黑体" w:cs="黑体"/>
          <w:color w:val="auto"/>
          <w:spacing w:val="-1"/>
          <w:sz w:val="22"/>
          <w:szCs w:val="22"/>
          <w:lang w:eastAsia="zh-CN"/>
        </w:rPr>
        <w:t>。</w:t>
      </w:r>
    </w:p>
    <w:p w14:paraId="09FFD347">
      <w:pPr>
        <w:rPr>
          <w:rFonts w:hint="eastAsia" w:ascii="黑体" w:hAnsi="黑体" w:eastAsia="黑体" w:cs="黑体"/>
          <w:b/>
          <w:bCs/>
          <w:color w:val="auto"/>
          <w:spacing w:val="7"/>
        </w:rPr>
      </w:pPr>
      <w:r>
        <w:rPr>
          <w:rFonts w:hint="eastAsia" w:ascii="黑体" w:hAnsi="黑体" w:eastAsia="黑体" w:cs="黑体"/>
          <w:b/>
          <w:bCs/>
          <w:color w:val="auto"/>
          <w:spacing w:val="7"/>
        </w:rPr>
        <w:br w:type="page"/>
      </w:r>
    </w:p>
    <w:p w14:paraId="1F014582">
      <w:pPr>
        <w:pStyle w:val="6"/>
        <w:keepNext w:val="0"/>
        <w:keepLines w:val="0"/>
        <w:pageBreakBefore w:val="0"/>
        <w:widowControl/>
        <w:kinsoku/>
        <w:wordWrap/>
        <w:overflowPunct/>
        <w:topLinePunct w:val="0"/>
        <w:bidi w:val="0"/>
        <w:spacing w:before="167" w:line="460" w:lineRule="exact"/>
        <w:jc w:val="center"/>
        <w:outlineLvl w:val="0"/>
        <w:rPr>
          <w:rFonts w:hint="eastAsia" w:ascii="黑体" w:hAnsi="黑体" w:eastAsia="黑体" w:cs="黑体"/>
          <w:color w:val="auto"/>
        </w:rPr>
      </w:pPr>
      <w:bookmarkStart w:id="21" w:name="_Toc24135"/>
      <w:r>
        <w:rPr>
          <w:rFonts w:hint="eastAsia" w:ascii="黑体" w:hAnsi="黑体" w:eastAsia="黑体" w:cs="黑体"/>
          <w:b/>
          <w:bCs/>
          <w:color w:val="auto"/>
          <w:spacing w:val="7"/>
        </w:rPr>
        <w:t>第2章投标文件格式</w:t>
      </w:r>
      <w:bookmarkEnd w:id="21"/>
    </w:p>
    <w:p w14:paraId="216883FA">
      <w:pPr>
        <w:pStyle w:val="6"/>
        <w:keepNext w:val="0"/>
        <w:keepLines w:val="0"/>
        <w:pageBreakBefore w:val="0"/>
        <w:widowControl/>
        <w:kinsoku/>
        <w:wordWrap/>
        <w:overflowPunct/>
        <w:topLinePunct w:val="0"/>
        <w:bidi w:val="0"/>
        <w:spacing w:before="116" w:line="460" w:lineRule="exact"/>
        <w:jc w:val="center"/>
        <w:outlineLvl w:val="1"/>
        <w:rPr>
          <w:rFonts w:hint="eastAsia" w:ascii="黑体" w:hAnsi="黑体" w:eastAsia="黑体" w:cs="黑体"/>
          <w:color w:val="auto"/>
          <w:sz w:val="28"/>
          <w:szCs w:val="28"/>
        </w:rPr>
      </w:pPr>
      <w:r>
        <w:rPr>
          <w:rFonts w:hint="eastAsia" w:ascii="黑体" w:hAnsi="黑体" w:eastAsia="黑体" w:cs="黑体"/>
          <w:b/>
          <w:bCs/>
          <w:color w:val="auto"/>
          <w:spacing w:val="-1"/>
          <w:sz w:val="28"/>
          <w:szCs w:val="28"/>
        </w:rPr>
        <w:t>第一部分开标一览表及资格证明文件</w:t>
      </w:r>
    </w:p>
    <w:p w14:paraId="44287962">
      <w:pPr>
        <w:pStyle w:val="6"/>
        <w:keepNext w:val="0"/>
        <w:keepLines w:val="0"/>
        <w:pageBreakBefore w:val="0"/>
        <w:widowControl/>
        <w:kinsoku/>
        <w:wordWrap w:val="0"/>
        <w:overflowPunct/>
        <w:topLinePunct w:val="0"/>
        <w:bidi w:val="0"/>
        <w:spacing w:before="36"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4"/>
          <w:sz w:val="24"/>
          <w:szCs w:val="24"/>
        </w:rPr>
        <w:t>1、开标一览表;</w:t>
      </w:r>
    </w:p>
    <w:p w14:paraId="10B7C9B1">
      <w:pPr>
        <w:pStyle w:val="6"/>
        <w:keepNext w:val="0"/>
        <w:keepLines w:val="0"/>
        <w:pageBreakBefore w:val="0"/>
        <w:widowControl/>
        <w:kinsoku/>
        <w:wordWrap w:val="0"/>
        <w:overflowPunct/>
        <w:topLinePunct w:val="0"/>
        <w:bidi w:val="0"/>
        <w:spacing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2"/>
          <w:position w:val="-1"/>
          <w:sz w:val="24"/>
          <w:szCs w:val="24"/>
        </w:rPr>
        <w:t>2、具有有效的营业执照；</w:t>
      </w:r>
    </w:p>
    <w:p w14:paraId="154372C1">
      <w:pPr>
        <w:pStyle w:val="6"/>
        <w:keepNext w:val="0"/>
        <w:keepLines w:val="0"/>
        <w:pageBreakBefore w:val="0"/>
        <w:widowControl/>
        <w:kinsoku/>
        <w:wordWrap w:val="0"/>
        <w:overflowPunct/>
        <w:topLinePunct w:val="0"/>
        <w:bidi w:val="0"/>
        <w:spacing w:before="1" w:line="46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rPr>
        <w:t>3、</w:t>
      </w:r>
      <w:r>
        <w:rPr>
          <w:rFonts w:hint="eastAsia" w:ascii="黑体" w:hAnsi="黑体" w:eastAsia="黑体" w:cs="黑体"/>
          <w:color w:val="auto"/>
          <w:spacing w:val="-1"/>
          <w:sz w:val="24"/>
          <w:szCs w:val="24"/>
          <w:lang w:eastAsia="zh-CN"/>
        </w:rPr>
        <w:t>法定代表人授权书及被委托人身份证（法定代表人投标提供法定代表人身份证明及身份证）；</w:t>
      </w:r>
    </w:p>
    <w:p w14:paraId="19040143">
      <w:pPr>
        <w:pStyle w:val="6"/>
        <w:keepNext w:val="0"/>
        <w:keepLines w:val="0"/>
        <w:pageBreakBefore w:val="0"/>
        <w:widowControl/>
        <w:kinsoku/>
        <w:wordWrap w:val="0"/>
        <w:overflowPunct/>
        <w:topLinePunct w:val="0"/>
        <w:bidi w:val="0"/>
        <w:spacing w:before="3" w:line="46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pacing w:val="-3"/>
          <w:sz w:val="24"/>
          <w:szCs w:val="24"/>
        </w:rPr>
        <w:t>4、</w:t>
      </w:r>
      <w:r>
        <w:rPr>
          <w:rFonts w:hint="eastAsia" w:ascii="黑体" w:hAnsi="黑体" w:eastAsia="黑体" w:cs="黑体"/>
          <w:color w:val="auto"/>
          <w:spacing w:val="-3"/>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56D3755E">
      <w:pPr>
        <w:pStyle w:val="6"/>
        <w:keepNext w:val="0"/>
        <w:keepLines w:val="0"/>
        <w:pageBreakBefore w:val="0"/>
        <w:widowControl/>
        <w:kinsoku w:val="0"/>
        <w:wordWrap w:val="0"/>
        <w:overflowPunct/>
        <w:topLinePunct w:val="0"/>
        <w:autoSpaceDE w:val="0"/>
        <w:autoSpaceDN w:val="0"/>
        <w:bidi w:val="0"/>
        <w:adjustRightInd w:val="0"/>
        <w:snapToGrid w:val="0"/>
        <w:spacing w:before="3" w:line="460" w:lineRule="exact"/>
        <w:ind w:left="0" w:leftChars="0" w:right="119" w:firstLine="0" w:firstLineChars="0"/>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rPr>
        <w:t>5、</w:t>
      </w:r>
      <w:r>
        <w:rPr>
          <w:rFonts w:hint="eastAsia" w:ascii="黑体" w:hAnsi="黑体" w:eastAsia="黑体" w:cs="黑体"/>
          <w:color w:val="auto"/>
          <w:spacing w:val="-2"/>
          <w:sz w:val="24"/>
          <w:szCs w:val="24"/>
          <w:lang w:eastAsia="zh-CN"/>
        </w:rPr>
        <w:t>提供2023年度或2024年度的财务审计报告（新成立未满一年的公司需提供有效的银行资信证明）；</w:t>
      </w:r>
    </w:p>
    <w:p w14:paraId="180CCA09">
      <w:pPr>
        <w:pStyle w:val="6"/>
        <w:keepNext w:val="0"/>
        <w:keepLines w:val="0"/>
        <w:pageBreakBefore w:val="0"/>
        <w:widowControl/>
        <w:kinsoku/>
        <w:wordWrap w:val="0"/>
        <w:overflowPunct/>
        <w:topLinePunct w:val="0"/>
        <w:bidi w:val="0"/>
        <w:spacing w:before="2" w:line="46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rPr>
        <w:t>6、</w:t>
      </w:r>
      <w:r>
        <w:rPr>
          <w:rFonts w:hint="eastAsia" w:ascii="黑体" w:hAnsi="黑体" w:eastAsia="黑体" w:cs="黑体"/>
          <w:color w:val="auto"/>
          <w:spacing w:val="-2"/>
          <w:sz w:val="24"/>
          <w:szCs w:val="24"/>
          <w:lang w:eastAsia="zh-CN"/>
        </w:rPr>
        <w:t>提供依法缴纳公告发布之日起近6个月任意1个月社会保险证明；</w:t>
      </w:r>
    </w:p>
    <w:p w14:paraId="12649AB9">
      <w:pPr>
        <w:pStyle w:val="6"/>
        <w:keepNext w:val="0"/>
        <w:keepLines w:val="0"/>
        <w:pageBreakBefore w:val="0"/>
        <w:widowControl/>
        <w:kinsoku/>
        <w:wordWrap w:val="0"/>
        <w:overflowPunct/>
        <w:topLinePunct w:val="0"/>
        <w:bidi w:val="0"/>
        <w:spacing w:line="46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pacing w:val="-2"/>
          <w:position w:val="-1"/>
          <w:sz w:val="24"/>
          <w:szCs w:val="24"/>
        </w:rPr>
        <w:t>7、</w:t>
      </w:r>
      <w:r>
        <w:rPr>
          <w:rFonts w:hint="eastAsia" w:ascii="黑体" w:hAnsi="黑体" w:eastAsia="黑体" w:cs="黑体"/>
          <w:color w:val="auto"/>
          <w:spacing w:val="-2"/>
          <w:position w:val="-1"/>
          <w:sz w:val="24"/>
          <w:szCs w:val="24"/>
          <w:lang w:eastAsia="zh-CN"/>
        </w:rPr>
        <w:t>提供依法缴纳公告发布之日起近6个月任意1个月的税收证明；</w:t>
      </w:r>
    </w:p>
    <w:p w14:paraId="66FD9FA8">
      <w:pPr>
        <w:pStyle w:val="6"/>
        <w:keepNext w:val="0"/>
        <w:keepLines w:val="0"/>
        <w:pageBreakBefore w:val="0"/>
        <w:widowControl/>
        <w:kinsoku/>
        <w:wordWrap w:val="0"/>
        <w:overflowPunct/>
        <w:topLinePunct w:val="0"/>
        <w:bidi w:val="0"/>
        <w:spacing w:before="2" w:line="460" w:lineRule="exact"/>
        <w:ind w:left="0" w:leftChars="0" w:right="118" w:firstLine="0" w:firstLineChars="0"/>
        <w:rPr>
          <w:rFonts w:hint="eastAsia" w:ascii="黑体" w:hAnsi="黑体" w:eastAsia="黑体" w:cs="黑体"/>
          <w:color w:val="auto"/>
          <w:sz w:val="24"/>
          <w:szCs w:val="24"/>
          <w:lang w:eastAsia="zh-CN"/>
        </w:rPr>
      </w:pPr>
      <w:r>
        <w:rPr>
          <w:rFonts w:hint="eastAsia" w:ascii="黑体" w:hAnsi="黑体" w:eastAsia="黑体" w:cs="黑体"/>
          <w:color w:val="auto"/>
          <w:sz w:val="24"/>
          <w:szCs w:val="24"/>
        </w:rPr>
        <w:t>8、</w:t>
      </w:r>
      <w:r>
        <w:rPr>
          <w:rFonts w:hint="eastAsia" w:ascii="黑体" w:hAnsi="黑体" w:eastAsia="黑体" w:cs="黑体"/>
          <w:color w:val="auto"/>
          <w:sz w:val="24"/>
          <w:szCs w:val="24"/>
          <w:lang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中国政府采购网（http：//www.ccgp.gov.cn/search/cr/）严重违法失信行为记录名单的（尚在处罚期内的），国家企业信用信息公示系统（https：//www.gsxt.gov.cn/）列入经营异常名录信息、列入严重违法失信名单(黑名单)信息，将拒绝其参加本次招标活动；（以采购代理机构或采购人查询为准）</w:t>
      </w:r>
    </w:p>
    <w:p w14:paraId="5A8DD936">
      <w:pPr>
        <w:pStyle w:val="6"/>
        <w:keepNext w:val="0"/>
        <w:keepLines w:val="0"/>
        <w:pageBreakBefore w:val="0"/>
        <w:widowControl/>
        <w:kinsoku/>
        <w:wordWrap w:val="0"/>
        <w:overflowPunct/>
        <w:topLinePunct w:val="0"/>
        <w:bidi w:val="0"/>
        <w:spacing w:before="3" w:line="460" w:lineRule="exact"/>
        <w:ind w:left="0" w:leftChars="0" w:right="118"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9、提供参加政府采购活动前3年内在经营活动中</w:t>
      </w:r>
      <w:r>
        <w:rPr>
          <w:rFonts w:hint="eastAsia" w:ascii="黑体" w:hAnsi="黑体" w:eastAsia="黑体" w:cs="黑体"/>
          <w:color w:val="auto"/>
          <w:spacing w:val="-2"/>
          <w:sz w:val="24"/>
          <w:szCs w:val="24"/>
        </w:rPr>
        <w:t>没有重大违法记录的书面声明；</w:t>
      </w:r>
    </w:p>
    <w:p w14:paraId="5CE49662">
      <w:pPr>
        <w:pStyle w:val="6"/>
        <w:keepNext w:val="0"/>
        <w:keepLines w:val="0"/>
        <w:pageBreakBefore w:val="0"/>
        <w:widowControl/>
        <w:kinsoku/>
        <w:wordWrap w:val="0"/>
        <w:overflowPunct/>
        <w:topLinePunct w:val="0"/>
        <w:bidi w:val="0"/>
        <w:spacing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2"/>
          <w:position w:val="-1"/>
          <w:sz w:val="24"/>
          <w:szCs w:val="24"/>
        </w:rPr>
        <w:t>10、缴纳投标保证金有效凭证；</w:t>
      </w:r>
    </w:p>
    <w:p w14:paraId="0714FFD7">
      <w:pPr>
        <w:pStyle w:val="6"/>
        <w:keepNext w:val="0"/>
        <w:keepLines w:val="0"/>
        <w:pageBreakBefore w:val="0"/>
        <w:widowControl/>
        <w:kinsoku/>
        <w:wordWrap w:val="0"/>
        <w:overflowPunct/>
        <w:topLinePunct w:val="0"/>
        <w:bidi w:val="0"/>
        <w:spacing w:before="2" w:line="460" w:lineRule="exact"/>
        <w:ind w:left="0" w:leftChars="0" w:right="118"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rPr>
        <w:t>11、银行开户许可证复印件或银行基本账户信息(包含：银行账号及开户行</w:t>
      </w:r>
      <w:r>
        <w:rPr>
          <w:rFonts w:hint="eastAsia" w:ascii="黑体" w:hAnsi="黑体" w:eastAsia="黑体" w:cs="黑体"/>
          <w:color w:val="auto"/>
          <w:spacing w:val="-2"/>
          <w:sz w:val="24"/>
          <w:szCs w:val="24"/>
        </w:rPr>
        <w:t>名称</w:t>
      </w:r>
      <w:r>
        <w:rPr>
          <w:rFonts w:hint="eastAsia" w:ascii="黑体" w:hAnsi="黑体" w:eastAsia="黑体" w:cs="黑体"/>
          <w:color w:val="auto"/>
          <w:sz w:val="24"/>
          <w:szCs w:val="24"/>
        </w:rPr>
        <w:t>）；</w:t>
      </w:r>
    </w:p>
    <w:p w14:paraId="1D8F83FE">
      <w:pPr>
        <w:pStyle w:val="6"/>
        <w:keepNext w:val="0"/>
        <w:keepLines w:val="0"/>
        <w:pageBreakBefore w:val="0"/>
        <w:widowControl/>
        <w:kinsoku/>
        <w:wordWrap w:val="0"/>
        <w:overflowPunct/>
        <w:topLinePunct w:val="0"/>
        <w:bidi w:val="0"/>
        <w:spacing w:before="1"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12、供应商可提供有利于投标的其他资格证明</w:t>
      </w:r>
      <w:r>
        <w:rPr>
          <w:rFonts w:hint="eastAsia" w:ascii="黑体" w:hAnsi="黑体" w:eastAsia="黑体" w:cs="黑体"/>
          <w:color w:val="auto"/>
          <w:spacing w:val="-2"/>
          <w:sz w:val="24"/>
          <w:szCs w:val="24"/>
        </w:rPr>
        <w:t>材料。</w:t>
      </w:r>
    </w:p>
    <w:p w14:paraId="35E67DC3">
      <w:pPr>
        <w:rPr>
          <w:rFonts w:hint="eastAsia" w:ascii="黑体" w:hAnsi="黑体" w:eastAsia="黑体" w:cs="黑体"/>
          <w:b/>
          <w:bCs/>
          <w:color w:val="auto"/>
          <w:spacing w:val="-4"/>
          <w:sz w:val="24"/>
          <w:szCs w:val="24"/>
        </w:rPr>
      </w:pPr>
      <w:r>
        <w:rPr>
          <w:rFonts w:hint="eastAsia" w:ascii="黑体" w:hAnsi="黑体" w:eastAsia="黑体" w:cs="黑体"/>
          <w:b/>
          <w:bCs/>
          <w:color w:val="auto"/>
          <w:spacing w:val="-4"/>
          <w:sz w:val="24"/>
          <w:szCs w:val="24"/>
        </w:rPr>
        <w:br w:type="page"/>
      </w:r>
    </w:p>
    <w:p w14:paraId="729CD14B">
      <w:pPr>
        <w:pStyle w:val="6"/>
        <w:keepNext w:val="0"/>
        <w:keepLines w:val="0"/>
        <w:pageBreakBefore w:val="0"/>
        <w:widowControl/>
        <w:kinsoku/>
        <w:wordWrap w:val="0"/>
        <w:overflowPunct/>
        <w:topLinePunct w:val="0"/>
        <w:bidi w:val="0"/>
        <w:spacing w:before="45"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1、开标一览表</w:t>
      </w:r>
    </w:p>
    <w:p w14:paraId="2A592DB6">
      <w:pPr>
        <w:pStyle w:val="6"/>
        <w:keepNext w:val="0"/>
        <w:keepLines w:val="0"/>
        <w:pageBreakBefore w:val="0"/>
        <w:widowControl/>
        <w:kinsoku/>
        <w:wordWrap w:val="0"/>
        <w:overflowPunct/>
        <w:topLinePunct w:val="0"/>
        <w:bidi w:val="0"/>
        <w:spacing w:line="460" w:lineRule="exact"/>
        <w:ind w:left="5459" w:leftChars="0" w:hanging="5459" w:hangingChars="2294"/>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项目名称：</w:t>
      </w:r>
      <w:r>
        <w:rPr>
          <w:rFonts w:hint="eastAsia" w:ascii="黑体" w:hAnsi="黑体" w:eastAsia="黑体" w:cs="黑体"/>
          <w:color w:val="auto"/>
          <w:spacing w:val="-1"/>
          <w:sz w:val="24"/>
          <w:szCs w:val="24"/>
          <w:lang w:val="en-US" w:eastAsia="zh-CN"/>
        </w:rPr>
        <w:t xml:space="preserve">                                                        </w:t>
      </w:r>
      <w:r>
        <w:rPr>
          <w:rFonts w:hint="eastAsia" w:ascii="黑体" w:hAnsi="黑体" w:eastAsia="黑体" w:cs="黑体"/>
          <w:color w:val="auto"/>
          <w:spacing w:val="-1"/>
          <w:sz w:val="24"/>
          <w:szCs w:val="24"/>
        </w:rPr>
        <w:t>项目编号：</w:t>
      </w:r>
    </w:p>
    <w:p w14:paraId="449FCB8C">
      <w:pPr>
        <w:pStyle w:val="6"/>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4"/>
          <w:szCs w:val="24"/>
        </w:rPr>
      </w:pPr>
      <w:r>
        <w:rPr>
          <w:rFonts w:hint="eastAsia" w:ascii="黑体" w:hAnsi="黑体" w:eastAsia="黑体" w:cs="黑体"/>
          <w:color w:val="auto"/>
          <w:spacing w:val="-1"/>
          <w:position w:val="-1"/>
          <w:sz w:val="24"/>
          <w:szCs w:val="24"/>
        </w:rPr>
        <w:t>报价单位：人民币</w:t>
      </w:r>
      <w:r>
        <w:rPr>
          <w:rFonts w:hint="eastAsia" w:ascii="黑体" w:hAnsi="黑体" w:eastAsia="黑体" w:cs="黑体"/>
          <w:b/>
          <w:bCs/>
          <w:color w:val="auto"/>
          <w:spacing w:val="-1"/>
          <w:position w:val="-1"/>
          <w:sz w:val="24"/>
          <w:szCs w:val="24"/>
        </w:rPr>
        <w:t>元</w:t>
      </w:r>
      <w:r>
        <w:rPr>
          <w:rFonts w:hint="eastAsia" w:ascii="黑体" w:hAnsi="黑体" w:eastAsia="黑体" w:cs="黑体"/>
          <w:b/>
          <w:bCs/>
          <w:color w:val="auto"/>
          <w:spacing w:val="-1"/>
          <w:position w:val="-1"/>
          <w:sz w:val="24"/>
          <w:szCs w:val="24"/>
          <w:lang w:val="en-US" w:eastAsia="zh-CN"/>
        </w:rPr>
        <w:t xml:space="preserve">                                                         </w:t>
      </w:r>
    </w:p>
    <w:tbl>
      <w:tblPr>
        <w:tblStyle w:val="16"/>
        <w:tblW w:w="9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2461"/>
        <w:gridCol w:w="1580"/>
        <w:gridCol w:w="1483"/>
        <w:gridCol w:w="1230"/>
        <w:gridCol w:w="962"/>
      </w:tblGrid>
      <w:tr w14:paraId="5CE36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421" w:type="dxa"/>
            <w:vAlign w:val="top"/>
          </w:tcPr>
          <w:p w14:paraId="16BA2CC9">
            <w:pPr>
              <w:keepNext w:val="0"/>
              <w:keepLines w:val="0"/>
              <w:pageBreakBefore w:val="0"/>
              <w:widowControl/>
              <w:kinsoku/>
              <w:wordWrap w:val="0"/>
              <w:overflowPunct/>
              <w:topLinePunct w:val="0"/>
              <w:bidi w:val="0"/>
              <w:spacing w:before="252" w:line="460" w:lineRule="exact"/>
              <w:ind w:left="330"/>
              <w:rPr>
                <w:rFonts w:hint="eastAsia" w:ascii="黑体" w:hAnsi="黑体" w:eastAsia="黑体" w:cs="黑体"/>
                <w:color w:val="auto"/>
                <w:sz w:val="24"/>
                <w:szCs w:val="24"/>
              </w:rPr>
            </w:pPr>
            <w:r>
              <w:rPr>
                <w:rFonts w:hint="eastAsia" w:ascii="黑体" w:hAnsi="黑体" w:eastAsia="黑体" w:cs="黑体"/>
                <w:color w:val="auto"/>
                <w:spacing w:val="-1"/>
                <w:sz w:val="24"/>
                <w:szCs w:val="24"/>
              </w:rPr>
              <w:t>标项名称</w:t>
            </w:r>
          </w:p>
        </w:tc>
        <w:tc>
          <w:tcPr>
            <w:tcW w:w="2461" w:type="dxa"/>
            <w:vAlign w:val="top"/>
          </w:tcPr>
          <w:p w14:paraId="26FE8D4D">
            <w:pPr>
              <w:keepNext w:val="0"/>
              <w:keepLines w:val="0"/>
              <w:pageBreakBefore w:val="0"/>
              <w:widowControl/>
              <w:kinsoku/>
              <w:wordWrap w:val="0"/>
              <w:overflowPunct/>
              <w:topLinePunct w:val="0"/>
              <w:bidi w:val="0"/>
              <w:spacing w:before="252" w:line="460" w:lineRule="exact"/>
              <w:ind w:left="752"/>
              <w:rPr>
                <w:rFonts w:hint="eastAsia" w:ascii="黑体" w:hAnsi="黑体" w:eastAsia="黑体" w:cs="黑体"/>
                <w:color w:val="auto"/>
                <w:sz w:val="24"/>
                <w:szCs w:val="24"/>
              </w:rPr>
            </w:pPr>
            <w:r>
              <w:rPr>
                <w:rFonts w:hint="eastAsia" w:ascii="黑体" w:hAnsi="黑体" w:eastAsia="黑体" w:cs="黑体"/>
                <w:color w:val="auto"/>
                <w:spacing w:val="-1"/>
                <w:sz w:val="24"/>
                <w:szCs w:val="24"/>
              </w:rPr>
              <w:t>投标总价</w:t>
            </w:r>
          </w:p>
        </w:tc>
        <w:tc>
          <w:tcPr>
            <w:tcW w:w="1580" w:type="dxa"/>
            <w:vAlign w:val="top"/>
          </w:tcPr>
          <w:p w14:paraId="6D14F50F">
            <w:pPr>
              <w:keepNext w:val="0"/>
              <w:keepLines w:val="0"/>
              <w:pageBreakBefore w:val="0"/>
              <w:widowControl/>
              <w:kinsoku/>
              <w:wordWrap w:val="0"/>
              <w:overflowPunct/>
              <w:topLinePunct w:val="0"/>
              <w:bidi w:val="0"/>
              <w:spacing w:before="253" w:line="460" w:lineRule="exact"/>
              <w:ind w:left="191"/>
              <w:rPr>
                <w:rFonts w:hint="eastAsia" w:ascii="黑体" w:hAnsi="黑体" w:eastAsia="黑体" w:cs="黑体"/>
                <w:color w:val="auto"/>
                <w:sz w:val="24"/>
                <w:szCs w:val="24"/>
              </w:rPr>
            </w:pPr>
            <w:r>
              <w:rPr>
                <w:rFonts w:hint="eastAsia" w:ascii="黑体" w:hAnsi="黑体" w:eastAsia="黑体" w:cs="黑体"/>
                <w:color w:val="auto"/>
                <w:spacing w:val="-1"/>
                <w:sz w:val="24"/>
                <w:szCs w:val="24"/>
              </w:rPr>
              <w:t>投标保证金</w:t>
            </w:r>
          </w:p>
        </w:tc>
        <w:tc>
          <w:tcPr>
            <w:tcW w:w="1483" w:type="dxa"/>
            <w:vAlign w:val="top"/>
          </w:tcPr>
          <w:p w14:paraId="55F98A00">
            <w:pPr>
              <w:keepNext w:val="0"/>
              <w:keepLines w:val="0"/>
              <w:pageBreakBefore w:val="0"/>
              <w:widowControl/>
              <w:kinsoku/>
              <w:wordWrap w:val="0"/>
              <w:overflowPunct/>
              <w:topLinePunct w:val="0"/>
              <w:bidi w:val="0"/>
              <w:spacing w:before="252" w:line="460" w:lineRule="exact"/>
              <w:ind w:left="387"/>
              <w:rPr>
                <w:rFonts w:hint="eastAsia" w:ascii="黑体" w:hAnsi="黑体" w:eastAsia="黑体" w:cs="黑体"/>
                <w:color w:val="auto"/>
                <w:sz w:val="24"/>
                <w:szCs w:val="24"/>
              </w:rPr>
            </w:pPr>
            <w:r>
              <w:rPr>
                <w:rFonts w:hint="eastAsia" w:ascii="黑体" w:hAnsi="黑体" w:eastAsia="黑体" w:cs="黑体"/>
                <w:color w:val="auto"/>
                <w:spacing w:val="-2"/>
                <w:sz w:val="24"/>
                <w:szCs w:val="24"/>
              </w:rPr>
              <w:t>交货期</w:t>
            </w:r>
          </w:p>
        </w:tc>
        <w:tc>
          <w:tcPr>
            <w:tcW w:w="1230" w:type="dxa"/>
            <w:vAlign w:val="top"/>
          </w:tcPr>
          <w:p w14:paraId="031A2D48">
            <w:pPr>
              <w:keepNext w:val="0"/>
              <w:keepLines w:val="0"/>
              <w:pageBreakBefore w:val="0"/>
              <w:widowControl/>
              <w:kinsoku/>
              <w:wordWrap w:val="0"/>
              <w:overflowPunct/>
              <w:topLinePunct w:val="0"/>
              <w:bidi w:val="0"/>
              <w:spacing w:before="252" w:line="460" w:lineRule="exact"/>
              <w:ind w:left="141"/>
              <w:rPr>
                <w:rFonts w:hint="eastAsia" w:ascii="黑体" w:hAnsi="黑体" w:eastAsia="黑体" w:cs="黑体"/>
                <w:color w:val="auto"/>
                <w:sz w:val="24"/>
                <w:szCs w:val="24"/>
              </w:rPr>
            </w:pPr>
            <w:r>
              <w:rPr>
                <w:rFonts w:hint="eastAsia" w:ascii="黑体" w:hAnsi="黑体" w:eastAsia="黑体" w:cs="黑体"/>
                <w:color w:val="auto"/>
                <w:spacing w:val="-2"/>
                <w:sz w:val="24"/>
                <w:szCs w:val="24"/>
              </w:rPr>
              <w:t>交货地点</w:t>
            </w:r>
          </w:p>
        </w:tc>
        <w:tc>
          <w:tcPr>
            <w:tcW w:w="962" w:type="dxa"/>
            <w:vAlign w:val="top"/>
          </w:tcPr>
          <w:p w14:paraId="3622C1B4">
            <w:pPr>
              <w:keepNext w:val="0"/>
              <w:keepLines w:val="0"/>
              <w:pageBreakBefore w:val="0"/>
              <w:widowControl/>
              <w:kinsoku/>
              <w:wordWrap w:val="0"/>
              <w:overflowPunct/>
              <w:topLinePunct w:val="0"/>
              <w:bidi w:val="0"/>
              <w:spacing w:before="250" w:line="460" w:lineRule="exact"/>
              <w:ind w:left="240"/>
              <w:rPr>
                <w:rFonts w:hint="eastAsia" w:ascii="黑体" w:hAnsi="黑体" w:eastAsia="黑体" w:cs="黑体"/>
                <w:color w:val="auto"/>
                <w:sz w:val="24"/>
                <w:szCs w:val="24"/>
              </w:rPr>
            </w:pPr>
            <w:r>
              <w:rPr>
                <w:rFonts w:hint="eastAsia" w:ascii="黑体" w:hAnsi="黑体" w:eastAsia="黑体" w:cs="黑体"/>
                <w:color w:val="auto"/>
                <w:spacing w:val="-1"/>
                <w:sz w:val="24"/>
                <w:szCs w:val="24"/>
              </w:rPr>
              <w:t>备注</w:t>
            </w:r>
          </w:p>
        </w:tc>
      </w:tr>
      <w:tr w14:paraId="47AE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5" w:hRule="atLeast"/>
        </w:trPr>
        <w:tc>
          <w:tcPr>
            <w:tcW w:w="1421" w:type="dxa"/>
            <w:vAlign w:val="top"/>
          </w:tcPr>
          <w:p w14:paraId="0576E16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tc>
        <w:tc>
          <w:tcPr>
            <w:tcW w:w="2461" w:type="dxa"/>
            <w:vAlign w:val="top"/>
          </w:tcPr>
          <w:p w14:paraId="7C0189F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5498C57">
            <w:pPr>
              <w:keepNext w:val="0"/>
              <w:keepLines w:val="0"/>
              <w:pageBreakBefore w:val="0"/>
              <w:widowControl/>
              <w:kinsoku/>
              <w:wordWrap w:val="0"/>
              <w:overflowPunct/>
              <w:topLinePunct w:val="0"/>
              <w:bidi w:val="0"/>
              <w:spacing w:before="103" w:line="460" w:lineRule="exact"/>
              <w:ind w:left="3"/>
              <w:rPr>
                <w:rFonts w:hint="eastAsia" w:ascii="黑体" w:hAnsi="黑体" w:eastAsia="黑体" w:cs="黑体"/>
                <w:color w:val="auto"/>
                <w:sz w:val="24"/>
                <w:szCs w:val="24"/>
              </w:rPr>
            </w:pPr>
            <w:r>
              <w:rPr>
                <w:rFonts w:hint="eastAsia" w:ascii="黑体" w:hAnsi="黑体" w:eastAsia="黑体" w:cs="黑体"/>
                <w:color w:val="auto"/>
                <w:spacing w:val="-2"/>
                <w:sz w:val="24"/>
                <w:szCs w:val="24"/>
              </w:rPr>
              <w:t>大写：</w:t>
            </w:r>
          </w:p>
          <w:p w14:paraId="7B90EEA1">
            <w:pPr>
              <w:keepNext w:val="0"/>
              <w:keepLines w:val="0"/>
              <w:pageBreakBefore w:val="0"/>
              <w:widowControl/>
              <w:kinsoku/>
              <w:wordWrap w:val="0"/>
              <w:overflowPunct/>
              <w:topLinePunct w:val="0"/>
              <w:bidi w:val="0"/>
              <w:spacing w:before="1" w:line="460" w:lineRule="exact"/>
              <w:ind w:left="4"/>
              <w:rPr>
                <w:rFonts w:hint="eastAsia" w:ascii="黑体" w:hAnsi="黑体" w:eastAsia="黑体" w:cs="黑体"/>
                <w:color w:val="auto"/>
                <w:spacing w:val="-2"/>
                <w:sz w:val="24"/>
                <w:szCs w:val="24"/>
              </w:rPr>
            </w:pPr>
          </w:p>
          <w:p w14:paraId="4963EF12">
            <w:pPr>
              <w:keepNext w:val="0"/>
              <w:keepLines w:val="0"/>
              <w:pageBreakBefore w:val="0"/>
              <w:widowControl/>
              <w:kinsoku/>
              <w:wordWrap w:val="0"/>
              <w:overflowPunct/>
              <w:topLinePunct w:val="0"/>
              <w:bidi w:val="0"/>
              <w:spacing w:before="1" w:line="460" w:lineRule="exact"/>
              <w:ind w:left="4"/>
              <w:rPr>
                <w:rFonts w:hint="eastAsia" w:ascii="黑体" w:hAnsi="黑体" w:eastAsia="黑体" w:cs="黑体"/>
                <w:color w:val="auto"/>
                <w:spacing w:val="-2"/>
                <w:sz w:val="24"/>
                <w:szCs w:val="24"/>
              </w:rPr>
            </w:pPr>
          </w:p>
          <w:p w14:paraId="230FCDAC">
            <w:pPr>
              <w:keepNext w:val="0"/>
              <w:keepLines w:val="0"/>
              <w:pageBreakBefore w:val="0"/>
              <w:widowControl/>
              <w:kinsoku/>
              <w:wordWrap w:val="0"/>
              <w:overflowPunct/>
              <w:topLinePunct w:val="0"/>
              <w:bidi w:val="0"/>
              <w:spacing w:before="1" w:line="460" w:lineRule="exact"/>
              <w:ind w:left="4"/>
              <w:rPr>
                <w:rFonts w:hint="eastAsia" w:ascii="黑体" w:hAnsi="黑体" w:eastAsia="黑体" w:cs="黑体"/>
                <w:color w:val="auto"/>
                <w:spacing w:val="-2"/>
                <w:sz w:val="24"/>
                <w:szCs w:val="24"/>
              </w:rPr>
            </w:pPr>
          </w:p>
          <w:p w14:paraId="0B8DC66F">
            <w:pPr>
              <w:keepNext w:val="0"/>
              <w:keepLines w:val="0"/>
              <w:pageBreakBefore w:val="0"/>
              <w:widowControl/>
              <w:kinsoku/>
              <w:wordWrap w:val="0"/>
              <w:overflowPunct/>
              <w:topLinePunct w:val="0"/>
              <w:bidi w:val="0"/>
              <w:spacing w:before="1" w:line="460" w:lineRule="exact"/>
              <w:ind w:left="4"/>
              <w:rPr>
                <w:rFonts w:hint="eastAsia" w:ascii="黑体" w:hAnsi="黑体" w:eastAsia="黑体" w:cs="黑体"/>
                <w:color w:val="auto"/>
                <w:spacing w:val="-2"/>
                <w:sz w:val="24"/>
                <w:szCs w:val="24"/>
              </w:rPr>
            </w:pPr>
          </w:p>
          <w:p w14:paraId="4657C283">
            <w:pPr>
              <w:keepNext w:val="0"/>
              <w:keepLines w:val="0"/>
              <w:pageBreakBefore w:val="0"/>
              <w:widowControl/>
              <w:kinsoku/>
              <w:wordWrap w:val="0"/>
              <w:overflowPunct/>
              <w:topLinePunct w:val="0"/>
              <w:bidi w:val="0"/>
              <w:spacing w:before="1" w:line="460" w:lineRule="exact"/>
              <w:ind w:left="4"/>
              <w:rPr>
                <w:rFonts w:hint="eastAsia" w:ascii="黑体" w:hAnsi="黑体" w:eastAsia="黑体" w:cs="黑体"/>
                <w:color w:val="auto"/>
                <w:sz w:val="24"/>
                <w:szCs w:val="24"/>
              </w:rPr>
            </w:pPr>
            <w:r>
              <w:rPr>
                <w:rFonts w:hint="eastAsia" w:ascii="黑体" w:hAnsi="黑体" w:eastAsia="黑体" w:cs="黑体"/>
                <w:color w:val="auto"/>
                <w:spacing w:val="-2"/>
                <w:sz w:val="24"/>
                <w:szCs w:val="24"/>
              </w:rPr>
              <w:t>小写：</w:t>
            </w:r>
          </w:p>
        </w:tc>
        <w:tc>
          <w:tcPr>
            <w:tcW w:w="1580" w:type="dxa"/>
            <w:vAlign w:val="top"/>
          </w:tcPr>
          <w:p w14:paraId="53DA2F1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tc>
        <w:tc>
          <w:tcPr>
            <w:tcW w:w="1483" w:type="dxa"/>
            <w:vAlign w:val="top"/>
          </w:tcPr>
          <w:p w14:paraId="7BE9AB7C">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tc>
        <w:tc>
          <w:tcPr>
            <w:tcW w:w="1230" w:type="dxa"/>
            <w:vAlign w:val="top"/>
          </w:tcPr>
          <w:p w14:paraId="5B25E35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tc>
        <w:tc>
          <w:tcPr>
            <w:tcW w:w="962" w:type="dxa"/>
            <w:vAlign w:val="top"/>
          </w:tcPr>
          <w:p w14:paraId="53E58CB4">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tc>
      </w:tr>
    </w:tbl>
    <w:p w14:paraId="5C9D1788">
      <w:pPr>
        <w:pStyle w:val="6"/>
        <w:keepNext w:val="0"/>
        <w:keepLines w:val="0"/>
        <w:pageBreakBefore w:val="0"/>
        <w:widowControl/>
        <w:kinsoku/>
        <w:wordWrap w:val="0"/>
        <w:overflowPunct/>
        <w:topLinePunct w:val="0"/>
        <w:bidi w:val="0"/>
        <w:spacing w:before="103"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2"/>
          <w:sz w:val="24"/>
          <w:szCs w:val="24"/>
        </w:rPr>
        <w:t>）：</w:t>
      </w:r>
    </w:p>
    <w:p w14:paraId="47EEC67F">
      <w:pPr>
        <w:pStyle w:val="6"/>
        <w:keepNext w:val="0"/>
        <w:keepLines w:val="0"/>
        <w:pageBreakBefore w:val="0"/>
        <w:widowControl/>
        <w:kinsoku/>
        <w:wordWrap w:val="0"/>
        <w:overflowPunct/>
        <w:topLinePunct w:val="0"/>
        <w:bidi w:val="0"/>
        <w:spacing w:before="1" w:line="46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rPr>
        <w:t>法定代表人或委托代理人(签</w:t>
      </w:r>
      <w:r>
        <w:rPr>
          <w:rFonts w:hint="eastAsia" w:ascii="黑体" w:hAnsi="黑体" w:eastAsia="黑体" w:cs="黑体"/>
          <w:color w:val="auto"/>
          <w:spacing w:val="-1"/>
          <w:sz w:val="24"/>
          <w:szCs w:val="24"/>
          <w:lang w:val="en-US" w:eastAsia="zh-CN"/>
        </w:rPr>
        <w:t>字或盖</w:t>
      </w:r>
      <w:r>
        <w:rPr>
          <w:rFonts w:hint="eastAsia" w:ascii="黑体" w:hAnsi="黑体" w:eastAsia="黑体" w:cs="黑体"/>
          <w:color w:val="auto"/>
          <w:spacing w:val="-1"/>
          <w:sz w:val="24"/>
          <w:szCs w:val="24"/>
        </w:rPr>
        <w:t>章)</w:t>
      </w:r>
      <w:r>
        <w:rPr>
          <w:rFonts w:hint="eastAsia" w:ascii="黑体" w:hAnsi="黑体" w:eastAsia="黑体" w:cs="黑体"/>
          <w:color w:val="auto"/>
          <w:spacing w:val="-1"/>
          <w:sz w:val="24"/>
          <w:szCs w:val="24"/>
          <w:lang w:eastAsia="zh-CN"/>
        </w:rPr>
        <w:t>：</w:t>
      </w:r>
    </w:p>
    <w:p w14:paraId="6A0EBCBE">
      <w:pPr>
        <w:pStyle w:val="6"/>
        <w:keepNext w:val="0"/>
        <w:keepLines w:val="0"/>
        <w:pageBreakBefore w:val="0"/>
        <w:widowControl/>
        <w:kinsoku/>
        <w:wordWrap w:val="0"/>
        <w:overflowPunct/>
        <w:topLinePunct w:val="0"/>
        <w:bidi w:val="0"/>
        <w:spacing w:before="104"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注</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rPr>
        <w:t>1、此表应按供应商须知的规定上传。</w:t>
      </w:r>
    </w:p>
    <w:p w14:paraId="2B7D7F75">
      <w:pPr>
        <w:pStyle w:val="6"/>
        <w:keepNext w:val="0"/>
        <w:keepLines w:val="0"/>
        <w:pageBreakBefore w:val="0"/>
        <w:widowControl/>
        <w:kinsoku/>
        <w:wordWrap w:val="0"/>
        <w:overflowPunct/>
        <w:topLinePunct w:val="0"/>
        <w:bidi w:val="0"/>
        <w:spacing w:before="85"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2"/>
          <w:sz w:val="24"/>
          <w:szCs w:val="24"/>
        </w:rPr>
        <w:t>2、此表中，投标总价应和投标分项报价表的总价相一致。</w:t>
      </w:r>
    </w:p>
    <w:p w14:paraId="00C04610">
      <w:pPr>
        <w:pStyle w:val="6"/>
        <w:keepNext w:val="0"/>
        <w:keepLines w:val="0"/>
        <w:pageBreakBefore w:val="0"/>
        <w:widowControl/>
        <w:kinsoku/>
        <w:wordWrap w:val="0"/>
        <w:overflowPunct/>
        <w:topLinePunct w:val="0"/>
        <w:bidi w:val="0"/>
        <w:spacing w:before="1"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3、投标商报价时包含税费等一切与本次项目相关的费用。</w:t>
      </w:r>
    </w:p>
    <w:p w14:paraId="6EDF823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56EF1C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826D5A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657EBDD">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611839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5F4122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F97E09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A4D5495">
      <w:pPr>
        <w:pStyle w:val="6"/>
        <w:keepNext w:val="0"/>
        <w:keepLines w:val="0"/>
        <w:pageBreakBefore w:val="0"/>
        <w:widowControl/>
        <w:kinsoku/>
        <w:wordWrap w:val="0"/>
        <w:overflowPunct/>
        <w:topLinePunct w:val="0"/>
        <w:bidi w:val="0"/>
        <w:spacing w:before="103" w:line="460" w:lineRule="exact"/>
        <w:ind w:left="78"/>
        <w:jc w:val="center"/>
        <w:outlineLvl w:val="1"/>
        <w:rPr>
          <w:rFonts w:hint="eastAsia" w:ascii="黑体" w:hAnsi="黑体" w:eastAsia="黑体" w:cs="黑体"/>
          <w:b/>
          <w:bCs/>
          <w:color w:val="auto"/>
          <w:spacing w:val="-2"/>
          <w:sz w:val="24"/>
          <w:szCs w:val="24"/>
        </w:rPr>
      </w:pPr>
    </w:p>
    <w:p w14:paraId="2A124F3A">
      <w:pPr>
        <w:pStyle w:val="6"/>
        <w:keepNext w:val="0"/>
        <w:keepLines w:val="0"/>
        <w:pageBreakBefore w:val="0"/>
        <w:widowControl/>
        <w:kinsoku/>
        <w:wordWrap w:val="0"/>
        <w:overflowPunct/>
        <w:topLinePunct w:val="0"/>
        <w:bidi w:val="0"/>
        <w:spacing w:before="103" w:line="460" w:lineRule="exact"/>
        <w:ind w:left="78"/>
        <w:jc w:val="center"/>
        <w:outlineLvl w:val="1"/>
        <w:rPr>
          <w:rFonts w:hint="eastAsia" w:ascii="黑体" w:hAnsi="黑体" w:eastAsia="黑体" w:cs="黑体"/>
          <w:b/>
          <w:bCs/>
          <w:color w:val="auto"/>
          <w:spacing w:val="-2"/>
          <w:sz w:val="24"/>
          <w:szCs w:val="24"/>
        </w:rPr>
      </w:pPr>
    </w:p>
    <w:p w14:paraId="48BDC33C">
      <w:pPr>
        <w:pStyle w:val="6"/>
        <w:keepNext w:val="0"/>
        <w:keepLines w:val="0"/>
        <w:pageBreakBefore w:val="0"/>
        <w:widowControl/>
        <w:kinsoku/>
        <w:wordWrap w:val="0"/>
        <w:overflowPunct/>
        <w:topLinePunct w:val="0"/>
        <w:bidi w:val="0"/>
        <w:spacing w:before="103" w:line="460" w:lineRule="exact"/>
        <w:ind w:left="78"/>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2、具有有效的营业执照；</w:t>
      </w:r>
    </w:p>
    <w:p w14:paraId="1752087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DEDBED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1916417">
      <w:pPr>
        <w:pStyle w:val="6"/>
        <w:keepNext w:val="0"/>
        <w:keepLines w:val="0"/>
        <w:pageBreakBefore w:val="0"/>
        <w:widowControl/>
        <w:kinsoku/>
        <w:wordWrap w:val="0"/>
        <w:overflowPunct/>
        <w:topLinePunct w:val="0"/>
        <w:bidi w:val="0"/>
        <w:spacing w:before="105" w:line="460" w:lineRule="exact"/>
        <w:ind w:left="30"/>
        <w:outlineLvl w:val="9"/>
        <w:rPr>
          <w:rFonts w:hint="eastAsia" w:ascii="黑体" w:hAnsi="黑体" w:eastAsia="黑体" w:cs="黑体"/>
          <w:b/>
          <w:bCs/>
          <w:color w:val="auto"/>
          <w:spacing w:val="-1"/>
          <w:sz w:val="24"/>
          <w:szCs w:val="24"/>
        </w:rPr>
      </w:pPr>
    </w:p>
    <w:p w14:paraId="37B2083B">
      <w:pPr>
        <w:pStyle w:val="6"/>
        <w:keepNext w:val="0"/>
        <w:keepLines w:val="0"/>
        <w:pageBreakBefore w:val="0"/>
        <w:widowControl/>
        <w:kinsoku/>
        <w:wordWrap w:val="0"/>
        <w:overflowPunct/>
        <w:topLinePunct w:val="0"/>
        <w:bidi w:val="0"/>
        <w:spacing w:before="105" w:line="460" w:lineRule="exact"/>
        <w:ind w:left="30"/>
        <w:outlineLvl w:val="9"/>
        <w:rPr>
          <w:rFonts w:hint="eastAsia" w:ascii="黑体" w:hAnsi="黑体" w:eastAsia="黑体" w:cs="黑体"/>
          <w:b/>
          <w:bCs/>
          <w:color w:val="auto"/>
          <w:spacing w:val="-1"/>
          <w:sz w:val="24"/>
          <w:szCs w:val="24"/>
        </w:rPr>
      </w:pPr>
    </w:p>
    <w:p w14:paraId="18317443">
      <w:pPr>
        <w:pStyle w:val="6"/>
        <w:keepNext w:val="0"/>
        <w:keepLines w:val="0"/>
        <w:pageBreakBefore w:val="0"/>
        <w:widowControl/>
        <w:kinsoku/>
        <w:wordWrap w:val="0"/>
        <w:overflowPunct/>
        <w:topLinePunct w:val="0"/>
        <w:bidi w:val="0"/>
        <w:spacing w:before="105" w:line="460" w:lineRule="exact"/>
        <w:ind w:left="30"/>
        <w:outlineLvl w:val="9"/>
        <w:rPr>
          <w:rFonts w:hint="eastAsia" w:ascii="黑体" w:hAnsi="黑体" w:eastAsia="黑体" w:cs="黑体"/>
          <w:b/>
          <w:bCs/>
          <w:color w:val="auto"/>
          <w:spacing w:val="-1"/>
          <w:sz w:val="24"/>
          <w:szCs w:val="24"/>
        </w:rPr>
      </w:pPr>
    </w:p>
    <w:p w14:paraId="6A522C0F">
      <w:pPr>
        <w:keepNext w:val="0"/>
        <w:keepLines w:val="0"/>
        <w:pageBreakBefore w:val="0"/>
        <w:widowControl/>
        <w:overflowPunct/>
        <w:topLinePunct w:val="0"/>
        <w:bidi w:val="0"/>
        <w:spacing w:line="460" w:lineRule="exact"/>
        <w:rPr>
          <w:rFonts w:hint="eastAsia" w:ascii="黑体" w:hAnsi="黑体" w:eastAsia="黑体" w:cs="黑体"/>
          <w:b/>
          <w:bCs/>
          <w:color w:val="auto"/>
          <w:spacing w:val="-1"/>
          <w:sz w:val="24"/>
          <w:szCs w:val="24"/>
        </w:rPr>
      </w:pPr>
      <w:bookmarkStart w:id="22" w:name="bookmark12"/>
      <w:bookmarkEnd w:id="22"/>
      <w:bookmarkStart w:id="23" w:name="bookmark20"/>
      <w:bookmarkEnd w:id="23"/>
      <w:bookmarkStart w:id="24" w:name="bookmark16"/>
      <w:bookmarkEnd w:id="24"/>
      <w:bookmarkStart w:id="25" w:name="bookmark14"/>
      <w:bookmarkEnd w:id="25"/>
      <w:r>
        <w:rPr>
          <w:rFonts w:hint="eastAsia" w:ascii="黑体" w:hAnsi="黑体" w:eastAsia="黑体" w:cs="黑体"/>
          <w:b/>
          <w:bCs/>
          <w:color w:val="auto"/>
          <w:spacing w:val="-1"/>
          <w:sz w:val="24"/>
          <w:szCs w:val="24"/>
        </w:rPr>
        <w:br w:type="page"/>
      </w:r>
    </w:p>
    <w:p w14:paraId="056FEB1A">
      <w:pPr>
        <w:pStyle w:val="6"/>
        <w:keepNext w:val="0"/>
        <w:keepLines w:val="0"/>
        <w:pageBreakBefore w:val="0"/>
        <w:widowControl/>
        <w:numPr>
          <w:ilvl w:val="0"/>
          <w:numId w:val="0"/>
        </w:numPr>
        <w:kinsoku/>
        <w:wordWrap w:val="0"/>
        <w:overflowPunct/>
        <w:topLinePunct w:val="0"/>
        <w:bidi w:val="0"/>
        <w:spacing w:before="105" w:line="460" w:lineRule="exact"/>
        <w:ind w:firstLine="239" w:firstLineChars="100"/>
        <w:jc w:val="center"/>
        <w:outlineLvl w:val="1"/>
        <w:rPr>
          <w:rFonts w:hint="eastAsia" w:ascii="黑体" w:hAnsi="黑体" w:eastAsia="黑体" w:cs="黑体"/>
          <w:b/>
          <w:bCs/>
          <w:color w:val="auto"/>
          <w:spacing w:val="-1"/>
          <w:sz w:val="24"/>
          <w:szCs w:val="24"/>
          <w:lang w:eastAsia="zh-CN"/>
        </w:rPr>
      </w:pPr>
      <w:r>
        <w:rPr>
          <w:rFonts w:hint="eastAsia" w:ascii="黑体" w:hAnsi="黑体" w:eastAsia="黑体" w:cs="黑体"/>
          <w:b/>
          <w:bCs/>
          <w:snapToGrid w:val="0"/>
          <w:color w:val="auto"/>
          <w:spacing w:val="-1"/>
          <w:kern w:val="0"/>
          <w:sz w:val="24"/>
          <w:szCs w:val="24"/>
          <w:lang w:val="en-US" w:eastAsia="en-US" w:bidi="ar-SA"/>
        </w:rPr>
        <w:t>3、</w:t>
      </w:r>
      <w:r>
        <w:rPr>
          <w:rFonts w:hint="eastAsia" w:ascii="黑体" w:hAnsi="黑体" w:eastAsia="黑体" w:cs="黑体"/>
          <w:b/>
          <w:bCs/>
          <w:color w:val="auto"/>
          <w:spacing w:val="-1"/>
          <w:sz w:val="24"/>
          <w:szCs w:val="24"/>
          <w:lang w:eastAsia="zh-CN"/>
        </w:rPr>
        <w:t>法定代表人授权书及被委托人身份证（法定代表人投标提供法定代表人身份证明及身份证）；</w:t>
      </w:r>
    </w:p>
    <w:p w14:paraId="39F51ACE">
      <w:pPr>
        <w:pStyle w:val="6"/>
        <w:keepNext w:val="0"/>
        <w:keepLines w:val="0"/>
        <w:pageBreakBefore w:val="0"/>
        <w:widowControl/>
        <w:numPr>
          <w:ilvl w:val="0"/>
          <w:numId w:val="0"/>
        </w:numPr>
        <w:kinsoku/>
        <w:wordWrap w:val="0"/>
        <w:overflowPunct/>
        <w:topLinePunct w:val="0"/>
        <w:bidi w:val="0"/>
        <w:spacing w:before="105"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法定代表人身份证明</w:t>
      </w:r>
    </w:p>
    <w:p w14:paraId="4B5B69B7">
      <w:pPr>
        <w:pStyle w:val="6"/>
        <w:keepNext w:val="0"/>
        <w:keepLines w:val="0"/>
        <w:pageBreakBefore w:val="0"/>
        <w:widowControl/>
        <w:kinsoku/>
        <w:wordWrap w:val="0"/>
        <w:overflowPunct/>
        <w:topLinePunct w:val="0"/>
        <w:bidi w:val="0"/>
        <w:spacing w:before="325" w:line="460" w:lineRule="exact"/>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4"/>
          <w:sz w:val="24"/>
          <w:szCs w:val="24"/>
        </w:rPr>
        <w:t>同志，现任我单位职务，为法定代</w:t>
      </w:r>
      <w:r>
        <w:rPr>
          <w:rFonts w:hint="eastAsia" w:ascii="黑体" w:hAnsi="黑体" w:eastAsia="黑体" w:cs="黑体"/>
          <w:color w:val="auto"/>
          <w:spacing w:val="-5"/>
          <w:sz w:val="24"/>
          <w:szCs w:val="24"/>
        </w:rPr>
        <w:t>表人，特此证明。</w:t>
      </w:r>
    </w:p>
    <w:p w14:paraId="2515BEDB">
      <w:pPr>
        <w:pStyle w:val="6"/>
        <w:keepNext w:val="0"/>
        <w:keepLines w:val="0"/>
        <w:pageBreakBefore w:val="0"/>
        <w:widowControl/>
        <w:kinsoku/>
        <w:wordWrap w:val="0"/>
        <w:overflowPunct/>
        <w:topLinePunct w:val="0"/>
        <w:bidi w:val="0"/>
        <w:spacing w:before="84"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签发日期：</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1"/>
          <w:sz w:val="24"/>
          <w:szCs w:val="24"/>
        </w:rPr>
        <w:t>单位：</w:t>
      </w:r>
      <w:r>
        <w:rPr>
          <w:rFonts w:hint="eastAsia" w:ascii="黑体" w:hAnsi="黑体" w:eastAsia="黑体" w:cs="黑体"/>
          <w:color w:val="auto"/>
          <w:spacing w:val="-1"/>
          <w:sz w:val="24"/>
          <w:szCs w:val="24"/>
          <w:u w:val="single"/>
          <w:lang w:val="en-US" w:eastAsia="zh-CN"/>
        </w:rPr>
        <w:t xml:space="preserve">                            </w:t>
      </w:r>
    </w:p>
    <w:p w14:paraId="4D51E578">
      <w:pPr>
        <w:pStyle w:val="6"/>
        <w:keepNext w:val="0"/>
        <w:keepLines w:val="0"/>
        <w:pageBreakBefore w:val="0"/>
        <w:widowControl/>
        <w:kinsoku/>
        <w:wordWrap w:val="0"/>
        <w:overflowPunct/>
        <w:topLinePunct w:val="0"/>
        <w:bidi w:val="0"/>
        <w:spacing w:before="86"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rPr>
        <w:t>性别：</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z w:val="24"/>
          <w:szCs w:val="24"/>
        </w:rPr>
        <w:t>年龄</w:t>
      </w:r>
      <w:r>
        <w:rPr>
          <w:rFonts w:hint="eastAsia" w:ascii="黑体" w:hAnsi="黑体" w:eastAsia="黑体" w:cs="黑体"/>
          <w:color w:val="auto"/>
          <w:spacing w:val="-1"/>
          <w:sz w:val="24"/>
          <w:szCs w:val="24"/>
        </w:rPr>
        <w:t>：</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1"/>
          <w:sz w:val="24"/>
          <w:szCs w:val="24"/>
        </w:rPr>
        <w:t>身份证号码：</w:t>
      </w:r>
      <w:r>
        <w:rPr>
          <w:rFonts w:hint="eastAsia" w:ascii="黑体" w:hAnsi="黑体" w:eastAsia="黑体" w:cs="黑体"/>
          <w:color w:val="auto"/>
          <w:spacing w:val="-1"/>
          <w:sz w:val="24"/>
          <w:szCs w:val="24"/>
          <w:u w:val="single"/>
          <w:lang w:val="en-US" w:eastAsia="zh-CN"/>
        </w:rPr>
        <w:t xml:space="preserve">                         </w:t>
      </w:r>
    </w:p>
    <w:p w14:paraId="21B3D370">
      <w:pPr>
        <w:pStyle w:val="6"/>
        <w:keepNext w:val="0"/>
        <w:keepLines w:val="0"/>
        <w:pageBreakBefore w:val="0"/>
        <w:widowControl/>
        <w:kinsoku/>
        <w:wordWrap w:val="0"/>
        <w:overflowPunct/>
        <w:topLinePunct w:val="0"/>
        <w:bidi w:val="0"/>
        <w:spacing w:before="88"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联系电话：</w:t>
      </w:r>
      <w:r>
        <w:rPr>
          <w:rFonts w:hint="eastAsia" w:ascii="黑体" w:hAnsi="黑体" w:eastAsia="黑体" w:cs="黑体"/>
          <w:color w:val="auto"/>
          <w:spacing w:val="-1"/>
          <w:sz w:val="24"/>
          <w:szCs w:val="24"/>
          <w:u w:val="single"/>
          <w:lang w:val="en-US" w:eastAsia="zh-CN"/>
        </w:rPr>
        <w:t xml:space="preserve">                                </w:t>
      </w:r>
    </w:p>
    <w:p w14:paraId="156CF490">
      <w:pPr>
        <w:pStyle w:val="6"/>
        <w:keepNext w:val="0"/>
        <w:keepLines w:val="0"/>
        <w:pageBreakBefore w:val="0"/>
        <w:widowControl/>
        <w:kinsoku/>
        <w:wordWrap w:val="0"/>
        <w:overflowPunct/>
        <w:topLinePunct w:val="0"/>
        <w:bidi w:val="0"/>
        <w:spacing w:before="84"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具有有效的营业执照号码：</w:t>
      </w:r>
      <w:r>
        <w:rPr>
          <w:rFonts w:hint="eastAsia" w:ascii="黑体" w:hAnsi="黑体" w:eastAsia="黑体" w:cs="黑体"/>
          <w:color w:val="auto"/>
          <w:spacing w:val="-1"/>
          <w:sz w:val="24"/>
          <w:szCs w:val="24"/>
          <w:u w:val="single"/>
          <w:lang w:val="en-US" w:eastAsia="zh-CN"/>
        </w:rPr>
        <w:t xml:space="preserve">                                </w:t>
      </w:r>
      <w:r>
        <w:rPr>
          <w:rFonts w:hint="eastAsia" w:ascii="黑体" w:hAnsi="黑体" w:eastAsia="黑体" w:cs="黑体"/>
          <w:color w:val="auto"/>
          <w:spacing w:val="-1"/>
          <w:sz w:val="24"/>
          <w:szCs w:val="24"/>
        </w:rPr>
        <w:t>经济性质：</w:t>
      </w:r>
      <w:r>
        <w:rPr>
          <w:rFonts w:hint="eastAsia" w:ascii="黑体" w:hAnsi="黑体" w:eastAsia="黑体" w:cs="黑体"/>
          <w:color w:val="auto"/>
          <w:spacing w:val="-1"/>
          <w:sz w:val="24"/>
          <w:szCs w:val="24"/>
          <w:u w:val="single"/>
          <w:lang w:val="en-US" w:eastAsia="zh-CN"/>
        </w:rPr>
        <w:t xml:space="preserve">                                </w:t>
      </w:r>
    </w:p>
    <w:p w14:paraId="33E0ADDC">
      <w:pPr>
        <w:pStyle w:val="6"/>
        <w:keepNext w:val="0"/>
        <w:keepLines w:val="0"/>
        <w:pageBreakBefore w:val="0"/>
        <w:widowControl/>
        <w:kinsoku/>
        <w:wordWrap w:val="0"/>
        <w:overflowPunct/>
        <w:topLinePunct w:val="0"/>
        <w:bidi w:val="0"/>
        <w:spacing w:before="89"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2"/>
          <w:sz w:val="24"/>
          <w:szCs w:val="24"/>
        </w:rPr>
        <w:t>说明：</w:t>
      </w:r>
    </w:p>
    <w:p w14:paraId="3D063F7C">
      <w:pPr>
        <w:pStyle w:val="6"/>
        <w:keepNext w:val="0"/>
        <w:keepLines w:val="0"/>
        <w:pageBreakBefore w:val="0"/>
        <w:widowControl/>
        <w:kinsoku/>
        <w:wordWrap w:val="0"/>
        <w:overflowPunct/>
        <w:topLinePunct w:val="0"/>
        <w:bidi w:val="0"/>
        <w:spacing w:before="85"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1、法定代表人为企业事业单位、国家机关、社会团体的主要行政负责人。</w:t>
      </w:r>
    </w:p>
    <w:p w14:paraId="7C66CA44">
      <w:pPr>
        <w:pStyle w:val="6"/>
        <w:keepNext w:val="0"/>
        <w:keepLines w:val="0"/>
        <w:pageBreakBefore w:val="0"/>
        <w:widowControl/>
        <w:kinsoku/>
        <w:wordWrap w:val="0"/>
        <w:overflowPunct/>
        <w:topLinePunct w:val="0"/>
        <w:bidi w:val="0"/>
        <w:spacing w:line="460" w:lineRule="exact"/>
        <w:ind w:left="0" w:leftChars="0" w:firstLine="0" w:firstLineChars="0"/>
        <w:rPr>
          <w:rFonts w:hint="eastAsia" w:ascii="黑体" w:hAnsi="黑体" w:eastAsia="黑体" w:cs="黑体"/>
          <w:color w:val="auto"/>
          <w:sz w:val="24"/>
          <w:szCs w:val="24"/>
          <w:vertAlign w:val="baseline"/>
        </w:rPr>
      </w:pPr>
      <w:r>
        <w:rPr>
          <w:rFonts w:hint="eastAsia" w:ascii="黑体" w:hAnsi="黑体" w:eastAsia="黑体" w:cs="黑体"/>
          <w:color w:val="auto"/>
          <w:spacing w:val="-3"/>
          <w:sz w:val="24"/>
          <w:szCs w:val="24"/>
        </w:rPr>
        <w:t>2、内容必须填写真实、清楚、涂改无效，</w:t>
      </w:r>
      <w:r>
        <w:rPr>
          <w:rFonts w:hint="eastAsia" w:ascii="黑体" w:hAnsi="黑体" w:eastAsia="黑体" w:cs="黑体"/>
          <w:color w:val="auto"/>
          <w:spacing w:val="-4"/>
          <w:sz w:val="24"/>
          <w:szCs w:val="24"/>
        </w:rPr>
        <w:t>不得转让。</w:t>
      </w:r>
    </w:p>
    <w:tbl>
      <w:tblPr>
        <w:tblStyle w:val="1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591"/>
        <w:gridCol w:w="4580"/>
      </w:tblGrid>
      <w:tr w14:paraId="413D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21" w:hRule="atLeast"/>
        </w:trPr>
        <w:tc>
          <w:tcPr>
            <w:tcW w:w="4853" w:type="dxa"/>
            <w:shd w:val="clear" w:color="auto" w:fill="FFFFFF" w:themeFill="background1"/>
          </w:tcPr>
          <w:p w14:paraId="03EC0C53">
            <w:pPr>
              <w:pStyle w:val="6"/>
              <w:keepNext w:val="0"/>
              <w:keepLines w:val="0"/>
              <w:pageBreakBefore w:val="0"/>
              <w:widowControl/>
              <w:kinsoku/>
              <w:wordWrap w:val="0"/>
              <w:overflowPunct/>
              <w:topLinePunct w:val="0"/>
              <w:bidi w:val="0"/>
              <w:spacing w:line="460" w:lineRule="exact"/>
              <w:jc w:val="center"/>
              <w:rPr>
                <w:rFonts w:hint="eastAsia" w:ascii="黑体" w:hAnsi="黑体" w:eastAsia="黑体" w:cs="黑体"/>
                <w:b/>
                <w:bCs/>
                <w:color w:val="auto"/>
                <w:spacing w:val="-4"/>
                <w:sz w:val="24"/>
                <w:szCs w:val="24"/>
              </w:rPr>
            </w:pPr>
          </w:p>
          <w:p w14:paraId="578743C1">
            <w:pPr>
              <w:pStyle w:val="6"/>
              <w:keepNext w:val="0"/>
              <w:keepLines w:val="0"/>
              <w:pageBreakBefore w:val="0"/>
              <w:widowControl/>
              <w:kinsoku/>
              <w:wordWrap w:val="0"/>
              <w:overflowPunct/>
              <w:topLinePunct w:val="0"/>
              <w:bidi w:val="0"/>
              <w:spacing w:line="460" w:lineRule="exact"/>
              <w:jc w:val="center"/>
              <w:rPr>
                <w:rFonts w:hint="eastAsia" w:ascii="黑体" w:hAnsi="黑体" w:eastAsia="黑体" w:cs="黑体"/>
                <w:b/>
                <w:bCs/>
                <w:color w:val="auto"/>
                <w:spacing w:val="-4"/>
                <w:sz w:val="24"/>
                <w:szCs w:val="24"/>
              </w:rPr>
            </w:pPr>
          </w:p>
          <w:p w14:paraId="5890519F">
            <w:pPr>
              <w:pStyle w:val="6"/>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b/>
                <w:bCs/>
                <w:color w:val="auto"/>
                <w:spacing w:val="-4"/>
                <w:sz w:val="24"/>
                <w:szCs w:val="24"/>
              </w:rPr>
              <w:t>身份证</w:t>
            </w:r>
            <w:r>
              <w:rPr>
                <w:rFonts w:hint="eastAsia" w:ascii="黑体" w:hAnsi="黑体" w:eastAsia="黑体" w:cs="黑体"/>
                <w:b/>
                <w:bCs/>
                <w:color w:val="auto"/>
                <w:spacing w:val="-4"/>
                <w:sz w:val="24"/>
                <w:szCs w:val="24"/>
                <w:lang w:val="en-US" w:eastAsia="zh-CN"/>
              </w:rPr>
              <w:t>扫描件</w:t>
            </w:r>
          </w:p>
        </w:tc>
        <w:tc>
          <w:tcPr>
            <w:tcW w:w="4842" w:type="dxa"/>
            <w:shd w:val="clear" w:color="auto" w:fill="FFFFFF" w:themeFill="background1"/>
          </w:tcPr>
          <w:p w14:paraId="67F3AE59">
            <w:pPr>
              <w:pStyle w:val="6"/>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pacing w:val="-4"/>
                <w:sz w:val="24"/>
                <w:szCs w:val="24"/>
              </w:rPr>
            </w:pPr>
          </w:p>
          <w:p w14:paraId="77E8D085">
            <w:pPr>
              <w:pStyle w:val="6"/>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pacing w:val="-4"/>
                <w:sz w:val="24"/>
                <w:szCs w:val="24"/>
              </w:rPr>
            </w:pPr>
          </w:p>
          <w:p w14:paraId="2DBF4578">
            <w:pPr>
              <w:pStyle w:val="6"/>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4"/>
                <w:szCs w:val="24"/>
                <w:vertAlign w:val="baseline"/>
              </w:rPr>
            </w:pPr>
            <w:r>
              <w:rPr>
                <w:rFonts w:hint="eastAsia" w:ascii="黑体" w:hAnsi="黑体" w:eastAsia="黑体" w:cs="黑体"/>
                <w:b/>
                <w:bCs/>
                <w:color w:val="auto"/>
                <w:spacing w:val="-4"/>
                <w:sz w:val="24"/>
                <w:szCs w:val="24"/>
              </w:rPr>
              <w:t>身份证</w:t>
            </w:r>
            <w:r>
              <w:rPr>
                <w:rFonts w:hint="eastAsia" w:ascii="黑体" w:hAnsi="黑体" w:eastAsia="黑体" w:cs="黑体"/>
                <w:b/>
                <w:bCs/>
                <w:color w:val="auto"/>
                <w:spacing w:val="-4"/>
                <w:sz w:val="24"/>
                <w:szCs w:val="24"/>
                <w:lang w:val="en-US" w:eastAsia="zh-CN"/>
              </w:rPr>
              <w:t>扫描件</w:t>
            </w:r>
          </w:p>
        </w:tc>
      </w:tr>
    </w:tbl>
    <w:p w14:paraId="67AE0B55">
      <w:pPr>
        <w:pStyle w:val="6"/>
        <w:keepNext w:val="0"/>
        <w:keepLines w:val="0"/>
        <w:pageBreakBefore w:val="0"/>
        <w:widowControl/>
        <w:kinsoku/>
        <w:wordWrap w:val="0"/>
        <w:overflowPunct/>
        <w:topLinePunct w:val="0"/>
        <w:bidi w:val="0"/>
        <w:spacing w:before="104" w:line="460" w:lineRule="exact"/>
        <w:ind w:left="218" w:leftChars="104" w:firstLine="0" w:firstLineChars="0"/>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注：须提供身份证正反面。</w:t>
      </w:r>
    </w:p>
    <w:p w14:paraId="6ABD5DC7">
      <w:pPr>
        <w:pStyle w:val="6"/>
        <w:keepNext w:val="0"/>
        <w:keepLines w:val="0"/>
        <w:pageBreakBefore w:val="0"/>
        <w:widowControl/>
        <w:kinsoku/>
        <w:wordWrap w:val="0"/>
        <w:overflowPunct/>
        <w:topLinePunct w:val="0"/>
        <w:bidi w:val="0"/>
        <w:spacing w:before="73" w:line="460" w:lineRule="exact"/>
        <w:ind w:left="218" w:leftChars="104"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2"/>
          <w:sz w:val="24"/>
          <w:szCs w:val="24"/>
        </w:rPr>
        <w:t>）：</w:t>
      </w:r>
    </w:p>
    <w:p w14:paraId="6F0B11AA">
      <w:pPr>
        <w:pStyle w:val="6"/>
        <w:keepNext w:val="0"/>
        <w:keepLines w:val="0"/>
        <w:pageBreakBefore w:val="0"/>
        <w:widowControl/>
        <w:kinsoku/>
        <w:wordWrap w:val="0"/>
        <w:overflowPunct/>
        <w:topLinePunct w:val="0"/>
        <w:bidi w:val="0"/>
        <w:spacing w:before="2" w:line="460" w:lineRule="exact"/>
        <w:ind w:left="218" w:leftChars="104"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法定代表人（签</w:t>
      </w:r>
      <w:r>
        <w:rPr>
          <w:rFonts w:hint="eastAsia" w:ascii="黑体" w:hAnsi="黑体" w:eastAsia="黑体" w:cs="黑体"/>
          <w:color w:val="auto"/>
          <w:spacing w:val="-1"/>
          <w:sz w:val="24"/>
          <w:szCs w:val="24"/>
          <w:lang w:val="en-US" w:eastAsia="zh-CN"/>
        </w:rPr>
        <w:t>字或盖</w:t>
      </w:r>
      <w:r>
        <w:rPr>
          <w:rFonts w:hint="eastAsia" w:ascii="黑体" w:hAnsi="黑体" w:eastAsia="黑体" w:cs="黑体"/>
          <w:color w:val="auto"/>
          <w:spacing w:val="-1"/>
          <w:sz w:val="24"/>
          <w:szCs w:val="24"/>
        </w:rPr>
        <w:t>章</w:t>
      </w:r>
      <w:r>
        <w:rPr>
          <w:rFonts w:hint="eastAsia" w:ascii="黑体" w:hAnsi="黑体" w:eastAsia="黑体" w:cs="黑体"/>
          <w:color w:val="auto"/>
          <w:spacing w:val="1"/>
          <w:sz w:val="24"/>
          <w:szCs w:val="24"/>
        </w:rPr>
        <w:t>）：</w:t>
      </w:r>
    </w:p>
    <w:p w14:paraId="25E706AE">
      <w:pPr>
        <w:pStyle w:val="6"/>
        <w:keepNext w:val="0"/>
        <w:keepLines w:val="0"/>
        <w:pageBreakBefore w:val="0"/>
        <w:widowControl/>
        <w:kinsoku/>
        <w:wordWrap w:val="0"/>
        <w:overflowPunct/>
        <w:topLinePunct w:val="0"/>
        <w:bidi w:val="0"/>
        <w:spacing w:before="72" w:line="460" w:lineRule="exact"/>
        <w:ind w:left="218" w:leftChars="104" w:firstLine="0" w:firstLineChars="0"/>
        <w:rPr>
          <w:rFonts w:hint="eastAsia" w:ascii="黑体" w:hAnsi="黑体" w:eastAsia="黑体" w:cs="黑体"/>
          <w:color w:val="auto"/>
          <w:sz w:val="24"/>
          <w:szCs w:val="24"/>
        </w:rPr>
      </w:pPr>
      <w:r>
        <w:rPr>
          <w:rFonts w:hint="eastAsia" w:ascii="黑体" w:hAnsi="黑体" w:eastAsia="黑体" w:cs="黑体"/>
          <w:color w:val="auto"/>
          <w:spacing w:val="-13"/>
          <w:sz w:val="24"/>
          <w:szCs w:val="24"/>
        </w:rPr>
        <w:t>日期：</w:t>
      </w:r>
    </w:p>
    <w:p w14:paraId="71BAD50C">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AB8C6B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350D3C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FFFA34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1FBC18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104E3D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8D6A61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E69672A">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i w:val="0"/>
          <w:iCs w:val="0"/>
          <w:color w:val="auto"/>
          <w:sz w:val="28"/>
          <w:szCs w:val="21"/>
          <w:highlight w:val="none"/>
          <w:lang w:eastAsia="zh-CN"/>
        </w:rPr>
      </w:pPr>
      <w:r>
        <w:rPr>
          <w:rFonts w:hint="eastAsia" w:ascii="黑体" w:hAnsi="黑体" w:eastAsia="黑体" w:cs="黑体"/>
          <w:b/>
          <w:bCs/>
          <w:color w:val="auto"/>
          <w:sz w:val="28"/>
          <w:szCs w:val="21"/>
          <w:highlight w:val="none"/>
        </w:rPr>
        <w:t>法定代表人授权书</w:t>
      </w:r>
    </w:p>
    <w:p w14:paraId="19906DEC">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黑体" w:hAnsi="黑体" w:eastAsia="黑体" w:cs="黑体"/>
          <w:i w:val="0"/>
          <w:iCs w:val="0"/>
          <w:color w:val="auto"/>
          <w:sz w:val="24"/>
          <w:lang w:eastAsia="zh-CN"/>
        </w:rPr>
      </w:pPr>
      <w:r>
        <w:rPr>
          <w:rFonts w:hint="eastAsia" w:ascii="黑体" w:hAnsi="黑体" w:eastAsia="黑体" w:cs="黑体"/>
          <w:i w:val="0"/>
          <w:iCs w:val="0"/>
          <w:color w:val="auto"/>
          <w:sz w:val="24"/>
        </w:rPr>
        <w:t>本授权书声明：注册于</w:t>
      </w:r>
      <w:r>
        <w:rPr>
          <w:rFonts w:hint="eastAsia" w:ascii="黑体" w:hAnsi="黑体" w:eastAsia="黑体" w:cs="黑体"/>
          <w:i w:val="0"/>
          <w:iCs w:val="0"/>
          <w:color w:val="auto"/>
          <w:sz w:val="24"/>
          <w:u w:val="single"/>
        </w:rPr>
        <w:t>（国家或地区的名称）</w:t>
      </w:r>
      <w:r>
        <w:rPr>
          <w:rFonts w:hint="eastAsia" w:ascii="黑体" w:hAnsi="黑体" w:eastAsia="黑体" w:cs="黑体"/>
          <w:i w:val="0"/>
          <w:iCs w:val="0"/>
          <w:color w:val="auto"/>
          <w:sz w:val="24"/>
        </w:rPr>
        <w:t>的（</w:t>
      </w:r>
      <w:r>
        <w:rPr>
          <w:rFonts w:hint="eastAsia" w:ascii="黑体" w:hAnsi="黑体" w:eastAsia="黑体" w:cs="黑体"/>
          <w:i w:val="0"/>
          <w:iCs w:val="0"/>
          <w:color w:val="auto"/>
          <w:sz w:val="24"/>
          <w:u w:val="single"/>
        </w:rPr>
        <w:t>投标人</w:t>
      </w:r>
      <w:r>
        <w:rPr>
          <w:rFonts w:hint="eastAsia" w:ascii="黑体" w:hAnsi="黑体" w:eastAsia="黑体" w:cs="黑体"/>
          <w:i w:val="0"/>
          <w:iCs w:val="0"/>
          <w:color w:val="auto"/>
          <w:sz w:val="24"/>
        </w:rPr>
        <w:t>）的在下面签字的（</w:t>
      </w:r>
      <w:r>
        <w:rPr>
          <w:rFonts w:hint="eastAsia" w:ascii="黑体" w:hAnsi="黑体" w:eastAsia="黑体" w:cs="黑体"/>
          <w:i w:val="0"/>
          <w:iCs w:val="0"/>
          <w:color w:val="auto"/>
          <w:sz w:val="24"/>
          <w:u w:val="single"/>
        </w:rPr>
        <w:t>法人代表姓名、职务</w:t>
      </w:r>
      <w:r>
        <w:rPr>
          <w:rFonts w:hint="eastAsia" w:ascii="黑体" w:hAnsi="黑体" w:eastAsia="黑体" w:cs="黑体"/>
          <w:i w:val="0"/>
          <w:iCs w:val="0"/>
          <w:color w:val="auto"/>
          <w:sz w:val="24"/>
        </w:rPr>
        <w:t>）代表我单位授权（</w:t>
      </w:r>
      <w:r>
        <w:rPr>
          <w:rFonts w:hint="eastAsia" w:ascii="黑体" w:hAnsi="黑体" w:eastAsia="黑体" w:cs="黑体"/>
          <w:i w:val="0"/>
          <w:iCs w:val="0"/>
          <w:color w:val="auto"/>
          <w:sz w:val="24"/>
          <w:u w:val="single"/>
        </w:rPr>
        <w:t>单位名称</w:t>
      </w:r>
      <w:r>
        <w:rPr>
          <w:rFonts w:hint="eastAsia" w:ascii="黑体" w:hAnsi="黑体" w:eastAsia="黑体" w:cs="黑体"/>
          <w:i w:val="0"/>
          <w:iCs w:val="0"/>
          <w:color w:val="auto"/>
          <w:sz w:val="24"/>
        </w:rPr>
        <w:t>）的在下面签字的（</w:t>
      </w:r>
      <w:r>
        <w:rPr>
          <w:rFonts w:hint="eastAsia" w:ascii="黑体" w:hAnsi="黑体" w:eastAsia="黑体" w:cs="黑体"/>
          <w:i w:val="0"/>
          <w:iCs w:val="0"/>
          <w:color w:val="auto"/>
          <w:sz w:val="24"/>
          <w:u w:val="single"/>
        </w:rPr>
        <w:t>被授权人的姓名、职务</w:t>
      </w:r>
      <w:r>
        <w:rPr>
          <w:rFonts w:hint="eastAsia" w:ascii="黑体" w:hAnsi="黑体" w:eastAsia="黑体" w:cs="黑体"/>
          <w:i w:val="0"/>
          <w:iCs w:val="0"/>
          <w:color w:val="auto"/>
          <w:sz w:val="24"/>
        </w:rPr>
        <w:t>）为我单位的合法代理人，就（</w:t>
      </w:r>
      <w:r>
        <w:rPr>
          <w:rFonts w:hint="eastAsia" w:ascii="黑体" w:hAnsi="黑体" w:eastAsia="黑体" w:cs="黑体"/>
          <w:i w:val="0"/>
          <w:iCs w:val="0"/>
          <w:color w:val="auto"/>
          <w:sz w:val="24"/>
          <w:u w:val="single"/>
        </w:rPr>
        <w:t>项目名称</w:t>
      </w:r>
      <w:r>
        <w:rPr>
          <w:rFonts w:hint="eastAsia" w:ascii="黑体" w:hAnsi="黑体" w:eastAsia="黑体" w:cs="黑体"/>
          <w:i w:val="0"/>
          <w:iCs w:val="0"/>
          <w:color w:val="auto"/>
          <w:sz w:val="24"/>
        </w:rPr>
        <w:t>）的（</w:t>
      </w:r>
      <w:r>
        <w:rPr>
          <w:rFonts w:hint="eastAsia" w:ascii="黑体" w:hAnsi="黑体" w:eastAsia="黑体" w:cs="黑体"/>
          <w:i w:val="0"/>
          <w:iCs w:val="0"/>
          <w:color w:val="auto"/>
          <w:sz w:val="24"/>
          <w:u w:val="single"/>
          <w:lang w:val="en-US" w:eastAsia="zh-CN"/>
        </w:rPr>
        <w:t>标项</w:t>
      </w:r>
      <w:r>
        <w:rPr>
          <w:rFonts w:hint="eastAsia" w:ascii="黑体" w:hAnsi="黑体" w:eastAsia="黑体" w:cs="黑体"/>
          <w:i w:val="0"/>
          <w:iCs w:val="0"/>
          <w:color w:val="auto"/>
          <w:sz w:val="24"/>
        </w:rPr>
        <w:t>）投标，以我单位名义处理一切与之有关的事务。</w:t>
      </w:r>
      <w:r>
        <w:rPr>
          <w:rFonts w:hint="eastAsia" w:ascii="黑体" w:hAnsi="黑体" w:eastAsia="黑体" w:cs="黑体"/>
          <w:i w:val="0"/>
          <w:iCs w:val="0"/>
          <w:color w:val="auto"/>
          <w:sz w:val="24"/>
        </w:rPr>
        <w:cr/>
      </w:r>
      <w:r>
        <w:rPr>
          <w:rFonts w:hint="eastAsia" w:ascii="黑体" w:hAnsi="黑体" w:eastAsia="黑体" w:cs="黑体"/>
          <w:i w:val="0"/>
          <w:iCs w:val="0"/>
          <w:color w:val="auto"/>
          <w:sz w:val="24"/>
        </w:rPr>
        <w:t>　　本授权书于年月日签字生效,特此声明。</w:t>
      </w:r>
      <w:r>
        <w:rPr>
          <w:rFonts w:hint="eastAsia" w:ascii="黑体" w:hAnsi="黑体" w:eastAsia="黑体" w:cs="黑体"/>
          <w:i w:val="0"/>
          <w:iCs w:val="0"/>
          <w:color w:val="auto"/>
          <w:sz w:val="24"/>
        </w:rPr>
        <w:cr/>
      </w:r>
      <w:r>
        <w:rPr>
          <w:rFonts w:hint="eastAsia" w:ascii="黑体" w:hAnsi="黑体" w:eastAsia="黑体" w:cs="黑体"/>
          <w:i w:val="0"/>
          <w:iCs w:val="0"/>
          <w:color w:val="auto"/>
          <w:sz w:val="24"/>
        </w:rPr>
        <w:t>法人身份证</w:t>
      </w:r>
      <w:r>
        <w:rPr>
          <w:rFonts w:hint="eastAsia" w:ascii="黑体" w:hAnsi="黑体" w:eastAsia="黑体" w:cs="黑体"/>
          <w:i w:val="0"/>
          <w:iCs w:val="0"/>
          <w:color w:val="auto"/>
          <w:sz w:val="24"/>
          <w:lang w:eastAsia="zh-CN"/>
        </w:rPr>
        <w:t>及</w:t>
      </w:r>
      <w:r>
        <w:rPr>
          <w:rFonts w:hint="eastAsia" w:ascii="黑体" w:hAnsi="黑体" w:eastAsia="黑体" w:cs="黑体"/>
          <w:i w:val="0"/>
          <w:iCs w:val="0"/>
          <w:color w:val="auto"/>
          <w:sz w:val="24"/>
        </w:rPr>
        <w:t>授权委托人身份证</w:t>
      </w:r>
      <w:r>
        <w:rPr>
          <w:rFonts w:hint="eastAsia" w:ascii="黑体" w:hAnsi="黑体" w:eastAsia="黑体" w:cs="黑体"/>
          <w:i w:val="0"/>
          <w:iCs w:val="0"/>
          <w:color w:val="auto"/>
          <w:sz w:val="24"/>
          <w:highlight w:val="none"/>
          <w:lang w:eastAsia="zh-CN"/>
        </w:rPr>
        <w:t>扫描件</w:t>
      </w:r>
      <w:r>
        <w:rPr>
          <w:rFonts w:hint="eastAsia" w:ascii="黑体" w:hAnsi="黑体" w:eastAsia="黑体" w:cs="黑体"/>
          <w:i w:val="0"/>
          <w:iCs w:val="0"/>
          <w:color w:val="auto"/>
          <w:sz w:val="24"/>
          <w:lang w:eastAsia="zh-CN"/>
        </w:rPr>
        <w:t>正反面</w:t>
      </w:r>
    </w:p>
    <w:tbl>
      <w:tblPr>
        <w:tblStyle w:val="1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4"/>
        <w:gridCol w:w="4577"/>
      </w:tblGrid>
      <w:tr w14:paraId="506A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862" w:type="dxa"/>
            <w:tcBorders>
              <w:top w:val="nil"/>
              <w:left w:val="nil"/>
              <w:bottom w:val="nil"/>
              <w:right w:val="nil"/>
            </w:tcBorders>
            <w:shd w:val="clear" w:color="auto" w:fill="FFFFFF"/>
            <w:noWrap w:val="0"/>
            <w:vAlign w:val="top"/>
          </w:tcPr>
          <w:p w14:paraId="34AA439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47B3C18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4099E8C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4F1DC518">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rPr>
            </w:pPr>
            <w:r>
              <w:rPr>
                <w:rFonts w:hint="eastAsia" w:ascii="黑体" w:hAnsi="黑体" w:eastAsia="黑体" w:cs="黑体"/>
                <w:b/>
                <w:bCs/>
                <w:color w:val="auto"/>
                <w:sz w:val="24"/>
              </w:rPr>
              <w:t>法人身份证</w:t>
            </w:r>
          </w:p>
          <w:p w14:paraId="1ECBBF57">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textAlignment w:val="baseline"/>
              <w:rPr>
                <w:rFonts w:hint="eastAsia" w:ascii="黑体" w:hAnsi="黑体" w:eastAsia="黑体" w:cs="黑体"/>
                <w:b/>
                <w:bCs/>
                <w:color w:val="auto"/>
                <w:sz w:val="24"/>
                <w:vertAlign w:val="baseline"/>
                <w:lang w:eastAsia="zh-CN"/>
              </w:rPr>
            </w:pPr>
          </w:p>
        </w:tc>
        <w:tc>
          <w:tcPr>
            <w:tcW w:w="4843" w:type="dxa"/>
            <w:tcBorders>
              <w:top w:val="nil"/>
              <w:left w:val="nil"/>
              <w:bottom w:val="nil"/>
              <w:right w:val="nil"/>
            </w:tcBorders>
            <w:shd w:val="clear" w:color="auto" w:fill="FFFFFF"/>
            <w:noWrap w:val="0"/>
            <w:vAlign w:val="top"/>
          </w:tcPr>
          <w:p w14:paraId="16C4814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7B8F7C2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7499BDF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3670879D">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rPr>
            </w:pPr>
            <w:r>
              <w:rPr>
                <w:rFonts w:hint="eastAsia" w:ascii="黑体" w:hAnsi="黑体" w:eastAsia="黑体" w:cs="黑体"/>
                <w:b/>
                <w:bCs/>
                <w:color w:val="auto"/>
                <w:sz w:val="24"/>
              </w:rPr>
              <w:t>法人身份证</w:t>
            </w:r>
          </w:p>
          <w:p w14:paraId="7E04DC3C">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textAlignment w:val="baseline"/>
              <w:rPr>
                <w:rFonts w:hint="eastAsia" w:ascii="黑体" w:hAnsi="黑体" w:eastAsia="黑体" w:cs="黑体"/>
                <w:b/>
                <w:bCs/>
                <w:color w:val="auto"/>
                <w:sz w:val="24"/>
                <w:vertAlign w:val="baseline"/>
                <w:lang w:eastAsia="zh-CN"/>
              </w:rPr>
            </w:pPr>
          </w:p>
        </w:tc>
      </w:tr>
      <w:tr w14:paraId="26FC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862" w:type="dxa"/>
            <w:tcBorders>
              <w:top w:val="nil"/>
              <w:left w:val="nil"/>
              <w:bottom w:val="nil"/>
              <w:right w:val="nil"/>
            </w:tcBorders>
            <w:shd w:val="clear" w:color="auto" w:fill="FFFFFF"/>
            <w:noWrap w:val="0"/>
            <w:vAlign w:val="top"/>
          </w:tcPr>
          <w:p w14:paraId="0F21322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56D8E2D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26F30CE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rPr>
            </w:pPr>
            <w:r>
              <w:rPr>
                <w:rFonts w:hint="eastAsia" w:ascii="黑体" w:hAnsi="黑体" w:eastAsia="黑体" w:cs="黑体"/>
                <w:b/>
                <w:bCs/>
                <w:color w:val="auto"/>
                <w:sz w:val="24"/>
              </w:rPr>
              <w:t>授权委托人身份证</w:t>
            </w:r>
          </w:p>
          <w:p w14:paraId="7BA9273C">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textAlignment w:val="baseline"/>
              <w:rPr>
                <w:rFonts w:hint="eastAsia" w:ascii="黑体" w:hAnsi="黑体" w:eastAsia="黑体" w:cs="黑体"/>
                <w:b/>
                <w:bCs/>
                <w:color w:val="auto"/>
                <w:sz w:val="24"/>
                <w:vertAlign w:val="baseline"/>
                <w:lang w:eastAsia="zh-CN"/>
              </w:rPr>
            </w:pPr>
          </w:p>
        </w:tc>
        <w:tc>
          <w:tcPr>
            <w:tcW w:w="4843" w:type="dxa"/>
            <w:tcBorders>
              <w:top w:val="nil"/>
              <w:left w:val="nil"/>
              <w:bottom w:val="nil"/>
              <w:right w:val="nil"/>
            </w:tcBorders>
            <w:shd w:val="clear" w:color="auto" w:fill="FFFFFF"/>
            <w:noWrap w:val="0"/>
            <w:vAlign w:val="top"/>
          </w:tcPr>
          <w:p w14:paraId="7BA9C26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30C5B18E">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sz w:val="24"/>
              </w:rPr>
            </w:pPr>
          </w:p>
          <w:p w14:paraId="353DFB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黑体" w:hAnsi="黑体" w:eastAsia="黑体" w:cs="黑体"/>
                <w:b/>
                <w:bCs/>
                <w:color w:val="auto"/>
              </w:rPr>
            </w:pPr>
            <w:r>
              <w:rPr>
                <w:rFonts w:hint="eastAsia" w:ascii="黑体" w:hAnsi="黑体" w:eastAsia="黑体" w:cs="黑体"/>
                <w:b/>
                <w:bCs/>
                <w:color w:val="auto"/>
                <w:sz w:val="24"/>
              </w:rPr>
              <w:t>授权委托人身份证</w:t>
            </w:r>
          </w:p>
          <w:p w14:paraId="3B07A3D1">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textAlignment w:val="baseline"/>
              <w:rPr>
                <w:rFonts w:hint="eastAsia" w:ascii="黑体" w:hAnsi="黑体" w:eastAsia="黑体" w:cs="黑体"/>
                <w:b/>
                <w:bCs/>
                <w:color w:val="auto"/>
                <w:sz w:val="24"/>
                <w:vertAlign w:val="baseline"/>
                <w:lang w:eastAsia="zh-CN"/>
              </w:rPr>
            </w:pPr>
          </w:p>
        </w:tc>
      </w:tr>
    </w:tbl>
    <w:p w14:paraId="7F623BC9">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u w:val="single"/>
          <w:lang w:eastAsia="zh-CN"/>
        </w:rPr>
      </w:pPr>
      <w:r>
        <w:rPr>
          <w:rFonts w:hint="eastAsia" w:ascii="黑体" w:hAnsi="黑体" w:eastAsia="黑体" w:cs="黑体"/>
          <w:color w:val="auto"/>
          <w:sz w:val="24"/>
        </w:rPr>
        <w:t>投标人（</w:t>
      </w:r>
      <w:r>
        <w:rPr>
          <w:rFonts w:hint="eastAsia" w:ascii="黑体" w:hAnsi="黑体" w:eastAsia="黑体" w:cs="黑体"/>
          <w:b w:val="0"/>
          <w:bCs w:val="0"/>
          <w:color w:val="auto"/>
          <w:sz w:val="24"/>
          <w:highlight w:val="none"/>
          <w:lang w:eastAsia="zh-CN"/>
        </w:rPr>
        <w:t>加</w:t>
      </w:r>
      <w:r>
        <w:rPr>
          <w:rFonts w:hint="eastAsia" w:ascii="黑体" w:hAnsi="黑体" w:eastAsia="黑体" w:cs="黑体"/>
          <w:b w:val="0"/>
          <w:bCs w:val="0"/>
          <w:color w:val="auto"/>
          <w:sz w:val="24"/>
          <w:highlight w:val="none"/>
        </w:rPr>
        <w:t>盖</w:t>
      </w:r>
      <w:r>
        <w:rPr>
          <w:rFonts w:hint="eastAsia" w:ascii="黑体" w:hAnsi="黑体" w:eastAsia="黑体" w:cs="黑体"/>
          <w:b w:val="0"/>
          <w:bCs w:val="0"/>
          <w:color w:val="auto"/>
          <w:sz w:val="24"/>
          <w:highlight w:val="none"/>
          <w:lang w:eastAsia="zh-CN"/>
        </w:rPr>
        <w:t>公</w:t>
      </w:r>
      <w:r>
        <w:rPr>
          <w:rFonts w:hint="eastAsia" w:ascii="黑体" w:hAnsi="黑体" w:eastAsia="黑体" w:cs="黑体"/>
          <w:b w:val="0"/>
          <w:bCs w:val="0"/>
          <w:color w:val="auto"/>
          <w:sz w:val="24"/>
          <w:highlight w:val="none"/>
        </w:rPr>
        <w:t>章</w:t>
      </w:r>
      <w:r>
        <w:rPr>
          <w:rFonts w:hint="eastAsia" w:ascii="黑体" w:hAnsi="黑体" w:eastAsia="黑体" w:cs="黑体"/>
          <w:color w:val="auto"/>
          <w:sz w:val="24"/>
        </w:rPr>
        <w:t>）</w:t>
      </w:r>
      <w:r>
        <w:rPr>
          <w:rFonts w:hint="eastAsia" w:ascii="黑体" w:hAnsi="黑体" w:eastAsia="黑体" w:cs="黑体"/>
          <w:color w:val="auto"/>
          <w:sz w:val="24"/>
          <w:lang w:eastAsia="zh-CN"/>
        </w:rPr>
        <w:t>：</w:t>
      </w:r>
      <w:r>
        <w:rPr>
          <w:rFonts w:hint="eastAsia" w:ascii="黑体" w:hAnsi="黑体" w:eastAsia="黑体" w:cs="黑体"/>
          <w:color w:val="auto"/>
          <w:sz w:val="24"/>
        </w:rPr>
        <w:t>__________________________________</w:t>
      </w:r>
    </w:p>
    <w:p w14:paraId="208C46B1">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u w:val="single"/>
        </w:rPr>
      </w:pPr>
      <w:r>
        <w:rPr>
          <w:rFonts w:hint="eastAsia" w:ascii="黑体" w:hAnsi="黑体" w:eastAsia="黑体" w:cs="黑体"/>
          <w:color w:val="auto"/>
          <w:sz w:val="24"/>
        </w:rPr>
        <w:t>法定代表人（签字或签章）：____________________________</w:t>
      </w:r>
    </w:p>
    <w:p w14:paraId="1B3EDC28">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u w:val="single"/>
        </w:rPr>
      </w:pPr>
      <w:r>
        <w:rPr>
          <w:rFonts w:hint="eastAsia" w:ascii="黑体" w:hAnsi="黑体" w:eastAsia="黑体" w:cs="黑体"/>
          <w:color w:val="auto"/>
          <w:sz w:val="24"/>
        </w:rPr>
        <w:t xml:space="preserve">身份证号码：__________________________________ </w:t>
      </w:r>
    </w:p>
    <w:p w14:paraId="03C0176C">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u w:val="single"/>
        </w:rPr>
      </w:pPr>
      <w:r>
        <w:rPr>
          <w:rFonts w:hint="eastAsia" w:ascii="黑体" w:hAnsi="黑体" w:eastAsia="黑体" w:cs="黑体"/>
          <w:color w:val="auto"/>
          <w:sz w:val="24"/>
        </w:rPr>
        <w:t>委托代理人：__________________________________</w:t>
      </w:r>
    </w:p>
    <w:p w14:paraId="2EF65BFC">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u w:val="single"/>
        </w:rPr>
      </w:pPr>
      <w:r>
        <w:rPr>
          <w:rFonts w:hint="eastAsia" w:ascii="黑体" w:hAnsi="黑体" w:eastAsia="黑体" w:cs="黑体"/>
          <w:color w:val="auto"/>
          <w:sz w:val="24"/>
        </w:rPr>
        <w:t>身份证号码：__________________________________</w:t>
      </w:r>
    </w:p>
    <w:p w14:paraId="434F6C2E">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rPr>
      </w:pPr>
      <w:r>
        <w:rPr>
          <w:rFonts w:hint="eastAsia" w:ascii="黑体" w:hAnsi="黑体" w:eastAsia="黑体" w:cs="黑体"/>
          <w:color w:val="auto"/>
          <w:sz w:val="24"/>
        </w:rPr>
        <w:t>详细通讯地址：__________________________________</w:t>
      </w:r>
    </w:p>
    <w:p w14:paraId="143BE1F4">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rPr>
      </w:pPr>
      <w:r>
        <w:rPr>
          <w:rFonts w:hint="eastAsia" w:ascii="黑体" w:hAnsi="黑体" w:eastAsia="黑体" w:cs="黑体"/>
          <w:color w:val="auto"/>
          <w:sz w:val="24"/>
        </w:rPr>
        <w:t>邮 政 编 码 ：__________________________________</w:t>
      </w:r>
    </w:p>
    <w:p w14:paraId="2EA68F8E">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rPr>
      </w:pPr>
      <w:r>
        <w:rPr>
          <w:rFonts w:hint="eastAsia" w:ascii="黑体" w:hAnsi="黑体" w:eastAsia="黑体" w:cs="黑体"/>
          <w:color w:val="auto"/>
          <w:sz w:val="24"/>
        </w:rPr>
        <w:t>传　　　</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真：__________________________________</w:t>
      </w:r>
    </w:p>
    <w:p w14:paraId="43F34EF9">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rPr>
      </w:pPr>
      <w:r>
        <w:rPr>
          <w:rFonts w:hint="eastAsia" w:ascii="黑体" w:hAnsi="黑体" w:eastAsia="黑体" w:cs="黑体"/>
          <w:color w:val="auto"/>
          <w:sz w:val="24"/>
        </w:rPr>
        <w:t>电　　　　话：__________________________________</w:t>
      </w:r>
    </w:p>
    <w:p w14:paraId="789C5AC5">
      <w:pPr>
        <w:pStyle w:val="7"/>
        <w:keepNext w:val="0"/>
        <w:keepLines w:val="0"/>
        <w:pageBreakBefore w:val="0"/>
        <w:widowControl/>
        <w:tabs>
          <w:tab w:val="left" w:pos="5580"/>
        </w:tabs>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黑体" w:hAnsi="黑体" w:eastAsia="黑体" w:cs="黑体"/>
          <w:color w:val="auto"/>
          <w:sz w:val="24"/>
        </w:rPr>
      </w:pPr>
      <w:r>
        <w:rPr>
          <w:rFonts w:hint="eastAsia" w:ascii="黑体" w:hAnsi="黑体" w:eastAsia="黑体" w:cs="黑体"/>
          <w:color w:val="auto"/>
          <w:sz w:val="24"/>
        </w:rPr>
        <w:t xml:space="preserve">年 </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 xml:space="preserve"> </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 xml:space="preserve"> 月   </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日</w:t>
      </w:r>
    </w:p>
    <w:p w14:paraId="034D410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79A242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178856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63A50E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DF8AB2B">
      <w:pPr>
        <w:pStyle w:val="6"/>
        <w:keepNext w:val="0"/>
        <w:keepLines w:val="0"/>
        <w:pageBreakBefore w:val="0"/>
        <w:widowControl/>
        <w:kinsoku/>
        <w:wordWrap w:val="0"/>
        <w:overflowPunct/>
        <w:topLinePunct w:val="0"/>
        <w:bidi w:val="0"/>
        <w:spacing w:before="106" w:line="460" w:lineRule="exact"/>
        <w:ind w:left="13" w:right="77" w:firstLine="2"/>
        <w:jc w:val="center"/>
        <w:outlineLvl w:val="1"/>
        <w:rPr>
          <w:rFonts w:hint="eastAsia" w:ascii="黑体" w:hAnsi="黑体" w:eastAsia="黑体" w:cs="黑体"/>
          <w:color w:val="auto"/>
          <w:sz w:val="24"/>
          <w:szCs w:val="24"/>
          <w:lang w:eastAsia="zh-CN"/>
        </w:rPr>
      </w:pPr>
      <w:bookmarkStart w:id="26" w:name="bookmark13"/>
      <w:bookmarkEnd w:id="26"/>
      <w:r>
        <w:rPr>
          <w:rFonts w:hint="eastAsia" w:ascii="黑体" w:hAnsi="黑体" w:eastAsia="黑体" w:cs="黑体"/>
          <w:b/>
          <w:bCs/>
          <w:color w:val="auto"/>
          <w:sz w:val="24"/>
          <w:szCs w:val="24"/>
        </w:rPr>
        <w:t>4、</w:t>
      </w:r>
      <w:r>
        <w:rPr>
          <w:rFonts w:hint="eastAsia" w:ascii="黑体" w:hAnsi="黑体" w:eastAsia="黑体" w:cs="黑体"/>
          <w:b/>
          <w:bCs/>
          <w:color w:val="auto"/>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77B2D954">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428CC7C">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686D39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DF23B6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451DD52">
      <w:pPr>
        <w:pStyle w:val="6"/>
        <w:keepNext w:val="0"/>
        <w:keepLines w:val="0"/>
        <w:pageBreakBefore w:val="0"/>
        <w:widowControl/>
        <w:kinsoku/>
        <w:wordWrap w:val="0"/>
        <w:overflowPunct/>
        <w:topLinePunct w:val="0"/>
        <w:bidi w:val="0"/>
        <w:spacing w:before="103" w:line="460" w:lineRule="exact"/>
        <w:ind w:left="31"/>
        <w:jc w:val="center"/>
        <w:outlineLvl w:val="1"/>
        <w:rPr>
          <w:rFonts w:hint="eastAsia" w:ascii="黑体" w:hAnsi="黑体" w:eastAsia="黑体" w:cs="黑体"/>
          <w:color w:val="auto"/>
          <w:sz w:val="24"/>
          <w:szCs w:val="24"/>
          <w:lang w:eastAsia="zh-CN"/>
        </w:rPr>
      </w:pPr>
      <w:bookmarkStart w:id="27" w:name="bookmark15"/>
      <w:bookmarkEnd w:id="27"/>
      <w:r>
        <w:rPr>
          <w:rFonts w:hint="eastAsia" w:ascii="黑体" w:hAnsi="黑体" w:eastAsia="黑体" w:cs="黑体"/>
          <w:b/>
          <w:bCs/>
          <w:color w:val="auto"/>
          <w:spacing w:val="-1"/>
          <w:sz w:val="24"/>
          <w:szCs w:val="24"/>
        </w:rPr>
        <w:t>5、</w:t>
      </w:r>
      <w:r>
        <w:rPr>
          <w:rFonts w:hint="eastAsia" w:ascii="黑体" w:hAnsi="黑体" w:eastAsia="黑体" w:cs="黑体"/>
          <w:b/>
          <w:bCs/>
          <w:color w:val="auto"/>
          <w:spacing w:val="-1"/>
          <w:sz w:val="24"/>
          <w:szCs w:val="24"/>
          <w:lang w:eastAsia="zh-CN"/>
        </w:rPr>
        <w:t>提供2023年度或2024年度的财务审计报告（新成立未满一年的公司需提供有效的银行资信证明）；</w:t>
      </w:r>
    </w:p>
    <w:p w14:paraId="671053A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63618F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70AE14B">
      <w:pPr>
        <w:pStyle w:val="6"/>
        <w:keepNext w:val="0"/>
        <w:keepLines w:val="0"/>
        <w:pageBreakBefore w:val="0"/>
        <w:widowControl/>
        <w:kinsoku/>
        <w:wordWrap w:val="0"/>
        <w:overflowPunct/>
        <w:topLinePunct w:val="0"/>
        <w:bidi w:val="0"/>
        <w:spacing w:before="102" w:line="460" w:lineRule="exact"/>
        <w:ind w:left="24"/>
        <w:jc w:val="center"/>
        <w:outlineLvl w:val="1"/>
        <w:rPr>
          <w:rFonts w:hint="eastAsia" w:ascii="黑体" w:hAnsi="黑体" w:eastAsia="黑体" w:cs="黑体"/>
          <w:color w:val="auto"/>
          <w:sz w:val="24"/>
          <w:szCs w:val="24"/>
          <w:lang w:eastAsia="zh-CN"/>
        </w:rPr>
      </w:pPr>
      <w:bookmarkStart w:id="28" w:name="bookmark17"/>
      <w:bookmarkEnd w:id="28"/>
      <w:r>
        <w:rPr>
          <w:rFonts w:hint="eastAsia" w:ascii="黑体" w:hAnsi="黑体" w:eastAsia="黑体" w:cs="黑体"/>
          <w:b/>
          <w:bCs/>
          <w:color w:val="auto"/>
          <w:spacing w:val="-2"/>
          <w:sz w:val="24"/>
          <w:szCs w:val="24"/>
        </w:rPr>
        <w:t>6、</w:t>
      </w:r>
      <w:r>
        <w:rPr>
          <w:rFonts w:hint="eastAsia" w:ascii="黑体" w:hAnsi="黑体" w:eastAsia="黑体" w:cs="黑体"/>
          <w:b/>
          <w:bCs/>
          <w:color w:val="auto"/>
          <w:spacing w:val="-2"/>
          <w:sz w:val="24"/>
          <w:szCs w:val="24"/>
          <w:lang w:eastAsia="zh-CN"/>
        </w:rPr>
        <w:t>提供依法缴纳公告发布之日起近6个月任意1个月社会保险证明；</w:t>
      </w:r>
    </w:p>
    <w:p w14:paraId="1323AEE0">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08793417">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56710A15">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6178CC6F">
      <w:pPr>
        <w:pStyle w:val="6"/>
        <w:keepNext w:val="0"/>
        <w:keepLines w:val="0"/>
        <w:pageBreakBefore w:val="0"/>
        <w:widowControl/>
        <w:kinsoku/>
        <w:wordWrap w:val="0"/>
        <w:overflowPunct/>
        <w:topLinePunct w:val="0"/>
        <w:bidi w:val="0"/>
        <w:spacing w:before="103" w:line="460" w:lineRule="exact"/>
        <w:ind w:left="22"/>
        <w:jc w:val="center"/>
        <w:outlineLvl w:val="1"/>
        <w:rPr>
          <w:rFonts w:hint="eastAsia" w:ascii="黑体" w:hAnsi="黑体" w:eastAsia="黑体" w:cs="黑体"/>
          <w:color w:val="auto"/>
          <w:sz w:val="24"/>
          <w:szCs w:val="24"/>
          <w:lang w:eastAsia="zh-CN"/>
        </w:rPr>
      </w:pPr>
      <w:bookmarkStart w:id="29" w:name="bookmark18"/>
      <w:bookmarkEnd w:id="29"/>
      <w:r>
        <w:rPr>
          <w:rFonts w:hint="eastAsia" w:ascii="黑体" w:hAnsi="黑体" w:eastAsia="黑体" w:cs="黑体"/>
          <w:b/>
          <w:bCs/>
          <w:color w:val="auto"/>
          <w:spacing w:val="-2"/>
          <w:sz w:val="24"/>
          <w:szCs w:val="24"/>
        </w:rPr>
        <w:t>7、</w:t>
      </w:r>
      <w:r>
        <w:rPr>
          <w:rFonts w:hint="eastAsia" w:ascii="黑体" w:hAnsi="黑体" w:eastAsia="黑体" w:cs="黑体"/>
          <w:b/>
          <w:bCs/>
          <w:color w:val="auto"/>
          <w:spacing w:val="-2"/>
          <w:sz w:val="24"/>
          <w:szCs w:val="24"/>
          <w:lang w:eastAsia="zh-CN"/>
        </w:rPr>
        <w:t>提供依法缴纳公告发布之日起近6个月任意1个月的税收证明；</w:t>
      </w:r>
    </w:p>
    <w:p w14:paraId="500C7870">
      <w:pPr>
        <w:pStyle w:val="6"/>
        <w:keepNext w:val="0"/>
        <w:keepLines w:val="0"/>
        <w:pageBreakBefore w:val="0"/>
        <w:widowControl/>
        <w:kinsoku/>
        <w:wordWrap w:val="0"/>
        <w:overflowPunct/>
        <w:topLinePunct w:val="0"/>
        <w:bidi w:val="0"/>
        <w:spacing w:before="103" w:line="460" w:lineRule="exact"/>
        <w:ind w:left="15" w:right="118"/>
        <w:jc w:val="both"/>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注：“</w:t>
      </w:r>
      <w:r>
        <w:rPr>
          <w:rFonts w:hint="eastAsia" w:ascii="黑体" w:hAnsi="黑体" w:eastAsia="黑体" w:cs="黑体"/>
          <w:b/>
          <w:bCs/>
          <w:color w:val="auto"/>
          <w:spacing w:val="-2"/>
          <w:sz w:val="24"/>
          <w:szCs w:val="24"/>
          <w:lang w:eastAsia="zh-CN"/>
        </w:rPr>
        <w:t>提供依法缴纳公告发布之日起近6个月任意1个月的税收证明</w:t>
      </w:r>
      <w:r>
        <w:rPr>
          <w:rFonts w:hint="eastAsia" w:ascii="黑体" w:hAnsi="黑体" w:eastAsia="黑体" w:cs="黑体"/>
          <w:b/>
          <w:bCs/>
          <w:color w:val="auto"/>
          <w:spacing w:val="-3"/>
          <w:sz w:val="24"/>
          <w:szCs w:val="24"/>
        </w:rPr>
        <w:t>”：①若供应商某月税收为零申报，须提供当月加盖税务局公章的无欠税证明或“国家税务总局电子税务</w:t>
      </w:r>
      <w:r>
        <w:rPr>
          <w:rFonts w:hint="eastAsia" w:ascii="黑体" w:hAnsi="黑体" w:eastAsia="黑体" w:cs="黑体"/>
          <w:b/>
          <w:bCs/>
          <w:color w:val="auto"/>
          <w:spacing w:val="-1"/>
          <w:sz w:val="24"/>
          <w:szCs w:val="24"/>
        </w:rPr>
        <w:t>局（12366.chinatax.gov.cn/bsfw/onlinetaxatio</w:t>
      </w:r>
      <w:r>
        <w:rPr>
          <w:rFonts w:hint="eastAsia" w:ascii="黑体" w:hAnsi="黑体" w:eastAsia="黑体" w:cs="黑体"/>
          <w:b/>
          <w:bCs/>
          <w:color w:val="auto"/>
          <w:spacing w:val="-2"/>
          <w:sz w:val="24"/>
          <w:szCs w:val="24"/>
        </w:rPr>
        <w:t>n/main）”的申报结果查</w:t>
      </w:r>
      <w:r>
        <w:rPr>
          <w:rFonts w:hint="eastAsia" w:ascii="黑体" w:hAnsi="黑体" w:eastAsia="黑体" w:cs="黑体"/>
          <w:b/>
          <w:bCs/>
          <w:color w:val="auto"/>
          <w:spacing w:val="-3"/>
          <w:sz w:val="24"/>
          <w:szCs w:val="24"/>
        </w:rPr>
        <w:t>询截图。②完税证明中“税种”非养老保险、医疗保险、失业保险、工伤保险和</w:t>
      </w:r>
      <w:r>
        <w:rPr>
          <w:rFonts w:hint="eastAsia" w:ascii="黑体" w:hAnsi="黑体" w:eastAsia="黑体" w:cs="黑体"/>
          <w:b/>
          <w:bCs/>
          <w:color w:val="auto"/>
          <w:spacing w:val="-1"/>
          <w:sz w:val="24"/>
          <w:szCs w:val="24"/>
        </w:rPr>
        <w:t>生育保险。请各供应商注意！</w:t>
      </w:r>
    </w:p>
    <w:p w14:paraId="57A167FE">
      <w:pPr>
        <w:rPr>
          <w:rFonts w:hint="eastAsia" w:ascii="黑体" w:hAnsi="黑体" w:eastAsia="黑体" w:cs="黑体"/>
          <w:b/>
          <w:bCs/>
          <w:color w:val="auto"/>
          <w:spacing w:val="-4"/>
          <w:sz w:val="24"/>
          <w:szCs w:val="24"/>
        </w:rPr>
      </w:pPr>
      <w:bookmarkStart w:id="30" w:name="bookmark10"/>
      <w:bookmarkEnd w:id="30"/>
      <w:r>
        <w:rPr>
          <w:rFonts w:hint="eastAsia" w:ascii="黑体" w:hAnsi="黑体" w:eastAsia="黑体" w:cs="黑体"/>
          <w:b/>
          <w:bCs/>
          <w:color w:val="auto"/>
          <w:spacing w:val="-4"/>
          <w:sz w:val="24"/>
          <w:szCs w:val="24"/>
        </w:rPr>
        <w:br w:type="page"/>
      </w:r>
    </w:p>
    <w:p w14:paraId="437E8F89">
      <w:pPr>
        <w:pStyle w:val="6"/>
        <w:keepNext w:val="0"/>
        <w:keepLines w:val="0"/>
        <w:pageBreakBefore w:val="0"/>
        <w:widowControl/>
        <w:kinsoku/>
        <w:wordWrap w:val="0"/>
        <w:overflowPunct/>
        <w:topLinePunct w:val="0"/>
        <w:autoSpaceDE w:val="0"/>
        <w:autoSpaceDN w:val="0"/>
        <w:bidi w:val="0"/>
        <w:adjustRightInd w:val="0"/>
        <w:snapToGrid w:val="0"/>
        <w:spacing w:line="460" w:lineRule="exact"/>
        <w:ind w:right="0"/>
        <w:jc w:val="both"/>
        <w:textAlignment w:val="baseline"/>
        <w:rPr>
          <w:rFonts w:hint="eastAsia" w:ascii="黑体" w:hAnsi="黑体" w:eastAsia="黑体" w:cs="黑体"/>
          <w:b/>
          <w:bCs/>
          <w:color w:val="auto"/>
          <w:sz w:val="24"/>
          <w:szCs w:val="24"/>
          <w:lang w:eastAsia="zh-CN"/>
        </w:rPr>
      </w:pPr>
      <w:bookmarkStart w:id="31" w:name="bookmark19"/>
      <w:bookmarkEnd w:id="31"/>
      <w:r>
        <w:rPr>
          <w:rFonts w:hint="eastAsia" w:ascii="黑体" w:hAnsi="黑体" w:eastAsia="黑体" w:cs="黑体"/>
          <w:b/>
          <w:bCs/>
          <w:color w:val="auto"/>
          <w:sz w:val="24"/>
          <w:szCs w:val="24"/>
        </w:rPr>
        <w:t>8、</w:t>
      </w:r>
      <w:r>
        <w:rPr>
          <w:rFonts w:hint="eastAsia" w:ascii="黑体" w:hAnsi="黑体" w:eastAsia="黑体" w:cs="黑体"/>
          <w:b/>
          <w:bCs/>
          <w:color w:val="auto"/>
          <w:sz w:val="24"/>
          <w:szCs w:val="24"/>
          <w:lang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中国政府采购网（http：//www.ccgp.gov.cn/search/cr/）严重违法失信行为记录名单的（尚在处罚期内的），国家企业信用信息公示系统（https：//www.gsxt.gov.cn/）列入经营异常名录信息、列入严重违法失信名单(黑名单)信息，将拒绝其参加本次招标活动；（以采购代理机构或采购人查询为准）</w:t>
      </w:r>
    </w:p>
    <w:p w14:paraId="6120BD20">
      <w:pPr>
        <w:pStyle w:val="6"/>
        <w:keepNext w:val="0"/>
        <w:keepLines w:val="0"/>
        <w:pageBreakBefore w:val="0"/>
        <w:widowControl/>
        <w:kinsoku/>
        <w:wordWrap w:val="0"/>
        <w:overflowPunct/>
        <w:topLinePunct w:val="0"/>
        <w:bidi w:val="0"/>
        <w:spacing w:before="103" w:line="460" w:lineRule="exact"/>
        <w:ind w:left="14" w:right="77" w:firstLine="6"/>
        <w:jc w:val="center"/>
        <w:outlineLvl w:val="1"/>
        <w:rPr>
          <w:rFonts w:hint="eastAsia" w:ascii="黑体" w:hAnsi="黑体" w:eastAsia="黑体" w:cs="黑体"/>
          <w:color w:val="auto"/>
          <w:sz w:val="24"/>
          <w:szCs w:val="24"/>
          <w:lang w:eastAsia="zh-CN"/>
        </w:rPr>
      </w:pPr>
    </w:p>
    <w:p w14:paraId="18D40CE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6F1909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EF978E8">
      <w:pPr>
        <w:pStyle w:val="6"/>
        <w:keepNext w:val="0"/>
        <w:keepLines w:val="0"/>
        <w:pageBreakBefore w:val="0"/>
        <w:widowControl/>
        <w:kinsoku/>
        <w:wordWrap/>
        <w:overflowPunct/>
        <w:topLinePunct w:val="0"/>
        <w:bidi w:val="0"/>
        <w:spacing w:before="104" w:line="460" w:lineRule="exact"/>
        <w:jc w:val="center"/>
        <w:outlineLvl w:val="1"/>
        <w:rPr>
          <w:rFonts w:hint="eastAsia" w:ascii="黑体" w:hAnsi="黑体" w:eastAsia="黑体" w:cs="黑体"/>
          <w:b/>
          <w:bCs/>
          <w:color w:val="auto"/>
          <w:spacing w:val="-6"/>
          <w:sz w:val="24"/>
          <w:szCs w:val="24"/>
        </w:rPr>
      </w:pPr>
    </w:p>
    <w:p w14:paraId="6BED4718">
      <w:pPr>
        <w:pStyle w:val="6"/>
        <w:keepNext w:val="0"/>
        <w:keepLines w:val="0"/>
        <w:pageBreakBefore w:val="0"/>
        <w:widowControl/>
        <w:kinsoku/>
        <w:wordWrap/>
        <w:overflowPunct/>
        <w:topLinePunct w:val="0"/>
        <w:bidi w:val="0"/>
        <w:spacing w:before="104"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6"/>
          <w:sz w:val="24"/>
          <w:szCs w:val="24"/>
        </w:rPr>
        <w:t>9、提供参加政府采购活动前3年内在经营活动中没有重大违法记录的书面声明；</w:t>
      </w:r>
    </w:p>
    <w:p w14:paraId="3B475B35">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7552477E">
      <w:pPr>
        <w:pStyle w:val="6"/>
        <w:keepNext w:val="0"/>
        <w:keepLines w:val="0"/>
        <w:pageBreakBefore w:val="0"/>
        <w:widowControl/>
        <w:kinsoku/>
        <w:wordWrap w:val="0"/>
        <w:overflowPunct/>
        <w:topLinePunct w:val="0"/>
        <w:bidi w:val="0"/>
        <w:spacing w:before="100" w:line="460" w:lineRule="exact"/>
        <w:ind w:left="33"/>
        <w:jc w:val="center"/>
        <w:outlineLvl w:val="1"/>
        <w:rPr>
          <w:rFonts w:hint="eastAsia" w:ascii="黑体" w:hAnsi="黑体" w:eastAsia="黑体" w:cs="黑体"/>
          <w:b/>
          <w:bCs/>
          <w:color w:val="auto"/>
          <w:spacing w:val="-2"/>
          <w:sz w:val="24"/>
          <w:szCs w:val="24"/>
        </w:rPr>
      </w:pPr>
      <w:bookmarkStart w:id="32" w:name="bookmark22"/>
      <w:bookmarkEnd w:id="32"/>
    </w:p>
    <w:p w14:paraId="34887A51">
      <w:pPr>
        <w:pStyle w:val="6"/>
        <w:keepNext w:val="0"/>
        <w:keepLines w:val="0"/>
        <w:pageBreakBefore w:val="0"/>
        <w:widowControl/>
        <w:kinsoku/>
        <w:wordWrap w:val="0"/>
        <w:overflowPunct/>
        <w:topLinePunct w:val="0"/>
        <w:bidi w:val="0"/>
        <w:spacing w:before="100" w:line="460" w:lineRule="exact"/>
        <w:ind w:left="33"/>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10、缴纳投标保证金有效凭证；</w:t>
      </w:r>
    </w:p>
    <w:p w14:paraId="090612D8">
      <w:pPr>
        <w:keepNext w:val="0"/>
        <w:keepLines w:val="0"/>
        <w:pageBreakBefore w:val="0"/>
        <w:widowControl/>
        <w:kinsoku/>
        <w:wordWrap w:val="0"/>
        <w:overflowPunct/>
        <w:topLinePunct w:val="0"/>
        <w:bidi w:val="0"/>
        <w:spacing w:before="151" w:line="460" w:lineRule="exact"/>
        <w:rPr>
          <w:rFonts w:hint="eastAsia" w:ascii="黑体" w:hAnsi="黑体" w:eastAsia="黑体" w:cs="黑体"/>
          <w:color w:val="auto"/>
        </w:rPr>
      </w:pPr>
    </w:p>
    <w:tbl>
      <w:tblPr>
        <w:tblStyle w:val="16"/>
        <w:tblW w:w="938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0"/>
      </w:tblGrid>
      <w:tr w14:paraId="0083AC3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85" w:hRule="atLeast"/>
        </w:trPr>
        <w:tc>
          <w:tcPr>
            <w:tcW w:w="9380" w:type="dxa"/>
            <w:vAlign w:val="top"/>
          </w:tcPr>
          <w:p w14:paraId="735FDCE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68D012D">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162F474">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缴纳投标保证金的有效凭证（</w:t>
            </w:r>
            <w:r>
              <w:rPr>
                <w:rFonts w:hint="eastAsia" w:ascii="黑体" w:hAnsi="黑体" w:eastAsia="黑体" w:cs="黑体"/>
                <w:b/>
                <w:bCs/>
                <w:color w:val="auto"/>
                <w:sz w:val="24"/>
                <w:szCs w:val="24"/>
              </w:rPr>
              <w:t>银行转账回执单或保函</w:t>
            </w:r>
            <w:r>
              <w:rPr>
                <w:rFonts w:hint="eastAsia" w:ascii="黑体" w:hAnsi="黑体" w:eastAsia="黑体" w:cs="黑体"/>
                <w:b/>
                <w:bCs/>
                <w:color w:val="auto"/>
                <w:spacing w:val="-1"/>
                <w:sz w:val="24"/>
                <w:szCs w:val="24"/>
              </w:rPr>
              <w:t>等</w:t>
            </w:r>
            <w:r>
              <w:rPr>
                <w:rFonts w:hint="eastAsia" w:ascii="黑体" w:hAnsi="黑体" w:eastAsia="黑体" w:cs="黑体"/>
                <w:color w:val="auto"/>
                <w:spacing w:val="-1"/>
                <w:sz w:val="24"/>
                <w:szCs w:val="24"/>
              </w:rPr>
              <w:t>）</w:t>
            </w:r>
            <w:r>
              <w:rPr>
                <w:rFonts w:hint="eastAsia" w:ascii="黑体" w:hAnsi="黑体" w:eastAsia="黑体" w:cs="黑体"/>
                <w:color w:val="auto"/>
                <w:spacing w:val="-1"/>
                <w:sz w:val="24"/>
                <w:szCs w:val="24"/>
                <w:lang w:val="en-US" w:eastAsia="zh-CN"/>
              </w:rPr>
              <w:t>扫描</w:t>
            </w:r>
            <w:r>
              <w:rPr>
                <w:rFonts w:hint="eastAsia" w:ascii="黑体" w:hAnsi="黑体" w:eastAsia="黑体" w:cs="黑体"/>
                <w:color w:val="auto"/>
                <w:spacing w:val="-1"/>
                <w:sz w:val="24"/>
                <w:szCs w:val="24"/>
              </w:rPr>
              <w:t>件</w:t>
            </w:r>
          </w:p>
        </w:tc>
      </w:tr>
    </w:tbl>
    <w:p w14:paraId="7E14B144">
      <w:pPr>
        <w:pStyle w:val="6"/>
        <w:keepNext w:val="0"/>
        <w:keepLines w:val="0"/>
        <w:pageBreakBefore w:val="0"/>
        <w:widowControl/>
        <w:kinsoku/>
        <w:wordWrap w:val="0"/>
        <w:overflowPunct/>
        <w:topLinePunct w:val="0"/>
        <w:bidi w:val="0"/>
        <w:spacing w:before="103" w:line="460" w:lineRule="exact"/>
        <w:ind w:left="0" w:leftChars="0" w:firstLine="218" w:firstLineChars="91"/>
        <w:jc w:val="both"/>
        <w:rPr>
          <w:rFonts w:hint="eastAsia" w:ascii="黑体" w:hAnsi="黑体" w:eastAsia="黑体" w:cs="黑体"/>
          <w:color w:val="auto"/>
          <w:sz w:val="24"/>
          <w:szCs w:val="24"/>
        </w:rPr>
      </w:pPr>
      <w:r>
        <w:rPr>
          <w:rFonts w:hint="eastAsia" w:ascii="黑体" w:hAnsi="黑体" w:eastAsia="黑体" w:cs="黑体"/>
          <w:color w:val="auto"/>
          <w:sz w:val="24"/>
          <w:szCs w:val="24"/>
        </w:rPr>
        <w:t>注：本项目以缴纳投标保证金的有效凭证复印件盖</w:t>
      </w:r>
      <w:r>
        <w:rPr>
          <w:rFonts w:hint="eastAsia" w:ascii="黑体" w:hAnsi="黑体" w:eastAsia="黑体" w:cs="黑体"/>
          <w:color w:val="auto"/>
          <w:spacing w:val="-1"/>
          <w:sz w:val="24"/>
          <w:szCs w:val="24"/>
        </w:rPr>
        <w:t>公章为准；</w:t>
      </w:r>
    </w:p>
    <w:p w14:paraId="2F2C077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BE465C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7046083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BE28ECF">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7ADBB32C">
      <w:pPr>
        <w:pStyle w:val="6"/>
        <w:keepNext w:val="0"/>
        <w:keepLines w:val="0"/>
        <w:pageBreakBefore w:val="0"/>
        <w:widowControl/>
        <w:kinsoku/>
        <w:wordWrap/>
        <w:overflowPunct/>
        <w:topLinePunct w:val="0"/>
        <w:bidi w:val="0"/>
        <w:spacing w:before="103" w:line="460" w:lineRule="exact"/>
        <w:jc w:val="center"/>
        <w:outlineLvl w:val="1"/>
        <w:rPr>
          <w:rFonts w:hint="eastAsia" w:ascii="黑体" w:hAnsi="黑体" w:eastAsia="黑体" w:cs="黑体"/>
          <w:color w:val="auto"/>
          <w:sz w:val="24"/>
          <w:szCs w:val="24"/>
        </w:rPr>
      </w:pPr>
      <w:bookmarkStart w:id="33" w:name="bookmark23"/>
      <w:bookmarkEnd w:id="33"/>
      <w:r>
        <w:rPr>
          <w:rFonts w:hint="eastAsia" w:ascii="黑体" w:hAnsi="黑体" w:eastAsia="黑体" w:cs="黑体"/>
          <w:b/>
          <w:bCs/>
          <w:color w:val="auto"/>
          <w:spacing w:val="-7"/>
          <w:sz w:val="24"/>
          <w:szCs w:val="24"/>
        </w:rPr>
        <w:t>11、银行开户许可证复印件或银行基本账户信息(包含：</w:t>
      </w:r>
      <w:r>
        <w:rPr>
          <w:rFonts w:hint="eastAsia" w:ascii="黑体" w:hAnsi="黑体" w:eastAsia="黑体" w:cs="黑体"/>
          <w:b/>
          <w:bCs/>
          <w:color w:val="auto"/>
          <w:spacing w:val="-8"/>
          <w:sz w:val="24"/>
          <w:szCs w:val="24"/>
        </w:rPr>
        <w:t>银行账号及开户行名称</w:t>
      </w:r>
      <w:r>
        <w:rPr>
          <w:rFonts w:hint="eastAsia" w:ascii="黑体" w:hAnsi="黑体" w:eastAsia="黑体" w:cs="黑体"/>
          <w:b/>
          <w:bCs/>
          <w:color w:val="auto"/>
          <w:spacing w:val="-35"/>
          <w:w w:val="80"/>
          <w:sz w:val="24"/>
          <w:szCs w:val="24"/>
        </w:rPr>
        <w:t>）；</w:t>
      </w:r>
    </w:p>
    <w:p w14:paraId="4A7BDB49">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69C61AD0">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50A3931D">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78CD77D2">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541F37FC">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44A300B2">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45C800D4">
      <w:pPr>
        <w:pStyle w:val="6"/>
        <w:keepNext w:val="0"/>
        <w:keepLines w:val="0"/>
        <w:pageBreakBefore w:val="0"/>
        <w:widowControl/>
        <w:kinsoku/>
        <w:wordWrap w:val="0"/>
        <w:overflowPunct/>
        <w:topLinePunct w:val="0"/>
        <w:bidi w:val="0"/>
        <w:spacing w:before="104" w:line="460" w:lineRule="exact"/>
        <w:ind w:left="33"/>
        <w:jc w:val="center"/>
        <w:outlineLvl w:val="1"/>
        <w:rPr>
          <w:rFonts w:hint="eastAsia" w:ascii="黑体" w:hAnsi="黑体" w:eastAsia="黑体" w:cs="黑体"/>
          <w:color w:val="auto"/>
          <w:sz w:val="24"/>
          <w:szCs w:val="24"/>
        </w:rPr>
      </w:pPr>
      <w:bookmarkStart w:id="34" w:name="bookmark24"/>
      <w:bookmarkEnd w:id="34"/>
      <w:r>
        <w:rPr>
          <w:rFonts w:hint="eastAsia" w:ascii="黑体" w:hAnsi="黑体" w:eastAsia="黑体" w:cs="黑体"/>
          <w:b/>
          <w:bCs/>
          <w:color w:val="auto"/>
          <w:spacing w:val="-1"/>
          <w:sz w:val="24"/>
          <w:szCs w:val="24"/>
        </w:rPr>
        <w:t>12、供应商可提供有利于投标的其他资格证明材料。</w:t>
      </w:r>
    </w:p>
    <w:p w14:paraId="229311EF">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715DB9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2C2EEA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1661620">
      <w:pPr>
        <w:pStyle w:val="6"/>
        <w:keepNext w:val="0"/>
        <w:keepLines w:val="0"/>
        <w:pageBreakBefore w:val="0"/>
        <w:widowControl/>
        <w:kinsoku/>
        <w:wordWrap w:val="0"/>
        <w:overflowPunct/>
        <w:topLinePunct w:val="0"/>
        <w:bidi w:val="0"/>
        <w:spacing w:before="117" w:line="460" w:lineRule="exact"/>
        <w:jc w:val="center"/>
        <w:outlineLvl w:val="1"/>
        <w:rPr>
          <w:rFonts w:hint="eastAsia" w:ascii="黑体" w:hAnsi="黑体" w:eastAsia="黑体" w:cs="黑体"/>
          <w:b/>
          <w:bCs/>
          <w:color w:val="auto"/>
          <w:spacing w:val="-1"/>
          <w:sz w:val="24"/>
          <w:szCs w:val="24"/>
        </w:rPr>
      </w:pPr>
      <w:bookmarkStart w:id="35" w:name="bookmark25"/>
      <w:bookmarkEnd w:id="35"/>
    </w:p>
    <w:p w14:paraId="1DFE04F5">
      <w:pPr>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br w:type="page"/>
      </w:r>
    </w:p>
    <w:p w14:paraId="4F3877C2">
      <w:pPr>
        <w:pStyle w:val="6"/>
        <w:keepNext w:val="0"/>
        <w:keepLines w:val="0"/>
        <w:pageBreakBefore w:val="0"/>
        <w:widowControl/>
        <w:kinsoku/>
        <w:wordWrap w:val="0"/>
        <w:overflowPunct/>
        <w:topLinePunct w:val="0"/>
        <w:bidi w:val="0"/>
        <w:spacing w:before="117"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第二部分商务及技术文件</w:t>
      </w:r>
    </w:p>
    <w:p w14:paraId="5EA0125D">
      <w:pPr>
        <w:pStyle w:val="6"/>
        <w:keepNext w:val="0"/>
        <w:keepLines w:val="0"/>
        <w:pageBreakBefore w:val="0"/>
        <w:widowControl/>
        <w:kinsoku/>
        <w:wordWrap w:val="0"/>
        <w:overflowPunct/>
        <w:topLinePunct w:val="0"/>
        <w:bidi w:val="0"/>
        <w:spacing w:before="88" w:line="480" w:lineRule="auto"/>
        <w:ind w:left="576"/>
        <w:rPr>
          <w:rFonts w:hint="eastAsia" w:ascii="黑体" w:hAnsi="黑体" w:eastAsia="黑体" w:cs="黑体"/>
          <w:color w:val="auto"/>
          <w:sz w:val="24"/>
          <w:szCs w:val="24"/>
        </w:rPr>
      </w:pPr>
      <w:r>
        <w:rPr>
          <w:rFonts w:hint="eastAsia" w:ascii="黑体" w:hAnsi="黑体" w:eastAsia="黑体" w:cs="黑体"/>
          <w:color w:val="auto"/>
          <w:spacing w:val="-6"/>
          <w:sz w:val="24"/>
          <w:szCs w:val="24"/>
        </w:rPr>
        <w:t>1、投标书</w:t>
      </w:r>
    </w:p>
    <w:p w14:paraId="1B0D0D05">
      <w:pPr>
        <w:pStyle w:val="6"/>
        <w:keepNext w:val="0"/>
        <w:keepLines w:val="0"/>
        <w:pageBreakBefore w:val="0"/>
        <w:widowControl/>
        <w:kinsoku/>
        <w:wordWrap w:val="0"/>
        <w:overflowPunct/>
        <w:topLinePunct w:val="0"/>
        <w:bidi w:val="0"/>
        <w:spacing w:before="86" w:line="480" w:lineRule="auto"/>
        <w:ind w:left="565"/>
        <w:rPr>
          <w:rFonts w:hint="eastAsia" w:ascii="黑体" w:hAnsi="黑体" w:eastAsia="黑体" w:cs="黑体"/>
          <w:color w:val="auto"/>
          <w:sz w:val="24"/>
          <w:szCs w:val="24"/>
        </w:rPr>
      </w:pPr>
      <w:r>
        <w:rPr>
          <w:rFonts w:hint="eastAsia" w:ascii="黑体" w:hAnsi="黑体" w:eastAsia="黑体" w:cs="黑体"/>
          <w:color w:val="auto"/>
          <w:spacing w:val="-2"/>
          <w:sz w:val="24"/>
          <w:szCs w:val="24"/>
        </w:rPr>
        <w:t>2、投标分项报价表</w:t>
      </w:r>
    </w:p>
    <w:p w14:paraId="631E292F">
      <w:pPr>
        <w:pStyle w:val="6"/>
        <w:keepNext w:val="0"/>
        <w:keepLines w:val="0"/>
        <w:pageBreakBefore w:val="0"/>
        <w:widowControl/>
        <w:kinsoku/>
        <w:wordWrap w:val="0"/>
        <w:overflowPunct/>
        <w:topLinePunct w:val="0"/>
        <w:bidi w:val="0"/>
        <w:spacing w:line="480" w:lineRule="auto"/>
        <w:ind w:left="568"/>
        <w:rPr>
          <w:rFonts w:hint="eastAsia" w:ascii="黑体" w:hAnsi="黑体" w:eastAsia="黑体" w:cs="黑体"/>
          <w:color w:val="auto"/>
          <w:sz w:val="24"/>
          <w:szCs w:val="24"/>
        </w:rPr>
      </w:pPr>
      <w:r>
        <w:rPr>
          <w:rFonts w:hint="eastAsia" w:ascii="黑体" w:hAnsi="黑体" w:eastAsia="黑体" w:cs="黑体"/>
          <w:color w:val="auto"/>
          <w:spacing w:val="-3"/>
          <w:sz w:val="24"/>
          <w:szCs w:val="24"/>
        </w:rPr>
        <w:t>3、货物说明一览表</w:t>
      </w:r>
    </w:p>
    <w:p w14:paraId="275678CB">
      <w:pPr>
        <w:pStyle w:val="6"/>
        <w:keepNext w:val="0"/>
        <w:keepLines w:val="0"/>
        <w:pageBreakBefore w:val="0"/>
        <w:widowControl/>
        <w:kinsoku/>
        <w:wordWrap w:val="0"/>
        <w:overflowPunct/>
        <w:topLinePunct w:val="0"/>
        <w:bidi w:val="0"/>
        <w:spacing w:before="87" w:line="480" w:lineRule="auto"/>
        <w:ind w:left="553"/>
        <w:rPr>
          <w:rFonts w:hint="eastAsia" w:ascii="黑体" w:hAnsi="黑体" w:eastAsia="黑体" w:cs="黑体"/>
          <w:color w:val="auto"/>
          <w:sz w:val="24"/>
          <w:szCs w:val="24"/>
        </w:rPr>
      </w:pPr>
      <w:r>
        <w:rPr>
          <w:rFonts w:hint="eastAsia" w:ascii="黑体" w:hAnsi="黑体" w:eastAsia="黑体" w:cs="黑体"/>
          <w:color w:val="auto"/>
          <w:spacing w:val="-1"/>
          <w:sz w:val="24"/>
          <w:szCs w:val="24"/>
        </w:rPr>
        <w:t>4、技术规格偏离表</w:t>
      </w:r>
    </w:p>
    <w:p w14:paraId="0A172464">
      <w:pPr>
        <w:pStyle w:val="6"/>
        <w:keepNext w:val="0"/>
        <w:keepLines w:val="0"/>
        <w:pageBreakBefore w:val="0"/>
        <w:widowControl/>
        <w:kinsoku/>
        <w:wordWrap w:val="0"/>
        <w:overflowPunct/>
        <w:topLinePunct w:val="0"/>
        <w:bidi w:val="0"/>
        <w:spacing w:before="85" w:line="480" w:lineRule="auto"/>
        <w:ind w:left="572"/>
        <w:rPr>
          <w:rFonts w:hint="eastAsia" w:ascii="黑体" w:hAnsi="黑体" w:eastAsia="黑体" w:cs="黑体"/>
          <w:color w:val="auto"/>
          <w:sz w:val="24"/>
          <w:szCs w:val="24"/>
        </w:rPr>
      </w:pPr>
      <w:r>
        <w:rPr>
          <w:rFonts w:hint="eastAsia" w:ascii="黑体" w:hAnsi="黑体" w:eastAsia="黑体" w:cs="黑体"/>
          <w:color w:val="auto"/>
          <w:spacing w:val="-3"/>
          <w:sz w:val="24"/>
          <w:szCs w:val="24"/>
        </w:rPr>
        <w:t>5、商务条款偏离表</w:t>
      </w:r>
    </w:p>
    <w:p w14:paraId="2E5D6D1E">
      <w:pPr>
        <w:pStyle w:val="6"/>
        <w:keepNext w:val="0"/>
        <w:keepLines w:val="0"/>
        <w:pageBreakBefore w:val="0"/>
        <w:widowControl/>
        <w:kinsoku/>
        <w:wordWrap w:val="0"/>
        <w:overflowPunct/>
        <w:topLinePunct w:val="0"/>
        <w:bidi w:val="0"/>
        <w:spacing w:before="40" w:line="480" w:lineRule="auto"/>
        <w:ind w:left="563"/>
        <w:rPr>
          <w:rFonts w:hint="eastAsia" w:ascii="黑体" w:hAnsi="黑体" w:eastAsia="黑体" w:cs="黑体"/>
          <w:color w:val="auto"/>
          <w:sz w:val="24"/>
          <w:szCs w:val="24"/>
        </w:rPr>
      </w:pPr>
      <w:r>
        <w:rPr>
          <w:rFonts w:hint="eastAsia" w:ascii="黑体" w:hAnsi="黑体" w:eastAsia="黑体" w:cs="黑体"/>
          <w:color w:val="auto"/>
          <w:spacing w:val="-2"/>
          <w:sz w:val="24"/>
          <w:szCs w:val="24"/>
        </w:rPr>
        <w:t>6-1中小企业声明函（货物）</w:t>
      </w:r>
    </w:p>
    <w:p w14:paraId="698740AB">
      <w:pPr>
        <w:pStyle w:val="6"/>
        <w:keepNext w:val="0"/>
        <w:keepLines w:val="0"/>
        <w:pageBreakBefore w:val="0"/>
        <w:widowControl/>
        <w:kinsoku/>
        <w:wordWrap w:val="0"/>
        <w:overflowPunct/>
        <w:topLinePunct w:val="0"/>
        <w:bidi w:val="0"/>
        <w:spacing w:before="22" w:line="480" w:lineRule="auto"/>
        <w:ind w:left="563"/>
        <w:rPr>
          <w:rFonts w:hint="eastAsia" w:ascii="黑体" w:hAnsi="黑体" w:eastAsia="黑体" w:cs="黑体"/>
          <w:color w:val="auto"/>
          <w:sz w:val="24"/>
          <w:szCs w:val="24"/>
        </w:rPr>
      </w:pPr>
      <w:r>
        <w:rPr>
          <w:rFonts w:hint="eastAsia" w:ascii="黑体" w:hAnsi="黑体" w:eastAsia="黑体" w:cs="黑体"/>
          <w:color w:val="auto"/>
          <w:spacing w:val="-1"/>
          <w:position w:val="12"/>
          <w:sz w:val="24"/>
          <w:szCs w:val="24"/>
        </w:rPr>
        <w:t>6-2《残疾人福利性单位声明函》</w:t>
      </w:r>
    </w:p>
    <w:p w14:paraId="14281F59">
      <w:pPr>
        <w:pStyle w:val="6"/>
        <w:keepNext w:val="0"/>
        <w:keepLines w:val="0"/>
        <w:pageBreakBefore w:val="0"/>
        <w:widowControl/>
        <w:kinsoku/>
        <w:wordWrap w:val="0"/>
        <w:overflowPunct/>
        <w:topLinePunct w:val="0"/>
        <w:bidi w:val="0"/>
        <w:spacing w:before="1" w:line="480" w:lineRule="auto"/>
        <w:ind w:left="562"/>
        <w:rPr>
          <w:rFonts w:hint="eastAsia" w:ascii="黑体" w:hAnsi="黑体" w:eastAsia="黑体" w:cs="黑体"/>
          <w:color w:val="auto"/>
          <w:sz w:val="24"/>
          <w:szCs w:val="24"/>
        </w:rPr>
      </w:pPr>
      <w:r>
        <w:rPr>
          <w:rFonts w:hint="eastAsia" w:ascii="黑体" w:hAnsi="黑体" w:eastAsia="黑体" w:cs="黑体"/>
          <w:color w:val="auto"/>
          <w:spacing w:val="-2"/>
          <w:sz w:val="24"/>
          <w:szCs w:val="24"/>
        </w:rPr>
        <w:t>7、供应商关联单位的说明</w:t>
      </w:r>
    </w:p>
    <w:p w14:paraId="767AF8BF">
      <w:pPr>
        <w:pStyle w:val="6"/>
        <w:keepNext w:val="0"/>
        <w:keepLines w:val="0"/>
        <w:pageBreakBefore w:val="0"/>
        <w:widowControl/>
        <w:kinsoku/>
        <w:wordWrap w:val="0"/>
        <w:overflowPunct/>
        <w:topLinePunct w:val="0"/>
        <w:bidi w:val="0"/>
        <w:spacing w:before="84" w:line="480" w:lineRule="auto"/>
        <w:ind w:left="563"/>
        <w:rPr>
          <w:rFonts w:hint="eastAsia" w:ascii="黑体" w:hAnsi="黑体" w:eastAsia="黑体" w:cs="黑体"/>
          <w:color w:val="auto"/>
          <w:sz w:val="24"/>
          <w:szCs w:val="24"/>
        </w:rPr>
      </w:pPr>
      <w:r>
        <w:rPr>
          <w:rFonts w:hint="eastAsia" w:ascii="黑体" w:hAnsi="黑体" w:eastAsia="黑体" w:cs="黑体"/>
          <w:color w:val="auto"/>
          <w:spacing w:val="-1"/>
          <w:sz w:val="24"/>
          <w:szCs w:val="24"/>
        </w:rPr>
        <w:t>8、供应商可提供有利于投标的其他资格证明材料</w:t>
      </w:r>
    </w:p>
    <w:p w14:paraId="0F47D4DD">
      <w:pPr>
        <w:pStyle w:val="6"/>
        <w:keepNext w:val="0"/>
        <w:keepLines w:val="0"/>
        <w:pageBreakBefore w:val="0"/>
        <w:widowControl/>
        <w:kinsoku/>
        <w:wordWrap w:val="0"/>
        <w:overflowPunct/>
        <w:topLinePunct w:val="0"/>
        <w:bidi w:val="0"/>
        <w:spacing w:before="1" w:line="480" w:lineRule="auto"/>
        <w:ind w:left="563"/>
        <w:rPr>
          <w:rFonts w:hint="eastAsia" w:ascii="黑体" w:hAnsi="黑体" w:eastAsia="黑体" w:cs="黑体"/>
          <w:color w:val="auto"/>
          <w:sz w:val="24"/>
          <w:szCs w:val="24"/>
        </w:rPr>
      </w:pPr>
      <w:r>
        <w:rPr>
          <w:rFonts w:hint="eastAsia" w:ascii="黑体" w:hAnsi="黑体" w:eastAsia="黑体" w:cs="黑体"/>
          <w:color w:val="auto"/>
          <w:spacing w:val="-2"/>
          <w:sz w:val="24"/>
          <w:szCs w:val="24"/>
        </w:rPr>
        <w:t>9、投标文件格式范本</w:t>
      </w:r>
    </w:p>
    <w:p w14:paraId="6B76C49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751C2C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C58A33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31DC33D">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778E20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BC48C3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57DB221">
      <w:pPr>
        <w:rPr>
          <w:rFonts w:hint="eastAsia" w:ascii="黑体" w:hAnsi="黑体" w:eastAsia="黑体" w:cs="黑体"/>
          <w:b/>
          <w:bCs/>
          <w:color w:val="auto"/>
          <w:spacing w:val="-5"/>
          <w:sz w:val="24"/>
          <w:szCs w:val="24"/>
        </w:rPr>
      </w:pPr>
      <w:r>
        <w:rPr>
          <w:rFonts w:hint="eastAsia" w:ascii="黑体" w:hAnsi="黑体" w:eastAsia="黑体" w:cs="黑体"/>
          <w:b/>
          <w:bCs/>
          <w:color w:val="auto"/>
          <w:spacing w:val="-5"/>
          <w:sz w:val="24"/>
          <w:szCs w:val="24"/>
        </w:rPr>
        <w:br w:type="page"/>
      </w:r>
    </w:p>
    <w:p w14:paraId="45AED143">
      <w:pPr>
        <w:pStyle w:val="6"/>
        <w:keepNext w:val="0"/>
        <w:keepLines w:val="0"/>
        <w:pageBreakBefore w:val="0"/>
        <w:widowControl/>
        <w:kinsoku/>
        <w:wordWrap w:val="0"/>
        <w:overflowPunct/>
        <w:topLinePunct w:val="0"/>
        <w:bidi w:val="0"/>
        <w:spacing w:before="157"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5"/>
          <w:sz w:val="24"/>
          <w:szCs w:val="24"/>
        </w:rPr>
        <w:t>1、投标书</w:t>
      </w:r>
    </w:p>
    <w:p w14:paraId="1FD52208">
      <w:pPr>
        <w:pStyle w:val="6"/>
        <w:keepNext w:val="0"/>
        <w:keepLines w:val="0"/>
        <w:pageBreakBefore w:val="0"/>
        <w:widowControl/>
        <w:kinsoku/>
        <w:wordWrap w:val="0"/>
        <w:overflowPunct/>
        <w:topLinePunct w:val="0"/>
        <w:autoSpaceDE w:val="0"/>
        <w:autoSpaceDN w:val="0"/>
        <w:bidi w:val="0"/>
        <w:adjustRightInd w:val="0"/>
        <w:snapToGrid w:val="0"/>
        <w:spacing w:before="86" w:line="460" w:lineRule="exact"/>
        <w:ind w:left="15"/>
        <w:textAlignment w:val="baseline"/>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pacing w:val="-3"/>
          <w:sz w:val="24"/>
          <w:szCs w:val="24"/>
        </w:rPr>
        <w:t>致：</w:t>
      </w:r>
      <w:r>
        <w:rPr>
          <w:rFonts w:hint="eastAsia" w:ascii="黑体" w:hAnsi="黑体" w:eastAsia="黑体" w:cs="黑体"/>
          <w:i w:val="0"/>
          <w:iCs w:val="0"/>
          <w:color w:val="auto"/>
          <w:spacing w:val="-1"/>
          <w:sz w:val="24"/>
          <w:szCs w:val="24"/>
          <w:u w:val="single"/>
          <w:lang w:val="en-US" w:eastAsia="zh-CN"/>
        </w:rPr>
        <w:t xml:space="preserve">                                     </w:t>
      </w:r>
    </w:p>
    <w:p w14:paraId="74D50781">
      <w:pPr>
        <w:pStyle w:val="6"/>
        <w:keepNext w:val="0"/>
        <w:keepLines w:val="0"/>
        <w:pageBreakBefore w:val="0"/>
        <w:widowControl/>
        <w:kinsoku/>
        <w:wordWrap w:val="0"/>
        <w:overflowPunct/>
        <w:topLinePunct w:val="0"/>
        <w:autoSpaceDE w:val="0"/>
        <w:autoSpaceDN w:val="0"/>
        <w:bidi w:val="0"/>
        <w:adjustRightInd w:val="0"/>
        <w:snapToGrid w:val="0"/>
        <w:spacing w:before="108" w:line="460" w:lineRule="exact"/>
        <w:ind w:left="13" w:leftChars="6" w:right="11" w:firstLine="404" w:firstLineChars="170"/>
        <w:jc w:val="both"/>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根据贵方(</w:t>
      </w:r>
      <w:r>
        <w:rPr>
          <w:rFonts w:hint="eastAsia" w:ascii="黑体" w:hAnsi="黑体" w:eastAsia="黑体" w:cs="黑体"/>
          <w:i w:val="0"/>
          <w:iCs w:val="0"/>
          <w:color w:val="auto"/>
          <w:spacing w:val="-1"/>
          <w:sz w:val="24"/>
          <w:szCs w:val="24"/>
          <w:u w:val="single" w:color="auto"/>
        </w:rPr>
        <w:t>项目名称</w:t>
      </w:r>
      <w:r>
        <w:rPr>
          <w:rFonts w:hint="eastAsia" w:ascii="黑体" w:hAnsi="黑体" w:eastAsia="黑体" w:cs="黑体"/>
          <w:i w:val="0"/>
          <w:iCs w:val="0"/>
          <w:color w:val="auto"/>
          <w:spacing w:val="-1"/>
          <w:sz w:val="24"/>
          <w:szCs w:val="24"/>
        </w:rPr>
        <w:t>)项目的投标邀请(</w:t>
      </w:r>
      <w:r>
        <w:rPr>
          <w:rFonts w:hint="eastAsia" w:ascii="黑体" w:hAnsi="黑体" w:eastAsia="黑体" w:cs="黑体"/>
          <w:i w:val="0"/>
          <w:iCs w:val="0"/>
          <w:color w:val="auto"/>
          <w:spacing w:val="-1"/>
          <w:sz w:val="24"/>
          <w:szCs w:val="24"/>
          <w:u w:val="single" w:color="auto"/>
        </w:rPr>
        <w:t>项目编号</w:t>
      </w:r>
      <w:r>
        <w:rPr>
          <w:rFonts w:hint="eastAsia" w:ascii="黑体" w:hAnsi="黑体" w:eastAsia="黑体" w:cs="黑体"/>
          <w:i w:val="0"/>
          <w:iCs w:val="0"/>
          <w:color w:val="auto"/>
          <w:spacing w:val="-1"/>
          <w:sz w:val="24"/>
          <w:szCs w:val="24"/>
        </w:rPr>
        <w:t>),签字代表(</w:t>
      </w:r>
      <w:r>
        <w:rPr>
          <w:rFonts w:hint="eastAsia" w:ascii="黑体" w:hAnsi="黑体" w:eastAsia="黑体" w:cs="黑体"/>
          <w:i w:val="0"/>
          <w:iCs w:val="0"/>
          <w:color w:val="auto"/>
          <w:spacing w:val="-2"/>
          <w:sz w:val="24"/>
          <w:szCs w:val="24"/>
          <w:u w:val="single" w:color="auto"/>
        </w:rPr>
        <w:t>姓名、职务</w:t>
      </w:r>
      <w:r>
        <w:rPr>
          <w:rFonts w:hint="eastAsia" w:ascii="黑体" w:hAnsi="黑体" w:eastAsia="黑体" w:cs="黑体"/>
          <w:i w:val="0"/>
          <w:iCs w:val="0"/>
          <w:color w:val="auto"/>
          <w:spacing w:val="-2"/>
          <w:sz w:val="24"/>
          <w:szCs w:val="24"/>
        </w:rPr>
        <w:t>)经正</w:t>
      </w:r>
      <w:r>
        <w:rPr>
          <w:rFonts w:hint="eastAsia" w:ascii="黑体" w:hAnsi="黑体" w:eastAsia="黑体" w:cs="黑体"/>
          <w:i w:val="0"/>
          <w:iCs w:val="0"/>
          <w:color w:val="auto"/>
          <w:spacing w:val="-1"/>
          <w:sz w:val="24"/>
          <w:szCs w:val="24"/>
        </w:rPr>
        <w:t>式授权并代表供应商（</w:t>
      </w:r>
      <w:r>
        <w:rPr>
          <w:rFonts w:hint="eastAsia" w:ascii="黑体" w:hAnsi="黑体" w:eastAsia="黑体" w:cs="黑体"/>
          <w:i w:val="0"/>
          <w:iCs w:val="0"/>
          <w:color w:val="auto"/>
          <w:spacing w:val="-1"/>
          <w:sz w:val="24"/>
          <w:szCs w:val="24"/>
          <w:u w:val="single" w:color="auto"/>
        </w:rPr>
        <w:t>名称、地址</w:t>
      </w:r>
      <w:r>
        <w:rPr>
          <w:rFonts w:hint="eastAsia" w:ascii="黑体" w:hAnsi="黑体" w:eastAsia="黑体" w:cs="黑体"/>
          <w:i w:val="0"/>
          <w:iCs w:val="0"/>
          <w:color w:val="auto"/>
          <w:spacing w:val="-1"/>
          <w:sz w:val="24"/>
          <w:szCs w:val="24"/>
        </w:rPr>
        <w:t>）上传投标文件，并以</w:t>
      </w:r>
      <w:r>
        <w:rPr>
          <w:rFonts w:hint="eastAsia" w:ascii="黑体" w:hAnsi="黑体" w:eastAsia="黑体" w:cs="黑体"/>
          <w:i w:val="0"/>
          <w:iCs w:val="0"/>
          <w:color w:val="auto"/>
          <w:spacing w:val="-2"/>
          <w:sz w:val="24"/>
          <w:szCs w:val="24"/>
        </w:rPr>
        <w:t>形式出具的</w:t>
      </w:r>
      <w:r>
        <w:rPr>
          <w:rFonts w:hint="eastAsia" w:ascii="黑体" w:hAnsi="黑体" w:eastAsia="黑体" w:cs="黑体"/>
          <w:i w:val="0"/>
          <w:iCs w:val="0"/>
          <w:color w:val="auto"/>
          <w:spacing w:val="1"/>
          <w:sz w:val="24"/>
          <w:szCs w:val="24"/>
        </w:rPr>
        <w:t>金额为人民币元的投标保证金。</w:t>
      </w:r>
    </w:p>
    <w:p w14:paraId="36FA29F9">
      <w:pPr>
        <w:pStyle w:val="6"/>
        <w:keepNext w:val="0"/>
        <w:keepLines w:val="0"/>
        <w:pageBreakBefore w:val="0"/>
        <w:widowControl/>
        <w:kinsoku/>
        <w:wordWrap w:val="0"/>
        <w:overflowPunct/>
        <w:topLinePunct w:val="0"/>
        <w:autoSpaceDE w:val="0"/>
        <w:autoSpaceDN w:val="0"/>
        <w:bidi w:val="0"/>
        <w:adjustRightInd w:val="0"/>
        <w:snapToGrid w:val="0"/>
        <w:spacing w:before="82" w:line="460" w:lineRule="exact"/>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据此，签字代表宣布同意如下：</w:t>
      </w:r>
    </w:p>
    <w:p w14:paraId="4D008677">
      <w:pPr>
        <w:pStyle w:val="6"/>
        <w:keepNext w:val="0"/>
        <w:keepLines w:val="0"/>
        <w:pageBreakBefore w:val="0"/>
        <w:widowControl/>
        <w:kinsoku/>
        <w:wordWrap w:val="0"/>
        <w:overflowPunct/>
        <w:topLinePunct w:val="0"/>
        <w:autoSpaceDE w:val="0"/>
        <w:autoSpaceDN w:val="0"/>
        <w:bidi w:val="0"/>
        <w:adjustRightInd w:val="0"/>
        <w:snapToGrid w:val="0"/>
        <w:spacing w:before="44" w:line="460" w:lineRule="exact"/>
        <w:ind w:left="10" w:leftChars="5" w:right="11" w:firstLine="407"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（1）附投标价格表中规定的应提供货物的投标总价详见开标一览表，</w:t>
      </w:r>
      <w:r>
        <w:rPr>
          <w:rFonts w:hint="eastAsia" w:ascii="黑体" w:hAnsi="黑体" w:eastAsia="黑体" w:cs="黑体"/>
          <w:i w:val="0"/>
          <w:iCs w:val="0"/>
          <w:color w:val="auto"/>
          <w:spacing w:val="-3"/>
          <w:sz w:val="24"/>
          <w:szCs w:val="24"/>
          <w:u w:val="single" w:color="auto"/>
        </w:rPr>
        <w:t>其中</w:t>
      </w:r>
      <w:r>
        <w:rPr>
          <w:rFonts w:hint="eastAsia" w:ascii="黑体" w:hAnsi="黑体" w:eastAsia="黑体" w:cs="黑体"/>
          <w:i w:val="0"/>
          <w:iCs w:val="0"/>
          <w:color w:val="auto"/>
          <w:spacing w:val="2"/>
          <w:sz w:val="24"/>
          <w:szCs w:val="24"/>
          <w:u w:val="single" w:color="auto"/>
        </w:rPr>
        <w:t>由小型和</w:t>
      </w:r>
      <w:r>
        <w:rPr>
          <w:rFonts w:hint="eastAsia" w:ascii="黑体" w:hAnsi="黑体" w:eastAsia="黑体" w:cs="黑体"/>
          <w:i w:val="0"/>
          <w:iCs w:val="0"/>
          <w:color w:val="auto"/>
          <w:spacing w:val="2"/>
          <w:sz w:val="24"/>
          <w:szCs w:val="24"/>
        </w:rPr>
        <w:t>微型企业制造产品的价格为</w:t>
      </w:r>
      <w:r>
        <w:rPr>
          <w:rFonts w:hint="eastAsia" w:ascii="黑体" w:hAnsi="黑体" w:eastAsia="黑体" w:cs="黑体"/>
          <w:i w:val="0"/>
          <w:iCs w:val="0"/>
          <w:color w:val="auto"/>
          <w:spacing w:val="2"/>
          <w:sz w:val="24"/>
          <w:szCs w:val="24"/>
          <w:u w:val="single" w:color="auto"/>
        </w:rPr>
        <w:t>（用文字</w:t>
      </w:r>
      <w:r>
        <w:rPr>
          <w:rFonts w:hint="eastAsia" w:ascii="黑体" w:hAnsi="黑体" w:eastAsia="黑体" w:cs="黑体"/>
          <w:i w:val="0"/>
          <w:iCs w:val="0"/>
          <w:color w:val="auto"/>
          <w:spacing w:val="1"/>
          <w:sz w:val="24"/>
          <w:szCs w:val="24"/>
          <w:u w:val="single" w:color="auto"/>
        </w:rPr>
        <w:t>和数字表示</w:t>
      </w:r>
      <w:r>
        <w:rPr>
          <w:rFonts w:hint="eastAsia" w:ascii="黑体" w:hAnsi="黑体" w:eastAsia="黑体" w:cs="黑体"/>
          <w:i w:val="0"/>
          <w:iCs w:val="0"/>
          <w:color w:val="auto"/>
          <w:spacing w:val="3"/>
          <w:sz w:val="24"/>
          <w:szCs w:val="24"/>
          <w:u w:val="single" w:color="auto"/>
        </w:rPr>
        <w:t>），</w:t>
      </w:r>
      <w:r>
        <w:rPr>
          <w:rFonts w:hint="eastAsia" w:ascii="黑体" w:hAnsi="黑体" w:eastAsia="黑体" w:cs="黑体"/>
          <w:i w:val="0"/>
          <w:iCs w:val="0"/>
          <w:color w:val="auto"/>
          <w:spacing w:val="1"/>
          <w:sz w:val="24"/>
          <w:szCs w:val="24"/>
          <w:u w:val="single" w:color="auto"/>
        </w:rPr>
        <w:t>占</w:t>
      </w:r>
      <w:r>
        <w:rPr>
          <w:rFonts w:hint="eastAsia" w:ascii="黑体" w:hAnsi="黑体" w:eastAsia="黑体" w:cs="黑体"/>
          <w:i w:val="0"/>
          <w:iCs w:val="0"/>
          <w:color w:val="auto"/>
          <w:spacing w:val="-3"/>
          <w:sz w:val="24"/>
          <w:szCs w:val="24"/>
          <w:u w:val="single" w:color="auto"/>
        </w:rPr>
        <w:t>投标总价</w:t>
      </w:r>
      <w:r>
        <w:rPr>
          <w:rFonts w:hint="eastAsia" w:ascii="黑体" w:hAnsi="黑体" w:eastAsia="黑体" w:cs="黑体"/>
          <w:i w:val="0"/>
          <w:iCs w:val="0"/>
          <w:color w:val="auto"/>
          <w:spacing w:val="-3"/>
          <w:sz w:val="24"/>
          <w:szCs w:val="24"/>
          <w:u w:val="single" w:color="auto"/>
          <w:lang w:val="en-US" w:eastAsia="zh-CN"/>
        </w:rPr>
        <w:t xml:space="preserve">     </w:t>
      </w:r>
      <w:r>
        <w:rPr>
          <w:rFonts w:hint="eastAsia" w:ascii="黑体" w:hAnsi="黑体" w:eastAsia="黑体" w:cs="黑体"/>
          <w:i w:val="0"/>
          <w:iCs w:val="0"/>
          <w:color w:val="auto"/>
          <w:spacing w:val="-3"/>
          <w:sz w:val="24"/>
          <w:szCs w:val="24"/>
          <w:u w:val="single" w:color="auto"/>
        </w:rPr>
        <w:t>%</w:t>
      </w:r>
      <w:r>
        <w:rPr>
          <w:rFonts w:hint="eastAsia" w:ascii="黑体" w:hAnsi="黑体" w:eastAsia="黑体" w:cs="黑体"/>
          <w:i w:val="0"/>
          <w:iCs w:val="0"/>
          <w:color w:val="auto"/>
          <w:spacing w:val="-3"/>
          <w:sz w:val="24"/>
          <w:szCs w:val="24"/>
        </w:rPr>
        <w:t>。</w:t>
      </w:r>
    </w:p>
    <w:p w14:paraId="146C5D55">
      <w:pPr>
        <w:pStyle w:val="6"/>
        <w:keepNext w:val="0"/>
        <w:keepLines w:val="0"/>
        <w:pageBreakBefore w:val="0"/>
        <w:widowControl/>
        <w:kinsoku/>
        <w:wordWrap w:val="0"/>
        <w:overflowPunct/>
        <w:topLinePunct w:val="0"/>
        <w:autoSpaceDE w:val="0"/>
        <w:autoSpaceDN w:val="0"/>
        <w:bidi w:val="0"/>
        <w:adjustRightInd w:val="0"/>
        <w:snapToGrid w:val="0"/>
        <w:spacing w:before="14" w:line="460" w:lineRule="exact"/>
        <w:ind w:left="10" w:leftChars="5" w:firstLine="414"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（2）本投标有效期为自投标截止之日起</w:t>
      </w:r>
      <w:r>
        <w:rPr>
          <w:rFonts w:hint="eastAsia" w:ascii="黑体" w:hAnsi="黑体" w:eastAsia="黑体" w:cs="黑体"/>
          <w:i w:val="0"/>
          <w:iCs w:val="0"/>
          <w:color w:val="auto"/>
          <w:spacing w:val="-2"/>
          <w:sz w:val="24"/>
          <w:szCs w:val="24"/>
        </w:rPr>
        <w:t>个日历日。</w:t>
      </w:r>
    </w:p>
    <w:p w14:paraId="456F36B7">
      <w:pPr>
        <w:pStyle w:val="6"/>
        <w:keepNext w:val="0"/>
        <w:keepLines w:val="0"/>
        <w:pageBreakBefore w:val="0"/>
        <w:widowControl/>
        <w:kinsoku/>
        <w:wordWrap w:val="0"/>
        <w:overflowPunct/>
        <w:topLinePunct w:val="0"/>
        <w:autoSpaceDE w:val="0"/>
        <w:autoSpaceDN w:val="0"/>
        <w:bidi w:val="0"/>
        <w:adjustRightInd w:val="0"/>
        <w:snapToGrid w:val="0"/>
        <w:spacing w:before="21" w:line="460" w:lineRule="exact"/>
        <w:ind w:left="10" w:leftChars="5" w:right="11" w:firstLine="407" w:firstLineChars="174"/>
        <w:textAlignment w:val="baseline"/>
        <w:rPr>
          <w:rFonts w:hint="eastAsia" w:ascii="黑体" w:hAnsi="黑体" w:eastAsia="黑体" w:cs="黑体"/>
          <w:i w:val="0"/>
          <w:iCs w:val="0"/>
          <w:color w:val="auto"/>
          <w:spacing w:val="1"/>
          <w:sz w:val="24"/>
          <w:szCs w:val="24"/>
        </w:rPr>
      </w:pPr>
      <w:r>
        <w:rPr>
          <w:rFonts w:hint="eastAsia" w:ascii="黑体" w:hAnsi="黑体" w:eastAsia="黑体" w:cs="黑体"/>
          <w:i w:val="0"/>
          <w:iCs w:val="0"/>
          <w:color w:val="auto"/>
          <w:spacing w:val="-3"/>
          <w:sz w:val="24"/>
          <w:szCs w:val="24"/>
        </w:rPr>
        <w:t>（3）联合体中的大中型企业和其他自然人、法人或者非法人组织，与联合</w:t>
      </w:r>
      <w:r>
        <w:rPr>
          <w:rFonts w:hint="eastAsia" w:ascii="黑体" w:hAnsi="黑体" w:eastAsia="黑体" w:cs="黑体"/>
          <w:i w:val="0"/>
          <w:iCs w:val="0"/>
          <w:color w:val="auto"/>
          <w:spacing w:val="-2"/>
          <w:sz w:val="24"/>
          <w:szCs w:val="24"/>
        </w:rPr>
        <w:t>体中的小型、微型企业之间</w:t>
      </w:r>
      <w:r>
        <w:rPr>
          <w:rFonts w:hint="eastAsia" w:ascii="黑体" w:hAnsi="黑体" w:eastAsia="黑体" w:cs="黑体"/>
          <w:i w:val="0"/>
          <w:iCs w:val="0"/>
          <w:color w:val="auto"/>
          <w:spacing w:val="-2"/>
          <w:sz w:val="24"/>
          <w:szCs w:val="24"/>
          <w:u w:val="single" w:color="auto"/>
        </w:rPr>
        <w:t>（</w:t>
      </w:r>
      <w:r>
        <w:rPr>
          <w:rFonts w:hint="eastAsia" w:ascii="黑体" w:hAnsi="黑体" w:eastAsia="黑体" w:cs="黑体"/>
          <w:i w:val="0"/>
          <w:iCs w:val="0"/>
          <w:color w:val="auto"/>
          <w:spacing w:val="-2"/>
          <w:sz w:val="24"/>
          <w:szCs w:val="24"/>
        </w:rPr>
        <w:t>存在、不存在）投资关系（如果是</w:t>
      </w:r>
      <w:r>
        <w:rPr>
          <w:rFonts w:hint="eastAsia" w:ascii="黑体" w:hAnsi="黑体" w:eastAsia="黑体" w:cs="黑体"/>
          <w:i w:val="0"/>
          <w:iCs w:val="0"/>
          <w:color w:val="auto"/>
          <w:spacing w:val="1"/>
          <w:sz w:val="24"/>
          <w:szCs w:val="24"/>
        </w:rPr>
        <w:t>联合体的话）。</w:t>
      </w:r>
    </w:p>
    <w:p w14:paraId="7F35B8DC">
      <w:pPr>
        <w:pStyle w:val="6"/>
        <w:keepNext w:val="0"/>
        <w:keepLines w:val="0"/>
        <w:pageBreakBefore w:val="0"/>
        <w:widowControl/>
        <w:kinsoku/>
        <w:wordWrap w:val="0"/>
        <w:overflowPunct/>
        <w:topLinePunct w:val="0"/>
        <w:autoSpaceDE w:val="0"/>
        <w:autoSpaceDN w:val="0"/>
        <w:bidi w:val="0"/>
        <w:adjustRightInd w:val="0"/>
        <w:snapToGrid w:val="0"/>
        <w:spacing w:before="21" w:line="460" w:lineRule="exact"/>
        <w:ind w:left="10" w:leftChars="5" w:right="11" w:firstLine="407"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（4）已详细审查全部招标文件，包括所有补充通知（如果有的话</w:t>
      </w:r>
      <w:r>
        <w:rPr>
          <w:rFonts w:hint="eastAsia" w:ascii="黑体" w:hAnsi="黑体" w:eastAsia="黑体" w:cs="黑体"/>
          <w:i w:val="0"/>
          <w:iCs w:val="0"/>
          <w:color w:val="auto"/>
          <w:sz w:val="24"/>
          <w:szCs w:val="24"/>
        </w:rPr>
        <w:t>），</w:t>
      </w:r>
      <w:r>
        <w:rPr>
          <w:rFonts w:hint="eastAsia" w:ascii="黑体" w:hAnsi="黑体" w:eastAsia="黑体" w:cs="黑体"/>
          <w:i w:val="0"/>
          <w:iCs w:val="0"/>
          <w:color w:val="auto"/>
          <w:spacing w:val="-3"/>
          <w:sz w:val="24"/>
          <w:szCs w:val="24"/>
        </w:rPr>
        <w:t>完全</w:t>
      </w:r>
      <w:r>
        <w:rPr>
          <w:rFonts w:hint="eastAsia" w:ascii="黑体" w:hAnsi="黑体" w:eastAsia="黑体" w:cs="黑体"/>
          <w:i w:val="0"/>
          <w:iCs w:val="0"/>
          <w:color w:val="auto"/>
          <w:sz w:val="24"/>
          <w:szCs w:val="24"/>
        </w:rPr>
        <w:t>理解并同意放弃对这方面有不明、误解和质疑的</w:t>
      </w:r>
      <w:r>
        <w:rPr>
          <w:rFonts w:hint="eastAsia" w:ascii="黑体" w:hAnsi="黑体" w:eastAsia="黑体" w:cs="黑体"/>
          <w:i w:val="0"/>
          <w:iCs w:val="0"/>
          <w:color w:val="auto"/>
          <w:spacing w:val="-1"/>
          <w:sz w:val="24"/>
          <w:szCs w:val="24"/>
        </w:rPr>
        <w:t>权力。</w:t>
      </w:r>
    </w:p>
    <w:p w14:paraId="1AF9B27C">
      <w:pPr>
        <w:pStyle w:val="6"/>
        <w:keepNext w:val="0"/>
        <w:keepLines w:val="0"/>
        <w:pageBreakBefore w:val="0"/>
        <w:widowControl/>
        <w:kinsoku/>
        <w:wordWrap w:val="0"/>
        <w:overflowPunct/>
        <w:topLinePunct w:val="0"/>
        <w:autoSpaceDE w:val="0"/>
        <w:autoSpaceDN w:val="0"/>
        <w:bidi w:val="0"/>
        <w:adjustRightInd w:val="0"/>
        <w:snapToGrid w:val="0"/>
        <w:spacing w:before="42" w:line="460" w:lineRule="exact"/>
        <w:ind w:left="10" w:leftChars="5" w:firstLine="407"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（5）在规定的开标时间后，遵守招标文件中有关保证金的规定。</w:t>
      </w:r>
    </w:p>
    <w:p w14:paraId="676F7E6C">
      <w:pPr>
        <w:pStyle w:val="6"/>
        <w:keepNext w:val="0"/>
        <w:keepLines w:val="0"/>
        <w:pageBreakBefore w:val="0"/>
        <w:widowControl/>
        <w:kinsoku/>
        <w:wordWrap w:val="0"/>
        <w:overflowPunct/>
        <w:topLinePunct w:val="0"/>
        <w:autoSpaceDE w:val="0"/>
        <w:autoSpaceDN w:val="0"/>
        <w:bidi w:val="0"/>
        <w:adjustRightInd w:val="0"/>
        <w:snapToGrid w:val="0"/>
        <w:spacing w:before="20" w:line="460" w:lineRule="exact"/>
        <w:ind w:left="10" w:leftChars="5" w:right="11" w:firstLine="407"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（6）我方不是为本项目提供整体设计、规范编制或者项目管理、监理、检</w:t>
      </w:r>
      <w:r>
        <w:rPr>
          <w:rFonts w:hint="eastAsia" w:ascii="黑体" w:hAnsi="黑体" w:eastAsia="黑体" w:cs="黑体"/>
          <w:i w:val="0"/>
          <w:iCs w:val="0"/>
          <w:color w:val="auto"/>
          <w:spacing w:val="-2"/>
          <w:sz w:val="24"/>
          <w:szCs w:val="24"/>
        </w:rPr>
        <w:t>测等货物的供应商，我方不是采购代理机构的附属机构。</w:t>
      </w:r>
    </w:p>
    <w:p w14:paraId="11B4F6AE">
      <w:pPr>
        <w:pStyle w:val="6"/>
        <w:keepNext w:val="0"/>
        <w:keepLines w:val="0"/>
        <w:pageBreakBefore w:val="0"/>
        <w:widowControl/>
        <w:kinsoku/>
        <w:wordWrap w:val="0"/>
        <w:overflowPunct/>
        <w:topLinePunct w:val="0"/>
        <w:autoSpaceDE w:val="0"/>
        <w:autoSpaceDN w:val="0"/>
        <w:bidi w:val="0"/>
        <w:adjustRightInd w:val="0"/>
        <w:snapToGrid w:val="0"/>
        <w:spacing w:before="44" w:line="460" w:lineRule="exact"/>
        <w:ind w:left="10" w:leftChars="5" w:right="11" w:firstLine="407"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3"/>
          <w:sz w:val="24"/>
          <w:szCs w:val="24"/>
        </w:rPr>
        <w:t>（7）在领取中标通知书的同时按招标文件规定的形式，向贵方一次性支付</w:t>
      </w:r>
      <w:r>
        <w:rPr>
          <w:rFonts w:hint="eastAsia" w:ascii="黑体" w:hAnsi="黑体" w:eastAsia="黑体" w:cs="黑体"/>
          <w:i w:val="0"/>
          <w:iCs w:val="0"/>
          <w:color w:val="auto"/>
          <w:spacing w:val="-4"/>
          <w:sz w:val="24"/>
          <w:szCs w:val="24"/>
        </w:rPr>
        <w:t>中标服务</w:t>
      </w:r>
      <w:r>
        <w:rPr>
          <w:rFonts w:hint="eastAsia" w:ascii="黑体" w:hAnsi="黑体" w:eastAsia="黑体" w:cs="黑体"/>
          <w:i w:val="0"/>
          <w:iCs w:val="0"/>
          <w:color w:val="auto"/>
          <w:spacing w:val="-4"/>
          <w:sz w:val="24"/>
          <w:szCs w:val="24"/>
          <w:lang w:eastAsia="zh-CN"/>
        </w:rPr>
        <w:t>；</w:t>
      </w:r>
      <w:r>
        <w:rPr>
          <w:rFonts w:hint="eastAsia" w:ascii="黑体" w:hAnsi="黑体" w:eastAsia="黑体" w:cs="黑体"/>
          <w:i w:val="0"/>
          <w:iCs w:val="0"/>
          <w:color w:val="auto"/>
          <w:spacing w:val="-3"/>
          <w:sz w:val="24"/>
          <w:szCs w:val="24"/>
        </w:rPr>
        <w:t>（8）按照贵方可能要求，提供与其投标有关的一切数据或资料，完全理解</w:t>
      </w:r>
      <w:r>
        <w:rPr>
          <w:rFonts w:hint="eastAsia" w:ascii="黑体" w:hAnsi="黑体" w:eastAsia="黑体" w:cs="黑体"/>
          <w:i w:val="0"/>
          <w:iCs w:val="0"/>
          <w:color w:val="auto"/>
          <w:spacing w:val="-1"/>
          <w:sz w:val="24"/>
          <w:szCs w:val="24"/>
        </w:rPr>
        <w:t>贵方不一定接受最低价的投标或收到的任何投标。</w:t>
      </w:r>
    </w:p>
    <w:p w14:paraId="49B9FA7C">
      <w:pPr>
        <w:pStyle w:val="6"/>
        <w:keepNext w:val="0"/>
        <w:keepLines w:val="0"/>
        <w:pageBreakBefore w:val="0"/>
        <w:widowControl/>
        <w:kinsoku/>
        <w:wordWrap w:val="0"/>
        <w:overflowPunct/>
        <w:topLinePunct w:val="0"/>
        <w:autoSpaceDE w:val="0"/>
        <w:autoSpaceDN w:val="0"/>
        <w:bidi w:val="0"/>
        <w:adjustRightInd w:val="0"/>
        <w:snapToGrid w:val="0"/>
        <w:spacing w:before="1" w:line="460" w:lineRule="exact"/>
        <w:ind w:left="10" w:leftChars="5" w:firstLine="410" w:firstLineChars="174"/>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2"/>
          <w:sz w:val="24"/>
          <w:szCs w:val="24"/>
        </w:rPr>
        <w:t>（9）按照招标文件的规定履行合同责任和义务。</w:t>
      </w:r>
    </w:p>
    <w:p w14:paraId="41131F14">
      <w:pPr>
        <w:pStyle w:val="6"/>
        <w:keepNext w:val="0"/>
        <w:keepLines w:val="0"/>
        <w:pageBreakBefore w:val="0"/>
        <w:widowControl/>
        <w:kinsoku/>
        <w:wordWrap w:val="0"/>
        <w:overflowPunct/>
        <w:topLinePunct w:val="0"/>
        <w:autoSpaceDE w:val="0"/>
        <w:autoSpaceDN w:val="0"/>
        <w:bidi w:val="0"/>
        <w:adjustRightInd w:val="0"/>
        <w:snapToGrid w:val="0"/>
        <w:spacing w:before="104" w:line="460" w:lineRule="exact"/>
        <w:ind w:left="13" w:leftChars="6" w:firstLine="404" w:firstLineChars="170"/>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与本投标有关的一切正式往来信函请寄：</w:t>
      </w:r>
    </w:p>
    <w:p w14:paraId="78770BA1">
      <w:pPr>
        <w:pStyle w:val="6"/>
        <w:keepNext w:val="0"/>
        <w:keepLines w:val="0"/>
        <w:pageBreakBefore w:val="0"/>
        <w:widowControl/>
        <w:tabs>
          <w:tab w:val="left" w:pos="8322"/>
        </w:tabs>
        <w:kinsoku/>
        <w:wordWrap w:val="0"/>
        <w:overflowPunct/>
        <w:topLinePunct w:val="0"/>
        <w:autoSpaceDE w:val="0"/>
        <w:autoSpaceDN w:val="0"/>
        <w:bidi w:val="0"/>
        <w:adjustRightInd w:val="0"/>
        <w:snapToGrid w:val="0"/>
        <w:spacing w:before="88" w:line="460" w:lineRule="exact"/>
        <w:ind w:left="13" w:leftChars="6" w:right="12" w:firstLine="408" w:firstLineChars="170"/>
        <w:jc w:val="both"/>
        <w:textAlignment w:val="baseline"/>
        <w:rPr>
          <w:rFonts w:hint="eastAsia" w:ascii="黑体" w:hAnsi="黑体" w:eastAsia="黑体" w:cs="黑体"/>
          <w:i w:val="0"/>
          <w:iCs w:val="0"/>
          <w:color w:val="auto"/>
          <w:spacing w:val="-1"/>
          <w:sz w:val="24"/>
          <w:szCs w:val="24"/>
          <w:u w:val="single"/>
          <w:lang w:val="en-US" w:eastAsia="zh-CN"/>
        </w:rPr>
      </w:pPr>
      <w:r>
        <w:rPr>
          <w:rFonts w:hint="eastAsia" w:ascii="黑体" w:hAnsi="黑体" w:eastAsia="黑体" w:cs="黑体"/>
          <w:i w:val="0"/>
          <w:iCs w:val="0"/>
          <w:color w:val="auto"/>
          <w:sz w:val="24"/>
          <w:szCs w:val="24"/>
        </w:rPr>
        <w:t>地址</w:t>
      </w:r>
      <w:r>
        <w:rPr>
          <w:rFonts w:hint="eastAsia" w:ascii="黑体" w:hAnsi="黑体" w:eastAsia="黑体" w:cs="黑体"/>
          <w:i w:val="0"/>
          <w:iCs w:val="0"/>
          <w:color w:val="auto"/>
          <w:spacing w:val="-1"/>
          <w:sz w:val="24"/>
          <w:szCs w:val="24"/>
        </w:rPr>
        <w:t>传真</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7F7615B3">
      <w:pPr>
        <w:pStyle w:val="6"/>
        <w:keepNext w:val="0"/>
        <w:keepLines w:val="0"/>
        <w:pageBreakBefore w:val="0"/>
        <w:widowControl/>
        <w:tabs>
          <w:tab w:val="left" w:pos="8322"/>
        </w:tabs>
        <w:kinsoku/>
        <w:wordWrap w:val="0"/>
        <w:overflowPunct/>
        <w:topLinePunct w:val="0"/>
        <w:autoSpaceDE w:val="0"/>
        <w:autoSpaceDN w:val="0"/>
        <w:bidi w:val="0"/>
        <w:adjustRightInd w:val="0"/>
        <w:snapToGrid w:val="0"/>
        <w:spacing w:before="88" w:line="460" w:lineRule="exact"/>
        <w:ind w:left="13" w:leftChars="6" w:right="12" w:firstLine="394" w:firstLineChars="170"/>
        <w:jc w:val="both"/>
        <w:textAlignment w:val="baseline"/>
        <w:rPr>
          <w:rFonts w:hint="eastAsia" w:ascii="黑体" w:hAnsi="黑体" w:eastAsia="黑体" w:cs="黑体"/>
          <w:i w:val="0"/>
          <w:iCs w:val="0"/>
          <w:color w:val="auto"/>
          <w:spacing w:val="-1"/>
          <w:sz w:val="24"/>
          <w:szCs w:val="24"/>
          <w:u w:val="single"/>
          <w:lang w:val="en-US" w:eastAsia="zh-CN"/>
        </w:rPr>
      </w:pPr>
      <w:r>
        <w:rPr>
          <w:rFonts w:hint="eastAsia" w:ascii="黑体" w:hAnsi="黑体" w:eastAsia="黑体" w:cs="黑体"/>
          <w:i w:val="0"/>
          <w:iCs w:val="0"/>
          <w:color w:val="auto"/>
          <w:spacing w:val="-4"/>
          <w:sz w:val="24"/>
          <w:szCs w:val="24"/>
        </w:rPr>
        <w:t>电话电子函件</w:t>
      </w:r>
      <w:r>
        <w:rPr>
          <w:rFonts w:hint="eastAsia" w:ascii="黑体" w:hAnsi="黑体" w:eastAsia="黑体" w:cs="黑体"/>
          <w:i w:val="0"/>
          <w:iCs w:val="0"/>
          <w:color w:val="auto"/>
          <w:spacing w:val="-4"/>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505DF17D">
      <w:pPr>
        <w:pStyle w:val="6"/>
        <w:keepNext w:val="0"/>
        <w:keepLines w:val="0"/>
        <w:pageBreakBefore w:val="0"/>
        <w:widowControl/>
        <w:tabs>
          <w:tab w:val="left" w:pos="8322"/>
        </w:tabs>
        <w:kinsoku/>
        <w:wordWrap w:val="0"/>
        <w:overflowPunct/>
        <w:topLinePunct w:val="0"/>
        <w:autoSpaceDE w:val="0"/>
        <w:autoSpaceDN w:val="0"/>
        <w:bidi w:val="0"/>
        <w:adjustRightInd w:val="0"/>
        <w:snapToGrid w:val="0"/>
        <w:spacing w:before="88" w:line="460" w:lineRule="exact"/>
        <w:ind w:left="13" w:leftChars="6" w:right="12" w:firstLine="404" w:firstLineChars="170"/>
        <w:jc w:val="both"/>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法定代表人或其委托代理人（</w:t>
      </w:r>
      <w:r>
        <w:rPr>
          <w:rFonts w:hint="eastAsia" w:ascii="黑体" w:hAnsi="黑体" w:eastAsia="黑体" w:cs="黑体"/>
          <w:color w:val="auto"/>
          <w:spacing w:val="-1"/>
          <w:sz w:val="24"/>
          <w:szCs w:val="24"/>
        </w:rPr>
        <w:t>签</w:t>
      </w:r>
      <w:r>
        <w:rPr>
          <w:rFonts w:hint="eastAsia" w:ascii="黑体" w:hAnsi="黑体" w:eastAsia="黑体" w:cs="黑体"/>
          <w:color w:val="auto"/>
          <w:spacing w:val="-1"/>
          <w:sz w:val="24"/>
          <w:szCs w:val="24"/>
          <w:lang w:val="en-US" w:eastAsia="zh-CN"/>
        </w:rPr>
        <w:t>字或盖</w:t>
      </w:r>
      <w:r>
        <w:rPr>
          <w:rFonts w:hint="eastAsia" w:ascii="黑体" w:hAnsi="黑体" w:eastAsia="黑体" w:cs="黑体"/>
          <w:color w:val="auto"/>
          <w:spacing w:val="-1"/>
          <w:sz w:val="24"/>
          <w:szCs w:val="24"/>
        </w:rPr>
        <w:t>章</w:t>
      </w:r>
      <w:r>
        <w:rPr>
          <w:rFonts w:hint="eastAsia" w:ascii="黑体" w:hAnsi="黑体" w:eastAsia="黑体" w:cs="黑体"/>
          <w:i w:val="0"/>
          <w:iCs w:val="0"/>
          <w:color w:val="auto"/>
          <w:spacing w:val="-1"/>
          <w:sz w:val="24"/>
          <w:szCs w:val="24"/>
        </w:rPr>
        <w:t>）</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522423B0">
      <w:pPr>
        <w:pStyle w:val="6"/>
        <w:keepNext w:val="0"/>
        <w:keepLines w:val="0"/>
        <w:pageBreakBefore w:val="0"/>
        <w:widowControl/>
        <w:kinsoku/>
        <w:wordWrap w:val="0"/>
        <w:overflowPunct/>
        <w:topLinePunct w:val="0"/>
        <w:autoSpaceDE w:val="0"/>
        <w:autoSpaceDN w:val="0"/>
        <w:bidi w:val="0"/>
        <w:adjustRightInd w:val="0"/>
        <w:snapToGrid w:val="0"/>
        <w:spacing w:before="22" w:line="460" w:lineRule="exact"/>
        <w:ind w:left="13" w:leftChars="6" w:firstLine="404" w:firstLineChars="170"/>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供应商名称（公章）</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64976AEB">
      <w:pPr>
        <w:pStyle w:val="6"/>
        <w:keepNext w:val="0"/>
        <w:keepLines w:val="0"/>
        <w:pageBreakBefore w:val="0"/>
        <w:widowControl/>
        <w:kinsoku/>
        <w:wordWrap w:val="0"/>
        <w:overflowPunct/>
        <w:topLinePunct w:val="0"/>
        <w:autoSpaceDE w:val="0"/>
        <w:autoSpaceDN w:val="0"/>
        <w:bidi w:val="0"/>
        <w:adjustRightInd w:val="0"/>
        <w:snapToGrid w:val="0"/>
        <w:spacing w:before="1" w:line="460" w:lineRule="exact"/>
        <w:ind w:left="13" w:leftChars="6" w:firstLine="408" w:firstLineChars="170"/>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供应商开户银行（全称）</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1F11233F">
      <w:pPr>
        <w:pStyle w:val="6"/>
        <w:keepNext w:val="0"/>
        <w:keepLines w:val="0"/>
        <w:pageBreakBefore w:val="0"/>
        <w:widowControl/>
        <w:kinsoku/>
        <w:wordWrap w:val="0"/>
        <w:overflowPunct/>
        <w:topLinePunct w:val="0"/>
        <w:autoSpaceDE w:val="0"/>
        <w:autoSpaceDN w:val="0"/>
        <w:bidi w:val="0"/>
        <w:adjustRightInd w:val="0"/>
        <w:snapToGrid w:val="0"/>
        <w:spacing w:before="67" w:line="460" w:lineRule="exact"/>
        <w:ind w:left="13" w:leftChars="6" w:firstLine="404" w:firstLineChars="170"/>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1"/>
          <w:sz w:val="24"/>
          <w:szCs w:val="24"/>
        </w:rPr>
        <w:t>供应商银行帐号</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7403DECB">
      <w:pPr>
        <w:pStyle w:val="6"/>
        <w:keepNext w:val="0"/>
        <w:keepLines w:val="0"/>
        <w:pageBreakBefore w:val="0"/>
        <w:widowControl/>
        <w:kinsoku/>
        <w:wordWrap w:val="0"/>
        <w:overflowPunct/>
        <w:topLinePunct w:val="0"/>
        <w:autoSpaceDE w:val="0"/>
        <w:autoSpaceDN w:val="0"/>
        <w:bidi w:val="0"/>
        <w:adjustRightInd w:val="0"/>
        <w:snapToGrid w:val="0"/>
        <w:spacing w:before="92" w:line="460" w:lineRule="exact"/>
        <w:ind w:left="13" w:leftChars="6" w:firstLine="340" w:firstLineChars="170"/>
        <w:textAlignment w:val="baseline"/>
        <w:rPr>
          <w:rFonts w:hint="eastAsia" w:ascii="黑体" w:hAnsi="黑体" w:eastAsia="黑体" w:cs="黑体"/>
          <w:i w:val="0"/>
          <w:iCs w:val="0"/>
          <w:color w:val="auto"/>
          <w:sz w:val="24"/>
          <w:szCs w:val="24"/>
        </w:rPr>
      </w:pPr>
      <w:r>
        <w:rPr>
          <w:rFonts w:hint="eastAsia" w:ascii="黑体" w:hAnsi="黑体" w:eastAsia="黑体" w:cs="黑体"/>
          <w:i w:val="0"/>
          <w:iCs w:val="0"/>
          <w:color w:val="auto"/>
          <w:spacing w:val="-20"/>
          <w:sz w:val="24"/>
          <w:szCs w:val="24"/>
        </w:rPr>
        <w:t>日期</w:t>
      </w:r>
      <w:r>
        <w:rPr>
          <w:rFonts w:hint="eastAsia" w:ascii="黑体" w:hAnsi="黑体" w:eastAsia="黑体" w:cs="黑体"/>
          <w:i w:val="0"/>
          <w:iCs w:val="0"/>
          <w:color w:val="auto"/>
          <w:spacing w:val="-1"/>
          <w:sz w:val="24"/>
          <w:szCs w:val="24"/>
          <w:lang w:eastAsia="zh-CN"/>
        </w:rPr>
        <w:t>：</w:t>
      </w:r>
      <w:r>
        <w:rPr>
          <w:rFonts w:hint="eastAsia" w:ascii="黑体" w:hAnsi="黑体" w:eastAsia="黑体" w:cs="黑体"/>
          <w:i w:val="0"/>
          <w:iCs w:val="0"/>
          <w:color w:val="auto"/>
          <w:spacing w:val="-1"/>
          <w:sz w:val="24"/>
          <w:szCs w:val="24"/>
          <w:u w:val="single"/>
          <w:lang w:val="en-US" w:eastAsia="zh-CN"/>
        </w:rPr>
        <w:t xml:space="preserve">                                     </w:t>
      </w:r>
    </w:p>
    <w:p w14:paraId="3115AA62">
      <w:pPr>
        <w:pStyle w:val="6"/>
        <w:keepNext w:val="0"/>
        <w:keepLines w:val="0"/>
        <w:pageBreakBefore w:val="0"/>
        <w:widowControl/>
        <w:kinsoku/>
        <w:wordWrap w:val="0"/>
        <w:overflowPunct/>
        <w:topLinePunct w:val="0"/>
        <w:bidi w:val="0"/>
        <w:spacing w:before="45"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2、投标分项报价表</w:t>
      </w:r>
    </w:p>
    <w:p w14:paraId="76DF1FE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06EAD1C">
      <w:pPr>
        <w:pStyle w:val="6"/>
        <w:keepNext w:val="0"/>
        <w:keepLines w:val="0"/>
        <w:pageBreakBefore w:val="0"/>
        <w:widowControl/>
        <w:kinsoku/>
        <w:wordWrap w:val="0"/>
        <w:overflowPunct/>
        <w:topLinePunct w:val="0"/>
        <w:bidi w:val="0"/>
        <w:spacing w:line="460" w:lineRule="exact"/>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项目名称</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lang w:val="en-US" w:eastAsia="zh-CN"/>
        </w:rPr>
        <w:t xml:space="preserve">                  </w:t>
      </w:r>
      <w:r>
        <w:rPr>
          <w:rFonts w:hint="eastAsia" w:ascii="黑体" w:hAnsi="黑体" w:eastAsia="黑体" w:cs="黑体"/>
          <w:color w:val="auto"/>
          <w:spacing w:val="-1"/>
          <w:sz w:val="24"/>
          <w:szCs w:val="24"/>
        </w:rPr>
        <w:t>项目编号</w:t>
      </w:r>
      <w:r>
        <w:rPr>
          <w:rFonts w:hint="eastAsia" w:ascii="黑体" w:hAnsi="黑体" w:eastAsia="黑体" w:cs="黑体"/>
          <w:color w:val="auto"/>
          <w:spacing w:val="-1"/>
          <w:sz w:val="24"/>
          <w:szCs w:val="24"/>
          <w:lang w:eastAsia="zh-CN"/>
        </w:rPr>
        <w:t>：</w:t>
      </w:r>
      <w:r>
        <w:rPr>
          <w:rFonts w:hint="eastAsia" w:ascii="黑体" w:hAnsi="黑体" w:eastAsia="黑体" w:cs="黑体"/>
          <w:b/>
          <w:bCs/>
          <w:color w:val="auto"/>
          <w:spacing w:val="-1"/>
          <w:position w:val="-1"/>
          <w:sz w:val="24"/>
          <w:szCs w:val="24"/>
          <w:lang w:val="en-US" w:eastAsia="zh-CN"/>
        </w:rPr>
        <w:t xml:space="preserve">           </w:t>
      </w:r>
      <w:r>
        <w:rPr>
          <w:rFonts w:hint="eastAsia" w:ascii="黑体" w:hAnsi="黑体" w:eastAsia="黑体" w:cs="黑体"/>
          <w:color w:val="auto"/>
          <w:spacing w:val="-1"/>
          <w:position w:val="-1"/>
          <w:sz w:val="24"/>
          <w:szCs w:val="24"/>
          <w:lang w:val="en-US" w:eastAsia="zh-CN"/>
        </w:rPr>
        <w:t xml:space="preserve">       </w:t>
      </w:r>
      <w:r>
        <w:rPr>
          <w:rFonts w:hint="eastAsia" w:ascii="黑体" w:hAnsi="黑体" w:eastAsia="黑体" w:cs="黑体"/>
          <w:color w:val="auto"/>
          <w:spacing w:val="-1"/>
          <w:position w:val="-1"/>
          <w:sz w:val="24"/>
          <w:szCs w:val="24"/>
        </w:rPr>
        <w:t>报价单位：人民币</w:t>
      </w:r>
      <w:r>
        <w:rPr>
          <w:rFonts w:hint="eastAsia" w:ascii="黑体" w:hAnsi="黑体" w:eastAsia="黑体" w:cs="黑体"/>
          <w:b/>
          <w:bCs/>
          <w:color w:val="auto"/>
          <w:spacing w:val="-1"/>
          <w:position w:val="-1"/>
          <w:sz w:val="24"/>
          <w:szCs w:val="24"/>
        </w:rPr>
        <w:t>元</w:t>
      </w:r>
      <w:r>
        <w:rPr>
          <w:rFonts w:hint="eastAsia" w:ascii="黑体" w:hAnsi="黑体" w:eastAsia="黑体" w:cs="黑体"/>
          <w:b/>
          <w:bCs/>
          <w:color w:val="auto"/>
          <w:spacing w:val="-1"/>
          <w:position w:val="-1"/>
          <w:sz w:val="24"/>
          <w:szCs w:val="24"/>
          <w:lang w:val="en-US" w:eastAsia="zh-CN"/>
        </w:rPr>
        <w:t xml:space="preserve">  </w:t>
      </w:r>
    </w:p>
    <w:tbl>
      <w:tblPr>
        <w:tblStyle w:val="16"/>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1"/>
        <w:gridCol w:w="604"/>
        <w:gridCol w:w="890"/>
        <w:gridCol w:w="579"/>
        <w:gridCol w:w="579"/>
        <w:gridCol w:w="900"/>
        <w:gridCol w:w="984"/>
        <w:gridCol w:w="718"/>
        <w:gridCol w:w="811"/>
        <w:gridCol w:w="900"/>
        <w:gridCol w:w="873"/>
        <w:gridCol w:w="665"/>
      </w:tblGrid>
      <w:tr w14:paraId="7150D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321" w:type="pct"/>
            <w:vAlign w:val="top"/>
          </w:tcPr>
          <w:p w14:paraId="716EBDD9">
            <w:pPr>
              <w:keepNext w:val="0"/>
              <w:keepLines w:val="0"/>
              <w:pageBreakBefore w:val="0"/>
              <w:widowControl/>
              <w:kinsoku/>
              <w:wordWrap w:val="0"/>
              <w:overflowPunct/>
              <w:topLinePunct w:val="0"/>
              <w:bidi w:val="0"/>
              <w:spacing w:before="192" w:line="46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333" w:type="pct"/>
            <w:vAlign w:val="top"/>
          </w:tcPr>
          <w:p w14:paraId="02755DFD">
            <w:pPr>
              <w:keepNext w:val="0"/>
              <w:keepLines w:val="0"/>
              <w:pageBreakBefore w:val="0"/>
              <w:widowControl/>
              <w:kinsoku/>
              <w:wordWrap w:val="0"/>
              <w:overflowPunct/>
              <w:topLinePunct w:val="0"/>
              <w:bidi w:val="0"/>
              <w:spacing w:before="1" w:line="460" w:lineRule="exact"/>
              <w:jc w:val="center"/>
              <w:rPr>
                <w:rFonts w:hint="eastAsia" w:ascii="黑体" w:hAnsi="黑体" w:eastAsia="黑体" w:cs="黑体"/>
                <w:color w:val="auto"/>
                <w:sz w:val="24"/>
                <w:szCs w:val="24"/>
              </w:rPr>
            </w:pPr>
            <w:r>
              <w:rPr>
                <w:rFonts w:hint="eastAsia" w:ascii="黑体" w:hAnsi="黑体" w:eastAsia="黑体" w:cs="黑体"/>
                <w:color w:val="auto"/>
                <w:sz w:val="24"/>
                <w:szCs w:val="24"/>
              </w:rPr>
              <w:t>货物名称</w:t>
            </w:r>
          </w:p>
        </w:tc>
        <w:tc>
          <w:tcPr>
            <w:tcW w:w="490" w:type="pct"/>
            <w:vAlign w:val="top"/>
          </w:tcPr>
          <w:p w14:paraId="434237E3">
            <w:pPr>
              <w:keepNext w:val="0"/>
              <w:keepLines w:val="0"/>
              <w:pageBreakBefore w:val="0"/>
              <w:widowControl/>
              <w:kinsoku/>
              <w:wordWrap w:val="0"/>
              <w:overflowPunct/>
              <w:topLinePunct w:val="0"/>
              <w:bidi w:val="0"/>
              <w:spacing w:before="191"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9"/>
                <w:sz w:val="24"/>
                <w:szCs w:val="24"/>
              </w:rPr>
              <w:t>品牌</w:t>
            </w:r>
          </w:p>
        </w:tc>
        <w:tc>
          <w:tcPr>
            <w:tcW w:w="319" w:type="pct"/>
            <w:vAlign w:val="top"/>
          </w:tcPr>
          <w:p w14:paraId="66C30529">
            <w:pPr>
              <w:keepNext w:val="0"/>
              <w:keepLines w:val="0"/>
              <w:pageBreakBefore w:val="0"/>
              <w:widowControl/>
              <w:kinsoku/>
              <w:wordWrap w:val="0"/>
              <w:overflowPunct/>
              <w:topLinePunct w:val="0"/>
              <w:bidi w:val="0"/>
              <w:spacing w:before="192"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12"/>
                <w:sz w:val="24"/>
                <w:szCs w:val="24"/>
              </w:rPr>
              <w:t>型号</w:t>
            </w:r>
          </w:p>
        </w:tc>
        <w:tc>
          <w:tcPr>
            <w:tcW w:w="319" w:type="pct"/>
            <w:vAlign w:val="top"/>
          </w:tcPr>
          <w:p w14:paraId="69E4898A">
            <w:pPr>
              <w:keepNext w:val="0"/>
              <w:keepLines w:val="0"/>
              <w:pageBreakBefore w:val="0"/>
              <w:widowControl/>
              <w:kinsoku/>
              <w:wordWrap w:val="0"/>
              <w:overflowPunct/>
              <w:topLinePunct w:val="0"/>
              <w:bidi w:val="0"/>
              <w:spacing w:before="191"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4"/>
                <w:sz w:val="24"/>
                <w:szCs w:val="24"/>
              </w:rPr>
              <w:t>规格</w:t>
            </w:r>
          </w:p>
        </w:tc>
        <w:tc>
          <w:tcPr>
            <w:tcW w:w="495" w:type="pct"/>
            <w:vAlign w:val="top"/>
          </w:tcPr>
          <w:p w14:paraId="0AE06C7F">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2"/>
                <w:sz w:val="24"/>
                <w:szCs w:val="24"/>
              </w:rPr>
              <w:t>制造商名称</w:t>
            </w:r>
          </w:p>
        </w:tc>
        <w:tc>
          <w:tcPr>
            <w:tcW w:w="541" w:type="pct"/>
            <w:vAlign w:val="top"/>
          </w:tcPr>
          <w:p w14:paraId="34ADA9F8">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2"/>
                <w:sz w:val="24"/>
                <w:szCs w:val="24"/>
              </w:rPr>
              <w:t>产地</w:t>
            </w:r>
          </w:p>
        </w:tc>
        <w:tc>
          <w:tcPr>
            <w:tcW w:w="395" w:type="pct"/>
            <w:vAlign w:val="top"/>
          </w:tcPr>
          <w:p w14:paraId="4EA84C97">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2"/>
                <w:sz w:val="24"/>
                <w:szCs w:val="24"/>
              </w:rPr>
              <w:t>数量</w:t>
            </w:r>
          </w:p>
        </w:tc>
        <w:tc>
          <w:tcPr>
            <w:tcW w:w="446" w:type="pct"/>
            <w:vAlign w:val="top"/>
          </w:tcPr>
          <w:p w14:paraId="72967CE9">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3"/>
                <w:sz w:val="24"/>
                <w:szCs w:val="24"/>
              </w:rPr>
              <w:t>单位</w:t>
            </w:r>
          </w:p>
        </w:tc>
        <w:tc>
          <w:tcPr>
            <w:tcW w:w="495" w:type="pct"/>
            <w:vAlign w:val="center"/>
          </w:tcPr>
          <w:p w14:paraId="3CAF09A5">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pacing w:val="-3"/>
                <w:position w:val="26"/>
                <w:sz w:val="24"/>
                <w:szCs w:val="24"/>
              </w:rPr>
            </w:pPr>
            <w:r>
              <w:rPr>
                <w:rFonts w:hint="eastAsia" w:ascii="黑体" w:hAnsi="黑体" w:eastAsia="黑体" w:cs="黑体"/>
                <w:color w:val="auto"/>
                <w:spacing w:val="-3"/>
                <w:position w:val="26"/>
                <w:sz w:val="24"/>
                <w:szCs w:val="24"/>
              </w:rPr>
              <w:t>单价</w:t>
            </w:r>
          </w:p>
          <w:p w14:paraId="25F553C7">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3"/>
                <w:position w:val="26"/>
                <w:sz w:val="24"/>
                <w:szCs w:val="24"/>
                <w:lang w:eastAsia="zh-CN"/>
              </w:rPr>
              <w:t>（</w:t>
            </w:r>
            <w:r>
              <w:rPr>
                <w:rFonts w:hint="eastAsia" w:ascii="黑体" w:hAnsi="黑体" w:eastAsia="黑体" w:cs="黑体"/>
                <w:color w:val="auto"/>
                <w:spacing w:val="-3"/>
                <w:position w:val="26"/>
                <w:sz w:val="24"/>
                <w:szCs w:val="24"/>
                <w:lang w:val="en-US" w:eastAsia="zh-CN"/>
              </w:rPr>
              <w:t>元</w:t>
            </w:r>
            <w:r>
              <w:rPr>
                <w:rFonts w:hint="eastAsia" w:ascii="黑体" w:hAnsi="黑体" w:eastAsia="黑体" w:cs="黑体"/>
                <w:color w:val="auto"/>
                <w:spacing w:val="-3"/>
                <w:position w:val="26"/>
                <w:sz w:val="24"/>
                <w:szCs w:val="24"/>
                <w:lang w:eastAsia="zh-CN"/>
              </w:rPr>
              <w:t>）</w:t>
            </w:r>
          </w:p>
        </w:tc>
        <w:tc>
          <w:tcPr>
            <w:tcW w:w="480" w:type="pct"/>
            <w:vAlign w:val="center"/>
          </w:tcPr>
          <w:p w14:paraId="6C4E27D7">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pacing w:val="-2"/>
                <w:position w:val="26"/>
                <w:sz w:val="24"/>
                <w:szCs w:val="24"/>
              </w:rPr>
            </w:pPr>
            <w:r>
              <w:rPr>
                <w:rFonts w:hint="eastAsia" w:ascii="黑体" w:hAnsi="黑体" w:eastAsia="黑体" w:cs="黑体"/>
                <w:color w:val="auto"/>
                <w:spacing w:val="-2"/>
                <w:position w:val="26"/>
                <w:sz w:val="24"/>
                <w:szCs w:val="24"/>
              </w:rPr>
              <w:t>合价</w:t>
            </w:r>
          </w:p>
          <w:p w14:paraId="1017C246">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3"/>
                <w:position w:val="26"/>
                <w:sz w:val="24"/>
                <w:szCs w:val="24"/>
                <w:lang w:eastAsia="zh-CN"/>
              </w:rPr>
              <w:t>（</w:t>
            </w:r>
            <w:r>
              <w:rPr>
                <w:rFonts w:hint="eastAsia" w:ascii="黑体" w:hAnsi="黑体" w:eastAsia="黑体" w:cs="黑体"/>
                <w:color w:val="auto"/>
                <w:spacing w:val="-3"/>
                <w:position w:val="26"/>
                <w:sz w:val="24"/>
                <w:szCs w:val="24"/>
                <w:lang w:val="en-US" w:eastAsia="zh-CN"/>
              </w:rPr>
              <w:t>元</w:t>
            </w:r>
            <w:r>
              <w:rPr>
                <w:rFonts w:hint="eastAsia" w:ascii="黑体" w:hAnsi="黑体" w:eastAsia="黑体" w:cs="黑体"/>
                <w:color w:val="auto"/>
                <w:spacing w:val="-3"/>
                <w:position w:val="26"/>
                <w:sz w:val="24"/>
                <w:szCs w:val="24"/>
                <w:lang w:eastAsia="zh-CN"/>
              </w:rPr>
              <w:t>）</w:t>
            </w:r>
          </w:p>
        </w:tc>
        <w:tc>
          <w:tcPr>
            <w:tcW w:w="362" w:type="pct"/>
            <w:vAlign w:val="top"/>
          </w:tcPr>
          <w:p w14:paraId="1FA4EECA">
            <w:pPr>
              <w:keepNext w:val="0"/>
              <w:keepLines w:val="0"/>
              <w:pageBreakBefore w:val="0"/>
              <w:widowControl/>
              <w:kinsoku/>
              <w:wordWrap w:val="0"/>
              <w:overflowPunct/>
              <w:topLinePunct w:val="0"/>
              <w:bidi w:val="0"/>
              <w:spacing w:before="195"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3"/>
                <w:sz w:val="24"/>
                <w:szCs w:val="24"/>
              </w:rPr>
              <w:t>备注</w:t>
            </w:r>
          </w:p>
        </w:tc>
      </w:tr>
      <w:tr w14:paraId="2FADF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21" w:type="pct"/>
            <w:vAlign w:val="top"/>
          </w:tcPr>
          <w:p w14:paraId="1D9F1DB5">
            <w:pPr>
              <w:keepNext w:val="0"/>
              <w:keepLines w:val="0"/>
              <w:pageBreakBefore w:val="0"/>
              <w:widowControl/>
              <w:kinsoku/>
              <w:wordWrap w:val="0"/>
              <w:overflowPunct/>
              <w:topLinePunct w:val="0"/>
              <w:bidi w:val="0"/>
              <w:spacing w:before="117" w:line="460" w:lineRule="exact"/>
              <w:ind w:left="266"/>
              <w:rPr>
                <w:rFonts w:hint="eastAsia" w:ascii="黑体" w:hAnsi="黑体" w:eastAsia="黑体" w:cs="黑体"/>
                <w:color w:val="auto"/>
                <w:sz w:val="24"/>
                <w:szCs w:val="24"/>
              </w:rPr>
            </w:pPr>
            <w:r>
              <w:rPr>
                <w:rFonts w:hint="eastAsia" w:ascii="黑体" w:hAnsi="黑体" w:eastAsia="黑体" w:cs="黑体"/>
                <w:color w:val="auto"/>
                <w:sz w:val="24"/>
                <w:szCs w:val="24"/>
              </w:rPr>
              <w:t>1</w:t>
            </w:r>
          </w:p>
        </w:tc>
        <w:tc>
          <w:tcPr>
            <w:tcW w:w="333" w:type="pct"/>
            <w:vAlign w:val="top"/>
          </w:tcPr>
          <w:p w14:paraId="2E276E3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26EBC93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5FC8A58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7D0F548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42FCB87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2714182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756C610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2B708C0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7ED343D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1F55290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11F3F2C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6A88C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 w:type="pct"/>
            <w:vAlign w:val="top"/>
          </w:tcPr>
          <w:p w14:paraId="44B74759">
            <w:pPr>
              <w:keepNext w:val="0"/>
              <w:keepLines w:val="0"/>
              <w:pageBreakBefore w:val="0"/>
              <w:widowControl/>
              <w:kinsoku/>
              <w:wordWrap w:val="0"/>
              <w:overflowPunct/>
              <w:topLinePunct w:val="0"/>
              <w:bidi w:val="0"/>
              <w:spacing w:before="118" w:line="460" w:lineRule="exact"/>
              <w:ind w:left="255"/>
              <w:rPr>
                <w:rFonts w:hint="eastAsia" w:ascii="黑体" w:hAnsi="黑体" w:eastAsia="黑体" w:cs="黑体"/>
                <w:color w:val="auto"/>
                <w:sz w:val="24"/>
                <w:szCs w:val="24"/>
              </w:rPr>
            </w:pPr>
            <w:r>
              <w:rPr>
                <w:rFonts w:hint="eastAsia" w:ascii="黑体" w:hAnsi="黑体" w:eastAsia="黑体" w:cs="黑体"/>
                <w:color w:val="auto"/>
                <w:sz w:val="24"/>
                <w:szCs w:val="24"/>
              </w:rPr>
              <w:t>2</w:t>
            </w:r>
          </w:p>
        </w:tc>
        <w:tc>
          <w:tcPr>
            <w:tcW w:w="333" w:type="pct"/>
            <w:vAlign w:val="top"/>
          </w:tcPr>
          <w:p w14:paraId="78B13AF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589A057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7B238DC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025931B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37BE04F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04B5614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5439C9F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40FD648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1E248DA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15285C6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4C972AA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5D9A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21" w:type="pct"/>
            <w:vAlign w:val="top"/>
          </w:tcPr>
          <w:p w14:paraId="4989B33F">
            <w:pPr>
              <w:keepNext w:val="0"/>
              <w:keepLines w:val="0"/>
              <w:pageBreakBefore w:val="0"/>
              <w:widowControl/>
              <w:kinsoku/>
              <w:wordWrap w:val="0"/>
              <w:overflowPunct/>
              <w:topLinePunct w:val="0"/>
              <w:bidi w:val="0"/>
              <w:spacing w:before="119" w:line="460" w:lineRule="exact"/>
              <w:ind w:left="258"/>
              <w:rPr>
                <w:rFonts w:hint="eastAsia" w:ascii="黑体" w:hAnsi="黑体" w:eastAsia="黑体" w:cs="黑体"/>
                <w:color w:val="auto"/>
                <w:sz w:val="24"/>
                <w:szCs w:val="24"/>
              </w:rPr>
            </w:pPr>
            <w:r>
              <w:rPr>
                <w:rFonts w:hint="eastAsia" w:ascii="黑体" w:hAnsi="黑体" w:eastAsia="黑体" w:cs="黑体"/>
                <w:color w:val="auto"/>
                <w:sz w:val="24"/>
                <w:szCs w:val="24"/>
              </w:rPr>
              <w:t>3</w:t>
            </w:r>
          </w:p>
        </w:tc>
        <w:tc>
          <w:tcPr>
            <w:tcW w:w="333" w:type="pct"/>
            <w:vAlign w:val="top"/>
          </w:tcPr>
          <w:p w14:paraId="2A622D4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0615F49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544A1C9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3C313B6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1F1312C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7EFF4AD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43FFE41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430A606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051F749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0818B74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449F056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039E4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21" w:type="pct"/>
            <w:vAlign w:val="top"/>
          </w:tcPr>
          <w:p w14:paraId="391000F1">
            <w:pPr>
              <w:keepNext w:val="0"/>
              <w:keepLines w:val="0"/>
              <w:pageBreakBefore w:val="0"/>
              <w:widowControl/>
              <w:kinsoku/>
              <w:wordWrap w:val="0"/>
              <w:overflowPunct/>
              <w:topLinePunct w:val="0"/>
              <w:bidi w:val="0"/>
              <w:spacing w:before="121" w:line="460" w:lineRule="exact"/>
              <w:ind w:left="243"/>
              <w:rPr>
                <w:rFonts w:hint="eastAsia" w:ascii="黑体" w:hAnsi="黑体" w:eastAsia="黑体" w:cs="黑体"/>
                <w:color w:val="auto"/>
                <w:sz w:val="24"/>
                <w:szCs w:val="24"/>
              </w:rPr>
            </w:pPr>
            <w:r>
              <w:rPr>
                <w:rFonts w:hint="eastAsia" w:ascii="黑体" w:hAnsi="黑体" w:eastAsia="黑体" w:cs="黑体"/>
                <w:color w:val="auto"/>
                <w:sz w:val="24"/>
                <w:szCs w:val="24"/>
              </w:rPr>
              <w:t>4</w:t>
            </w:r>
          </w:p>
        </w:tc>
        <w:tc>
          <w:tcPr>
            <w:tcW w:w="333" w:type="pct"/>
            <w:vAlign w:val="top"/>
          </w:tcPr>
          <w:p w14:paraId="56E5487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12AABF9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27C7657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6A2FC82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3B0156E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66EE376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6A0DE04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19D3A05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608FEA2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08E55D3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17BE836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76EA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 w:type="pct"/>
            <w:vAlign w:val="top"/>
          </w:tcPr>
          <w:p w14:paraId="013041DC">
            <w:pPr>
              <w:keepNext w:val="0"/>
              <w:keepLines w:val="0"/>
              <w:pageBreakBefore w:val="0"/>
              <w:widowControl/>
              <w:kinsoku/>
              <w:wordWrap w:val="0"/>
              <w:overflowPunct/>
              <w:topLinePunct w:val="0"/>
              <w:bidi w:val="0"/>
              <w:spacing w:before="124" w:line="460" w:lineRule="exact"/>
              <w:ind w:left="254"/>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5</w:t>
            </w:r>
          </w:p>
        </w:tc>
        <w:tc>
          <w:tcPr>
            <w:tcW w:w="333" w:type="pct"/>
            <w:vAlign w:val="top"/>
          </w:tcPr>
          <w:p w14:paraId="0DF60BE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32007C3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01AD053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5B465B0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4E97D0B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7177DAA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3B311CB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15CD14C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5B55A32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500DDD5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3E30B86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49FC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 w:type="pct"/>
            <w:vAlign w:val="top"/>
          </w:tcPr>
          <w:p w14:paraId="1B95EC02">
            <w:pPr>
              <w:keepNext w:val="0"/>
              <w:keepLines w:val="0"/>
              <w:pageBreakBefore w:val="0"/>
              <w:widowControl/>
              <w:kinsoku/>
              <w:wordWrap w:val="0"/>
              <w:overflowPunct/>
              <w:topLinePunct w:val="0"/>
              <w:bidi w:val="0"/>
              <w:spacing w:before="124" w:line="460" w:lineRule="exact"/>
              <w:ind w:left="254"/>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6</w:t>
            </w:r>
          </w:p>
        </w:tc>
        <w:tc>
          <w:tcPr>
            <w:tcW w:w="333" w:type="pct"/>
            <w:vAlign w:val="top"/>
          </w:tcPr>
          <w:p w14:paraId="30071E6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46159D7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209F0E8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0F57F8D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6F7D8FB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22C610D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3095B45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312AD43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707D7FD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1140591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02297F8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76F8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 w:type="pct"/>
            <w:vAlign w:val="top"/>
          </w:tcPr>
          <w:p w14:paraId="57ADCC27">
            <w:pPr>
              <w:keepNext w:val="0"/>
              <w:keepLines w:val="0"/>
              <w:pageBreakBefore w:val="0"/>
              <w:widowControl/>
              <w:kinsoku/>
              <w:wordWrap w:val="0"/>
              <w:overflowPunct/>
              <w:topLinePunct w:val="0"/>
              <w:bidi w:val="0"/>
              <w:spacing w:before="124" w:line="460" w:lineRule="exact"/>
              <w:ind w:left="254"/>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7</w:t>
            </w:r>
          </w:p>
        </w:tc>
        <w:tc>
          <w:tcPr>
            <w:tcW w:w="333" w:type="pct"/>
            <w:vAlign w:val="top"/>
          </w:tcPr>
          <w:p w14:paraId="5B3185E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649BDA4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0C02478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08B804B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17FE4C1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3F76A55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5029090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77833B6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69F22DF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1CF2EAC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1D74F0E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00FE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1" w:type="pct"/>
            <w:vAlign w:val="top"/>
          </w:tcPr>
          <w:p w14:paraId="38EA5F0F">
            <w:pPr>
              <w:keepNext w:val="0"/>
              <w:keepLines w:val="0"/>
              <w:pageBreakBefore w:val="0"/>
              <w:widowControl/>
              <w:kinsoku/>
              <w:wordWrap w:val="0"/>
              <w:overflowPunct/>
              <w:topLinePunct w:val="0"/>
              <w:bidi w:val="0"/>
              <w:spacing w:before="124" w:line="460" w:lineRule="exact"/>
              <w:ind w:left="254"/>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8</w:t>
            </w:r>
          </w:p>
        </w:tc>
        <w:tc>
          <w:tcPr>
            <w:tcW w:w="333" w:type="pct"/>
            <w:vAlign w:val="top"/>
          </w:tcPr>
          <w:p w14:paraId="045F3D8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0" w:type="pct"/>
            <w:vAlign w:val="top"/>
          </w:tcPr>
          <w:p w14:paraId="534B434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40F0805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19AA00A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722A683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35FA0CB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6601D9D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77EBC0E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66049AB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7B1366E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5E7994C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1795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21" w:type="pct"/>
            <w:vAlign w:val="center"/>
          </w:tcPr>
          <w:p w14:paraId="3C5F86A2">
            <w:pPr>
              <w:keepNext w:val="0"/>
              <w:keepLines w:val="0"/>
              <w:pageBreakBefore w:val="0"/>
              <w:widowControl/>
              <w:kinsoku/>
              <w:wordWrap w:val="0"/>
              <w:overflowPunct/>
              <w:topLinePunct w:val="0"/>
              <w:bidi w:val="0"/>
              <w:spacing w:before="121"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1"/>
                <w:position w:val="3"/>
                <w:sz w:val="24"/>
                <w:szCs w:val="24"/>
              </w:rPr>
              <w:t>.....</w:t>
            </w:r>
          </w:p>
        </w:tc>
        <w:tc>
          <w:tcPr>
            <w:tcW w:w="333" w:type="pct"/>
            <w:vAlign w:val="center"/>
          </w:tcPr>
          <w:p w14:paraId="1B8E27FE">
            <w:pPr>
              <w:keepNext w:val="0"/>
              <w:keepLines w:val="0"/>
              <w:pageBreakBefore w:val="0"/>
              <w:widowControl/>
              <w:kinsoku/>
              <w:wordWrap w:val="0"/>
              <w:overflowPunct/>
              <w:topLinePunct w:val="0"/>
              <w:bidi w:val="0"/>
              <w:spacing w:before="281" w:line="460" w:lineRule="exact"/>
              <w:jc w:val="center"/>
              <w:rPr>
                <w:rFonts w:hint="eastAsia" w:ascii="黑体" w:hAnsi="黑体" w:eastAsia="黑体" w:cs="黑体"/>
                <w:color w:val="auto"/>
                <w:sz w:val="24"/>
                <w:szCs w:val="24"/>
              </w:rPr>
            </w:pPr>
            <w:r>
              <w:rPr>
                <w:rFonts w:hint="eastAsia" w:ascii="黑体" w:hAnsi="黑体" w:eastAsia="黑体" w:cs="黑体"/>
                <w:color w:val="auto"/>
                <w:spacing w:val="-1"/>
                <w:position w:val="3"/>
                <w:sz w:val="24"/>
                <w:szCs w:val="24"/>
              </w:rPr>
              <w:t>.....</w:t>
            </w:r>
          </w:p>
        </w:tc>
        <w:tc>
          <w:tcPr>
            <w:tcW w:w="490" w:type="pct"/>
            <w:vAlign w:val="top"/>
          </w:tcPr>
          <w:p w14:paraId="1B65EBA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1ED6B52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19" w:type="pct"/>
            <w:vAlign w:val="top"/>
          </w:tcPr>
          <w:p w14:paraId="2C8C889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14AF84D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541" w:type="pct"/>
            <w:vAlign w:val="top"/>
          </w:tcPr>
          <w:p w14:paraId="15F3658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95" w:type="pct"/>
            <w:vAlign w:val="top"/>
          </w:tcPr>
          <w:p w14:paraId="2471865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46" w:type="pct"/>
            <w:vAlign w:val="top"/>
          </w:tcPr>
          <w:p w14:paraId="07D2997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95" w:type="pct"/>
            <w:vAlign w:val="top"/>
          </w:tcPr>
          <w:p w14:paraId="7C4101D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480" w:type="pct"/>
            <w:vAlign w:val="top"/>
          </w:tcPr>
          <w:p w14:paraId="6C654D6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362" w:type="pct"/>
            <w:vAlign w:val="top"/>
          </w:tcPr>
          <w:p w14:paraId="3178DEE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156F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000" w:type="pct"/>
            <w:gridSpan w:val="12"/>
            <w:vAlign w:val="top"/>
          </w:tcPr>
          <w:p w14:paraId="7DF40EB4">
            <w:pPr>
              <w:keepNext w:val="0"/>
              <w:keepLines w:val="0"/>
              <w:pageBreakBefore w:val="0"/>
              <w:widowControl/>
              <w:kinsoku/>
              <w:wordWrap w:val="0"/>
              <w:overflowPunct/>
              <w:topLinePunct w:val="0"/>
              <w:bidi w:val="0"/>
              <w:spacing w:before="202" w:line="460" w:lineRule="exact"/>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rPr>
              <w:t>总价（元）</w:t>
            </w:r>
          </w:p>
        </w:tc>
      </w:tr>
    </w:tbl>
    <w:p w14:paraId="4D3D4FA2">
      <w:pPr>
        <w:pStyle w:val="6"/>
        <w:keepNext w:val="0"/>
        <w:keepLines w:val="0"/>
        <w:pageBreakBefore w:val="0"/>
        <w:widowControl/>
        <w:kinsoku/>
        <w:wordWrap w:val="0"/>
        <w:overflowPunct/>
        <w:topLinePunct w:val="0"/>
        <w:autoSpaceDE w:val="0"/>
        <w:autoSpaceDN w:val="0"/>
        <w:bidi w:val="0"/>
        <w:adjustRightInd w:val="0"/>
        <w:snapToGrid w:val="0"/>
        <w:spacing w:before="104" w:line="460" w:lineRule="exact"/>
        <w:ind w:left="0" w:leftChars="0" w:right="13" w:rightChars="6" w:firstLine="0" w:firstLineChars="0"/>
        <w:textAlignment w:val="baseline"/>
        <w:rPr>
          <w:rFonts w:hint="eastAsia" w:ascii="黑体" w:hAnsi="黑体" w:eastAsia="黑体" w:cs="黑体"/>
          <w:color w:val="auto"/>
          <w:spacing w:val="-1"/>
          <w:sz w:val="24"/>
          <w:szCs w:val="24"/>
          <w:u w:val="single"/>
          <w:lang w:val="en-US" w:eastAsia="zh-CN"/>
        </w:rPr>
      </w:pPr>
      <w:r>
        <w:rPr>
          <w:rFonts w:hint="eastAsia" w:ascii="黑体" w:hAnsi="黑体" w:eastAsia="黑体" w:cs="黑体"/>
          <w:color w:val="auto"/>
          <w:spacing w:val="-1"/>
          <w:sz w:val="24"/>
          <w:szCs w:val="24"/>
        </w:rPr>
        <w:t>法定代表人或其委托代理人（签</w:t>
      </w:r>
      <w:r>
        <w:rPr>
          <w:rFonts w:hint="eastAsia" w:ascii="黑体" w:hAnsi="黑体" w:eastAsia="黑体" w:cs="黑体"/>
          <w:color w:val="auto"/>
          <w:spacing w:val="-1"/>
          <w:sz w:val="24"/>
          <w:szCs w:val="24"/>
          <w:lang w:val="en-US" w:eastAsia="zh-CN"/>
        </w:rPr>
        <w:t>字或盖</w:t>
      </w:r>
      <w:r>
        <w:rPr>
          <w:rFonts w:hint="eastAsia" w:ascii="黑体" w:hAnsi="黑体" w:eastAsia="黑体" w:cs="黑体"/>
          <w:color w:val="auto"/>
          <w:spacing w:val="-1"/>
          <w:sz w:val="24"/>
          <w:szCs w:val="24"/>
        </w:rPr>
        <w:t>章）</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6F27500E">
      <w:pPr>
        <w:pStyle w:val="6"/>
        <w:keepNext w:val="0"/>
        <w:keepLines w:val="0"/>
        <w:pageBreakBefore w:val="0"/>
        <w:widowControl/>
        <w:kinsoku/>
        <w:wordWrap w:val="0"/>
        <w:overflowPunct/>
        <w:topLinePunct w:val="0"/>
        <w:autoSpaceDE w:val="0"/>
        <w:autoSpaceDN w:val="0"/>
        <w:bidi w:val="0"/>
        <w:adjustRightInd w:val="0"/>
        <w:snapToGrid w:val="0"/>
        <w:spacing w:before="104" w:line="460" w:lineRule="exact"/>
        <w:ind w:left="0" w:leftChars="0" w:right="13" w:rightChars="6" w:firstLine="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4A468CBF">
      <w:pPr>
        <w:pStyle w:val="6"/>
        <w:keepNext w:val="0"/>
        <w:keepLines w:val="0"/>
        <w:pageBreakBefore w:val="0"/>
        <w:widowControl/>
        <w:kinsoku/>
        <w:wordWrap w:val="0"/>
        <w:overflowPunct/>
        <w:topLinePunct w:val="0"/>
        <w:autoSpaceDE w:val="0"/>
        <w:autoSpaceDN w:val="0"/>
        <w:bidi w:val="0"/>
        <w:adjustRightInd w:val="0"/>
        <w:snapToGrid w:val="0"/>
        <w:spacing w:before="64" w:line="460" w:lineRule="exact"/>
        <w:ind w:right="13" w:rightChars="6"/>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注</w:t>
      </w:r>
      <w:r>
        <w:rPr>
          <w:rFonts w:hint="eastAsia" w:ascii="黑体" w:hAnsi="黑体" w:eastAsia="黑体" w:cs="黑体"/>
          <w:color w:val="auto"/>
          <w:spacing w:val="-2"/>
          <w:sz w:val="24"/>
          <w:szCs w:val="24"/>
          <w:lang w:eastAsia="zh-CN"/>
        </w:rPr>
        <w:t>：</w:t>
      </w:r>
      <w:r>
        <w:rPr>
          <w:rFonts w:hint="eastAsia" w:ascii="黑体" w:hAnsi="黑体" w:eastAsia="黑体" w:cs="黑体"/>
          <w:color w:val="auto"/>
          <w:spacing w:val="-2"/>
          <w:sz w:val="24"/>
          <w:szCs w:val="24"/>
        </w:rPr>
        <w:t>1.如果供应商认为需要，每种货物填写一份该表。</w:t>
      </w:r>
    </w:p>
    <w:p w14:paraId="13E4444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before="88" w:line="460" w:lineRule="exact"/>
        <w:ind w:right="13" w:rightChars="6"/>
        <w:jc w:val="both"/>
        <w:textAlignment w:val="baseline"/>
        <w:rPr>
          <w:rFonts w:hint="eastAsia" w:ascii="黑体" w:hAnsi="黑体" w:eastAsia="黑体" w:cs="黑体"/>
          <w:color w:val="auto"/>
          <w:spacing w:val="-3"/>
          <w:sz w:val="24"/>
          <w:szCs w:val="24"/>
        </w:rPr>
      </w:pPr>
      <w:r>
        <w:rPr>
          <w:rFonts w:hint="eastAsia" w:ascii="黑体" w:hAnsi="黑体" w:eastAsia="黑体" w:cs="黑体"/>
          <w:snapToGrid w:val="0"/>
          <w:color w:val="auto"/>
          <w:spacing w:val="-3"/>
          <w:kern w:val="0"/>
          <w:sz w:val="24"/>
          <w:szCs w:val="24"/>
          <w:lang w:val="en-US" w:eastAsia="en-US" w:bidi="ar-SA"/>
        </w:rPr>
        <w:t>2.</w:t>
      </w:r>
      <w:r>
        <w:rPr>
          <w:rFonts w:hint="eastAsia" w:ascii="黑体" w:hAnsi="黑体" w:eastAsia="黑体" w:cs="黑体"/>
          <w:color w:val="auto"/>
          <w:spacing w:val="-2"/>
          <w:sz w:val="24"/>
          <w:szCs w:val="24"/>
        </w:rPr>
        <w:t>如果按单价计算的结果与总价不一致,以单</w:t>
      </w:r>
      <w:r>
        <w:rPr>
          <w:rFonts w:hint="eastAsia" w:ascii="黑体" w:hAnsi="黑体" w:eastAsia="黑体" w:cs="黑体"/>
          <w:color w:val="auto"/>
          <w:spacing w:val="-3"/>
          <w:sz w:val="24"/>
          <w:szCs w:val="24"/>
        </w:rPr>
        <w:t>价为准修正总价。</w:t>
      </w:r>
    </w:p>
    <w:p w14:paraId="2D067FD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before="88" w:line="460" w:lineRule="exact"/>
        <w:ind w:right="13" w:rightChars="6"/>
        <w:jc w:val="both"/>
        <w:textAlignment w:val="baseline"/>
        <w:rPr>
          <w:rFonts w:hint="eastAsia" w:ascii="黑体" w:hAnsi="黑体" w:eastAsia="黑体" w:cs="黑体"/>
          <w:color w:val="auto"/>
          <w:spacing w:val="-1"/>
          <w:sz w:val="24"/>
          <w:szCs w:val="24"/>
        </w:rPr>
      </w:pPr>
      <w:r>
        <w:rPr>
          <w:rFonts w:hint="eastAsia" w:ascii="黑体" w:hAnsi="黑体" w:eastAsia="黑体" w:cs="黑体"/>
          <w:snapToGrid w:val="0"/>
          <w:color w:val="auto"/>
          <w:spacing w:val="-1"/>
          <w:kern w:val="0"/>
          <w:sz w:val="24"/>
          <w:szCs w:val="24"/>
          <w:lang w:val="en-US" w:eastAsia="en-US" w:bidi="ar-SA"/>
        </w:rPr>
        <w:t>3.</w:t>
      </w:r>
      <w:r>
        <w:rPr>
          <w:rFonts w:hint="eastAsia" w:ascii="黑体" w:hAnsi="黑体" w:eastAsia="黑体" w:cs="黑体"/>
          <w:color w:val="auto"/>
          <w:sz w:val="24"/>
          <w:szCs w:val="24"/>
        </w:rPr>
        <w:t>如果不提供详细分项报价将视为没有实质性响应</w:t>
      </w:r>
      <w:r>
        <w:rPr>
          <w:rFonts w:hint="eastAsia" w:ascii="黑体" w:hAnsi="黑体" w:eastAsia="黑体" w:cs="黑体"/>
          <w:color w:val="auto"/>
          <w:spacing w:val="-1"/>
          <w:sz w:val="24"/>
          <w:szCs w:val="24"/>
        </w:rPr>
        <w:t>招标文件。</w:t>
      </w:r>
    </w:p>
    <w:p w14:paraId="61C1801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before="88" w:line="460" w:lineRule="exact"/>
        <w:ind w:right="13" w:rightChars="6"/>
        <w:jc w:val="both"/>
        <w:textAlignment w:val="baseline"/>
        <w:rPr>
          <w:rFonts w:hint="eastAsia" w:ascii="黑体" w:hAnsi="黑体" w:eastAsia="黑体" w:cs="黑体"/>
          <w:color w:val="auto"/>
          <w:spacing w:val="-2"/>
          <w:sz w:val="24"/>
          <w:szCs w:val="24"/>
        </w:rPr>
      </w:pPr>
      <w:r>
        <w:rPr>
          <w:rFonts w:hint="eastAsia" w:ascii="黑体" w:hAnsi="黑体" w:eastAsia="黑体" w:cs="黑体"/>
          <w:snapToGrid w:val="0"/>
          <w:color w:val="auto"/>
          <w:spacing w:val="-2"/>
          <w:kern w:val="0"/>
          <w:sz w:val="24"/>
          <w:szCs w:val="24"/>
          <w:lang w:val="en-US" w:eastAsia="en-US" w:bidi="ar-SA"/>
        </w:rPr>
        <w:t>4.</w:t>
      </w:r>
      <w:r>
        <w:rPr>
          <w:rFonts w:hint="eastAsia" w:ascii="黑体" w:hAnsi="黑体" w:eastAsia="黑体" w:cs="黑体"/>
          <w:color w:val="auto"/>
          <w:spacing w:val="-2"/>
          <w:sz w:val="24"/>
          <w:szCs w:val="24"/>
        </w:rPr>
        <w:t>上述各项的详细分项报价，应另页描述。</w:t>
      </w:r>
    </w:p>
    <w:p w14:paraId="033E8C2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before="88" w:line="460" w:lineRule="exact"/>
        <w:ind w:right="13" w:rightChars="6"/>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5.如果开标一览表（报价表）内容与投标文件中明细表内容不一致的，以开标一览表（报价表）内容为准。</w:t>
      </w:r>
    </w:p>
    <w:p w14:paraId="0806331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2D7D0EA">
      <w:pPr>
        <w:rPr>
          <w:rFonts w:hint="eastAsia" w:ascii="黑体" w:hAnsi="黑体" w:eastAsia="黑体" w:cs="黑体"/>
          <w:b/>
          <w:bCs/>
          <w:snapToGrid w:val="0"/>
          <w:color w:val="auto"/>
          <w:spacing w:val="-2"/>
          <w:kern w:val="0"/>
          <w:sz w:val="24"/>
          <w:szCs w:val="24"/>
          <w:lang w:val="en-US" w:eastAsia="en-US" w:bidi="ar-SA"/>
        </w:rPr>
      </w:pPr>
      <w:r>
        <w:rPr>
          <w:rFonts w:hint="eastAsia" w:ascii="黑体" w:hAnsi="黑体" w:eastAsia="黑体" w:cs="黑体"/>
          <w:b/>
          <w:bCs/>
          <w:snapToGrid w:val="0"/>
          <w:color w:val="auto"/>
          <w:spacing w:val="-2"/>
          <w:kern w:val="0"/>
          <w:sz w:val="24"/>
          <w:szCs w:val="24"/>
          <w:lang w:val="en-US" w:eastAsia="en-US" w:bidi="ar-SA"/>
        </w:rPr>
        <w:br w:type="page"/>
      </w:r>
    </w:p>
    <w:p w14:paraId="3BC17B8A">
      <w:pPr>
        <w:pStyle w:val="6"/>
        <w:keepNext w:val="0"/>
        <w:keepLines w:val="0"/>
        <w:pageBreakBefore w:val="0"/>
        <w:widowControl/>
        <w:numPr>
          <w:ilvl w:val="0"/>
          <w:numId w:val="0"/>
        </w:numPr>
        <w:kinsoku/>
        <w:wordWrap w:val="0"/>
        <w:overflowPunct/>
        <w:topLinePunct w:val="0"/>
        <w:bidi w:val="0"/>
        <w:spacing w:before="46" w:line="460" w:lineRule="exact"/>
        <w:jc w:val="center"/>
        <w:outlineLvl w:val="1"/>
        <w:rPr>
          <w:rFonts w:hint="eastAsia" w:ascii="黑体" w:hAnsi="黑体" w:eastAsia="黑体" w:cs="黑体"/>
          <w:b/>
          <w:bCs/>
          <w:color w:val="auto"/>
          <w:spacing w:val="-2"/>
          <w:sz w:val="24"/>
          <w:szCs w:val="24"/>
        </w:rPr>
      </w:pPr>
      <w:r>
        <w:rPr>
          <w:rFonts w:hint="eastAsia" w:ascii="黑体" w:hAnsi="黑体" w:eastAsia="黑体" w:cs="黑体"/>
          <w:b/>
          <w:bCs/>
          <w:snapToGrid w:val="0"/>
          <w:color w:val="auto"/>
          <w:spacing w:val="-2"/>
          <w:kern w:val="0"/>
          <w:sz w:val="24"/>
          <w:szCs w:val="24"/>
          <w:lang w:val="en-US" w:eastAsia="en-US" w:bidi="ar-SA"/>
        </w:rPr>
        <w:t>3、</w:t>
      </w:r>
      <w:r>
        <w:rPr>
          <w:rFonts w:hint="eastAsia" w:ascii="黑体" w:hAnsi="黑体" w:eastAsia="黑体" w:cs="黑体"/>
          <w:b/>
          <w:bCs/>
          <w:color w:val="auto"/>
          <w:spacing w:val="-2"/>
          <w:sz w:val="24"/>
          <w:szCs w:val="24"/>
        </w:rPr>
        <w:t>货物说明一览表</w:t>
      </w:r>
    </w:p>
    <w:p w14:paraId="10E43018">
      <w:pPr>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pacing w:val="-2"/>
          <w:sz w:val="24"/>
          <w:szCs w:val="24"/>
        </w:rPr>
      </w:pPr>
      <w:r>
        <w:rPr>
          <w:rFonts w:hint="eastAsia" w:ascii="黑体" w:hAnsi="黑体" w:eastAsia="黑体" w:cs="黑体"/>
          <w:color w:val="auto"/>
          <w:sz w:val="24"/>
          <w:szCs w:val="24"/>
        </w:rPr>
        <w:t>项目名称</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项目编号</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p>
    <w:tbl>
      <w:tblPr>
        <w:tblStyle w:val="16"/>
        <w:tblW w:w="8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756"/>
        <w:gridCol w:w="1467"/>
        <w:gridCol w:w="1551"/>
        <w:gridCol w:w="1156"/>
        <w:gridCol w:w="1198"/>
        <w:gridCol w:w="979"/>
      </w:tblGrid>
      <w:tr w14:paraId="794A1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749" w:type="dxa"/>
            <w:vAlign w:val="top"/>
          </w:tcPr>
          <w:p w14:paraId="468977D0">
            <w:pPr>
              <w:keepNext w:val="0"/>
              <w:keepLines w:val="0"/>
              <w:pageBreakBefore w:val="0"/>
              <w:widowControl/>
              <w:kinsoku/>
              <w:wordWrap w:val="0"/>
              <w:overflowPunct/>
              <w:topLinePunct w:val="0"/>
              <w:bidi w:val="0"/>
              <w:spacing w:before="281" w:line="460" w:lineRule="exact"/>
              <w:ind w:left="132"/>
              <w:rPr>
                <w:rFonts w:hint="eastAsia" w:ascii="黑体" w:hAnsi="黑体" w:eastAsia="黑体" w:cs="黑体"/>
                <w:color w:val="auto"/>
                <w:sz w:val="24"/>
                <w:szCs w:val="24"/>
              </w:rPr>
            </w:pPr>
            <w:r>
              <w:rPr>
                <w:rFonts w:hint="eastAsia" w:ascii="黑体" w:hAnsi="黑体" w:eastAsia="黑体" w:cs="黑体"/>
                <w:color w:val="auto"/>
                <w:spacing w:val="-1"/>
                <w:sz w:val="24"/>
                <w:szCs w:val="24"/>
              </w:rPr>
              <w:t>序号</w:t>
            </w:r>
          </w:p>
        </w:tc>
        <w:tc>
          <w:tcPr>
            <w:tcW w:w="1756" w:type="dxa"/>
            <w:vAlign w:val="top"/>
          </w:tcPr>
          <w:p w14:paraId="11E2BA7F">
            <w:pPr>
              <w:keepNext w:val="0"/>
              <w:keepLines w:val="0"/>
              <w:pageBreakBefore w:val="0"/>
              <w:widowControl/>
              <w:kinsoku/>
              <w:wordWrap w:val="0"/>
              <w:overflowPunct/>
              <w:topLinePunct w:val="0"/>
              <w:bidi w:val="0"/>
              <w:spacing w:before="283" w:line="460" w:lineRule="exact"/>
              <w:ind w:left="395"/>
              <w:rPr>
                <w:rFonts w:hint="eastAsia" w:ascii="黑体" w:hAnsi="黑体" w:eastAsia="黑体" w:cs="黑体"/>
                <w:color w:val="auto"/>
                <w:sz w:val="24"/>
                <w:szCs w:val="24"/>
              </w:rPr>
            </w:pPr>
            <w:r>
              <w:rPr>
                <w:rFonts w:hint="eastAsia" w:ascii="黑体" w:hAnsi="黑体" w:eastAsia="黑体" w:cs="黑体"/>
                <w:color w:val="auto"/>
                <w:spacing w:val="-2"/>
                <w:sz w:val="24"/>
                <w:szCs w:val="24"/>
              </w:rPr>
              <w:t>货物名称</w:t>
            </w:r>
          </w:p>
        </w:tc>
        <w:tc>
          <w:tcPr>
            <w:tcW w:w="1467" w:type="dxa"/>
            <w:vAlign w:val="top"/>
          </w:tcPr>
          <w:p w14:paraId="7BD79F17">
            <w:pPr>
              <w:keepNext w:val="0"/>
              <w:keepLines w:val="0"/>
              <w:pageBreakBefore w:val="0"/>
              <w:widowControl/>
              <w:kinsoku/>
              <w:wordWrap w:val="0"/>
              <w:overflowPunct/>
              <w:topLinePunct w:val="0"/>
              <w:bidi w:val="0"/>
              <w:spacing w:before="283" w:line="460" w:lineRule="exact"/>
              <w:ind w:left="252"/>
              <w:rPr>
                <w:rFonts w:hint="eastAsia" w:ascii="黑体" w:hAnsi="黑体" w:eastAsia="黑体" w:cs="黑体"/>
                <w:color w:val="auto"/>
                <w:sz w:val="24"/>
                <w:szCs w:val="24"/>
              </w:rPr>
            </w:pPr>
            <w:r>
              <w:rPr>
                <w:rFonts w:hint="eastAsia" w:ascii="黑体" w:hAnsi="黑体" w:eastAsia="黑体" w:cs="黑体"/>
                <w:color w:val="auto"/>
                <w:spacing w:val="-2"/>
                <w:sz w:val="24"/>
                <w:szCs w:val="24"/>
              </w:rPr>
              <w:t>主要规格</w:t>
            </w:r>
          </w:p>
        </w:tc>
        <w:tc>
          <w:tcPr>
            <w:tcW w:w="1551" w:type="dxa"/>
            <w:vAlign w:val="top"/>
          </w:tcPr>
          <w:p w14:paraId="47075C36">
            <w:pPr>
              <w:keepNext w:val="0"/>
              <w:keepLines w:val="0"/>
              <w:pageBreakBefore w:val="0"/>
              <w:widowControl/>
              <w:kinsoku/>
              <w:wordWrap w:val="0"/>
              <w:overflowPunct/>
              <w:topLinePunct w:val="0"/>
              <w:bidi w:val="0"/>
              <w:spacing w:before="285" w:line="460" w:lineRule="exact"/>
              <w:ind w:left="531"/>
              <w:rPr>
                <w:rFonts w:hint="eastAsia" w:ascii="黑体" w:hAnsi="黑体" w:eastAsia="黑体" w:cs="黑体"/>
                <w:color w:val="auto"/>
                <w:sz w:val="24"/>
                <w:szCs w:val="24"/>
              </w:rPr>
            </w:pPr>
            <w:r>
              <w:rPr>
                <w:rFonts w:hint="eastAsia" w:ascii="黑体" w:hAnsi="黑体" w:eastAsia="黑体" w:cs="黑体"/>
                <w:color w:val="auto"/>
                <w:spacing w:val="-2"/>
                <w:sz w:val="24"/>
                <w:szCs w:val="24"/>
              </w:rPr>
              <w:t>数量</w:t>
            </w:r>
          </w:p>
        </w:tc>
        <w:tc>
          <w:tcPr>
            <w:tcW w:w="1156" w:type="dxa"/>
            <w:vAlign w:val="top"/>
          </w:tcPr>
          <w:p w14:paraId="66D5A35D">
            <w:pPr>
              <w:keepNext w:val="0"/>
              <w:keepLines w:val="0"/>
              <w:pageBreakBefore w:val="0"/>
              <w:widowControl/>
              <w:kinsoku/>
              <w:wordWrap w:val="0"/>
              <w:overflowPunct/>
              <w:topLinePunct w:val="0"/>
              <w:bidi w:val="0"/>
              <w:spacing w:before="283" w:line="460" w:lineRule="exact"/>
              <w:ind w:left="218"/>
              <w:rPr>
                <w:rFonts w:hint="eastAsia" w:ascii="黑体" w:hAnsi="黑体" w:eastAsia="黑体" w:cs="黑体"/>
                <w:color w:val="auto"/>
                <w:sz w:val="24"/>
                <w:szCs w:val="24"/>
              </w:rPr>
            </w:pPr>
            <w:r>
              <w:rPr>
                <w:rFonts w:hint="eastAsia" w:ascii="黑体" w:hAnsi="黑体" w:eastAsia="黑体" w:cs="黑体"/>
                <w:color w:val="auto"/>
                <w:spacing w:val="-2"/>
                <w:sz w:val="24"/>
                <w:szCs w:val="24"/>
              </w:rPr>
              <w:t>交货期</w:t>
            </w:r>
          </w:p>
        </w:tc>
        <w:tc>
          <w:tcPr>
            <w:tcW w:w="1198" w:type="dxa"/>
            <w:vAlign w:val="top"/>
          </w:tcPr>
          <w:p w14:paraId="4042FA55">
            <w:pPr>
              <w:keepNext w:val="0"/>
              <w:keepLines w:val="0"/>
              <w:pageBreakBefore w:val="0"/>
              <w:widowControl/>
              <w:kinsoku/>
              <w:wordWrap w:val="0"/>
              <w:overflowPunct/>
              <w:topLinePunct w:val="0"/>
              <w:bidi w:val="0"/>
              <w:spacing w:before="283" w:line="460" w:lineRule="exact"/>
              <w:ind w:left="122"/>
              <w:rPr>
                <w:rFonts w:hint="eastAsia" w:ascii="黑体" w:hAnsi="黑体" w:eastAsia="黑体" w:cs="黑体"/>
                <w:color w:val="auto"/>
                <w:sz w:val="24"/>
                <w:szCs w:val="24"/>
              </w:rPr>
            </w:pPr>
            <w:r>
              <w:rPr>
                <w:rFonts w:hint="eastAsia" w:ascii="黑体" w:hAnsi="黑体" w:eastAsia="黑体" w:cs="黑体"/>
                <w:color w:val="auto"/>
                <w:spacing w:val="-2"/>
                <w:sz w:val="24"/>
                <w:szCs w:val="24"/>
              </w:rPr>
              <w:t>交货地点</w:t>
            </w:r>
          </w:p>
        </w:tc>
        <w:tc>
          <w:tcPr>
            <w:tcW w:w="979" w:type="dxa"/>
            <w:vAlign w:val="top"/>
          </w:tcPr>
          <w:p w14:paraId="552EC42F">
            <w:pPr>
              <w:keepNext w:val="0"/>
              <w:keepLines w:val="0"/>
              <w:pageBreakBefore w:val="0"/>
              <w:widowControl/>
              <w:kinsoku/>
              <w:wordWrap w:val="0"/>
              <w:overflowPunct/>
              <w:topLinePunct w:val="0"/>
              <w:bidi w:val="0"/>
              <w:spacing w:before="281" w:line="460" w:lineRule="exact"/>
              <w:ind w:left="245"/>
              <w:rPr>
                <w:rFonts w:hint="eastAsia" w:ascii="黑体" w:hAnsi="黑体" w:eastAsia="黑体" w:cs="黑体"/>
                <w:color w:val="auto"/>
                <w:sz w:val="24"/>
                <w:szCs w:val="24"/>
              </w:rPr>
            </w:pPr>
            <w:r>
              <w:rPr>
                <w:rFonts w:hint="eastAsia" w:ascii="黑体" w:hAnsi="黑体" w:eastAsia="黑体" w:cs="黑体"/>
                <w:color w:val="auto"/>
                <w:spacing w:val="-1"/>
                <w:sz w:val="24"/>
                <w:szCs w:val="24"/>
              </w:rPr>
              <w:t>备注</w:t>
            </w:r>
          </w:p>
        </w:tc>
      </w:tr>
      <w:tr w14:paraId="6130E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9" w:type="dxa"/>
            <w:vAlign w:val="top"/>
          </w:tcPr>
          <w:p w14:paraId="0F89DA5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4CC4528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1B698AC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7903A52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21E52F3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6121587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1515AED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46E7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49" w:type="dxa"/>
            <w:vAlign w:val="top"/>
          </w:tcPr>
          <w:p w14:paraId="77141CD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34EAD37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2B8C902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2810AED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4E37A89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7C018A7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40AF80E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46B7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9" w:type="dxa"/>
            <w:vAlign w:val="top"/>
          </w:tcPr>
          <w:p w14:paraId="11472BF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506DC94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3D54319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517562C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1CA6287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1DFA225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2325066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D9B9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49" w:type="dxa"/>
            <w:vAlign w:val="top"/>
          </w:tcPr>
          <w:p w14:paraId="1EAC325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37E5634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2601088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2291C39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1A06F08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38AC2BC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213E075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E761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9" w:type="dxa"/>
            <w:vAlign w:val="top"/>
          </w:tcPr>
          <w:p w14:paraId="6CA1BA9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66D9B91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69661D4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5A76CCB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1380FC3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0AFDD38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6ACB79C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0EBAE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9" w:type="dxa"/>
            <w:vAlign w:val="top"/>
          </w:tcPr>
          <w:p w14:paraId="200DAF2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7A61534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26DAE36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7565C42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6556767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74499AA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47CC91D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21779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49" w:type="dxa"/>
            <w:vAlign w:val="top"/>
          </w:tcPr>
          <w:p w14:paraId="6E4E77B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037A320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7A4DBB8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1E8B64C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525C99C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3C8C764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6552982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14451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49" w:type="dxa"/>
            <w:vAlign w:val="top"/>
          </w:tcPr>
          <w:p w14:paraId="50F47DB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756" w:type="dxa"/>
            <w:vAlign w:val="top"/>
          </w:tcPr>
          <w:p w14:paraId="298004D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467" w:type="dxa"/>
            <w:vAlign w:val="top"/>
          </w:tcPr>
          <w:p w14:paraId="4DB0BCF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551" w:type="dxa"/>
            <w:vAlign w:val="top"/>
          </w:tcPr>
          <w:p w14:paraId="1D4A1BB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56" w:type="dxa"/>
            <w:vAlign w:val="top"/>
          </w:tcPr>
          <w:p w14:paraId="062D54E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198" w:type="dxa"/>
            <w:vAlign w:val="top"/>
          </w:tcPr>
          <w:p w14:paraId="57E508D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79" w:type="dxa"/>
            <w:vAlign w:val="top"/>
          </w:tcPr>
          <w:p w14:paraId="7A19EB1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bl>
    <w:p w14:paraId="59EBF494">
      <w:pPr>
        <w:pStyle w:val="6"/>
        <w:keepNext w:val="0"/>
        <w:keepLines w:val="0"/>
        <w:pageBreakBefore w:val="0"/>
        <w:widowControl/>
        <w:kinsoku/>
        <w:wordWrap w:val="0"/>
        <w:overflowPunct/>
        <w:topLinePunct w:val="0"/>
        <w:bidi w:val="0"/>
        <w:spacing w:before="103" w:line="460" w:lineRule="exact"/>
        <w:ind w:left="0" w:leftChars="0" w:right="1353" w:firstLine="0" w:firstLineChars="0"/>
        <w:rPr>
          <w:rFonts w:hint="eastAsia" w:ascii="黑体" w:hAnsi="黑体" w:eastAsia="黑体" w:cs="黑体"/>
          <w:color w:val="auto"/>
          <w:spacing w:val="-1"/>
          <w:sz w:val="24"/>
          <w:szCs w:val="24"/>
          <w:u w:val="single"/>
          <w:lang w:val="en-US" w:eastAsia="zh-CN"/>
        </w:rPr>
      </w:pPr>
      <w:r>
        <w:rPr>
          <w:rFonts w:hint="eastAsia" w:ascii="黑体" w:hAnsi="黑体" w:eastAsia="黑体" w:cs="黑体"/>
          <w:color w:val="auto"/>
          <w:spacing w:val="-1"/>
          <w:sz w:val="24"/>
          <w:szCs w:val="24"/>
        </w:rPr>
        <w:t>法定代表人或其委托代理人（</w:t>
      </w:r>
      <w:r>
        <w:rPr>
          <w:rFonts w:hint="eastAsia" w:ascii="黑体" w:hAnsi="黑体" w:eastAsia="黑体" w:cs="黑体"/>
          <w:color w:val="auto"/>
          <w:spacing w:val="-1"/>
          <w:sz w:val="24"/>
          <w:szCs w:val="24"/>
          <w:lang w:eastAsia="zh-CN"/>
        </w:rPr>
        <w:t>签字或盖章</w:t>
      </w:r>
      <w:r>
        <w:rPr>
          <w:rFonts w:hint="eastAsia" w:ascii="黑体" w:hAnsi="黑体" w:eastAsia="黑体" w:cs="黑体"/>
          <w:color w:val="auto"/>
          <w:spacing w:val="-1"/>
          <w:sz w:val="24"/>
          <w:szCs w:val="24"/>
        </w:rPr>
        <w:t>）</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1E5D3066">
      <w:pPr>
        <w:pStyle w:val="6"/>
        <w:keepNext w:val="0"/>
        <w:keepLines w:val="0"/>
        <w:pageBreakBefore w:val="0"/>
        <w:widowControl/>
        <w:kinsoku/>
        <w:wordWrap w:val="0"/>
        <w:overflowPunct/>
        <w:topLinePunct w:val="0"/>
        <w:bidi w:val="0"/>
        <w:spacing w:before="103" w:line="460" w:lineRule="exact"/>
        <w:ind w:left="0" w:leftChars="0" w:right="1353"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2034671C">
      <w:pPr>
        <w:pStyle w:val="6"/>
        <w:keepNext w:val="0"/>
        <w:keepLines w:val="0"/>
        <w:pageBreakBefore w:val="0"/>
        <w:widowControl/>
        <w:kinsoku/>
        <w:wordWrap w:val="0"/>
        <w:overflowPunct/>
        <w:topLinePunct w:val="0"/>
        <w:bidi w:val="0"/>
        <w:spacing w:before="65" w:line="46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注</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rPr>
        <w:t>各项货物详细技术性能应另页描述。</w:t>
      </w:r>
    </w:p>
    <w:p w14:paraId="5B2B2552">
      <w:pPr>
        <w:keepNext w:val="0"/>
        <w:keepLines w:val="0"/>
        <w:pageBreakBefore w:val="0"/>
        <w:widowControl/>
        <w:kinsoku/>
        <w:wordWrap w:val="0"/>
        <w:overflowPunct/>
        <w:topLinePunct w:val="0"/>
        <w:bidi w:val="0"/>
        <w:spacing w:line="460" w:lineRule="exact"/>
        <w:ind w:left="0" w:leftChars="0" w:firstLine="0" w:firstLineChars="0"/>
        <w:rPr>
          <w:rFonts w:hint="eastAsia" w:ascii="黑体" w:hAnsi="黑体" w:eastAsia="黑体" w:cs="黑体"/>
          <w:color w:val="auto"/>
          <w:sz w:val="21"/>
        </w:rPr>
      </w:pPr>
    </w:p>
    <w:p w14:paraId="2CCB640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FF073C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1FE743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6759011">
      <w:pPr>
        <w:pStyle w:val="6"/>
        <w:keepNext w:val="0"/>
        <w:keepLines w:val="0"/>
        <w:pageBreakBefore w:val="0"/>
        <w:widowControl/>
        <w:kinsoku/>
        <w:wordWrap w:val="0"/>
        <w:overflowPunct/>
        <w:topLinePunct w:val="0"/>
        <w:bidi w:val="0"/>
        <w:spacing w:before="46"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4、技术规格偏离表</w:t>
      </w:r>
    </w:p>
    <w:p w14:paraId="77903750">
      <w:pPr>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r>
        <w:rPr>
          <w:rFonts w:hint="eastAsia" w:ascii="黑体" w:hAnsi="黑体" w:eastAsia="黑体" w:cs="黑体"/>
          <w:color w:val="auto"/>
          <w:sz w:val="24"/>
          <w:szCs w:val="24"/>
        </w:rPr>
        <w:t>项目名称</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项目编号</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p>
    <w:tbl>
      <w:tblPr>
        <w:tblStyle w:val="16"/>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337"/>
        <w:gridCol w:w="2485"/>
        <w:gridCol w:w="1338"/>
        <w:gridCol w:w="1338"/>
        <w:gridCol w:w="955"/>
        <w:gridCol w:w="960"/>
      </w:tblGrid>
      <w:tr w14:paraId="29950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884" w:type="dxa"/>
            <w:vAlign w:val="top"/>
          </w:tcPr>
          <w:p w14:paraId="6EA96685">
            <w:pPr>
              <w:keepNext w:val="0"/>
              <w:keepLines w:val="0"/>
              <w:pageBreakBefore w:val="0"/>
              <w:widowControl/>
              <w:kinsoku/>
              <w:wordWrap w:val="0"/>
              <w:overflowPunct/>
              <w:topLinePunct w:val="0"/>
              <w:bidi w:val="0"/>
              <w:spacing w:before="320" w:line="460" w:lineRule="exact"/>
              <w:ind w:left="197"/>
              <w:rPr>
                <w:rFonts w:hint="eastAsia" w:ascii="黑体" w:hAnsi="黑体" w:eastAsia="黑体" w:cs="黑体"/>
                <w:color w:val="auto"/>
                <w:sz w:val="24"/>
                <w:szCs w:val="24"/>
              </w:rPr>
            </w:pPr>
            <w:r>
              <w:rPr>
                <w:rFonts w:hint="eastAsia" w:ascii="黑体" w:hAnsi="黑体" w:eastAsia="黑体" w:cs="黑体"/>
                <w:color w:val="auto"/>
                <w:spacing w:val="-1"/>
                <w:sz w:val="24"/>
                <w:szCs w:val="24"/>
              </w:rPr>
              <w:t>序号</w:t>
            </w:r>
          </w:p>
        </w:tc>
        <w:tc>
          <w:tcPr>
            <w:tcW w:w="1337" w:type="dxa"/>
            <w:vAlign w:val="top"/>
          </w:tcPr>
          <w:p w14:paraId="215A114D">
            <w:pPr>
              <w:keepNext w:val="0"/>
              <w:keepLines w:val="0"/>
              <w:pageBreakBefore w:val="0"/>
              <w:widowControl/>
              <w:kinsoku/>
              <w:wordWrap w:val="0"/>
              <w:overflowPunct/>
              <w:topLinePunct w:val="0"/>
              <w:bidi w:val="0"/>
              <w:spacing w:before="322" w:line="460" w:lineRule="exact"/>
              <w:ind w:left="186"/>
              <w:rPr>
                <w:rFonts w:hint="eastAsia" w:ascii="黑体" w:hAnsi="黑体" w:eastAsia="黑体" w:cs="黑体"/>
                <w:color w:val="auto"/>
                <w:sz w:val="24"/>
                <w:szCs w:val="24"/>
              </w:rPr>
            </w:pPr>
            <w:r>
              <w:rPr>
                <w:rFonts w:hint="eastAsia" w:ascii="黑体" w:hAnsi="黑体" w:eastAsia="黑体" w:cs="黑体"/>
                <w:color w:val="auto"/>
                <w:spacing w:val="-2"/>
                <w:sz w:val="24"/>
                <w:szCs w:val="24"/>
              </w:rPr>
              <w:t>货物名称</w:t>
            </w:r>
          </w:p>
        </w:tc>
        <w:tc>
          <w:tcPr>
            <w:tcW w:w="2485" w:type="dxa"/>
            <w:vAlign w:val="top"/>
          </w:tcPr>
          <w:p w14:paraId="027D050A">
            <w:pPr>
              <w:keepNext w:val="0"/>
              <w:keepLines w:val="0"/>
              <w:pageBreakBefore w:val="0"/>
              <w:widowControl/>
              <w:kinsoku/>
              <w:wordWrap w:val="0"/>
              <w:overflowPunct/>
              <w:topLinePunct w:val="0"/>
              <w:bidi w:val="0"/>
              <w:spacing w:before="322" w:line="460" w:lineRule="exact"/>
              <w:ind w:left="530"/>
              <w:rPr>
                <w:rFonts w:hint="eastAsia" w:ascii="黑体" w:hAnsi="黑体" w:eastAsia="黑体" w:cs="黑体"/>
                <w:color w:val="auto"/>
                <w:sz w:val="24"/>
                <w:szCs w:val="24"/>
              </w:rPr>
            </w:pPr>
            <w:r>
              <w:rPr>
                <w:rFonts w:hint="eastAsia" w:ascii="黑体" w:hAnsi="黑体" w:eastAsia="黑体" w:cs="黑体"/>
                <w:color w:val="auto"/>
                <w:spacing w:val="-1"/>
                <w:sz w:val="24"/>
                <w:szCs w:val="24"/>
              </w:rPr>
              <w:t>招标文件条款号</w:t>
            </w:r>
          </w:p>
        </w:tc>
        <w:tc>
          <w:tcPr>
            <w:tcW w:w="1338" w:type="dxa"/>
            <w:vAlign w:val="top"/>
          </w:tcPr>
          <w:p w14:paraId="10A345C5">
            <w:pPr>
              <w:keepNext w:val="0"/>
              <w:keepLines w:val="0"/>
              <w:pageBreakBefore w:val="0"/>
              <w:widowControl/>
              <w:kinsoku/>
              <w:wordWrap w:val="0"/>
              <w:overflowPunct/>
              <w:topLinePunct w:val="0"/>
              <w:bidi w:val="0"/>
              <w:spacing w:before="322" w:line="460" w:lineRule="exact"/>
              <w:ind w:left="185"/>
              <w:rPr>
                <w:rFonts w:hint="eastAsia" w:ascii="黑体" w:hAnsi="黑体" w:eastAsia="黑体" w:cs="黑体"/>
                <w:color w:val="auto"/>
                <w:sz w:val="24"/>
                <w:szCs w:val="24"/>
              </w:rPr>
            </w:pPr>
            <w:r>
              <w:rPr>
                <w:rFonts w:hint="eastAsia" w:ascii="黑体" w:hAnsi="黑体" w:eastAsia="黑体" w:cs="黑体"/>
                <w:color w:val="auto"/>
                <w:spacing w:val="-1"/>
                <w:sz w:val="24"/>
                <w:szCs w:val="24"/>
              </w:rPr>
              <w:t>招标规格</w:t>
            </w:r>
          </w:p>
        </w:tc>
        <w:tc>
          <w:tcPr>
            <w:tcW w:w="1338" w:type="dxa"/>
            <w:vAlign w:val="top"/>
          </w:tcPr>
          <w:p w14:paraId="37FDA177">
            <w:pPr>
              <w:keepNext w:val="0"/>
              <w:keepLines w:val="0"/>
              <w:pageBreakBefore w:val="0"/>
              <w:widowControl/>
              <w:kinsoku/>
              <w:wordWrap w:val="0"/>
              <w:overflowPunct/>
              <w:topLinePunct w:val="0"/>
              <w:bidi w:val="0"/>
              <w:spacing w:before="322" w:line="460" w:lineRule="exact"/>
              <w:ind w:left="187"/>
              <w:rPr>
                <w:rFonts w:hint="eastAsia" w:ascii="黑体" w:hAnsi="黑体" w:eastAsia="黑体" w:cs="黑体"/>
                <w:color w:val="auto"/>
                <w:sz w:val="24"/>
                <w:szCs w:val="24"/>
              </w:rPr>
            </w:pPr>
            <w:r>
              <w:rPr>
                <w:rFonts w:hint="eastAsia" w:ascii="黑体" w:hAnsi="黑体" w:eastAsia="黑体" w:cs="黑体"/>
                <w:color w:val="auto"/>
                <w:spacing w:val="-1"/>
                <w:sz w:val="24"/>
                <w:szCs w:val="24"/>
              </w:rPr>
              <w:t>投标规格</w:t>
            </w:r>
          </w:p>
        </w:tc>
        <w:tc>
          <w:tcPr>
            <w:tcW w:w="955" w:type="dxa"/>
            <w:vAlign w:val="top"/>
          </w:tcPr>
          <w:p w14:paraId="27414B7F">
            <w:pPr>
              <w:keepNext w:val="0"/>
              <w:keepLines w:val="0"/>
              <w:pageBreakBefore w:val="0"/>
              <w:widowControl/>
              <w:kinsoku/>
              <w:wordWrap w:val="0"/>
              <w:overflowPunct/>
              <w:topLinePunct w:val="0"/>
              <w:bidi w:val="0"/>
              <w:spacing w:before="322" w:line="460" w:lineRule="exact"/>
              <w:ind w:left="237"/>
              <w:rPr>
                <w:rFonts w:hint="eastAsia" w:ascii="黑体" w:hAnsi="黑体" w:eastAsia="黑体" w:cs="黑体"/>
                <w:color w:val="auto"/>
                <w:sz w:val="24"/>
                <w:szCs w:val="24"/>
              </w:rPr>
            </w:pPr>
            <w:r>
              <w:rPr>
                <w:rFonts w:hint="eastAsia" w:ascii="黑体" w:hAnsi="黑体" w:eastAsia="黑体" w:cs="黑体"/>
                <w:color w:val="auto"/>
                <w:spacing w:val="-2"/>
                <w:sz w:val="24"/>
                <w:szCs w:val="24"/>
              </w:rPr>
              <w:t>偏离</w:t>
            </w:r>
          </w:p>
        </w:tc>
        <w:tc>
          <w:tcPr>
            <w:tcW w:w="960" w:type="dxa"/>
            <w:vAlign w:val="top"/>
          </w:tcPr>
          <w:p w14:paraId="00FC36A7">
            <w:pPr>
              <w:keepNext w:val="0"/>
              <w:keepLines w:val="0"/>
              <w:pageBreakBefore w:val="0"/>
              <w:widowControl/>
              <w:kinsoku/>
              <w:wordWrap w:val="0"/>
              <w:overflowPunct/>
              <w:topLinePunct w:val="0"/>
              <w:bidi w:val="0"/>
              <w:spacing w:before="324" w:line="460" w:lineRule="exact"/>
              <w:ind w:left="237"/>
              <w:rPr>
                <w:rFonts w:hint="eastAsia" w:ascii="黑体" w:hAnsi="黑体" w:eastAsia="黑体" w:cs="黑体"/>
                <w:color w:val="auto"/>
                <w:sz w:val="24"/>
                <w:szCs w:val="24"/>
              </w:rPr>
            </w:pPr>
            <w:r>
              <w:rPr>
                <w:rFonts w:hint="eastAsia" w:ascii="黑体" w:hAnsi="黑体" w:eastAsia="黑体" w:cs="黑体"/>
                <w:color w:val="auto"/>
                <w:spacing w:val="-2"/>
                <w:sz w:val="24"/>
                <w:szCs w:val="24"/>
              </w:rPr>
              <w:t>说明</w:t>
            </w:r>
          </w:p>
        </w:tc>
      </w:tr>
      <w:tr w14:paraId="70145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84" w:type="dxa"/>
            <w:vAlign w:val="top"/>
          </w:tcPr>
          <w:p w14:paraId="27C011C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0B53992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63FFCC9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78852E8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3F5BE99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0AEE88A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4AA7E9F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1D476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84" w:type="dxa"/>
            <w:vAlign w:val="top"/>
          </w:tcPr>
          <w:p w14:paraId="4571E45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19EC93E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3710207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638A70D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2EC52BA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173F198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5621A6E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073AC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84" w:type="dxa"/>
            <w:vAlign w:val="top"/>
          </w:tcPr>
          <w:p w14:paraId="1F13977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51029D3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43C1230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708683E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5FD1582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6EA6F8D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7FBFD57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05FAE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84" w:type="dxa"/>
            <w:vAlign w:val="top"/>
          </w:tcPr>
          <w:p w14:paraId="0C6F8AE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4ABD593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1F86594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6CD8BA5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2FC4C5F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4F524BC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78CD2D8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6D2FF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84" w:type="dxa"/>
            <w:vAlign w:val="top"/>
          </w:tcPr>
          <w:p w14:paraId="5B35C13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214F321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07AD2D7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11F936B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03380F2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7BD7739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264B82C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2C51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84" w:type="dxa"/>
            <w:vAlign w:val="top"/>
          </w:tcPr>
          <w:p w14:paraId="0FFD982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6DF0D5D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29C06AC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4B504C8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7B91A56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196A754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5018439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7826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884" w:type="dxa"/>
            <w:vAlign w:val="top"/>
          </w:tcPr>
          <w:p w14:paraId="077697D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7" w:type="dxa"/>
            <w:vAlign w:val="top"/>
          </w:tcPr>
          <w:p w14:paraId="75CBCD6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485" w:type="dxa"/>
            <w:vAlign w:val="top"/>
          </w:tcPr>
          <w:p w14:paraId="7CF572B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59B85D7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338" w:type="dxa"/>
            <w:vAlign w:val="top"/>
          </w:tcPr>
          <w:p w14:paraId="57D8D58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55" w:type="dxa"/>
            <w:vAlign w:val="top"/>
          </w:tcPr>
          <w:p w14:paraId="6730391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960" w:type="dxa"/>
            <w:vAlign w:val="top"/>
          </w:tcPr>
          <w:p w14:paraId="281F7FB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bl>
    <w:p w14:paraId="365E325A">
      <w:pPr>
        <w:pStyle w:val="6"/>
        <w:keepNext w:val="0"/>
        <w:keepLines w:val="0"/>
        <w:pageBreakBefore w:val="0"/>
        <w:widowControl/>
        <w:kinsoku/>
        <w:wordWrap w:val="0"/>
        <w:overflowPunct/>
        <w:topLinePunct w:val="0"/>
        <w:bidi w:val="0"/>
        <w:spacing w:before="103" w:line="460" w:lineRule="exact"/>
        <w:ind w:left="0" w:leftChars="0" w:right="1353" w:firstLine="0" w:firstLineChars="0"/>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法定代表人或其委托代理人（</w:t>
      </w:r>
      <w:r>
        <w:rPr>
          <w:rFonts w:hint="eastAsia" w:ascii="黑体" w:hAnsi="黑体" w:eastAsia="黑体" w:cs="黑体"/>
          <w:color w:val="auto"/>
          <w:spacing w:val="-1"/>
          <w:sz w:val="24"/>
          <w:szCs w:val="24"/>
          <w:lang w:eastAsia="zh-CN"/>
        </w:rPr>
        <w:t>签字或盖章</w:t>
      </w:r>
      <w:r>
        <w:rPr>
          <w:rFonts w:hint="eastAsia" w:ascii="黑体" w:hAnsi="黑体" w:eastAsia="黑体" w:cs="黑体"/>
          <w:color w:val="auto"/>
          <w:spacing w:val="-1"/>
          <w:sz w:val="24"/>
          <w:szCs w:val="24"/>
        </w:rPr>
        <w:t>）</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4A0B959A">
      <w:pPr>
        <w:pStyle w:val="6"/>
        <w:keepNext w:val="0"/>
        <w:keepLines w:val="0"/>
        <w:pageBreakBefore w:val="0"/>
        <w:widowControl/>
        <w:kinsoku/>
        <w:wordWrap w:val="0"/>
        <w:overflowPunct/>
        <w:topLinePunct w:val="0"/>
        <w:bidi w:val="0"/>
        <w:spacing w:before="103" w:line="460" w:lineRule="exact"/>
        <w:ind w:left="0" w:leftChars="0" w:right="1353" w:firstLine="0" w:firstLineChars="0"/>
        <w:rPr>
          <w:rFonts w:hint="eastAsia" w:ascii="黑体" w:hAnsi="黑体" w:eastAsia="黑体" w:cs="黑体"/>
          <w:color w:val="auto"/>
          <w:spacing w:val="-1"/>
          <w:sz w:val="24"/>
          <w:szCs w:val="24"/>
          <w:u w:val="single"/>
          <w:lang w:val="en-US" w:eastAsia="zh-CN"/>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44E69A2B">
      <w:pPr>
        <w:pStyle w:val="6"/>
        <w:keepNext w:val="0"/>
        <w:keepLines w:val="0"/>
        <w:pageBreakBefore w:val="0"/>
        <w:widowControl/>
        <w:kinsoku/>
        <w:wordWrap w:val="0"/>
        <w:overflowPunct/>
        <w:topLinePunct w:val="0"/>
        <w:bidi w:val="0"/>
        <w:spacing w:before="103" w:line="460" w:lineRule="exact"/>
        <w:ind w:right="1700"/>
        <w:rPr>
          <w:rFonts w:hint="eastAsia" w:ascii="黑体" w:hAnsi="黑体" w:eastAsia="黑体" w:cs="黑体"/>
          <w:color w:val="auto"/>
          <w:sz w:val="24"/>
          <w:szCs w:val="24"/>
        </w:rPr>
      </w:pPr>
    </w:p>
    <w:p w14:paraId="7854B9F4">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121D73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6FC953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B99A8FF">
      <w:pPr>
        <w:keepNext w:val="0"/>
        <w:keepLines w:val="0"/>
        <w:pageBreakBefore w:val="0"/>
        <w:widowControl/>
        <w:numPr>
          <w:ilvl w:val="0"/>
          <w:numId w:val="0"/>
        </w:numPr>
        <w:kinsoku/>
        <w:wordWrap w:val="0"/>
        <w:overflowPunct/>
        <w:topLinePunct w:val="0"/>
        <w:bidi w:val="0"/>
        <w:spacing w:line="460" w:lineRule="exact"/>
        <w:jc w:val="center"/>
        <w:rPr>
          <w:rFonts w:hint="eastAsia" w:ascii="黑体" w:hAnsi="黑体" w:eastAsia="黑体" w:cs="黑体"/>
          <w:color w:val="auto"/>
          <w:sz w:val="24"/>
          <w:szCs w:val="24"/>
          <w:lang w:val="en-US" w:eastAsia="zh-CN"/>
        </w:rPr>
      </w:pPr>
      <w:r>
        <w:rPr>
          <w:rFonts w:hint="eastAsia" w:ascii="黑体" w:hAnsi="黑体" w:eastAsia="黑体" w:cs="黑体"/>
          <w:b/>
          <w:bCs/>
          <w:snapToGrid w:val="0"/>
          <w:color w:val="auto"/>
          <w:spacing w:val="-1"/>
          <w:kern w:val="0"/>
          <w:sz w:val="24"/>
          <w:szCs w:val="24"/>
          <w:lang w:val="en-US" w:eastAsia="zh-CN" w:bidi="ar-SA"/>
        </w:rPr>
        <w:t>5、</w:t>
      </w:r>
      <w:r>
        <w:rPr>
          <w:rFonts w:hint="eastAsia" w:ascii="黑体" w:hAnsi="黑体" w:eastAsia="黑体" w:cs="黑体"/>
          <w:b/>
          <w:bCs/>
          <w:color w:val="auto"/>
          <w:spacing w:val="-3"/>
          <w:sz w:val="24"/>
          <w:szCs w:val="24"/>
        </w:rPr>
        <w:t>商务条款偏离表</w:t>
      </w:r>
    </w:p>
    <w:p w14:paraId="7756AA4A">
      <w:pPr>
        <w:keepNext w:val="0"/>
        <w:keepLines w:val="0"/>
        <w:pageBreakBefore w:val="0"/>
        <w:widowControl/>
        <w:numPr>
          <w:ilvl w:val="0"/>
          <w:numId w:val="0"/>
        </w:numPr>
        <w:kinsoku/>
        <w:wordWrap w:val="0"/>
        <w:overflowPunct/>
        <w:topLinePunct w:val="0"/>
        <w:bidi w:val="0"/>
        <w:spacing w:line="460" w:lineRule="exact"/>
        <w:rPr>
          <w:rFonts w:hint="eastAsia" w:ascii="黑体" w:hAnsi="黑体" w:eastAsia="黑体" w:cs="黑体"/>
          <w:color w:val="auto"/>
        </w:rPr>
      </w:pPr>
      <w:r>
        <w:rPr>
          <w:rFonts w:hint="eastAsia" w:ascii="黑体" w:hAnsi="黑体" w:eastAsia="黑体" w:cs="黑体"/>
          <w:color w:val="auto"/>
          <w:sz w:val="24"/>
          <w:szCs w:val="24"/>
        </w:rPr>
        <w:t>项目名称</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项目编号</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 xml:space="preserve">             </w:t>
      </w:r>
    </w:p>
    <w:tbl>
      <w:tblPr>
        <w:tblStyle w:val="16"/>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2042"/>
        <w:gridCol w:w="2521"/>
        <w:gridCol w:w="2522"/>
        <w:gridCol w:w="1019"/>
      </w:tblGrid>
      <w:tr w14:paraId="5ECC8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53" w:type="dxa"/>
            <w:vAlign w:val="top"/>
          </w:tcPr>
          <w:p w14:paraId="696ABB08">
            <w:pPr>
              <w:keepNext w:val="0"/>
              <w:keepLines w:val="0"/>
              <w:pageBreakBefore w:val="0"/>
              <w:widowControl/>
              <w:kinsoku/>
              <w:wordWrap w:val="0"/>
              <w:overflowPunct/>
              <w:topLinePunct w:val="0"/>
              <w:bidi w:val="0"/>
              <w:spacing w:before="160" w:line="460" w:lineRule="exact"/>
              <w:ind w:left="235"/>
              <w:rPr>
                <w:rFonts w:hint="eastAsia" w:ascii="黑体" w:hAnsi="黑体" w:eastAsia="黑体" w:cs="黑体"/>
                <w:color w:val="auto"/>
                <w:sz w:val="24"/>
                <w:szCs w:val="24"/>
              </w:rPr>
            </w:pPr>
            <w:r>
              <w:rPr>
                <w:rFonts w:hint="eastAsia" w:ascii="黑体" w:hAnsi="黑体" w:eastAsia="黑体" w:cs="黑体"/>
                <w:color w:val="auto"/>
                <w:spacing w:val="-1"/>
                <w:sz w:val="24"/>
                <w:szCs w:val="24"/>
              </w:rPr>
              <w:t>序号</w:t>
            </w:r>
          </w:p>
        </w:tc>
        <w:tc>
          <w:tcPr>
            <w:tcW w:w="2042" w:type="dxa"/>
            <w:vAlign w:val="top"/>
          </w:tcPr>
          <w:p w14:paraId="70E8CBC2">
            <w:pPr>
              <w:keepNext w:val="0"/>
              <w:keepLines w:val="0"/>
              <w:pageBreakBefore w:val="0"/>
              <w:widowControl/>
              <w:kinsoku/>
              <w:wordWrap w:val="0"/>
              <w:overflowPunct/>
              <w:topLinePunct w:val="0"/>
              <w:bidi w:val="0"/>
              <w:spacing w:before="161" w:line="460" w:lineRule="exact"/>
              <w:ind w:left="179"/>
              <w:rPr>
                <w:rFonts w:hint="eastAsia" w:ascii="黑体" w:hAnsi="黑体" w:eastAsia="黑体" w:cs="黑体"/>
                <w:color w:val="auto"/>
                <w:sz w:val="24"/>
                <w:szCs w:val="24"/>
              </w:rPr>
            </w:pPr>
            <w:r>
              <w:rPr>
                <w:rFonts w:hint="eastAsia" w:ascii="黑体" w:hAnsi="黑体" w:eastAsia="黑体" w:cs="黑体"/>
                <w:color w:val="auto"/>
                <w:spacing w:val="-1"/>
                <w:sz w:val="24"/>
                <w:szCs w:val="24"/>
              </w:rPr>
              <w:t>招标文件条款号</w:t>
            </w:r>
          </w:p>
        </w:tc>
        <w:tc>
          <w:tcPr>
            <w:tcW w:w="2521" w:type="dxa"/>
            <w:vAlign w:val="top"/>
          </w:tcPr>
          <w:p w14:paraId="3E875C19">
            <w:pPr>
              <w:keepNext w:val="0"/>
              <w:keepLines w:val="0"/>
              <w:pageBreakBefore w:val="0"/>
              <w:widowControl/>
              <w:kinsoku/>
              <w:wordWrap w:val="0"/>
              <w:overflowPunct/>
              <w:topLinePunct w:val="0"/>
              <w:bidi w:val="0"/>
              <w:spacing w:before="160" w:line="460" w:lineRule="exact"/>
              <w:ind w:left="180"/>
              <w:rPr>
                <w:rFonts w:hint="eastAsia" w:ascii="黑体" w:hAnsi="黑体" w:eastAsia="黑体" w:cs="黑体"/>
                <w:color w:val="auto"/>
                <w:sz w:val="24"/>
                <w:szCs w:val="24"/>
              </w:rPr>
            </w:pPr>
            <w:r>
              <w:rPr>
                <w:rFonts w:hint="eastAsia" w:ascii="黑体" w:hAnsi="黑体" w:eastAsia="黑体" w:cs="黑体"/>
                <w:color w:val="auto"/>
                <w:spacing w:val="-1"/>
                <w:sz w:val="24"/>
                <w:szCs w:val="24"/>
              </w:rPr>
              <w:t>招标文件的商务条款</w:t>
            </w:r>
          </w:p>
        </w:tc>
        <w:tc>
          <w:tcPr>
            <w:tcW w:w="2522" w:type="dxa"/>
            <w:vAlign w:val="top"/>
          </w:tcPr>
          <w:p w14:paraId="6C915546">
            <w:pPr>
              <w:keepNext w:val="0"/>
              <w:keepLines w:val="0"/>
              <w:pageBreakBefore w:val="0"/>
              <w:widowControl/>
              <w:kinsoku/>
              <w:wordWrap w:val="0"/>
              <w:overflowPunct/>
              <w:topLinePunct w:val="0"/>
              <w:bidi w:val="0"/>
              <w:spacing w:before="160" w:line="460" w:lineRule="exact"/>
              <w:ind w:left="183"/>
              <w:rPr>
                <w:rFonts w:hint="eastAsia" w:ascii="黑体" w:hAnsi="黑体" w:eastAsia="黑体" w:cs="黑体"/>
                <w:color w:val="auto"/>
                <w:sz w:val="24"/>
                <w:szCs w:val="24"/>
              </w:rPr>
            </w:pPr>
            <w:r>
              <w:rPr>
                <w:rFonts w:hint="eastAsia" w:ascii="黑体" w:hAnsi="黑体" w:eastAsia="黑体" w:cs="黑体"/>
                <w:color w:val="auto"/>
                <w:spacing w:val="-1"/>
                <w:sz w:val="24"/>
                <w:szCs w:val="24"/>
              </w:rPr>
              <w:t>投标文件的商务条款</w:t>
            </w:r>
          </w:p>
        </w:tc>
        <w:tc>
          <w:tcPr>
            <w:tcW w:w="1019" w:type="dxa"/>
            <w:vAlign w:val="top"/>
          </w:tcPr>
          <w:p w14:paraId="00E05F03">
            <w:pPr>
              <w:keepNext w:val="0"/>
              <w:keepLines w:val="0"/>
              <w:pageBreakBefore w:val="0"/>
              <w:widowControl/>
              <w:kinsoku/>
              <w:wordWrap w:val="0"/>
              <w:overflowPunct/>
              <w:topLinePunct w:val="0"/>
              <w:bidi w:val="0"/>
              <w:spacing w:before="163" w:line="460" w:lineRule="exact"/>
              <w:ind w:left="270"/>
              <w:rPr>
                <w:rFonts w:hint="eastAsia" w:ascii="黑体" w:hAnsi="黑体" w:eastAsia="黑体" w:cs="黑体"/>
                <w:color w:val="auto"/>
                <w:sz w:val="24"/>
                <w:szCs w:val="24"/>
              </w:rPr>
            </w:pPr>
            <w:r>
              <w:rPr>
                <w:rFonts w:hint="eastAsia" w:ascii="黑体" w:hAnsi="黑体" w:eastAsia="黑体" w:cs="黑体"/>
                <w:color w:val="auto"/>
                <w:spacing w:val="-2"/>
                <w:sz w:val="24"/>
                <w:szCs w:val="24"/>
              </w:rPr>
              <w:t>说明</w:t>
            </w:r>
          </w:p>
        </w:tc>
      </w:tr>
      <w:tr w14:paraId="11689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703C7F8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25209D4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120606C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1593E97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73BFF7F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6B0C0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53" w:type="dxa"/>
            <w:vAlign w:val="top"/>
          </w:tcPr>
          <w:p w14:paraId="2917FCE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483B4CF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66A2F63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2FFF3D8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3C3CD1A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837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61DD70C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56EAB1F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7422F9E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2BBF983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708446B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343C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53" w:type="dxa"/>
            <w:vAlign w:val="top"/>
          </w:tcPr>
          <w:p w14:paraId="76CDE96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5DBD3D6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50F91EA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04DD0DF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2076055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7B83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6C43E3B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426D1D5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0B511D0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610F810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4BB8B57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2FE3D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53" w:type="dxa"/>
            <w:vAlign w:val="top"/>
          </w:tcPr>
          <w:p w14:paraId="11B4C39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50C6F31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1CC93F4C">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0BDA99C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34BB719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6B6E0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53" w:type="dxa"/>
            <w:vAlign w:val="top"/>
          </w:tcPr>
          <w:p w14:paraId="2356F87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75AE39B6">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240F688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439F911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0CCB4AF1">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06684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5CCAB69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5066888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66979D6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6E11A6D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160D721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7BE43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0E643E2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3459CC6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1312971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35F7F94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694828E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5E887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4D8B002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708ACBF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59011AB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50B9B7D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67C3BD4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613D1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2A711B8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1E359B9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22F41E67">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28206BC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7377D340">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2FE5E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53" w:type="dxa"/>
            <w:vAlign w:val="top"/>
          </w:tcPr>
          <w:p w14:paraId="47EEB09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3DD4B5F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48D5367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77E4171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7FAA7ADD">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r w14:paraId="4F2C3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53" w:type="dxa"/>
            <w:vAlign w:val="top"/>
          </w:tcPr>
          <w:p w14:paraId="427104DE">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042" w:type="dxa"/>
            <w:vAlign w:val="top"/>
          </w:tcPr>
          <w:p w14:paraId="3FD1947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1" w:type="dxa"/>
            <w:vAlign w:val="top"/>
          </w:tcPr>
          <w:p w14:paraId="7DF37B6B">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2522" w:type="dxa"/>
            <w:vAlign w:val="top"/>
          </w:tcPr>
          <w:p w14:paraId="1C6B0AD3">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c>
          <w:tcPr>
            <w:tcW w:w="1019" w:type="dxa"/>
            <w:vAlign w:val="top"/>
          </w:tcPr>
          <w:p w14:paraId="229C8ADF">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tc>
      </w:tr>
    </w:tbl>
    <w:p w14:paraId="058A5EBB">
      <w:pPr>
        <w:pStyle w:val="6"/>
        <w:keepNext w:val="0"/>
        <w:keepLines w:val="0"/>
        <w:pageBreakBefore w:val="0"/>
        <w:widowControl/>
        <w:kinsoku/>
        <w:wordWrap w:val="0"/>
        <w:overflowPunct/>
        <w:topLinePunct w:val="0"/>
        <w:bidi w:val="0"/>
        <w:spacing w:before="103" w:line="460" w:lineRule="exact"/>
        <w:ind w:right="1601"/>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法定代表人或其委托代理人（</w:t>
      </w:r>
      <w:r>
        <w:rPr>
          <w:rFonts w:hint="eastAsia" w:ascii="黑体" w:hAnsi="黑体" w:eastAsia="黑体" w:cs="黑体"/>
          <w:color w:val="auto"/>
          <w:spacing w:val="-1"/>
          <w:sz w:val="24"/>
          <w:szCs w:val="24"/>
          <w:lang w:eastAsia="zh-CN"/>
        </w:rPr>
        <w:t>签字或盖章</w:t>
      </w:r>
      <w:r>
        <w:rPr>
          <w:rFonts w:hint="eastAsia" w:ascii="黑体" w:hAnsi="黑体" w:eastAsia="黑体" w:cs="黑体"/>
          <w:color w:val="auto"/>
          <w:spacing w:val="-1"/>
          <w:sz w:val="24"/>
          <w:szCs w:val="24"/>
        </w:rPr>
        <w:t>）</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5C7989FA">
      <w:pPr>
        <w:pStyle w:val="6"/>
        <w:keepNext w:val="0"/>
        <w:keepLines w:val="0"/>
        <w:pageBreakBefore w:val="0"/>
        <w:widowControl/>
        <w:kinsoku/>
        <w:wordWrap w:val="0"/>
        <w:overflowPunct/>
        <w:topLinePunct w:val="0"/>
        <w:bidi w:val="0"/>
        <w:spacing w:before="103" w:line="460" w:lineRule="exact"/>
        <w:ind w:right="1601"/>
        <w:rPr>
          <w:rFonts w:hint="eastAsia" w:ascii="黑体" w:hAnsi="黑体" w:eastAsia="黑体" w:cs="黑体"/>
          <w:color w:val="auto"/>
          <w:sz w:val="24"/>
          <w:szCs w:val="24"/>
        </w:rPr>
      </w:pPr>
      <w:r>
        <w:rPr>
          <w:rFonts w:hint="eastAsia" w:ascii="黑体" w:hAnsi="黑体" w:eastAsia="黑体" w:cs="黑体"/>
          <w:color w:val="auto"/>
          <w:spacing w:val="-1"/>
          <w:sz w:val="24"/>
          <w:szCs w:val="24"/>
        </w:rPr>
        <w:t>供应商名称(公章)</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u w:val="single"/>
          <w:lang w:val="en-US" w:eastAsia="zh-CN"/>
        </w:rPr>
        <w:t xml:space="preserve">                            </w:t>
      </w:r>
    </w:p>
    <w:p w14:paraId="724707C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AF7FBF9">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459A35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BB66864">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7BF8C0E">
      <w:pPr>
        <w:pStyle w:val="6"/>
        <w:keepNext w:val="0"/>
        <w:keepLines w:val="0"/>
        <w:pageBreakBefore w:val="0"/>
        <w:widowControl/>
        <w:kinsoku/>
        <w:wordWrap w:val="0"/>
        <w:overflowPunct/>
        <w:topLinePunct w:val="0"/>
        <w:bidi w:val="0"/>
        <w:spacing w:before="105" w:line="460" w:lineRule="exact"/>
        <w:jc w:val="both"/>
        <w:outlineLvl w:val="1"/>
        <w:rPr>
          <w:rFonts w:hint="eastAsia" w:ascii="黑体" w:hAnsi="黑体" w:eastAsia="黑体" w:cs="黑体"/>
          <w:b/>
          <w:bCs/>
          <w:color w:val="auto"/>
          <w:spacing w:val="-3"/>
          <w:sz w:val="24"/>
          <w:szCs w:val="24"/>
        </w:rPr>
      </w:pPr>
      <w:bookmarkStart w:id="36" w:name="bookmark31"/>
      <w:bookmarkEnd w:id="36"/>
    </w:p>
    <w:p w14:paraId="7AE4C268">
      <w:pPr>
        <w:pStyle w:val="6"/>
        <w:keepNext w:val="0"/>
        <w:keepLines w:val="0"/>
        <w:pageBreakBefore w:val="0"/>
        <w:widowControl/>
        <w:kinsoku/>
        <w:wordWrap w:val="0"/>
        <w:overflowPunct/>
        <w:topLinePunct w:val="0"/>
        <w:bidi w:val="0"/>
        <w:spacing w:before="105"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6-1中小企业声明函（货物）</w:t>
      </w:r>
    </w:p>
    <w:p w14:paraId="735A1B1B">
      <w:pPr>
        <w:pStyle w:val="6"/>
        <w:keepNext w:val="0"/>
        <w:keepLines w:val="0"/>
        <w:pageBreakBefore w:val="0"/>
        <w:widowControl/>
        <w:kinsoku/>
        <w:wordWrap w:val="0"/>
        <w:overflowPunct/>
        <w:topLinePunct w:val="0"/>
        <w:bidi w:val="0"/>
        <w:spacing w:before="281" w:line="460" w:lineRule="exact"/>
        <w:ind w:left="44" w:leftChars="21" w:right="72" w:firstLine="373" w:firstLineChars="157"/>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rPr>
        <w:t>本公司（联合体）郑重声明，根据《政府采购促进中小企业发展</w:t>
      </w:r>
      <w:r>
        <w:rPr>
          <w:rFonts w:hint="eastAsia" w:ascii="黑体" w:hAnsi="黑体" w:eastAsia="黑体" w:cs="黑体"/>
          <w:color w:val="auto"/>
          <w:spacing w:val="-2"/>
          <w:sz w:val="24"/>
          <w:szCs w:val="24"/>
        </w:rPr>
        <w:t>管理办法》</w:t>
      </w:r>
      <w:r>
        <w:rPr>
          <w:rFonts w:hint="eastAsia" w:ascii="黑体" w:hAnsi="黑体" w:eastAsia="黑体" w:cs="黑体"/>
          <w:color w:val="auto"/>
          <w:spacing w:val="-8"/>
          <w:sz w:val="24"/>
          <w:szCs w:val="24"/>
        </w:rPr>
        <w:t>（财库</w:t>
      </w:r>
      <w:r>
        <w:rPr>
          <w:rFonts w:hint="eastAsia" w:ascii="黑体" w:hAnsi="黑体" w:eastAsia="黑体" w:cs="黑体"/>
          <w:color w:val="auto"/>
          <w:spacing w:val="-8"/>
          <w:sz w:val="24"/>
          <w:szCs w:val="24"/>
          <w:lang w:eastAsia="zh-CN"/>
        </w:rPr>
        <w:t>【</w:t>
      </w:r>
      <w:r>
        <w:rPr>
          <w:rFonts w:hint="eastAsia" w:ascii="黑体" w:hAnsi="黑体" w:eastAsia="黑体" w:cs="黑体"/>
          <w:color w:val="auto"/>
          <w:spacing w:val="-8"/>
          <w:sz w:val="24"/>
          <w:szCs w:val="24"/>
        </w:rPr>
        <w:t>2020</w:t>
      </w:r>
      <w:r>
        <w:rPr>
          <w:rFonts w:hint="eastAsia" w:ascii="黑体" w:hAnsi="黑体" w:eastAsia="黑体" w:cs="黑体"/>
          <w:color w:val="auto"/>
          <w:spacing w:val="-8"/>
          <w:sz w:val="24"/>
          <w:szCs w:val="24"/>
          <w:lang w:eastAsia="zh-CN"/>
        </w:rPr>
        <w:t>】</w:t>
      </w:r>
      <w:r>
        <w:rPr>
          <w:rFonts w:hint="eastAsia" w:ascii="黑体" w:hAnsi="黑体" w:eastAsia="黑体" w:cs="黑体"/>
          <w:color w:val="auto"/>
          <w:spacing w:val="-8"/>
          <w:sz w:val="24"/>
          <w:szCs w:val="24"/>
        </w:rPr>
        <w:t>46号）的规定，本公司（联合体）参加</w:t>
      </w:r>
      <w:r>
        <w:rPr>
          <w:rFonts w:hint="eastAsia" w:ascii="黑体" w:hAnsi="黑体" w:eastAsia="黑体" w:cs="黑体"/>
          <w:color w:val="auto"/>
          <w:spacing w:val="-8"/>
          <w:sz w:val="24"/>
          <w:szCs w:val="24"/>
          <w:u w:val="single" w:color="auto"/>
        </w:rPr>
        <w:t>（单位名称）</w:t>
      </w:r>
      <w:r>
        <w:rPr>
          <w:rFonts w:hint="eastAsia" w:ascii="黑体" w:hAnsi="黑体" w:eastAsia="黑体" w:cs="黑体"/>
          <w:color w:val="auto"/>
          <w:spacing w:val="-8"/>
          <w:sz w:val="24"/>
          <w:szCs w:val="24"/>
        </w:rPr>
        <w:t>的</w:t>
      </w:r>
      <w:r>
        <w:rPr>
          <w:rFonts w:hint="eastAsia" w:ascii="黑体" w:hAnsi="黑体" w:eastAsia="黑体" w:cs="黑体"/>
          <w:color w:val="auto"/>
          <w:spacing w:val="-8"/>
          <w:sz w:val="24"/>
          <w:szCs w:val="24"/>
          <w:u w:val="single" w:color="auto"/>
        </w:rPr>
        <w:t>（项</w:t>
      </w:r>
      <w:r>
        <w:rPr>
          <w:rFonts w:hint="eastAsia" w:ascii="黑体" w:hAnsi="黑体" w:eastAsia="黑体" w:cs="黑体"/>
          <w:color w:val="auto"/>
          <w:spacing w:val="-4"/>
          <w:sz w:val="24"/>
          <w:szCs w:val="24"/>
          <w:u w:val="single" w:color="auto"/>
        </w:rPr>
        <w:t>目名称）</w:t>
      </w:r>
      <w:r>
        <w:rPr>
          <w:rFonts w:hint="eastAsia" w:ascii="黑体" w:hAnsi="黑体" w:eastAsia="黑体" w:cs="黑体"/>
          <w:color w:val="auto"/>
          <w:spacing w:val="-4"/>
          <w:sz w:val="24"/>
          <w:szCs w:val="24"/>
        </w:rPr>
        <w:t>采购活动，提供的货物全部由符合政策要求的中小企业制造。相关企业</w:t>
      </w:r>
      <w:r>
        <w:rPr>
          <w:rFonts w:hint="eastAsia" w:ascii="黑体" w:hAnsi="黑体" w:eastAsia="黑体" w:cs="黑体"/>
          <w:color w:val="auto"/>
          <w:spacing w:val="-1"/>
          <w:sz w:val="24"/>
          <w:szCs w:val="24"/>
        </w:rPr>
        <w:t>（含联合体中的中小企业、签订分包意向协议的中小企业）的具体情况</w:t>
      </w:r>
      <w:r>
        <w:rPr>
          <w:rFonts w:hint="eastAsia" w:ascii="黑体" w:hAnsi="黑体" w:eastAsia="黑体" w:cs="黑体"/>
          <w:color w:val="auto"/>
          <w:spacing w:val="-2"/>
          <w:sz w:val="24"/>
          <w:szCs w:val="24"/>
        </w:rPr>
        <w:t>如下：</w:t>
      </w:r>
    </w:p>
    <w:p w14:paraId="3297FF0D">
      <w:pPr>
        <w:pStyle w:val="6"/>
        <w:keepNext w:val="0"/>
        <w:keepLines w:val="0"/>
        <w:pageBreakBefore w:val="0"/>
        <w:widowControl/>
        <w:kinsoku/>
        <w:wordWrap w:val="0"/>
        <w:overflowPunct/>
        <w:topLinePunct w:val="0"/>
        <w:bidi w:val="0"/>
        <w:spacing w:before="312" w:line="460" w:lineRule="exact"/>
        <w:ind w:left="44" w:leftChars="21" w:right="5" w:firstLine="373" w:firstLineChars="157"/>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rPr>
        <w:t>1.</w:t>
      </w:r>
      <w:r>
        <w:rPr>
          <w:rFonts w:hint="eastAsia" w:ascii="黑体" w:hAnsi="黑体" w:eastAsia="黑体" w:cs="黑体"/>
          <w:color w:val="auto"/>
          <w:spacing w:val="-1"/>
          <w:sz w:val="24"/>
          <w:szCs w:val="24"/>
          <w:u w:val="single" w:color="auto"/>
        </w:rPr>
        <w:t>（标的名称</w:t>
      </w:r>
      <w:r>
        <w:rPr>
          <w:rFonts w:hint="eastAsia" w:ascii="黑体" w:hAnsi="黑体" w:eastAsia="黑体" w:cs="黑体"/>
          <w:color w:val="auto"/>
          <w:spacing w:val="-14"/>
          <w:sz w:val="24"/>
          <w:szCs w:val="24"/>
          <w:u w:val="single" w:color="auto"/>
        </w:rPr>
        <w:t>）</w:t>
      </w:r>
      <w:r>
        <w:rPr>
          <w:rFonts w:hint="eastAsia" w:ascii="黑体" w:hAnsi="黑体" w:eastAsia="黑体" w:cs="黑体"/>
          <w:color w:val="auto"/>
          <w:spacing w:val="-14"/>
          <w:sz w:val="24"/>
          <w:szCs w:val="24"/>
        </w:rPr>
        <w:t>，</w:t>
      </w:r>
      <w:r>
        <w:rPr>
          <w:rFonts w:hint="eastAsia" w:ascii="黑体" w:hAnsi="黑体" w:eastAsia="黑体" w:cs="黑体"/>
          <w:color w:val="auto"/>
          <w:spacing w:val="-1"/>
          <w:sz w:val="24"/>
          <w:szCs w:val="24"/>
        </w:rPr>
        <w:t>属于</w:t>
      </w:r>
      <w:r>
        <w:rPr>
          <w:rFonts w:hint="eastAsia" w:ascii="黑体" w:hAnsi="黑体" w:eastAsia="黑体" w:cs="黑体"/>
          <w:color w:val="auto"/>
          <w:spacing w:val="-1"/>
          <w:sz w:val="24"/>
          <w:szCs w:val="24"/>
          <w:u w:val="single" w:color="auto"/>
        </w:rPr>
        <w:t>（采购文件中明确的所属行业）</w:t>
      </w:r>
      <w:r>
        <w:rPr>
          <w:rFonts w:hint="eastAsia" w:ascii="黑体" w:hAnsi="黑体" w:eastAsia="黑体" w:cs="黑体"/>
          <w:color w:val="auto"/>
          <w:spacing w:val="-1"/>
          <w:sz w:val="24"/>
          <w:szCs w:val="24"/>
        </w:rPr>
        <w:t>行业；制造商</w:t>
      </w:r>
      <w:r>
        <w:rPr>
          <w:rFonts w:hint="eastAsia" w:ascii="黑体" w:hAnsi="黑体" w:eastAsia="黑体" w:cs="黑体"/>
          <w:color w:val="auto"/>
          <w:spacing w:val="-2"/>
          <w:sz w:val="24"/>
          <w:szCs w:val="24"/>
        </w:rPr>
        <w:t>为</w:t>
      </w:r>
      <w:r>
        <w:rPr>
          <w:rFonts w:hint="eastAsia" w:ascii="黑体" w:hAnsi="黑体" w:eastAsia="黑体" w:cs="黑体"/>
          <w:color w:val="auto"/>
          <w:spacing w:val="-2"/>
          <w:sz w:val="24"/>
          <w:szCs w:val="24"/>
          <w:u w:val="single" w:color="auto"/>
        </w:rPr>
        <w:t>（企业名称</w:t>
      </w:r>
      <w:r>
        <w:rPr>
          <w:rFonts w:hint="eastAsia" w:ascii="黑体" w:hAnsi="黑体" w:eastAsia="黑体" w:cs="黑体"/>
          <w:color w:val="auto"/>
          <w:spacing w:val="-9"/>
          <w:sz w:val="24"/>
          <w:szCs w:val="24"/>
          <w:u w:val="single" w:color="auto"/>
        </w:rPr>
        <w:t>）</w:t>
      </w:r>
      <w:r>
        <w:rPr>
          <w:rFonts w:hint="eastAsia" w:ascii="黑体" w:hAnsi="黑体" w:eastAsia="黑体" w:cs="黑体"/>
          <w:color w:val="auto"/>
          <w:spacing w:val="-9"/>
          <w:sz w:val="24"/>
          <w:szCs w:val="24"/>
        </w:rPr>
        <w:t>，</w:t>
      </w:r>
      <w:r>
        <w:rPr>
          <w:rFonts w:hint="eastAsia" w:ascii="黑体" w:hAnsi="黑体" w:eastAsia="黑体" w:cs="黑体"/>
          <w:color w:val="auto"/>
          <w:spacing w:val="-2"/>
          <w:sz w:val="24"/>
          <w:szCs w:val="24"/>
        </w:rPr>
        <w:t>从业人员人，营业收入为万</w:t>
      </w:r>
      <w:r>
        <w:rPr>
          <w:rFonts w:hint="eastAsia" w:ascii="黑体" w:hAnsi="黑体" w:eastAsia="黑体" w:cs="黑体"/>
          <w:color w:val="auto"/>
          <w:spacing w:val="-3"/>
          <w:sz w:val="24"/>
          <w:szCs w:val="24"/>
        </w:rPr>
        <w:t>元，资产总额为万元，</w:t>
      </w:r>
      <w:r>
        <w:rPr>
          <w:rFonts w:hint="eastAsia" w:ascii="黑体" w:hAnsi="黑体" w:eastAsia="黑体" w:cs="黑体"/>
          <w:color w:val="auto"/>
          <w:spacing w:val="-1"/>
          <w:sz w:val="24"/>
          <w:szCs w:val="24"/>
        </w:rPr>
        <w:t>属于</w:t>
      </w:r>
      <w:r>
        <w:rPr>
          <w:rFonts w:hint="eastAsia" w:ascii="黑体" w:hAnsi="黑体" w:eastAsia="黑体" w:cs="黑体"/>
          <w:color w:val="auto"/>
          <w:spacing w:val="-1"/>
          <w:sz w:val="24"/>
          <w:szCs w:val="24"/>
          <w:u w:val="single" w:color="auto"/>
        </w:rPr>
        <w:t>（中型企业、小型企业、微型企业</w:t>
      </w:r>
      <w:r>
        <w:rPr>
          <w:rFonts w:hint="eastAsia" w:ascii="黑体" w:hAnsi="黑体" w:eastAsia="黑体" w:cs="黑体"/>
          <w:color w:val="auto"/>
          <w:spacing w:val="9"/>
          <w:sz w:val="24"/>
          <w:szCs w:val="24"/>
          <w:u w:val="single" w:color="auto"/>
        </w:rPr>
        <w:t>）</w:t>
      </w:r>
      <w:r>
        <w:rPr>
          <w:rFonts w:hint="eastAsia" w:ascii="黑体" w:hAnsi="黑体" w:eastAsia="黑体" w:cs="黑体"/>
          <w:color w:val="auto"/>
          <w:spacing w:val="9"/>
          <w:sz w:val="24"/>
          <w:szCs w:val="24"/>
        </w:rPr>
        <w:t>；</w:t>
      </w:r>
    </w:p>
    <w:p w14:paraId="6B50E71E">
      <w:pPr>
        <w:pStyle w:val="6"/>
        <w:keepNext w:val="0"/>
        <w:keepLines w:val="0"/>
        <w:pageBreakBefore w:val="0"/>
        <w:widowControl/>
        <w:kinsoku/>
        <w:wordWrap w:val="0"/>
        <w:overflowPunct/>
        <w:topLinePunct w:val="0"/>
        <w:bidi w:val="0"/>
        <w:spacing w:before="309" w:line="460" w:lineRule="exact"/>
        <w:ind w:left="44" w:leftChars="21" w:right="5" w:firstLine="373" w:firstLineChars="157"/>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rPr>
        <w:t>2.</w:t>
      </w:r>
      <w:r>
        <w:rPr>
          <w:rFonts w:hint="eastAsia" w:ascii="黑体" w:hAnsi="黑体" w:eastAsia="黑体" w:cs="黑体"/>
          <w:color w:val="auto"/>
          <w:spacing w:val="-1"/>
          <w:sz w:val="24"/>
          <w:szCs w:val="24"/>
          <w:u w:val="single" w:color="auto"/>
        </w:rPr>
        <w:t>（标的名称</w:t>
      </w:r>
      <w:r>
        <w:rPr>
          <w:rFonts w:hint="eastAsia" w:ascii="黑体" w:hAnsi="黑体" w:eastAsia="黑体" w:cs="黑体"/>
          <w:color w:val="auto"/>
          <w:spacing w:val="-9"/>
          <w:sz w:val="24"/>
          <w:szCs w:val="24"/>
          <w:u w:val="single" w:color="auto"/>
        </w:rPr>
        <w:t>）</w:t>
      </w:r>
      <w:r>
        <w:rPr>
          <w:rFonts w:hint="eastAsia" w:ascii="黑体" w:hAnsi="黑体" w:eastAsia="黑体" w:cs="黑体"/>
          <w:color w:val="auto"/>
          <w:spacing w:val="-9"/>
          <w:sz w:val="24"/>
          <w:szCs w:val="24"/>
        </w:rPr>
        <w:t>，</w:t>
      </w:r>
      <w:r>
        <w:rPr>
          <w:rFonts w:hint="eastAsia" w:ascii="黑体" w:hAnsi="黑体" w:eastAsia="黑体" w:cs="黑体"/>
          <w:color w:val="auto"/>
          <w:spacing w:val="-1"/>
          <w:sz w:val="24"/>
          <w:szCs w:val="24"/>
        </w:rPr>
        <w:t>属于</w:t>
      </w:r>
      <w:r>
        <w:rPr>
          <w:rFonts w:hint="eastAsia" w:ascii="黑体" w:hAnsi="黑体" w:eastAsia="黑体" w:cs="黑体"/>
          <w:color w:val="auto"/>
          <w:spacing w:val="-1"/>
          <w:sz w:val="24"/>
          <w:szCs w:val="24"/>
          <w:u w:val="single" w:color="auto"/>
        </w:rPr>
        <w:t>（采购文件中明确的所属行业）</w:t>
      </w:r>
      <w:r>
        <w:rPr>
          <w:rFonts w:hint="eastAsia" w:ascii="黑体" w:hAnsi="黑体" w:eastAsia="黑体" w:cs="黑体"/>
          <w:color w:val="auto"/>
          <w:spacing w:val="-1"/>
          <w:sz w:val="24"/>
          <w:szCs w:val="24"/>
        </w:rPr>
        <w:t>行业；制造商</w:t>
      </w:r>
      <w:r>
        <w:rPr>
          <w:rFonts w:hint="eastAsia" w:ascii="黑体" w:hAnsi="黑体" w:eastAsia="黑体" w:cs="黑体"/>
          <w:color w:val="auto"/>
          <w:spacing w:val="-2"/>
          <w:sz w:val="24"/>
          <w:szCs w:val="24"/>
        </w:rPr>
        <w:t>为</w:t>
      </w:r>
      <w:r>
        <w:rPr>
          <w:rFonts w:hint="eastAsia" w:ascii="黑体" w:hAnsi="黑体" w:eastAsia="黑体" w:cs="黑体"/>
          <w:color w:val="auto"/>
          <w:spacing w:val="-2"/>
          <w:sz w:val="24"/>
          <w:szCs w:val="24"/>
          <w:u w:val="single" w:color="auto"/>
        </w:rPr>
        <w:t>（企业名称</w:t>
      </w:r>
      <w:r>
        <w:rPr>
          <w:rFonts w:hint="eastAsia" w:ascii="黑体" w:hAnsi="黑体" w:eastAsia="黑体" w:cs="黑体"/>
          <w:color w:val="auto"/>
          <w:spacing w:val="-9"/>
          <w:sz w:val="24"/>
          <w:szCs w:val="24"/>
          <w:u w:val="single" w:color="auto"/>
        </w:rPr>
        <w:t>）</w:t>
      </w:r>
      <w:r>
        <w:rPr>
          <w:rFonts w:hint="eastAsia" w:ascii="黑体" w:hAnsi="黑体" w:eastAsia="黑体" w:cs="黑体"/>
          <w:color w:val="auto"/>
          <w:spacing w:val="-9"/>
          <w:sz w:val="24"/>
          <w:szCs w:val="24"/>
        </w:rPr>
        <w:t>，</w:t>
      </w:r>
      <w:r>
        <w:rPr>
          <w:rFonts w:hint="eastAsia" w:ascii="黑体" w:hAnsi="黑体" w:eastAsia="黑体" w:cs="黑体"/>
          <w:color w:val="auto"/>
          <w:spacing w:val="-2"/>
          <w:sz w:val="24"/>
          <w:szCs w:val="24"/>
        </w:rPr>
        <w:t>从业人员人，营业收入为万</w:t>
      </w:r>
      <w:r>
        <w:rPr>
          <w:rFonts w:hint="eastAsia" w:ascii="黑体" w:hAnsi="黑体" w:eastAsia="黑体" w:cs="黑体"/>
          <w:color w:val="auto"/>
          <w:spacing w:val="-3"/>
          <w:sz w:val="24"/>
          <w:szCs w:val="24"/>
        </w:rPr>
        <w:t>元，资产总额为万元，</w:t>
      </w:r>
      <w:r>
        <w:rPr>
          <w:rFonts w:hint="eastAsia" w:ascii="黑体" w:hAnsi="黑体" w:eastAsia="黑体" w:cs="黑体"/>
          <w:color w:val="auto"/>
          <w:spacing w:val="-1"/>
          <w:sz w:val="24"/>
          <w:szCs w:val="24"/>
        </w:rPr>
        <w:t>属于</w:t>
      </w:r>
      <w:r>
        <w:rPr>
          <w:rFonts w:hint="eastAsia" w:ascii="黑体" w:hAnsi="黑体" w:eastAsia="黑体" w:cs="黑体"/>
          <w:color w:val="auto"/>
          <w:spacing w:val="-1"/>
          <w:sz w:val="24"/>
          <w:szCs w:val="24"/>
          <w:u w:val="single" w:color="auto"/>
        </w:rPr>
        <w:t>（中型企业、小型企业、微型企业</w:t>
      </w:r>
      <w:r>
        <w:rPr>
          <w:rFonts w:hint="eastAsia" w:ascii="黑体" w:hAnsi="黑体" w:eastAsia="黑体" w:cs="黑体"/>
          <w:color w:val="auto"/>
          <w:spacing w:val="9"/>
          <w:sz w:val="24"/>
          <w:szCs w:val="24"/>
          <w:u w:val="single" w:color="auto"/>
        </w:rPr>
        <w:t>）</w:t>
      </w:r>
      <w:r>
        <w:rPr>
          <w:rFonts w:hint="eastAsia" w:ascii="黑体" w:hAnsi="黑体" w:eastAsia="黑体" w:cs="黑体"/>
          <w:color w:val="auto"/>
          <w:spacing w:val="9"/>
          <w:sz w:val="24"/>
          <w:szCs w:val="24"/>
        </w:rPr>
        <w:t>；</w:t>
      </w:r>
    </w:p>
    <w:p w14:paraId="7054B67E">
      <w:pPr>
        <w:pStyle w:val="6"/>
        <w:keepNext w:val="0"/>
        <w:keepLines w:val="0"/>
        <w:pageBreakBefore w:val="0"/>
        <w:widowControl/>
        <w:kinsoku/>
        <w:wordWrap w:val="0"/>
        <w:overflowPunct/>
        <w:topLinePunct w:val="0"/>
        <w:bidi w:val="0"/>
        <w:spacing w:before="103" w:line="460" w:lineRule="exact"/>
        <w:ind w:left="44" w:leftChars="21" w:firstLine="373" w:firstLineChars="157"/>
        <w:rPr>
          <w:rFonts w:hint="eastAsia" w:ascii="黑体" w:hAnsi="黑体" w:eastAsia="黑体" w:cs="黑体"/>
          <w:color w:val="auto"/>
          <w:sz w:val="24"/>
          <w:szCs w:val="24"/>
        </w:rPr>
      </w:pPr>
      <w:r>
        <w:rPr>
          <w:rFonts w:hint="eastAsia" w:ascii="黑体" w:hAnsi="黑体" w:eastAsia="黑体" w:cs="黑体"/>
          <w:color w:val="auto"/>
          <w:spacing w:val="-1"/>
          <w:position w:val="3"/>
          <w:sz w:val="24"/>
          <w:szCs w:val="24"/>
        </w:rPr>
        <w:t>……</w:t>
      </w:r>
    </w:p>
    <w:p w14:paraId="0C222098">
      <w:pPr>
        <w:pStyle w:val="6"/>
        <w:keepNext w:val="0"/>
        <w:keepLines w:val="0"/>
        <w:pageBreakBefore w:val="0"/>
        <w:widowControl/>
        <w:kinsoku/>
        <w:wordWrap w:val="0"/>
        <w:overflowPunct/>
        <w:topLinePunct w:val="0"/>
        <w:bidi w:val="0"/>
        <w:spacing w:before="104" w:line="460" w:lineRule="exact"/>
        <w:rPr>
          <w:rFonts w:hint="eastAsia" w:ascii="黑体" w:hAnsi="黑体" w:eastAsia="黑体" w:cs="黑体"/>
          <w:color w:val="auto"/>
          <w:sz w:val="24"/>
          <w:szCs w:val="24"/>
        </w:rPr>
      </w:pPr>
      <w:r>
        <w:rPr>
          <w:rFonts w:hint="eastAsia" w:ascii="黑体" w:hAnsi="黑体" w:eastAsia="黑体" w:cs="黑体"/>
          <w:color w:val="auto"/>
          <w:spacing w:val="-4"/>
          <w:sz w:val="24"/>
          <w:szCs w:val="24"/>
        </w:rPr>
        <w:t>以上企业，不属于大企业的分支机构，不存在控股股东为大企业的情形，也</w:t>
      </w:r>
      <w:r>
        <w:rPr>
          <w:rFonts w:hint="eastAsia" w:ascii="黑体" w:hAnsi="黑体" w:eastAsia="黑体" w:cs="黑体"/>
          <w:color w:val="auto"/>
          <w:spacing w:val="-1"/>
          <w:sz w:val="24"/>
          <w:szCs w:val="24"/>
        </w:rPr>
        <w:t>不存在与大企业的负责人为同一人的情形。</w:t>
      </w:r>
    </w:p>
    <w:p w14:paraId="176A7EFF">
      <w:pPr>
        <w:pStyle w:val="6"/>
        <w:keepNext w:val="0"/>
        <w:keepLines w:val="0"/>
        <w:pageBreakBefore w:val="0"/>
        <w:widowControl/>
        <w:kinsoku/>
        <w:wordWrap w:val="0"/>
        <w:overflowPunct/>
        <w:topLinePunct w:val="0"/>
        <w:bidi w:val="0"/>
        <w:spacing w:before="103" w:line="460" w:lineRule="exact"/>
        <w:rPr>
          <w:rFonts w:hint="eastAsia" w:ascii="黑体" w:hAnsi="黑体" w:eastAsia="黑体" w:cs="黑体"/>
          <w:color w:val="auto"/>
          <w:sz w:val="24"/>
          <w:szCs w:val="24"/>
        </w:rPr>
      </w:pPr>
      <w:r>
        <w:rPr>
          <w:rFonts w:hint="eastAsia" w:ascii="黑体" w:hAnsi="黑体" w:eastAsia="黑体" w:cs="黑体"/>
          <w:color w:val="auto"/>
          <w:spacing w:val="-1"/>
          <w:sz w:val="24"/>
          <w:szCs w:val="24"/>
        </w:rPr>
        <w:t>本企业对上述声明内容的真实性负责。如有虚假，</w:t>
      </w:r>
      <w:r>
        <w:rPr>
          <w:rFonts w:hint="eastAsia" w:ascii="黑体" w:hAnsi="黑体" w:eastAsia="黑体" w:cs="黑体"/>
          <w:color w:val="auto"/>
          <w:spacing w:val="-2"/>
          <w:sz w:val="24"/>
          <w:szCs w:val="24"/>
        </w:rPr>
        <w:t>将依法承担相应责任。</w:t>
      </w:r>
    </w:p>
    <w:p w14:paraId="70EE8DEE">
      <w:pPr>
        <w:pStyle w:val="6"/>
        <w:keepNext w:val="0"/>
        <w:keepLines w:val="0"/>
        <w:pageBreakBefore w:val="0"/>
        <w:widowControl/>
        <w:kinsoku/>
        <w:wordWrap w:val="0"/>
        <w:overflowPunct/>
        <w:topLinePunct w:val="0"/>
        <w:bidi w:val="0"/>
        <w:spacing w:line="240" w:lineRule="auto"/>
        <w:ind w:left="0"/>
        <w:jc w:val="right"/>
        <w:rPr>
          <w:rFonts w:hint="eastAsia" w:ascii="黑体" w:hAnsi="黑体" w:eastAsia="黑体" w:cs="黑体"/>
          <w:color w:val="auto"/>
          <w:spacing w:val="-1"/>
          <w:position w:val="36"/>
          <w:sz w:val="24"/>
          <w:szCs w:val="24"/>
        </w:rPr>
      </w:pPr>
    </w:p>
    <w:p w14:paraId="219433DF">
      <w:pPr>
        <w:pStyle w:val="6"/>
        <w:keepNext w:val="0"/>
        <w:keepLines w:val="0"/>
        <w:pageBreakBefore w:val="0"/>
        <w:widowControl/>
        <w:kinsoku/>
        <w:wordWrap w:val="0"/>
        <w:overflowPunct/>
        <w:topLinePunct w:val="0"/>
        <w:bidi w:val="0"/>
        <w:spacing w:line="240" w:lineRule="auto"/>
        <w:ind w:left="0" w:leftChars="0" w:firstLine="5459" w:firstLineChars="2294"/>
        <w:jc w:val="both"/>
        <w:rPr>
          <w:rFonts w:hint="eastAsia" w:ascii="黑体" w:hAnsi="黑体" w:eastAsia="黑体" w:cs="黑体"/>
          <w:color w:val="auto"/>
          <w:sz w:val="24"/>
          <w:szCs w:val="24"/>
        </w:rPr>
      </w:pPr>
      <w:r>
        <w:rPr>
          <w:rFonts w:hint="eastAsia" w:ascii="黑体" w:hAnsi="黑体" w:eastAsia="黑体" w:cs="黑体"/>
          <w:color w:val="auto"/>
          <w:spacing w:val="-1"/>
          <w:position w:val="36"/>
          <w:sz w:val="24"/>
          <w:szCs w:val="24"/>
        </w:rPr>
        <w:t>企业名称（盖章</w:t>
      </w:r>
      <w:r>
        <w:rPr>
          <w:rFonts w:hint="eastAsia" w:ascii="黑体" w:hAnsi="黑体" w:eastAsia="黑体" w:cs="黑体"/>
          <w:color w:val="auto"/>
          <w:spacing w:val="2"/>
          <w:position w:val="36"/>
          <w:sz w:val="24"/>
          <w:szCs w:val="24"/>
        </w:rPr>
        <w:t>）：</w:t>
      </w:r>
    </w:p>
    <w:p w14:paraId="0B4E11F3">
      <w:pPr>
        <w:pStyle w:val="6"/>
        <w:keepNext w:val="0"/>
        <w:keepLines w:val="0"/>
        <w:pageBreakBefore w:val="0"/>
        <w:widowControl/>
        <w:kinsoku/>
        <w:wordWrap w:val="0"/>
        <w:overflowPunct/>
        <w:topLinePunct w:val="0"/>
        <w:bidi w:val="0"/>
        <w:spacing w:before="1" w:line="460" w:lineRule="exact"/>
        <w:ind w:left="0" w:leftChars="0" w:firstLine="5499" w:firstLineChars="2594"/>
        <w:jc w:val="both"/>
        <w:rPr>
          <w:rFonts w:hint="eastAsia" w:ascii="黑体" w:hAnsi="黑体" w:eastAsia="黑体" w:cs="黑体"/>
          <w:color w:val="auto"/>
          <w:sz w:val="24"/>
          <w:szCs w:val="24"/>
        </w:rPr>
      </w:pPr>
      <w:r>
        <w:rPr>
          <w:rFonts w:hint="eastAsia" w:ascii="黑体" w:hAnsi="黑体" w:eastAsia="黑体" w:cs="黑体"/>
          <w:color w:val="auto"/>
          <w:spacing w:val="-14"/>
          <w:sz w:val="24"/>
          <w:szCs w:val="24"/>
        </w:rPr>
        <w:t>日期：</w:t>
      </w:r>
    </w:p>
    <w:p w14:paraId="6032A2AB">
      <w:pPr>
        <w:pStyle w:val="6"/>
        <w:keepNext w:val="0"/>
        <w:keepLines w:val="0"/>
        <w:pageBreakBefore w:val="0"/>
        <w:widowControl/>
        <w:kinsoku/>
        <w:wordWrap w:val="0"/>
        <w:overflowPunct/>
        <w:topLinePunct w:val="0"/>
        <w:bidi w:val="0"/>
        <w:spacing w:before="326" w:line="460" w:lineRule="exact"/>
        <w:ind w:left="24" w:right="75" w:hanging="9"/>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注</w:t>
      </w:r>
      <w:r>
        <w:rPr>
          <w:rFonts w:hint="eastAsia" w:ascii="黑体" w:hAnsi="黑体" w:eastAsia="黑体" w:cs="黑体"/>
          <w:b/>
          <w:bCs/>
          <w:color w:val="auto"/>
          <w:spacing w:val="-3"/>
          <w:sz w:val="24"/>
          <w:szCs w:val="24"/>
        </w:rPr>
        <w:t>：（</w:t>
      </w:r>
      <w:r>
        <w:rPr>
          <w:rFonts w:hint="eastAsia" w:ascii="黑体" w:hAnsi="黑体" w:eastAsia="黑体" w:cs="黑体"/>
          <w:b/>
          <w:bCs/>
          <w:color w:val="auto"/>
          <w:spacing w:val="-2"/>
          <w:sz w:val="24"/>
          <w:szCs w:val="24"/>
        </w:rPr>
        <w:t>1）从业人员、营业收入、资产总额填报上一年度数据，无上一年度数据的新成立企业可不填报。</w:t>
      </w:r>
    </w:p>
    <w:p w14:paraId="66187826">
      <w:pPr>
        <w:pStyle w:val="6"/>
        <w:keepNext w:val="0"/>
        <w:keepLines w:val="0"/>
        <w:pageBreakBefore w:val="0"/>
        <w:widowControl/>
        <w:kinsoku/>
        <w:wordWrap w:val="0"/>
        <w:overflowPunct/>
        <w:topLinePunct w:val="0"/>
        <w:bidi w:val="0"/>
        <w:spacing w:before="50" w:line="460" w:lineRule="exact"/>
        <w:ind w:left="15" w:firstLine="33"/>
        <w:rPr>
          <w:rFonts w:hint="eastAsia" w:ascii="黑体" w:hAnsi="黑体" w:eastAsia="黑体" w:cs="黑体"/>
          <w:color w:val="auto"/>
          <w:sz w:val="24"/>
          <w:szCs w:val="24"/>
        </w:rPr>
      </w:pPr>
      <w:r>
        <w:rPr>
          <w:rFonts w:hint="eastAsia" w:ascii="黑体" w:hAnsi="黑体" w:eastAsia="黑体" w:cs="黑体"/>
          <w:b/>
          <w:bCs/>
          <w:color w:val="auto"/>
          <w:spacing w:val="-12"/>
          <w:sz w:val="24"/>
          <w:szCs w:val="24"/>
        </w:rPr>
        <w:t>（2）潜在投标企业属于中小微企业的，请在投标文件中提供“中小企业声明函”，</w:t>
      </w:r>
      <w:r>
        <w:rPr>
          <w:rFonts w:hint="eastAsia" w:ascii="黑体" w:hAnsi="黑体" w:eastAsia="黑体" w:cs="黑体"/>
          <w:b/>
          <w:bCs/>
          <w:color w:val="auto"/>
          <w:spacing w:val="-3"/>
          <w:sz w:val="24"/>
          <w:szCs w:val="24"/>
        </w:rPr>
        <w:t>如果未提供或提供虚假的“中小企业声明函”，投标企业将承担由此造成的一切</w:t>
      </w:r>
      <w:r>
        <w:rPr>
          <w:rFonts w:hint="eastAsia" w:ascii="黑体" w:hAnsi="黑体" w:eastAsia="黑体" w:cs="黑体"/>
          <w:b/>
          <w:bCs/>
          <w:color w:val="auto"/>
          <w:spacing w:val="-1"/>
          <w:sz w:val="24"/>
          <w:szCs w:val="24"/>
        </w:rPr>
        <w:t>不利后果。</w:t>
      </w:r>
    </w:p>
    <w:p w14:paraId="4D6D0171">
      <w:pPr>
        <w:pStyle w:val="6"/>
        <w:keepNext w:val="0"/>
        <w:keepLines w:val="0"/>
        <w:pageBreakBefore w:val="0"/>
        <w:widowControl/>
        <w:kinsoku/>
        <w:wordWrap w:val="0"/>
        <w:overflowPunct/>
        <w:topLinePunct w:val="0"/>
        <w:bidi w:val="0"/>
        <w:spacing w:before="49" w:line="460" w:lineRule="exact"/>
        <w:ind w:left="48"/>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（3）本项目所属行业为“工业”。</w:t>
      </w:r>
    </w:p>
    <w:p w14:paraId="44E05A7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F1B3C30">
      <w:pPr>
        <w:pStyle w:val="6"/>
        <w:keepNext w:val="0"/>
        <w:keepLines w:val="0"/>
        <w:pageBreakBefore w:val="0"/>
        <w:widowControl/>
        <w:kinsoku/>
        <w:wordWrap w:val="0"/>
        <w:overflowPunct/>
        <w:topLinePunct w:val="0"/>
        <w:bidi w:val="0"/>
        <w:spacing w:before="116" w:line="460" w:lineRule="exact"/>
        <w:rPr>
          <w:rFonts w:hint="eastAsia" w:ascii="黑体" w:hAnsi="黑体" w:eastAsia="黑体" w:cs="黑体"/>
          <w:b/>
          <w:bCs/>
          <w:color w:val="auto"/>
          <w:spacing w:val="-8"/>
          <w:sz w:val="28"/>
          <w:szCs w:val="28"/>
        </w:rPr>
      </w:pPr>
    </w:p>
    <w:p w14:paraId="4FCE8887">
      <w:pPr>
        <w:pStyle w:val="6"/>
        <w:keepNext w:val="0"/>
        <w:keepLines w:val="0"/>
        <w:pageBreakBefore w:val="0"/>
        <w:widowControl/>
        <w:kinsoku/>
        <w:wordWrap w:val="0"/>
        <w:overflowPunct/>
        <w:topLinePunct w:val="0"/>
        <w:bidi w:val="0"/>
        <w:spacing w:before="116" w:line="460" w:lineRule="exact"/>
        <w:rPr>
          <w:rFonts w:hint="eastAsia" w:ascii="黑体" w:hAnsi="黑体" w:eastAsia="黑体" w:cs="黑体"/>
          <w:b/>
          <w:bCs/>
          <w:color w:val="auto"/>
          <w:spacing w:val="-8"/>
          <w:sz w:val="28"/>
          <w:szCs w:val="28"/>
        </w:rPr>
      </w:pPr>
    </w:p>
    <w:p w14:paraId="503FDC57">
      <w:pPr>
        <w:pStyle w:val="6"/>
        <w:keepNext w:val="0"/>
        <w:keepLines w:val="0"/>
        <w:pageBreakBefore w:val="0"/>
        <w:widowControl/>
        <w:kinsoku/>
        <w:wordWrap w:val="0"/>
        <w:overflowPunct/>
        <w:topLinePunct w:val="0"/>
        <w:bidi w:val="0"/>
        <w:spacing w:before="116" w:line="460" w:lineRule="exact"/>
        <w:rPr>
          <w:rFonts w:hint="eastAsia" w:ascii="黑体" w:hAnsi="黑体" w:eastAsia="黑体" w:cs="黑体"/>
          <w:color w:val="auto"/>
          <w:sz w:val="28"/>
          <w:szCs w:val="28"/>
        </w:rPr>
      </w:pPr>
      <w:r>
        <w:rPr>
          <w:rFonts w:hint="eastAsia" w:ascii="黑体" w:hAnsi="黑体" w:eastAsia="黑体" w:cs="黑体"/>
          <w:b/>
          <w:bCs/>
          <w:color w:val="auto"/>
          <w:spacing w:val="-8"/>
          <w:sz w:val="28"/>
          <w:szCs w:val="28"/>
        </w:rPr>
        <w:t>附：</w:t>
      </w:r>
    </w:p>
    <w:tbl>
      <w:tblPr>
        <w:tblStyle w:val="12"/>
        <w:tblW w:w="9256" w:type="dxa"/>
        <w:jc w:val="center"/>
        <w:tblLayout w:type="fixed"/>
        <w:tblCellMar>
          <w:top w:w="0" w:type="dxa"/>
          <w:left w:w="108" w:type="dxa"/>
          <w:bottom w:w="0" w:type="dxa"/>
          <w:right w:w="108" w:type="dxa"/>
        </w:tblCellMar>
      </w:tblPr>
      <w:tblGrid>
        <w:gridCol w:w="1358"/>
        <w:gridCol w:w="1925"/>
        <w:gridCol w:w="1188"/>
        <w:gridCol w:w="2037"/>
        <w:gridCol w:w="1657"/>
        <w:gridCol w:w="1091"/>
      </w:tblGrid>
      <w:tr w14:paraId="23DE4576">
        <w:trPr>
          <w:trHeight w:val="534"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0CC70B0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行业名称</w:t>
            </w:r>
          </w:p>
        </w:tc>
        <w:tc>
          <w:tcPr>
            <w:tcW w:w="1925" w:type="dxa"/>
            <w:tcBorders>
              <w:top w:val="single" w:color="auto" w:sz="4" w:space="0"/>
              <w:left w:val="nil"/>
              <w:bottom w:val="single" w:color="auto" w:sz="4" w:space="0"/>
              <w:right w:val="single" w:color="auto" w:sz="4" w:space="0"/>
            </w:tcBorders>
            <w:noWrap w:val="0"/>
            <w:vAlign w:val="center"/>
          </w:tcPr>
          <w:p w14:paraId="034D2C0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指标名称</w:t>
            </w:r>
          </w:p>
        </w:tc>
        <w:tc>
          <w:tcPr>
            <w:tcW w:w="1188" w:type="dxa"/>
            <w:tcBorders>
              <w:top w:val="single" w:color="auto" w:sz="4" w:space="0"/>
              <w:left w:val="nil"/>
              <w:bottom w:val="single" w:color="auto" w:sz="4" w:space="0"/>
              <w:right w:val="single" w:color="auto" w:sz="4" w:space="0"/>
            </w:tcBorders>
            <w:noWrap w:val="0"/>
            <w:vAlign w:val="center"/>
          </w:tcPr>
          <w:p w14:paraId="77785A9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计量单位</w:t>
            </w:r>
          </w:p>
        </w:tc>
        <w:tc>
          <w:tcPr>
            <w:tcW w:w="2037" w:type="dxa"/>
            <w:tcBorders>
              <w:top w:val="single" w:color="auto" w:sz="4" w:space="0"/>
              <w:left w:val="nil"/>
              <w:bottom w:val="single" w:color="auto" w:sz="4" w:space="0"/>
              <w:right w:val="single" w:color="auto" w:sz="4" w:space="0"/>
            </w:tcBorders>
            <w:noWrap w:val="0"/>
            <w:vAlign w:val="center"/>
          </w:tcPr>
          <w:p w14:paraId="4BDF21F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中型</w:t>
            </w:r>
          </w:p>
        </w:tc>
        <w:tc>
          <w:tcPr>
            <w:tcW w:w="1657" w:type="dxa"/>
            <w:tcBorders>
              <w:top w:val="single" w:color="auto" w:sz="4" w:space="0"/>
              <w:left w:val="nil"/>
              <w:bottom w:val="single" w:color="auto" w:sz="4" w:space="0"/>
              <w:right w:val="single" w:color="auto" w:sz="4" w:space="0"/>
            </w:tcBorders>
            <w:noWrap w:val="0"/>
            <w:vAlign w:val="center"/>
          </w:tcPr>
          <w:p w14:paraId="5B6C15D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小型</w:t>
            </w:r>
          </w:p>
        </w:tc>
        <w:tc>
          <w:tcPr>
            <w:tcW w:w="1091" w:type="dxa"/>
            <w:tcBorders>
              <w:top w:val="single" w:color="auto" w:sz="4" w:space="0"/>
              <w:left w:val="nil"/>
              <w:bottom w:val="single" w:color="auto" w:sz="4" w:space="0"/>
              <w:right w:val="single" w:color="auto" w:sz="4" w:space="0"/>
            </w:tcBorders>
            <w:noWrap w:val="0"/>
            <w:vAlign w:val="center"/>
          </w:tcPr>
          <w:p w14:paraId="537D2A7B">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微型</w:t>
            </w:r>
          </w:p>
        </w:tc>
      </w:tr>
      <w:tr w14:paraId="48816B97">
        <w:tblPrEx>
          <w:tblCellMar>
            <w:top w:w="0" w:type="dxa"/>
            <w:left w:w="108" w:type="dxa"/>
            <w:bottom w:w="0" w:type="dxa"/>
            <w:right w:w="108" w:type="dxa"/>
          </w:tblCellMar>
        </w:tblPrEx>
        <w:trPr>
          <w:trHeight w:val="534" w:hRule="atLeast"/>
          <w:jc w:val="center"/>
        </w:trPr>
        <w:tc>
          <w:tcPr>
            <w:tcW w:w="1358" w:type="dxa"/>
            <w:tcBorders>
              <w:top w:val="nil"/>
              <w:left w:val="single" w:color="auto" w:sz="4" w:space="0"/>
              <w:bottom w:val="single" w:color="auto" w:sz="4" w:space="0"/>
              <w:right w:val="single" w:color="auto" w:sz="4" w:space="0"/>
            </w:tcBorders>
            <w:noWrap w:val="0"/>
            <w:vAlign w:val="center"/>
          </w:tcPr>
          <w:p w14:paraId="4B33EC4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农、林、牧、渔</w:t>
            </w:r>
          </w:p>
        </w:tc>
        <w:tc>
          <w:tcPr>
            <w:tcW w:w="1925" w:type="dxa"/>
            <w:tcBorders>
              <w:top w:val="nil"/>
              <w:left w:val="nil"/>
              <w:bottom w:val="single" w:color="auto" w:sz="4" w:space="0"/>
              <w:right w:val="single" w:color="auto" w:sz="4" w:space="0"/>
            </w:tcBorders>
            <w:noWrap w:val="0"/>
            <w:vAlign w:val="center"/>
          </w:tcPr>
          <w:p w14:paraId="116F2C7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1E289DF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3B27F3D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500≤Y＜20000</w:t>
            </w:r>
          </w:p>
        </w:tc>
        <w:tc>
          <w:tcPr>
            <w:tcW w:w="1657" w:type="dxa"/>
            <w:tcBorders>
              <w:top w:val="nil"/>
              <w:left w:val="nil"/>
              <w:bottom w:val="single" w:color="auto" w:sz="4" w:space="0"/>
              <w:right w:val="single" w:color="auto" w:sz="4" w:space="0"/>
            </w:tcBorders>
            <w:noWrap w:val="0"/>
            <w:vAlign w:val="center"/>
          </w:tcPr>
          <w:p w14:paraId="61C561F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50≤Y＜500</w:t>
            </w:r>
          </w:p>
        </w:tc>
        <w:tc>
          <w:tcPr>
            <w:tcW w:w="1091" w:type="dxa"/>
            <w:tcBorders>
              <w:top w:val="nil"/>
              <w:left w:val="nil"/>
              <w:bottom w:val="single" w:color="auto" w:sz="4" w:space="0"/>
              <w:right w:val="single" w:color="auto" w:sz="4" w:space="0"/>
            </w:tcBorders>
            <w:noWrap w:val="0"/>
            <w:vAlign w:val="center"/>
          </w:tcPr>
          <w:p w14:paraId="2EB6593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Y＜50</w:t>
            </w:r>
          </w:p>
        </w:tc>
      </w:tr>
      <w:tr w14:paraId="57FEAD48">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13C411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工业</w:t>
            </w:r>
          </w:p>
        </w:tc>
        <w:tc>
          <w:tcPr>
            <w:tcW w:w="1925" w:type="dxa"/>
            <w:tcBorders>
              <w:top w:val="nil"/>
              <w:left w:val="nil"/>
              <w:bottom w:val="single" w:color="auto" w:sz="4" w:space="0"/>
              <w:right w:val="single" w:color="auto" w:sz="4" w:space="0"/>
            </w:tcBorders>
            <w:noWrap w:val="0"/>
            <w:vAlign w:val="center"/>
          </w:tcPr>
          <w:p w14:paraId="12D4FB2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5753D2F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7C787AD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300≤X＜1000</w:t>
            </w:r>
          </w:p>
        </w:tc>
        <w:tc>
          <w:tcPr>
            <w:tcW w:w="1657" w:type="dxa"/>
            <w:tcBorders>
              <w:top w:val="nil"/>
              <w:left w:val="nil"/>
              <w:bottom w:val="single" w:color="auto" w:sz="4" w:space="0"/>
              <w:right w:val="single" w:color="auto" w:sz="4" w:space="0"/>
            </w:tcBorders>
            <w:noWrap w:val="0"/>
            <w:vAlign w:val="center"/>
          </w:tcPr>
          <w:p w14:paraId="1C3F362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20≤X＜300</w:t>
            </w:r>
          </w:p>
        </w:tc>
        <w:tc>
          <w:tcPr>
            <w:tcW w:w="1091" w:type="dxa"/>
            <w:tcBorders>
              <w:top w:val="nil"/>
              <w:left w:val="nil"/>
              <w:bottom w:val="single" w:color="auto" w:sz="4" w:space="0"/>
              <w:right w:val="single" w:color="auto" w:sz="4" w:space="0"/>
            </w:tcBorders>
            <w:noWrap w:val="0"/>
            <w:vAlign w:val="center"/>
          </w:tcPr>
          <w:p w14:paraId="62CE931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X＜20</w:t>
            </w:r>
          </w:p>
        </w:tc>
      </w:tr>
      <w:tr w14:paraId="1A390D6F">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43B26BAB">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64E3B15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F9CD29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1D346C0B">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2000≤Y＜40000</w:t>
            </w:r>
          </w:p>
        </w:tc>
        <w:tc>
          <w:tcPr>
            <w:tcW w:w="1657" w:type="dxa"/>
            <w:tcBorders>
              <w:top w:val="nil"/>
              <w:left w:val="nil"/>
              <w:bottom w:val="single" w:color="auto" w:sz="4" w:space="0"/>
              <w:right w:val="single" w:color="auto" w:sz="4" w:space="0"/>
            </w:tcBorders>
            <w:noWrap w:val="0"/>
            <w:vAlign w:val="center"/>
          </w:tcPr>
          <w:p w14:paraId="63228D0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300≤Y＜2000</w:t>
            </w:r>
          </w:p>
        </w:tc>
        <w:tc>
          <w:tcPr>
            <w:tcW w:w="1091" w:type="dxa"/>
            <w:tcBorders>
              <w:top w:val="nil"/>
              <w:left w:val="nil"/>
              <w:bottom w:val="single" w:color="auto" w:sz="4" w:space="0"/>
              <w:right w:val="single" w:color="auto" w:sz="4" w:space="0"/>
            </w:tcBorders>
            <w:noWrap w:val="0"/>
            <w:vAlign w:val="center"/>
          </w:tcPr>
          <w:p w14:paraId="2F6A11F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Y＜300</w:t>
            </w:r>
          </w:p>
        </w:tc>
      </w:tr>
      <w:tr w14:paraId="1EB2BB06">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76829C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建筑业</w:t>
            </w:r>
          </w:p>
        </w:tc>
        <w:tc>
          <w:tcPr>
            <w:tcW w:w="1925" w:type="dxa"/>
            <w:tcBorders>
              <w:top w:val="nil"/>
              <w:left w:val="nil"/>
              <w:bottom w:val="single" w:color="auto" w:sz="4" w:space="0"/>
              <w:right w:val="single" w:color="auto" w:sz="4" w:space="0"/>
            </w:tcBorders>
            <w:noWrap w:val="0"/>
            <w:vAlign w:val="center"/>
          </w:tcPr>
          <w:p w14:paraId="368361E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A3A62F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265254D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6000≤Y＜80000</w:t>
            </w:r>
          </w:p>
        </w:tc>
        <w:tc>
          <w:tcPr>
            <w:tcW w:w="1657" w:type="dxa"/>
            <w:tcBorders>
              <w:top w:val="nil"/>
              <w:left w:val="nil"/>
              <w:bottom w:val="single" w:color="auto" w:sz="4" w:space="0"/>
              <w:right w:val="single" w:color="auto" w:sz="4" w:space="0"/>
            </w:tcBorders>
            <w:noWrap w:val="0"/>
            <w:vAlign w:val="center"/>
          </w:tcPr>
          <w:p w14:paraId="4050097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300≤Y＜6000</w:t>
            </w:r>
          </w:p>
        </w:tc>
        <w:tc>
          <w:tcPr>
            <w:tcW w:w="1091" w:type="dxa"/>
            <w:tcBorders>
              <w:top w:val="nil"/>
              <w:left w:val="nil"/>
              <w:bottom w:val="single" w:color="auto" w:sz="4" w:space="0"/>
              <w:right w:val="single" w:color="auto" w:sz="4" w:space="0"/>
            </w:tcBorders>
            <w:noWrap w:val="0"/>
            <w:vAlign w:val="center"/>
          </w:tcPr>
          <w:p w14:paraId="15FADB4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Y＜300</w:t>
            </w:r>
          </w:p>
        </w:tc>
      </w:tr>
      <w:tr w14:paraId="4F549262">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616D00D">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14675E6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资产总额（Z）</w:t>
            </w:r>
          </w:p>
        </w:tc>
        <w:tc>
          <w:tcPr>
            <w:tcW w:w="1188" w:type="dxa"/>
            <w:tcBorders>
              <w:top w:val="nil"/>
              <w:left w:val="nil"/>
              <w:bottom w:val="single" w:color="auto" w:sz="4" w:space="0"/>
              <w:right w:val="single" w:color="auto" w:sz="4" w:space="0"/>
            </w:tcBorders>
            <w:noWrap w:val="0"/>
            <w:vAlign w:val="center"/>
          </w:tcPr>
          <w:p w14:paraId="0F0ED1F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34CE206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5000≤Z＜80000</w:t>
            </w:r>
          </w:p>
        </w:tc>
        <w:tc>
          <w:tcPr>
            <w:tcW w:w="1657" w:type="dxa"/>
            <w:tcBorders>
              <w:top w:val="nil"/>
              <w:left w:val="nil"/>
              <w:bottom w:val="single" w:color="auto" w:sz="4" w:space="0"/>
              <w:right w:val="single" w:color="auto" w:sz="4" w:space="0"/>
            </w:tcBorders>
            <w:noWrap w:val="0"/>
            <w:vAlign w:val="center"/>
          </w:tcPr>
          <w:p w14:paraId="233B0D3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300≤Z＜5000</w:t>
            </w:r>
          </w:p>
        </w:tc>
        <w:tc>
          <w:tcPr>
            <w:tcW w:w="1091" w:type="dxa"/>
            <w:tcBorders>
              <w:top w:val="nil"/>
              <w:left w:val="nil"/>
              <w:bottom w:val="single" w:color="auto" w:sz="4" w:space="0"/>
              <w:right w:val="single" w:color="auto" w:sz="4" w:space="0"/>
            </w:tcBorders>
            <w:noWrap w:val="0"/>
            <w:vAlign w:val="center"/>
          </w:tcPr>
          <w:p w14:paraId="22CF13F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Z＜300</w:t>
            </w:r>
          </w:p>
        </w:tc>
      </w:tr>
      <w:tr w14:paraId="5C67018D">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396944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批发业</w:t>
            </w:r>
          </w:p>
        </w:tc>
        <w:tc>
          <w:tcPr>
            <w:tcW w:w="1925" w:type="dxa"/>
            <w:tcBorders>
              <w:top w:val="nil"/>
              <w:left w:val="nil"/>
              <w:bottom w:val="single" w:color="auto" w:sz="4" w:space="0"/>
              <w:right w:val="single" w:color="auto" w:sz="4" w:space="0"/>
            </w:tcBorders>
            <w:noWrap w:val="0"/>
            <w:vAlign w:val="center"/>
          </w:tcPr>
          <w:p w14:paraId="50B098DD">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636F124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1C9E24A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20≤X＜200</w:t>
            </w:r>
          </w:p>
        </w:tc>
        <w:tc>
          <w:tcPr>
            <w:tcW w:w="1657" w:type="dxa"/>
            <w:tcBorders>
              <w:top w:val="nil"/>
              <w:left w:val="nil"/>
              <w:bottom w:val="single" w:color="auto" w:sz="4" w:space="0"/>
              <w:right w:val="single" w:color="auto" w:sz="4" w:space="0"/>
            </w:tcBorders>
            <w:noWrap w:val="0"/>
            <w:vAlign w:val="center"/>
          </w:tcPr>
          <w:p w14:paraId="20375AE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5≤X＜20</w:t>
            </w:r>
          </w:p>
        </w:tc>
        <w:tc>
          <w:tcPr>
            <w:tcW w:w="1091" w:type="dxa"/>
            <w:tcBorders>
              <w:top w:val="nil"/>
              <w:left w:val="nil"/>
              <w:bottom w:val="single" w:color="auto" w:sz="4" w:space="0"/>
              <w:right w:val="single" w:color="auto" w:sz="4" w:space="0"/>
            </w:tcBorders>
            <w:noWrap w:val="0"/>
            <w:vAlign w:val="center"/>
          </w:tcPr>
          <w:p w14:paraId="140954E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X＜5</w:t>
            </w:r>
          </w:p>
        </w:tc>
      </w:tr>
      <w:tr w14:paraId="65E4C53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01CA547">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7E36BA1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69B3F5C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044E4EB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5000≤Y＜40000</w:t>
            </w:r>
          </w:p>
        </w:tc>
        <w:tc>
          <w:tcPr>
            <w:tcW w:w="1657" w:type="dxa"/>
            <w:tcBorders>
              <w:top w:val="nil"/>
              <w:left w:val="nil"/>
              <w:bottom w:val="single" w:color="auto" w:sz="4" w:space="0"/>
              <w:right w:val="single" w:color="auto" w:sz="4" w:space="0"/>
            </w:tcBorders>
            <w:noWrap w:val="0"/>
            <w:vAlign w:val="center"/>
          </w:tcPr>
          <w:p w14:paraId="50CF01E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1000≤Y＜5000</w:t>
            </w:r>
          </w:p>
        </w:tc>
        <w:tc>
          <w:tcPr>
            <w:tcW w:w="1091" w:type="dxa"/>
            <w:tcBorders>
              <w:top w:val="nil"/>
              <w:left w:val="nil"/>
              <w:bottom w:val="single" w:color="auto" w:sz="4" w:space="0"/>
              <w:right w:val="single" w:color="auto" w:sz="4" w:space="0"/>
            </w:tcBorders>
            <w:noWrap w:val="0"/>
            <w:vAlign w:val="center"/>
          </w:tcPr>
          <w:p w14:paraId="3222D49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Y＜1000</w:t>
            </w:r>
          </w:p>
        </w:tc>
      </w:tr>
      <w:tr w14:paraId="2CFF751E">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1BE4555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零售业</w:t>
            </w:r>
          </w:p>
        </w:tc>
        <w:tc>
          <w:tcPr>
            <w:tcW w:w="1925" w:type="dxa"/>
            <w:tcBorders>
              <w:top w:val="nil"/>
              <w:left w:val="nil"/>
              <w:bottom w:val="single" w:color="auto" w:sz="4" w:space="0"/>
              <w:right w:val="single" w:color="auto" w:sz="4" w:space="0"/>
            </w:tcBorders>
            <w:noWrap w:val="0"/>
            <w:vAlign w:val="center"/>
          </w:tcPr>
          <w:p w14:paraId="73CBD00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371EC04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2B771ED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50≤X＜300</w:t>
            </w:r>
          </w:p>
        </w:tc>
        <w:tc>
          <w:tcPr>
            <w:tcW w:w="1657" w:type="dxa"/>
            <w:tcBorders>
              <w:top w:val="nil"/>
              <w:left w:val="nil"/>
              <w:bottom w:val="single" w:color="auto" w:sz="4" w:space="0"/>
              <w:right w:val="single" w:color="auto" w:sz="4" w:space="0"/>
            </w:tcBorders>
            <w:noWrap w:val="0"/>
            <w:vAlign w:val="center"/>
          </w:tcPr>
          <w:p w14:paraId="1B200F3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10≤X＜50</w:t>
            </w:r>
          </w:p>
        </w:tc>
        <w:tc>
          <w:tcPr>
            <w:tcW w:w="1091" w:type="dxa"/>
            <w:tcBorders>
              <w:top w:val="nil"/>
              <w:left w:val="nil"/>
              <w:bottom w:val="single" w:color="auto" w:sz="4" w:space="0"/>
              <w:right w:val="single" w:color="auto" w:sz="4" w:space="0"/>
            </w:tcBorders>
            <w:noWrap w:val="0"/>
            <w:vAlign w:val="center"/>
          </w:tcPr>
          <w:p w14:paraId="290881A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7B1006B3">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6F56A454">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08B8621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ADC1FD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5F59502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500≤Y＜20000</w:t>
            </w:r>
          </w:p>
        </w:tc>
        <w:tc>
          <w:tcPr>
            <w:tcW w:w="1657" w:type="dxa"/>
            <w:tcBorders>
              <w:top w:val="nil"/>
              <w:left w:val="nil"/>
              <w:bottom w:val="single" w:color="auto" w:sz="4" w:space="0"/>
              <w:right w:val="single" w:color="auto" w:sz="4" w:space="0"/>
            </w:tcBorders>
            <w:noWrap w:val="0"/>
            <w:vAlign w:val="center"/>
          </w:tcPr>
          <w:p w14:paraId="7CDE71B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100≤Y＜500</w:t>
            </w:r>
          </w:p>
        </w:tc>
        <w:tc>
          <w:tcPr>
            <w:tcW w:w="1091" w:type="dxa"/>
            <w:tcBorders>
              <w:top w:val="nil"/>
              <w:left w:val="nil"/>
              <w:bottom w:val="single" w:color="auto" w:sz="4" w:space="0"/>
              <w:right w:val="single" w:color="auto" w:sz="4" w:space="0"/>
            </w:tcBorders>
            <w:noWrap w:val="0"/>
            <w:vAlign w:val="center"/>
          </w:tcPr>
          <w:p w14:paraId="3B3285B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75B42ADD">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37ED199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交通运输业</w:t>
            </w:r>
          </w:p>
        </w:tc>
        <w:tc>
          <w:tcPr>
            <w:tcW w:w="1925" w:type="dxa"/>
            <w:tcBorders>
              <w:top w:val="nil"/>
              <w:left w:val="nil"/>
              <w:bottom w:val="single" w:color="auto" w:sz="4" w:space="0"/>
              <w:right w:val="single" w:color="auto" w:sz="4" w:space="0"/>
            </w:tcBorders>
            <w:noWrap w:val="0"/>
            <w:vAlign w:val="center"/>
          </w:tcPr>
          <w:p w14:paraId="190D078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77B3AE1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2709CFA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300≤X＜1000</w:t>
            </w:r>
          </w:p>
        </w:tc>
        <w:tc>
          <w:tcPr>
            <w:tcW w:w="1657" w:type="dxa"/>
            <w:tcBorders>
              <w:top w:val="nil"/>
              <w:left w:val="nil"/>
              <w:bottom w:val="single" w:color="auto" w:sz="4" w:space="0"/>
              <w:right w:val="single" w:color="auto" w:sz="4" w:space="0"/>
            </w:tcBorders>
            <w:noWrap w:val="0"/>
            <w:vAlign w:val="center"/>
          </w:tcPr>
          <w:p w14:paraId="630E9E8D">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20≤X＜300</w:t>
            </w:r>
          </w:p>
        </w:tc>
        <w:tc>
          <w:tcPr>
            <w:tcW w:w="1091" w:type="dxa"/>
            <w:tcBorders>
              <w:top w:val="nil"/>
              <w:left w:val="nil"/>
              <w:bottom w:val="single" w:color="auto" w:sz="4" w:space="0"/>
              <w:right w:val="single" w:color="auto" w:sz="4" w:space="0"/>
            </w:tcBorders>
            <w:noWrap w:val="0"/>
            <w:vAlign w:val="center"/>
          </w:tcPr>
          <w:p w14:paraId="7F6A484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X＜20</w:t>
            </w:r>
          </w:p>
        </w:tc>
      </w:tr>
      <w:tr w14:paraId="41A30BFD">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39259B16">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1B33385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04AEB46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6E1E623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3000≤Y＜30000</w:t>
            </w:r>
          </w:p>
        </w:tc>
        <w:tc>
          <w:tcPr>
            <w:tcW w:w="1657" w:type="dxa"/>
            <w:tcBorders>
              <w:top w:val="nil"/>
              <w:left w:val="nil"/>
              <w:bottom w:val="single" w:color="auto" w:sz="4" w:space="0"/>
              <w:right w:val="single" w:color="auto" w:sz="4" w:space="0"/>
            </w:tcBorders>
            <w:noWrap w:val="0"/>
            <w:vAlign w:val="center"/>
          </w:tcPr>
          <w:p w14:paraId="7293F1B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200≤Y＜3000</w:t>
            </w:r>
          </w:p>
        </w:tc>
        <w:tc>
          <w:tcPr>
            <w:tcW w:w="1091" w:type="dxa"/>
            <w:tcBorders>
              <w:top w:val="nil"/>
              <w:left w:val="nil"/>
              <w:bottom w:val="single" w:color="auto" w:sz="4" w:space="0"/>
              <w:right w:val="single" w:color="auto" w:sz="4" w:space="0"/>
            </w:tcBorders>
            <w:noWrap w:val="0"/>
            <w:vAlign w:val="center"/>
          </w:tcPr>
          <w:p w14:paraId="4D56DD4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Y＜200</w:t>
            </w:r>
          </w:p>
        </w:tc>
      </w:tr>
      <w:tr w14:paraId="618B49C9">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E66699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仓储业</w:t>
            </w:r>
          </w:p>
        </w:tc>
        <w:tc>
          <w:tcPr>
            <w:tcW w:w="1925" w:type="dxa"/>
            <w:tcBorders>
              <w:top w:val="nil"/>
              <w:left w:val="nil"/>
              <w:bottom w:val="single" w:color="auto" w:sz="4" w:space="0"/>
              <w:right w:val="single" w:color="auto" w:sz="4" w:space="0"/>
            </w:tcBorders>
            <w:noWrap w:val="0"/>
            <w:vAlign w:val="center"/>
          </w:tcPr>
          <w:p w14:paraId="52B0761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22D02E6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62C907D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100≤X＜200</w:t>
            </w:r>
          </w:p>
        </w:tc>
        <w:tc>
          <w:tcPr>
            <w:tcW w:w="1657" w:type="dxa"/>
            <w:tcBorders>
              <w:top w:val="nil"/>
              <w:left w:val="nil"/>
              <w:bottom w:val="single" w:color="auto" w:sz="4" w:space="0"/>
              <w:right w:val="single" w:color="auto" w:sz="4" w:space="0"/>
            </w:tcBorders>
            <w:noWrap w:val="0"/>
            <w:vAlign w:val="center"/>
          </w:tcPr>
          <w:p w14:paraId="01A912E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20≤X＜100</w:t>
            </w:r>
          </w:p>
        </w:tc>
        <w:tc>
          <w:tcPr>
            <w:tcW w:w="1091" w:type="dxa"/>
            <w:tcBorders>
              <w:top w:val="nil"/>
              <w:left w:val="nil"/>
              <w:bottom w:val="single" w:color="auto" w:sz="4" w:space="0"/>
              <w:right w:val="single" w:color="auto" w:sz="4" w:space="0"/>
            </w:tcBorders>
            <w:noWrap w:val="0"/>
            <w:vAlign w:val="center"/>
          </w:tcPr>
          <w:p w14:paraId="18C4007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X＜20</w:t>
            </w:r>
          </w:p>
        </w:tc>
      </w:tr>
      <w:tr w14:paraId="07F5950A">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042BE6F2">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031F1DD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19130F5B">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42E5949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1000≤Y＜30000</w:t>
            </w:r>
          </w:p>
        </w:tc>
        <w:tc>
          <w:tcPr>
            <w:tcW w:w="1657" w:type="dxa"/>
            <w:tcBorders>
              <w:top w:val="nil"/>
              <w:left w:val="nil"/>
              <w:bottom w:val="single" w:color="auto" w:sz="4" w:space="0"/>
              <w:right w:val="single" w:color="auto" w:sz="4" w:space="0"/>
            </w:tcBorders>
            <w:noWrap w:val="0"/>
            <w:vAlign w:val="center"/>
          </w:tcPr>
          <w:p w14:paraId="5E6C603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100≤Y＜1000</w:t>
            </w:r>
          </w:p>
        </w:tc>
        <w:tc>
          <w:tcPr>
            <w:tcW w:w="1091" w:type="dxa"/>
            <w:tcBorders>
              <w:top w:val="nil"/>
              <w:left w:val="nil"/>
              <w:bottom w:val="single" w:color="auto" w:sz="4" w:space="0"/>
              <w:right w:val="single" w:color="auto" w:sz="4" w:space="0"/>
            </w:tcBorders>
            <w:noWrap w:val="0"/>
            <w:vAlign w:val="center"/>
          </w:tcPr>
          <w:p w14:paraId="60B8DE4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4DCB9F0A">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7F8A13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邮政业</w:t>
            </w:r>
          </w:p>
        </w:tc>
        <w:tc>
          <w:tcPr>
            <w:tcW w:w="1925" w:type="dxa"/>
            <w:tcBorders>
              <w:top w:val="nil"/>
              <w:left w:val="nil"/>
              <w:bottom w:val="single" w:color="auto" w:sz="4" w:space="0"/>
              <w:right w:val="single" w:color="auto" w:sz="4" w:space="0"/>
            </w:tcBorders>
            <w:noWrap w:val="0"/>
            <w:vAlign w:val="center"/>
          </w:tcPr>
          <w:p w14:paraId="072D932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72A3E7C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7B82AC5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300≤X＜1000</w:t>
            </w:r>
          </w:p>
        </w:tc>
        <w:tc>
          <w:tcPr>
            <w:tcW w:w="1657" w:type="dxa"/>
            <w:tcBorders>
              <w:top w:val="nil"/>
              <w:left w:val="nil"/>
              <w:bottom w:val="single" w:color="auto" w:sz="4" w:space="0"/>
              <w:right w:val="single" w:color="auto" w:sz="4" w:space="0"/>
            </w:tcBorders>
            <w:noWrap w:val="0"/>
            <w:vAlign w:val="center"/>
          </w:tcPr>
          <w:p w14:paraId="7357C5B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20≤X＜300</w:t>
            </w:r>
          </w:p>
        </w:tc>
        <w:tc>
          <w:tcPr>
            <w:tcW w:w="1091" w:type="dxa"/>
            <w:tcBorders>
              <w:top w:val="nil"/>
              <w:left w:val="nil"/>
              <w:bottom w:val="single" w:color="auto" w:sz="4" w:space="0"/>
              <w:right w:val="single" w:color="auto" w:sz="4" w:space="0"/>
            </w:tcBorders>
            <w:noWrap w:val="0"/>
            <w:vAlign w:val="center"/>
          </w:tcPr>
          <w:p w14:paraId="0657AC2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X＜20</w:t>
            </w:r>
          </w:p>
        </w:tc>
      </w:tr>
      <w:tr w14:paraId="149C11A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2FD95789">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61A435E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2802550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0CD78C3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2000≤Y＜30000</w:t>
            </w:r>
          </w:p>
        </w:tc>
        <w:tc>
          <w:tcPr>
            <w:tcW w:w="1657" w:type="dxa"/>
            <w:tcBorders>
              <w:top w:val="nil"/>
              <w:left w:val="nil"/>
              <w:bottom w:val="single" w:color="auto" w:sz="4" w:space="0"/>
              <w:right w:val="single" w:color="auto" w:sz="4" w:space="0"/>
            </w:tcBorders>
            <w:noWrap w:val="0"/>
            <w:vAlign w:val="center"/>
          </w:tcPr>
          <w:p w14:paraId="5814B0D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100≤Y＜2000</w:t>
            </w:r>
          </w:p>
        </w:tc>
        <w:tc>
          <w:tcPr>
            <w:tcW w:w="1091" w:type="dxa"/>
            <w:tcBorders>
              <w:top w:val="nil"/>
              <w:left w:val="nil"/>
              <w:bottom w:val="single" w:color="auto" w:sz="4" w:space="0"/>
              <w:right w:val="single" w:color="auto" w:sz="4" w:space="0"/>
            </w:tcBorders>
            <w:noWrap w:val="0"/>
            <w:vAlign w:val="center"/>
          </w:tcPr>
          <w:p w14:paraId="2F5A46E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66E8716D">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F425F6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住宿业</w:t>
            </w:r>
          </w:p>
        </w:tc>
        <w:tc>
          <w:tcPr>
            <w:tcW w:w="1925" w:type="dxa"/>
            <w:tcBorders>
              <w:top w:val="nil"/>
              <w:left w:val="nil"/>
              <w:bottom w:val="single" w:color="auto" w:sz="4" w:space="0"/>
              <w:right w:val="single" w:color="auto" w:sz="4" w:space="0"/>
            </w:tcBorders>
            <w:noWrap w:val="0"/>
            <w:vAlign w:val="center"/>
          </w:tcPr>
          <w:p w14:paraId="6703AD8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0717C54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2AFDB90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657" w:type="dxa"/>
            <w:tcBorders>
              <w:top w:val="nil"/>
              <w:left w:val="nil"/>
              <w:bottom w:val="single" w:color="auto" w:sz="4" w:space="0"/>
              <w:right w:val="single" w:color="auto" w:sz="4" w:space="0"/>
            </w:tcBorders>
            <w:noWrap w:val="0"/>
            <w:vAlign w:val="center"/>
          </w:tcPr>
          <w:p w14:paraId="76D506F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163707E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545A0104">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23EF5E9">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3C0BCCF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39755FD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462594A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2000≤Y＜10000</w:t>
            </w:r>
          </w:p>
        </w:tc>
        <w:tc>
          <w:tcPr>
            <w:tcW w:w="1657" w:type="dxa"/>
            <w:tcBorders>
              <w:top w:val="nil"/>
              <w:left w:val="nil"/>
              <w:bottom w:val="single" w:color="auto" w:sz="4" w:space="0"/>
              <w:right w:val="single" w:color="auto" w:sz="4" w:space="0"/>
            </w:tcBorders>
            <w:noWrap w:val="0"/>
            <w:vAlign w:val="center"/>
          </w:tcPr>
          <w:p w14:paraId="49177D8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100≤Y＜2000</w:t>
            </w:r>
          </w:p>
        </w:tc>
        <w:tc>
          <w:tcPr>
            <w:tcW w:w="1091" w:type="dxa"/>
            <w:tcBorders>
              <w:top w:val="nil"/>
              <w:left w:val="nil"/>
              <w:bottom w:val="single" w:color="auto" w:sz="4" w:space="0"/>
              <w:right w:val="single" w:color="auto" w:sz="4" w:space="0"/>
            </w:tcBorders>
            <w:noWrap w:val="0"/>
            <w:vAlign w:val="center"/>
          </w:tcPr>
          <w:p w14:paraId="521A259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087D8813">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4629CA1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餐饮业</w:t>
            </w:r>
          </w:p>
        </w:tc>
        <w:tc>
          <w:tcPr>
            <w:tcW w:w="1925" w:type="dxa"/>
            <w:tcBorders>
              <w:top w:val="nil"/>
              <w:left w:val="nil"/>
              <w:bottom w:val="single" w:color="auto" w:sz="4" w:space="0"/>
              <w:right w:val="single" w:color="auto" w:sz="4" w:space="0"/>
            </w:tcBorders>
            <w:noWrap w:val="0"/>
            <w:vAlign w:val="center"/>
          </w:tcPr>
          <w:p w14:paraId="204CC95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110D257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47015E4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657" w:type="dxa"/>
            <w:tcBorders>
              <w:top w:val="nil"/>
              <w:left w:val="nil"/>
              <w:bottom w:val="single" w:color="auto" w:sz="4" w:space="0"/>
              <w:right w:val="single" w:color="auto" w:sz="4" w:space="0"/>
            </w:tcBorders>
            <w:noWrap w:val="0"/>
            <w:vAlign w:val="center"/>
          </w:tcPr>
          <w:p w14:paraId="2798759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0E8A446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1A3E4A90">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7FF40127">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5A9FE31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35C192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6EEA442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2000≤Y＜10000</w:t>
            </w:r>
          </w:p>
        </w:tc>
        <w:tc>
          <w:tcPr>
            <w:tcW w:w="1657" w:type="dxa"/>
            <w:tcBorders>
              <w:top w:val="nil"/>
              <w:left w:val="nil"/>
              <w:bottom w:val="single" w:color="auto" w:sz="4" w:space="0"/>
              <w:right w:val="single" w:color="auto" w:sz="4" w:space="0"/>
            </w:tcBorders>
            <w:noWrap w:val="0"/>
            <w:vAlign w:val="center"/>
          </w:tcPr>
          <w:p w14:paraId="73C98EB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100≤Y＜2000</w:t>
            </w:r>
          </w:p>
        </w:tc>
        <w:tc>
          <w:tcPr>
            <w:tcW w:w="1091" w:type="dxa"/>
            <w:tcBorders>
              <w:top w:val="nil"/>
              <w:left w:val="nil"/>
              <w:bottom w:val="single" w:color="auto" w:sz="4" w:space="0"/>
              <w:right w:val="single" w:color="auto" w:sz="4" w:space="0"/>
            </w:tcBorders>
            <w:noWrap w:val="0"/>
            <w:vAlign w:val="center"/>
          </w:tcPr>
          <w:p w14:paraId="013B972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095ED80A">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531B3F2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信息传输业</w:t>
            </w:r>
          </w:p>
        </w:tc>
        <w:tc>
          <w:tcPr>
            <w:tcW w:w="1925" w:type="dxa"/>
            <w:tcBorders>
              <w:top w:val="nil"/>
              <w:left w:val="nil"/>
              <w:bottom w:val="single" w:color="auto" w:sz="4" w:space="0"/>
              <w:right w:val="single" w:color="auto" w:sz="4" w:space="0"/>
            </w:tcBorders>
            <w:noWrap w:val="0"/>
            <w:vAlign w:val="center"/>
          </w:tcPr>
          <w:p w14:paraId="5904E43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16C9909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1D371D5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100≤X＜2000</w:t>
            </w:r>
          </w:p>
        </w:tc>
        <w:tc>
          <w:tcPr>
            <w:tcW w:w="1657" w:type="dxa"/>
            <w:tcBorders>
              <w:top w:val="nil"/>
              <w:left w:val="nil"/>
              <w:bottom w:val="single" w:color="auto" w:sz="4" w:space="0"/>
              <w:right w:val="single" w:color="auto" w:sz="4" w:space="0"/>
            </w:tcBorders>
            <w:noWrap w:val="0"/>
            <w:vAlign w:val="center"/>
          </w:tcPr>
          <w:p w14:paraId="306AC1F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30FEBD1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1128024E">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65641CA0">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1A4A9E0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30506C2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5B38E7E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1000≤Y＜100000</w:t>
            </w:r>
          </w:p>
        </w:tc>
        <w:tc>
          <w:tcPr>
            <w:tcW w:w="1657" w:type="dxa"/>
            <w:tcBorders>
              <w:top w:val="nil"/>
              <w:left w:val="nil"/>
              <w:bottom w:val="single" w:color="auto" w:sz="4" w:space="0"/>
              <w:right w:val="single" w:color="auto" w:sz="4" w:space="0"/>
            </w:tcBorders>
            <w:noWrap w:val="0"/>
            <w:vAlign w:val="center"/>
          </w:tcPr>
          <w:p w14:paraId="73802EF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100≤Y＜1000</w:t>
            </w:r>
          </w:p>
        </w:tc>
        <w:tc>
          <w:tcPr>
            <w:tcW w:w="1091" w:type="dxa"/>
            <w:tcBorders>
              <w:top w:val="nil"/>
              <w:left w:val="nil"/>
              <w:bottom w:val="single" w:color="auto" w:sz="4" w:space="0"/>
              <w:right w:val="single" w:color="auto" w:sz="4" w:space="0"/>
            </w:tcBorders>
            <w:noWrap w:val="0"/>
            <w:vAlign w:val="center"/>
          </w:tcPr>
          <w:p w14:paraId="56C40CA9">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240A6224">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2F8C73A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软件和信息技术服务业</w:t>
            </w:r>
          </w:p>
        </w:tc>
        <w:tc>
          <w:tcPr>
            <w:tcW w:w="1925" w:type="dxa"/>
            <w:tcBorders>
              <w:top w:val="nil"/>
              <w:left w:val="nil"/>
              <w:bottom w:val="single" w:color="auto" w:sz="4" w:space="0"/>
              <w:right w:val="single" w:color="auto" w:sz="4" w:space="0"/>
            </w:tcBorders>
            <w:noWrap w:val="0"/>
            <w:vAlign w:val="center"/>
          </w:tcPr>
          <w:p w14:paraId="49A10F6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1EAD401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4FAE3D4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657" w:type="dxa"/>
            <w:tcBorders>
              <w:top w:val="nil"/>
              <w:left w:val="nil"/>
              <w:bottom w:val="single" w:color="auto" w:sz="4" w:space="0"/>
              <w:right w:val="single" w:color="auto" w:sz="4" w:space="0"/>
            </w:tcBorders>
            <w:noWrap w:val="0"/>
            <w:vAlign w:val="center"/>
          </w:tcPr>
          <w:p w14:paraId="52679C5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606EBF6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488168DD">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4AE81BBA">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2F37C82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B9CCF0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45305CE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1000≤Y＜10000</w:t>
            </w:r>
          </w:p>
        </w:tc>
        <w:tc>
          <w:tcPr>
            <w:tcW w:w="1657" w:type="dxa"/>
            <w:tcBorders>
              <w:top w:val="nil"/>
              <w:left w:val="nil"/>
              <w:bottom w:val="single" w:color="auto" w:sz="4" w:space="0"/>
              <w:right w:val="single" w:color="auto" w:sz="4" w:space="0"/>
            </w:tcBorders>
            <w:noWrap w:val="0"/>
            <w:vAlign w:val="center"/>
          </w:tcPr>
          <w:p w14:paraId="79BFB56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50≤Y＜1000</w:t>
            </w:r>
          </w:p>
        </w:tc>
        <w:tc>
          <w:tcPr>
            <w:tcW w:w="1091" w:type="dxa"/>
            <w:tcBorders>
              <w:top w:val="nil"/>
              <w:left w:val="nil"/>
              <w:bottom w:val="single" w:color="auto" w:sz="4" w:space="0"/>
              <w:right w:val="single" w:color="auto" w:sz="4" w:space="0"/>
            </w:tcBorders>
            <w:noWrap w:val="0"/>
            <w:vAlign w:val="center"/>
          </w:tcPr>
          <w:p w14:paraId="4F3E8794">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Y＜50</w:t>
            </w:r>
          </w:p>
        </w:tc>
      </w:tr>
      <w:tr w14:paraId="0D5FF8CF">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54E50B8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房地产开发经营</w:t>
            </w:r>
          </w:p>
        </w:tc>
        <w:tc>
          <w:tcPr>
            <w:tcW w:w="1925" w:type="dxa"/>
            <w:tcBorders>
              <w:top w:val="nil"/>
              <w:left w:val="nil"/>
              <w:bottom w:val="single" w:color="auto" w:sz="4" w:space="0"/>
              <w:right w:val="single" w:color="auto" w:sz="4" w:space="0"/>
            </w:tcBorders>
            <w:noWrap w:val="0"/>
            <w:vAlign w:val="center"/>
          </w:tcPr>
          <w:p w14:paraId="6601B7E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7603109D">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4FBB7CC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1000≤Y＜200000</w:t>
            </w:r>
          </w:p>
        </w:tc>
        <w:tc>
          <w:tcPr>
            <w:tcW w:w="1657" w:type="dxa"/>
            <w:tcBorders>
              <w:top w:val="nil"/>
              <w:left w:val="nil"/>
              <w:bottom w:val="single" w:color="auto" w:sz="4" w:space="0"/>
              <w:right w:val="single" w:color="auto" w:sz="4" w:space="0"/>
            </w:tcBorders>
            <w:noWrap w:val="0"/>
            <w:vAlign w:val="center"/>
          </w:tcPr>
          <w:p w14:paraId="5D4C914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100≤X＜1000</w:t>
            </w:r>
          </w:p>
        </w:tc>
        <w:tc>
          <w:tcPr>
            <w:tcW w:w="1091" w:type="dxa"/>
            <w:tcBorders>
              <w:top w:val="nil"/>
              <w:left w:val="nil"/>
              <w:bottom w:val="single" w:color="auto" w:sz="4" w:space="0"/>
              <w:right w:val="single" w:color="auto" w:sz="4" w:space="0"/>
            </w:tcBorders>
            <w:noWrap w:val="0"/>
            <w:vAlign w:val="center"/>
          </w:tcPr>
          <w:p w14:paraId="0C66F4CB">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X＜100</w:t>
            </w:r>
          </w:p>
        </w:tc>
      </w:tr>
      <w:tr w14:paraId="3655C244">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5AA5915F">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05A63C0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资产总额（Z）</w:t>
            </w:r>
          </w:p>
        </w:tc>
        <w:tc>
          <w:tcPr>
            <w:tcW w:w="1188" w:type="dxa"/>
            <w:tcBorders>
              <w:top w:val="nil"/>
              <w:left w:val="nil"/>
              <w:bottom w:val="single" w:color="auto" w:sz="4" w:space="0"/>
              <w:right w:val="single" w:color="auto" w:sz="4" w:space="0"/>
            </w:tcBorders>
            <w:noWrap w:val="0"/>
            <w:vAlign w:val="center"/>
          </w:tcPr>
          <w:p w14:paraId="7984DAD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1A25568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5000≤Z＜10000</w:t>
            </w:r>
          </w:p>
        </w:tc>
        <w:tc>
          <w:tcPr>
            <w:tcW w:w="1657" w:type="dxa"/>
            <w:tcBorders>
              <w:top w:val="nil"/>
              <w:left w:val="nil"/>
              <w:bottom w:val="single" w:color="auto" w:sz="4" w:space="0"/>
              <w:right w:val="single" w:color="auto" w:sz="4" w:space="0"/>
            </w:tcBorders>
            <w:noWrap w:val="0"/>
            <w:vAlign w:val="center"/>
          </w:tcPr>
          <w:p w14:paraId="7EA74238">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2000≤Y＜5000</w:t>
            </w:r>
          </w:p>
        </w:tc>
        <w:tc>
          <w:tcPr>
            <w:tcW w:w="1091" w:type="dxa"/>
            <w:tcBorders>
              <w:top w:val="nil"/>
              <w:left w:val="nil"/>
              <w:bottom w:val="single" w:color="auto" w:sz="4" w:space="0"/>
              <w:right w:val="single" w:color="auto" w:sz="4" w:space="0"/>
            </w:tcBorders>
            <w:noWrap w:val="0"/>
            <w:vAlign w:val="center"/>
          </w:tcPr>
          <w:p w14:paraId="2E19431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Y＜2000</w:t>
            </w:r>
          </w:p>
        </w:tc>
      </w:tr>
      <w:tr w14:paraId="6AF36D2E">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0C3A4B0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物业管理</w:t>
            </w:r>
          </w:p>
        </w:tc>
        <w:tc>
          <w:tcPr>
            <w:tcW w:w="1925" w:type="dxa"/>
            <w:tcBorders>
              <w:top w:val="nil"/>
              <w:left w:val="nil"/>
              <w:bottom w:val="single" w:color="auto" w:sz="4" w:space="0"/>
              <w:right w:val="single" w:color="auto" w:sz="4" w:space="0"/>
            </w:tcBorders>
            <w:noWrap w:val="0"/>
            <w:vAlign w:val="center"/>
          </w:tcPr>
          <w:p w14:paraId="5E648C2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6E9BA70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3601B63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300≤X＜1000</w:t>
            </w:r>
          </w:p>
        </w:tc>
        <w:tc>
          <w:tcPr>
            <w:tcW w:w="1657" w:type="dxa"/>
            <w:tcBorders>
              <w:top w:val="nil"/>
              <w:left w:val="nil"/>
              <w:bottom w:val="single" w:color="auto" w:sz="4" w:space="0"/>
              <w:right w:val="single" w:color="auto" w:sz="4" w:space="0"/>
            </w:tcBorders>
            <w:noWrap w:val="0"/>
            <w:vAlign w:val="center"/>
          </w:tcPr>
          <w:p w14:paraId="0BBFB89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091" w:type="dxa"/>
            <w:tcBorders>
              <w:top w:val="nil"/>
              <w:left w:val="nil"/>
              <w:bottom w:val="single" w:color="auto" w:sz="4" w:space="0"/>
              <w:right w:val="single" w:color="auto" w:sz="4" w:space="0"/>
            </w:tcBorders>
            <w:noWrap w:val="0"/>
            <w:vAlign w:val="center"/>
          </w:tcPr>
          <w:p w14:paraId="75A4F4F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X＜100</w:t>
            </w:r>
          </w:p>
        </w:tc>
      </w:tr>
      <w:tr w14:paraId="3F489B9C">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44835889">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5E7D1DA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营业收入（Y）</w:t>
            </w:r>
          </w:p>
        </w:tc>
        <w:tc>
          <w:tcPr>
            <w:tcW w:w="1188" w:type="dxa"/>
            <w:tcBorders>
              <w:top w:val="nil"/>
              <w:left w:val="nil"/>
              <w:bottom w:val="single" w:color="auto" w:sz="4" w:space="0"/>
              <w:right w:val="single" w:color="auto" w:sz="4" w:space="0"/>
            </w:tcBorders>
            <w:noWrap w:val="0"/>
            <w:vAlign w:val="center"/>
          </w:tcPr>
          <w:p w14:paraId="4F1E333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758C36B2">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1000≤Y＜5000</w:t>
            </w:r>
          </w:p>
        </w:tc>
        <w:tc>
          <w:tcPr>
            <w:tcW w:w="1657" w:type="dxa"/>
            <w:tcBorders>
              <w:top w:val="nil"/>
              <w:left w:val="nil"/>
              <w:bottom w:val="single" w:color="auto" w:sz="4" w:space="0"/>
              <w:right w:val="single" w:color="auto" w:sz="4" w:space="0"/>
            </w:tcBorders>
            <w:noWrap w:val="0"/>
            <w:vAlign w:val="center"/>
          </w:tcPr>
          <w:p w14:paraId="25BFA60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500≤Y＜1000</w:t>
            </w:r>
          </w:p>
        </w:tc>
        <w:tc>
          <w:tcPr>
            <w:tcW w:w="1091" w:type="dxa"/>
            <w:tcBorders>
              <w:top w:val="nil"/>
              <w:left w:val="nil"/>
              <w:bottom w:val="single" w:color="auto" w:sz="4" w:space="0"/>
              <w:right w:val="single" w:color="auto" w:sz="4" w:space="0"/>
            </w:tcBorders>
            <w:noWrap w:val="0"/>
            <w:vAlign w:val="center"/>
          </w:tcPr>
          <w:p w14:paraId="0A6F5A5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Y＜500</w:t>
            </w:r>
          </w:p>
        </w:tc>
      </w:tr>
      <w:tr w14:paraId="0FBF2054">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noWrap w:val="0"/>
            <w:vAlign w:val="center"/>
          </w:tcPr>
          <w:p w14:paraId="603B3821">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租赁和商务服务业</w:t>
            </w:r>
          </w:p>
        </w:tc>
        <w:tc>
          <w:tcPr>
            <w:tcW w:w="1925" w:type="dxa"/>
            <w:tcBorders>
              <w:top w:val="nil"/>
              <w:left w:val="nil"/>
              <w:bottom w:val="single" w:color="auto" w:sz="4" w:space="0"/>
              <w:right w:val="single" w:color="auto" w:sz="4" w:space="0"/>
            </w:tcBorders>
            <w:noWrap w:val="0"/>
            <w:vAlign w:val="center"/>
          </w:tcPr>
          <w:p w14:paraId="63BB77C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3B5941E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71A6A8BA">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657" w:type="dxa"/>
            <w:tcBorders>
              <w:top w:val="nil"/>
              <w:left w:val="nil"/>
              <w:bottom w:val="single" w:color="auto" w:sz="4" w:space="0"/>
              <w:right w:val="single" w:color="auto" w:sz="4" w:space="0"/>
            </w:tcBorders>
            <w:noWrap w:val="0"/>
            <w:vAlign w:val="center"/>
          </w:tcPr>
          <w:p w14:paraId="71E4690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68DDE2D7">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r w14:paraId="5A76A60D">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noWrap w:val="0"/>
            <w:vAlign w:val="center"/>
          </w:tcPr>
          <w:p w14:paraId="37F73E1F">
            <w:pPr>
              <w:widowControl/>
              <w:snapToGrid w:val="0"/>
              <w:contextualSpacing/>
              <w:jc w:val="center"/>
              <w:rPr>
                <w:rFonts w:hint="eastAsia" w:ascii="黑体" w:hAnsi="黑体" w:eastAsia="黑体" w:cs="黑体"/>
                <w:b/>
                <w:bCs w:val="0"/>
                <w:color w:val="auto"/>
                <w:kern w:val="0"/>
                <w:sz w:val="22"/>
                <w:szCs w:val="22"/>
                <w:highlight w:val="none"/>
              </w:rPr>
            </w:pPr>
          </w:p>
        </w:tc>
        <w:tc>
          <w:tcPr>
            <w:tcW w:w="1925" w:type="dxa"/>
            <w:tcBorders>
              <w:top w:val="nil"/>
              <w:left w:val="nil"/>
              <w:bottom w:val="single" w:color="auto" w:sz="4" w:space="0"/>
              <w:right w:val="single" w:color="auto" w:sz="4" w:space="0"/>
            </w:tcBorders>
            <w:noWrap w:val="0"/>
            <w:vAlign w:val="center"/>
          </w:tcPr>
          <w:p w14:paraId="0771220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资产总额（Z）</w:t>
            </w:r>
          </w:p>
        </w:tc>
        <w:tc>
          <w:tcPr>
            <w:tcW w:w="1188" w:type="dxa"/>
            <w:tcBorders>
              <w:top w:val="nil"/>
              <w:left w:val="nil"/>
              <w:bottom w:val="single" w:color="auto" w:sz="4" w:space="0"/>
              <w:right w:val="single" w:color="auto" w:sz="4" w:space="0"/>
            </w:tcBorders>
            <w:noWrap w:val="0"/>
            <w:vAlign w:val="center"/>
          </w:tcPr>
          <w:p w14:paraId="5C05BDB6">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万元</w:t>
            </w:r>
          </w:p>
        </w:tc>
        <w:tc>
          <w:tcPr>
            <w:tcW w:w="2037" w:type="dxa"/>
            <w:tcBorders>
              <w:top w:val="nil"/>
              <w:left w:val="nil"/>
              <w:bottom w:val="single" w:color="auto" w:sz="4" w:space="0"/>
              <w:right w:val="single" w:color="auto" w:sz="4" w:space="0"/>
            </w:tcBorders>
            <w:noWrap w:val="0"/>
            <w:vAlign w:val="center"/>
          </w:tcPr>
          <w:p w14:paraId="50457C6D">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8000≤Z＜120000</w:t>
            </w:r>
          </w:p>
        </w:tc>
        <w:tc>
          <w:tcPr>
            <w:tcW w:w="1657" w:type="dxa"/>
            <w:tcBorders>
              <w:top w:val="nil"/>
              <w:left w:val="nil"/>
              <w:bottom w:val="single" w:color="auto" w:sz="4" w:space="0"/>
              <w:right w:val="single" w:color="auto" w:sz="4" w:space="0"/>
            </w:tcBorders>
            <w:noWrap w:val="0"/>
            <w:vAlign w:val="center"/>
          </w:tcPr>
          <w:p w14:paraId="1366B063">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100≤Z＜8000</w:t>
            </w:r>
          </w:p>
        </w:tc>
        <w:tc>
          <w:tcPr>
            <w:tcW w:w="1091" w:type="dxa"/>
            <w:tcBorders>
              <w:top w:val="nil"/>
              <w:left w:val="nil"/>
              <w:bottom w:val="single" w:color="auto" w:sz="4" w:space="0"/>
              <w:right w:val="single" w:color="auto" w:sz="4" w:space="0"/>
            </w:tcBorders>
            <w:noWrap w:val="0"/>
            <w:vAlign w:val="center"/>
          </w:tcPr>
          <w:p w14:paraId="2A9FCE75">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Y＜100</w:t>
            </w:r>
          </w:p>
        </w:tc>
      </w:tr>
      <w:tr w14:paraId="2C5B74AA">
        <w:tblPrEx>
          <w:tblCellMar>
            <w:top w:w="0" w:type="dxa"/>
            <w:left w:w="108" w:type="dxa"/>
            <w:bottom w:w="0" w:type="dxa"/>
            <w:right w:w="108" w:type="dxa"/>
          </w:tblCellMar>
        </w:tblPrEx>
        <w:trPr>
          <w:trHeight w:val="543" w:hRule="atLeast"/>
          <w:jc w:val="center"/>
        </w:trPr>
        <w:tc>
          <w:tcPr>
            <w:tcW w:w="1358" w:type="dxa"/>
            <w:tcBorders>
              <w:top w:val="nil"/>
              <w:left w:val="single" w:color="auto" w:sz="4" w:space="0"/>
              <w:bottom w:val="single" w:color="auto" w:sz="4" w:space="0"/>
              <w:right w:val="single" w:color="auto" w:sz="4" w:space="0"/>
            </w:tcBorders>
            <w:noWrap w:val="0"/>
            <w:vAlign w:val="center"/>
          </w:tcPr>
          <w:p w14:paraId="76B2C3D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其他未列明行业</w:t>
            </w:r>
          </w:p>
        </w:tc>
        <w:tc>
          <w:tcPr>
            <w:tcW w:w="1925" w:type="dxa"/>
            <w:tcBorders>
              <w:top w:val="nil"/>
              <w:left w:val="nil"/>
              <w:bottom w:val="single" w:color="auto" w:sz="4" w:space="0"/>
              <w:right w:val="single" w:color="auto" w:sz="4" w:space="0"/>
            </w:tcBorders>
            <w:noWrap w:val="0"/>
            <w:vAlign w:val="center"/>
          </w:tcPr>
          <w:p w14:paraId="7020E67E">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从业人员（X）</w:t>
            </w:r>
          </w:p>
        </w:tc>
        <w:tc>
          <w:tcPr>
            <w:tcW w:w="1188" w:type="dxa"/>
            <w:tcBorders>
              <w:top w:val="nil"/>
              <w:left w:val="nil"/>
              <w:bottom w:val="single" w:color="auto" w:sz="4" w:space="0"/>
              <w:right w:val="single" w:color="auto" w:sz="4" w:space="0"/>
            </w:tcBorders>
            <w:noWrap w:val="0"/>
            <w:vAlign w:val="center"/>
          </w:tcPr>
          <w:p w14:paraId="6857A750">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人</w:t>
            </w:r>
          </w:p>
        </w:tc>
        <w:tc>
          <w:tcPr>
            <w:tcW w:w="2037" w:type="dxa"/>
            <w:tcBorders>
              <w:top w:val="nil"/>
              <w:left w:val="nil"/>
              <w:bottom w:val="single" w:color="auto" w:sz="4" w:space="0"/>
              <w:right w:val="single" w:color="auto" w:sz="4" w:space="0"/>
            </w:tcBorders>
            <w:noWrap w:val="0"/>
            <w:vAlign w:val="center"/>
          </w:tcPr>
          <w:p w14:paraId="6636B85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100≤X＜300</w:t>
            </w:r>
          </w:p>
        </w:tc>
        <w:tc>
          <w:tcPr>
            <w:tcW w:w="1657" w:type="dxa"/>
            <w:tcBorders>
              <w:top w:val="nil"/>
              <w:left w:val="nil"/>
              <w:bottom w:val="single" w:color="auto" w:sz="4" w:space="0"/>
              <w:right w:val="single" w:color="auto" w:sz="4" w:space="0"/>
            </w:tcBorders>
            <w:noWrap w:val="0"/>
            <w:vAlign w:val="center"/>
          </w:tcPr>
          <w:p w14:paraId="5191D37C">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10≤X＜100</w:t>
            </w:r>
          </w:p>
        </w:tc>
        <w:tc>
          <w:tcPr>
            <w:tcW w:w="1091" w:type="dxa"/>
            <w:tcBorders>
              <w:top w:val="nil"/>
              <w:left w:val="nil"/>
              <w:bottom w:val="single" w:color="auto" w:sz="4" w:space="0"/>
              <w:right w:val="single" w:color="auto" w:sz="4" w:space="0"/>
            </w:tcBorders>
            <w:noWrap w:val="0"/>
            <w:vAlign w:val="center"/>
          </w:tcPr>
          <w:p w14:paraId="09D1D5DF">
            <w:pPr>
              <w:widowControl/>
              <w:snapToGrid w:val="0"/>
              <w:contextualSpacing/>
              <w:jc w:val="center"/>
              <w:rPr>
                <w:rFonts w:hint="eastAsia" w:ascii="黑体" w:hAnsi="黑体" w:eastAsia="黑体" w:cs="黑体"/>
                <w:b/>
                <w:bCs w:val="0"/>
                <w:color w:val="auto"/>
                <w:kern w:val="0"/>
                <w:sz w:val="22"/>
                <w:szCs w:val="22"/>
                <w:highlight w:val="none"/>
              </w:rPr>
            </w:pPr>
            <w:r>
              <w:rPr>
                <w:rFonts w:hint="eastAsia" w:ascii="黑体" w:hAnsi="黑体" w:eastAsia="黑体" w:cs="黑体"/>
                <w:b/>
                <w:bCs w:val="0"/>
                <w:color w:val="auto"/>
                <w:kern w:val="0"/>
                <w:sz w:val="22"/>
                <w:szCs w:val="22"/>
                <w:highlight w:val="none"/>
              </w:rPr>
              <w:t>X＜10</w:t>
            </w:r>
          </w:p>
        </w:tc>
      </w:tr>
    </w:tbl>
    <w:p w14:paraId="1E047C7A">
      <w:pPr>
        <w:pStyle w:val="6"/>
        <w:keepNext w:val="0"/>
        <w:keepLines w:val="0"/>
        <w:pageBreakBefore w:val="0"/>
        <w:widowControl/>
        <w:kinsoku/>
        <w:wordWrap w:val="0"/>
        <w:overflowPunct/>
        <w:topLinePunct w:val="0"/>
        <w:bidi w:val="0"/>
        <w:spacing w:before="104" w:line="460" w:lineRule="exact"/>
        <w:ind w:left="0" w:leftChars="0" w:firstLine="0" w:firstLineChars="0"/>
        <w:jc w:val="center"/>
        <w:outlineLvl w:val="1"/>
        <w:rPr>
          <w:rFonts w:hint="eastAsia" w:ascii="黑体" w:hAnsi="黑体" w:eastAsia="黑体" w:cs="黑体"/>
          <w:b/>
          <w:bCs/>
          <w:color w:val="auto"/>
          <w:sz w:val="24"/>
          <w:szCs w:val="24"/>
        </w:rPr>
      </w:pPr>
      <w:bookmarkStart w:id="37" w:name="bookmark32"/>
      <w:bookmarkEnd w:id="37"/>
    </w:p>
    <w:p w14:paraId="7319A3EE">
      <w:pPr>
        <w:pStyle w:val="6"/>
        <w:keepNext w:val="0"/>
        <w:keepLines w:val="0"/>
        <w:pageBreakBefore w:val="0"/>
        <w:widowControl/>
        <w:kinsoku/>
        <w:wordWrap w:val="0"/>
        <w:overflowPunct/>
        <w:topLinePunct w:val="0"/>
        <w:bidi w:val="0"/>
        <w:spacing w:before="104" w:line="460" w:lineRule="exact"/>
        <w:ind w:left="0" w:leftChars="0" w:firstLine="0" w:firstLineChars="0"/>
        <w:jc w:val="center"/>
        <w:outlineLvl w:val="1"/>
        <w:rPr>
          <w:rFonts w:hint="eastAsia" w:ascii="黑体" w:hAnsi="黑体" w:eastAsia="黑体" w:cs="黑体"/>
          <w:b/>
          <w:bCs/>
          <w:color w:val="auto"/>
          <w:sz w:val="24"/>
          <w:szCs w:val="24"/>
        </w:rPr>
      </w:pPr>
    </w:p>
    <w:p w14:paraId="0F33E3F8">
      <w:pPr>
        <w:pStyle w:val="6"/>
        <w:keepNext w:val="0"/>
        <w:keepLines w:val="0"/>
        <w:pageBreakBefore w:val="0"/>
        <w:widowControl/>
        <w:kinsoku/>
        <w:wordWrap w:val="0"/>
        <w:overflowPunct/>
        <w:topLinePunct w:val="0"/>
        <w:bidi w:val="0"/>
        <w:spacing w:before="104" w:line="460" w:lineRule="exact"/>
        <w:ind w:left="0" w:leftChars="0" w:firstLine="0" w:firstLineChars="0"/>
        <w:jc w:val="center"/>
        <w:outlineLvl w:val="1"/>
        <w:rPr>
          <w:rFonts w:hint="eastAsia" w:ascii="黑体" w:hAnsi="黑体" w:eastAsia="黑体" w:cs="黑体"/>
          <w:b/>
          <w:bCs/>
          <w:color w:val="auto"/>
          <w:sz w:val="24"/>
          <w:szCs w:val="24"/>
        </w:rPr>
      </w:pPr>
    </w:p>
    <w:p w14:paraId="1758A23C">
      <w:pPr>
        <w:pStyle w:val="6"/>
        <w:keepNext w:val="0"/>
        <w:keepLines w:val="0"/>
        <w:pageBreakBefore w:val="0"/>
        <w:widowControl/>
        <w:kinsoku/>
        <w:wordWrap w:val="0"/>
        <w:overflowPunct/>
        <w:topLinePunct w:val="0"/>
        <w:bidi w:val="0"/>
        <w:spacing w:before="104" w:line="460" w:lineRule="exact"/>
        <w:ind w:left="0" w:leftChars="0" w:firstLine="0" w:firstLineChars="0"/>
        <w:jc w:val="center"/>
        <w:outlineLvl w:val="1"/>
        <w:rPr>
          <w:rFonts w:hint="eastAsia" w:ascii="黑体" w:hAnsi="黑体" w:eastAsia="黑体" w:cs="黑体"/>
          <w:b/>
          <w:bCs/>
          <w:color w:val="auto"/>
          <w:sz w:val="24"/>
          <w:szCs w:val="24"/>
        </w:rPr>
      </w:pPr>
    </w:p>
    <w:p w14:paraId="31AF66F4">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0" w:firstLineChars="0"/>
        <w:jc w:val="center"/>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中小微企业划型标准</w:t>
      </w:r>
    </w:p>
    <w:p w14:paraId="3A522421">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说明：上述标准参照《关于印发中小企业划型标准规定的通知》（工信部联企业[2011]300号），大型、中型和小型企业须同时满足所列指标的下限，否则下划一档；微型企业只须满足所列指标中的一项即可。</w:t>
      </w:r>
    </w:p>
    <w:p w14:paraId="0E71EACF">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F698EF2">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1）在货物采购项目中，货物由中小企业制造，即货物由中小企业生产且使用该中小企业商号或者注册商标，不对其中涉及的工程承建商和服务的承接商作出要求；（2）在工程采购项目中，工程由中小企业承建，即工程施工单位为中小企业，不对其中涉及的货物的制造商和服务的承接商作出要求；</w:t>
      </w:r>
    </w:p>
    <w:p w14:paraId="42215F35">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0A76AAF1">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1BDCC80">
      <w:pPr>
        <w:pStyle w:val="6"/>
        <w:keepNext w:val="0"/>
        <w:keepLines w:val="0"/>
        <w:pageBreakBefore w:val="0"/>
        <w:widowControl/>
        <w:kinsoku/>
        <w:wordWrap w:val="0"/>
        <w:overflowPunct/>
        <w:topLinePunct w:val="0"/>
        <w:autoSpaceDE w:val="0"/>
        <w:autoSpaceDN w:val="0"/>
        <w:bidi w:val="0"/>
        <w:adjustRightInd w:val="0"/>
        <w:snapToGrid w:val="0"/>
        <w:spacing w:line="500" w:lineRule="exact"/>
        <w:ind w:left="0" w:leftChars="0" w:firstLine="422" w:firstLineChars="175"/>
        <w:textAlignment w:val="baseline"/>
        <w:outlineLvl w:val="1"/>
        <w:rPr>
          <w:rFonts w:hint="eastAsia" w:ascii="黑体" w:hAnsi="黑体" w:eastAsia="黑体" w:cs="黑体"/>
          <w:b/>
          <w:bCs/>
          <w:color w:val="auto"/>
          <w:sz w:val="24"/>
          <w:szCs w:val="24"/>
        </w:rPr>
      </w:pPr>
      <w:r>
        <w:rPr>
          <w:rFonts w:hint="eastAsia" w:ascii="黑体" w:hAnsi="黑体" w:eastAsia="黑体" w:cs="黑体"/>
          <w:b/>
          <w:bCs/>
          <w:color w:val="auto"/>
          <w:sz w:val="24"/>
          <w:szCs w:val="24"/>
        </w:rPr>
        <w:t>依据本招标文件规定享受扶持政策获得政府采购合同的，小微企业不得将合同分包给大中型企业，中型企业不得将合同分包给大型企业。</w:t>
      </w:r>
    </w:p>
    <w:p w14:paraId="70F28633">
      <w:pPr>
        <w:keepNext w:val="0"/>
        <w:keepLines w:val="0"/>
        <w:pageBreakBefore w:val="0"/>
        <w:widowControl/>
        <w:overflowPunct/>
        <w:topLinePunct w:val="0"/>
        <w:autoSpaceDE w:val="0"/>
        <w:autoSpaceDN w:val="0"/>
        <w:bidi w:val="0"/>
        <w:adjustRightInd w:val="0"/>
        <w:snapToGrid w:val="0"/>
        <w:spacing w:line="500" w:lineRule="exact"/>
        <w:textAlignment w:val="baseline"/>
        <w:rPr>
          <w:rFonts w:hint="eastAsia" w:ascii="黑体" w:hAnsi="黑体" w:eastAsia="黑体" w:cs="黑体"/>
          <w:b/>
          <w:bCs/>
          <w:color w:val="auto"/>
          <w:sz w:val="24"/>
          <w:szCs w:val="24"/>
        </w:rPr>
      </w:pPr>
      <w:r>
        <w:rPr>
          <w:rFonts w:hint="eastAsia" w:ascii="黑体" w:hAnsi="黑体" w:eastAsia="黑体" w:cs="黑体"/>
          <w:b/>
          <w:bCs/>
          <w:color w:val="auto"/>
          <w:sz w:val="24"/>
          <w:szCs w:val="24"/>
        </w:rPr>
        <w:br w:type="page"/>
      </w:r>
    </w:p>
    <w:p w14:paraId="4EACC858">
      <w:pPr>
        <w:pStyle w:val="6"/>
        <w:keepNext w:val="0"/>
        <w:keepLines w:val="0"/>
        <w:pageBreakBefore w:val="0"/>
        <w:widowControl/>
        <w:kinsoku/>
        <w:wordWrap w:val="0"/>
        <w:overflowPunct/>
        <w:topLinePunct w:val="0"/>
        <w:bidi w:val="0"/>
        <w:spacing w:before="104" w:line="460" w:lineRule="exact"/>
        <w:jc w:val="center"/>
        <w:outlineLvl w:val="1"/>
        <w:rPr>
          <w:rFonts w:hint="eastAsia" w:ascii="黑体" w:hAnsi="黑体" w:eastAsia="黑体" w:cs="黑体"/>
          <w:color w:val="auto"/>
          <w:sz w:val="24"/>
          <w:szCs w:val="24"/>
        </w:rPr>
      </w:pPr>
      <w:r>
        <w:rPr>
          <w:rFonts w:hint="eastAsia" w:ascii="黑体" w:hAnsi="黑体" w:eastAsia="黑体" w:cs="黑体"/>
          <w:b/>
          <w:bCs/>
          <w:color w:val="auto"/>
          <w:sz w:val="24"/>
          <w:szCs w:val="24"/>
        </w:rPr>
        <w:t>6-2残疾人福利性单位声明函</w:t>
      </w:r>
    </w:p>
    <w:p w14:paraId="73A1716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48B4E9D">
      <w:pPr>
        <w:pStyle w:val="6"/>
        <w:keepNext w:val="0"/>
        <w:keepLines w:val="0"/>
        <w:pageBreakBefore w:val="0"/>
        <w:widowControl/>
        <w:kinsoku/>
        <w:wordWrap w:val="0"/>
        <w:overflowPunct/>
        <w:topLinePunct w:val="0"/>
        <w:bidi w:val="0"/>
        <w:spacing w:before="103" w:line="460" w:lineRule="exact"/>
        <w:ind w:left="10" w:leftChars="5" w:right="11" w:firstLine="406" w:firstLineChars="171"/>
        <w:jc w:val="both"/>
        <w:rPr>
          <w:rFonts w:hint="eastAsia" w:ascii="黑体" w:hAnsi="黑体" w:eastAsia="黑体" w:cs="黑体"/>
          <w:color w:val="auto"/>
          <w:sz w:val="24"/>
          <w:szCs w:val="24"/>
        </w:rPr>
      </w:pPr>
      <w:r>
        <w:rPr>
          <w:rFonts w:hint="eastAsia" w:ascii="黑体" w:hAnsi="黑体" w:eastAsia="黑体" w:cs="黑体"/>
          <w:color w:val="auto"/>
          <w:spacing w:val="-1"/>
          <w:sz w:val="24"/>
          <w:szCs w:val="24"/>
        </w:rPr>
        <w:t>本单位郑重声明，根据《财政部民政部中国残疾人联合会关于促进残疾</w:t>
      </w:r>
      <w:r>
        <w:rPr>
          <w:rFonts w:hint="eastAsia" w:ascii="黑体" w:hAnsi="黑体" w:eastAsia="黑体" w:cs="黑体"/>
          <w:color w:val="auto"/>
          <w:sz w:val="24"/>
          <w:szCs w:val="24"/>
        </w:rPr>
        <w:t>人就业政府采购政策的通知》（财库〔2017</w:t>
      </w:r>
      <w:r>
        <w:rPr>
          <w:rFonts w:hint="eastAsia" w:ascii="黑体" w:hAnsi="黑体" w:eastAsia="黑体" w:cs="黑体"/>
          <w:color w:val="auto"/>
          <w:spacing w:val="-1"/>
          <w:sz w:val="24"/>
          <w:szCs w:val="24"/>
        </w:rPr>
        <w:t>〕141号）的规定，本单位为符合</w:t>
      </w:r>
      <w:r>
        <w:rPr>
          <w:rFonts w:hint="eastAsia" w:ascii="黑体" w:hAnsi="黑体" w:eastAsia="黑体" w:cs="黑体"/>
          <w:color w:val="auto"/>
          <w:sz w:val="24"/>
          <w:szCs w:val="24"/>
        </w:rPr>
        <w:t>条件的残疾人福利性单位，且本单位参加单位的项目采购活动提供</w:t>
      </w:r>
      <w:r>
        <w:rPr>
          <w:rFonts w:hint="eastAsia" w:ascii="黑体" w:hAnsi="黑体" w:eastAsia="黑体" w:cs="黑体"/>
          <w:color w:val="auto"/>
          <w:spacing w:val="-3"/>
          <w:sz w:val="24"/>
          <w:szCs w:val="24"/>
        </w:rPr>
        <w:t>本单位制造的货物，或者提供其他残疾人福利性单位制造的货物（不包括使用非</w:t>
      </w:r>
      <w:r>
        <w:rPr>
          <w:rFonts w:hint="eastAsia" w:ascii="黑体" w:hAnsi="黑体" w:eastAsia="黑体" w:cs="黑体"/>
          <w:color w:val="auto"/>
          <w:sz w:val="24"/>
          <w:szCs w:val="24"/>
        </w:rPr>
        <w:t>残疾人福利性单位注册商标的货物）。</w:t>
      </w:r>
    </w:p>
    <w:p w14:paraId="218FDDE2">
      <w:pPr>
        <w:pStyle w:val="6"/>
        <w:keepNext w:val="0"/>
        <w:keepLines w:val="0"/>
        <w:pageBreakBefore w:val="0"/>
        <w:widowControl/>
        <w:kinsoku/>
        <w:wordWrap w:val="0"/>
        <w:overflowPunct/>
        <w:topLinePunct w:val="0"/>
        <w:bidi w:val="0"/>
        <w:spacing w:before="66" w:line="460" w:lineRule="exact"/>
        <w:ind w:left="10" w:leftChars="5" w:firstLine="403" w:firstLineChars="171"/>
        <w:rPr>
          <w:rFonts w:hint="eastAsia" w:ascii="黑体" w:hAnsi="黑体" w:eastAsia="黑体" w:cs="黑体"/>
          <w:color w:val="auto"/>
          <w:sz w:val="24"/>
          <w:szCs w:val="24"/>
        </w:rPr>
      </w:pPr>
      <w:r>
        <w:rPr>
          <w:rFonts w:hint="eastAsia" w:ascii="黑体" w:hAnsi="黑体" w:eastAsia="黑体" w:cs="黑体"/>
          <w:color w:val="auto"/>
          <w:spacing w:val="-2"/>
          <w:sz w:val="24"/>
          <w:szCs w:val="24"/>
        </w:rPr>
        <w:t>本单位对上述声明的真实性负责。如有虚假，将依法承担相应责任。</w:t>
      </w:r>
    </w:p>
    <w:p w14:paraId="67AD48B9">
      <w:pPr>
        <w:pStyle w:val="6"/>
        <w:keepNext w:val="0"/>
        <w:keepLines w:val="0"/>
        <w:pageBreakBefore w:val="0"/>
        <w:widowControl/>
        <w:tabs>
          <w:tab w:val="left" w:pos="2111"/>
        </w:tabs>
        <w:kinsoku/>
        <w:wordWrap w:val="0"/>
        <w:overflowPunct/>
        <w:topLinePunct w:val="0"/>
        <w:bidi w:val="0"/>
        <w:spacing w:before="41" w:line="460" w:lineRule="exact"/>
        <w:ind w:left="1235" w:leftChars="0" w:right="455" w:firstLine="2125" w:firstLineChars="0"/>
        <w:rPr>
          <w:rFonts w:hint="eastAsia" w:ascii="黑体" w:hAnsi="黑体" w:eastAsia="黑体" w:cs="黑体"/>
          <w:color w:val="auto"/>
          <w:spacing w:val="-1"/>
          <w:sz w:val="24"/>
          <w:szCs w:val="24"/>
        </w:rPr>
      </w:pPr>
    </w:p>
    <w:p w14:paraId="2CFED561">
      <w:pPr>
        <w:pStyle w:val="6"/>
        <w:keepNext w:val="0"/>
        <w:keepLines w:val="0"/>
        <w:pageBreakBefore w:val="0"/>
        <w:widowControl/>
        <w:tabs>
          <w:tab w:val="left" w:pos="2111"/>
        </w:tabs>
        <w:kinsoku/>
        <w:wordWrap w:val="0"/>
        <w:overflowPunct/>
        <w:topLinePunct w:val="0"/>
        <w:bidi w:val="0"/>
        <w:spacing w:before="41" w:line="460" w:lineRule="exact"/>
        <w:ind w:left="1235" w:leftChars="0" w:right="455" w:firstLine="2125" w:firstLineChars="0"/>
        <w:rPr>
          <w:rFonts w:hint="eastAsia" w:ascii="黑体" w:hAnsi="黑体" w:eastAsia="黑体" w:cs="黑体"/>
          <w:color w:val="auto"/>
          <w:sz w:val="24"/>
          <w:szCs w:val="24"/>
        </w:rPr>
      </w:pPr>
      <w:r>
        <w:rPr>
          <w:rFonts w:hint="eastAsia" w:ascii="黑体" w:hAnsi="黑体" w:eastAsia="黑体" w:cs="黑体"/>
          <w:color w:val="auto"/>
          <w:spacing w:val="-1"/>
          <w:sz w:val="24"/>
          <w:szCs w:val="24"/>
        </w:rPr>
        <w:t>残疾人福利性单位名称（公章</w:t>
      </w:r>
      <w:r>
        <w:rPr>
          <w:rFonts w:hint="eastAsia" w:ascii="黑体" w:hAnsi="黑体" w:eastAsia="黑体" w:cs="黑体"/>
          <w:color w:val="auto"/>
          <w:spacing w:val="4"/>
          <w:sz w:val="24"/>
          <w:szCs w:val="24"/>
        </w:rPr>
        <w:t>）：</w:t>
      </w:r>
      <w:r>
        <w:rPr>
          <w:rFonts w:hint="eastAsia" w:ascii="黑体" w:hAnsi="黑体" w:eastAsia="黑体" w:cs="黑体"/>
          <w:color w:val="auto"/>
          <w:sz w:val="24"/>
          <w:szCs w:val="24"/>
        </w:rPr>
        <w:tab/>
      </w:r>
    </w:p>
    <w:p w14:paraId="4C0BAD4F">
      <w:pPr>
        <w:pStyle w:val="6"/>
        <w:keepNext w:val="0"/>
        <w:keepLines w:val="0"/>
        <w:pageBreakBefore w:val="0"/>
        <w:widowControl/>
        <w:tabs>
          <w:tab w:val="left" w:pos="2111"/>
        </w:tabs>
        <w:kinsoku/>
        <w:wordWrap w:val="0"/>
        <w:overflowPunct/>
        <w:topLinePunct w:val="0"/>
        <w:bidi w:val="0"/>
        <w:spacing w:before="41" w:line="460" w:lineRule="exact"/>
        <w:ind w:left="1235" w:leftChars="0" w:right="455" w:firstLine="2125" w:firstLineChars="0"/>
        <w:rPr>
          <w:rFonts w:hint="eastAsia" w:ascii="黑体" w:hAnsi="黑体" w:eastAsia="黑体" w:cs="黑体"/>
          <w:color w:val="auto"/>
          <w:sz w:val="24"/>
          <w:szCs w:val="24"/>
        </w:rPr>
      </w:pPr>
      <w:r>
        <w:rPr>
          <w:rFonts w:hint="eastAsia" w:ascii="黑体" w:hAnsi="黑体" w:eastAsia="黑体" w:cs="黑体"/>
          <w:color w:val="auto"/>
          <w:spacing w:val="-14"/>
          <w:sz w:val="24"/>
          <w:szCs w:val="24"/>
        </w:rPr>
        <w:t>日期：</w:t>
      </w:r>
    </w:p>
    <w:p w14:paraId="5178CA0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565D06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1619F7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8B6B4B1">
      <w:pPr>
        <w:jc w:val="center"/>
        <w:rPr>
          <w:rFonts w:hint="eastAsia" w:ascii="黑体" w:hAnsi="黑体" w:eastAsia="黑体" w:cs="黑体"/>
          <w:b/>
          <w:bCs/>
          <w:color w:val="auto"/>
          <w:sz w:val="24"/>
          <w:szCs w:val="24"/>
        </w:rPr>
      </w:pPr>
      <w:bookmarkStart w:id="38" w:name="bookmark34"/>
      <w:bookmarkEnd w:id="38"/>
      <w:r>
        <w:rPr>
          <w:rFonts w:hint="eastAsia" w:ascii="黑体" w:hAnsi="黑体" w:eastAsia="黑体" w:cs="黑体"/>
          <w:b/>
          <w:bCs/>
          <w:color w:val="auto"/>
          <w:spacing w:val="-2"/>
          <w:sz w:val="24"/>
          <w:szCs w:val="24"/>
        </w:rPr>
        <w:t>7、供应商关联单位的说明</w:t>
      </w:r>
    </w:p>
    <w:p w14:paraId="0E26D61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08CF8F9">
      <w:pPr>
        <w:pStyle w:val="6"/>
        <w:keepNext w:val="0"/>
        <w:keepLines w:val="0"/>
        <w:pageBreakBefore w:val="0"/>
        <w:widowControl/>
        <w:kinsoku/>
        <w:wordWrap w:val="0"/>
        <w:overflowPunct/>
        <w:topLinePunct w:val="0"/>
        <w:bidi w:val="0"/>
        <w:spacing w:before="103" w:line="460" w:lineRule="exact"/>
        <w:ind w:left="495"/>
        <w:rPr>
          <w:rFonts w:hint="eastAsia" w:ascii="黑体" w:hAnsi="黑体" w:eastAsia="黑体" w:cs="黑体"/>
          <w:color w:val="auto"/>
          <w:sz w:val="24"/>
          <w:szCs w:val="24"/>
        </w:rPr>
      </w:pPr>
      <w:r>
        <w:rPr>
          <w:rFonts w:hint="eastAsia" w:ascii="黑体" w:hAnsi="黑体" w:eastAsia="黑体" w:cs="黑体"/>
          <w:color w:val="auto"/>
          <w:sz w:val="24"/>
          <w:szCs w:val="24"/>
        </w:rPr>
        <w:t>说明：供应商应当如实披露与本单位存在下列关联关系的</w:t>
      </w:r>
      <w:r>
        <w:rPr>
          <w:rFonts w:hint="eastAsia" w:ascii="黑体" w:hAnsi="黑体" w:eastAsia="黑体" w:cs="黑体"/>
          <w:color w:val="auto"/>
          <w:spacing w:val="-1"/>
          <w:sz w:val="24"/>
          <w:szCs w:val="24"/>
        </w:rPr>
        <w:t>单位名称：</w:t>
      </w:r>
    </w:p>
    <w:p w14:paraId="72960C35">
      <w:pPr>
        <w:pStyle w:val="6"/>
        <w:keepNext w:val="0"/>
        <w:keepLines w:val="0"/>
        <w:pageBreakBefore w:val="0"/>
        <w:widowControl/>
        <w:kinsoku/>
        <w:wordWrap w:val="0"/>
        <w:overflowPunct/>
        <w:topLinePunct w:val="0"/>
        <w:bidi w:val="0"/>
        <w:spacing w:before="39" w:line="460" w:lineRule="exact"/>
        <w:ind w:left="1013"/>
        <w:rPr>
          <w:rFonts w:hint="eastAsia" w:ascii="黑体" w:hAnsi="黑体" w:eastAsia="黑体" w:cs="黑体"/>
          <w:color w:val="auto"/>
          <w:sz w:val="24"/>
          <w:szCs w:val="24"/>
        </w:rPr>
      </w:pPr>
      <w:r>
        <w:rPr>
          <w:rFonts w:hint="eastAsia" w:ascii="黑体" w:hAnsi="黑体" w:eastAsia="黑体" w:cs="黑体"/>
          <w:color w:val="auto"/>
          <w:spacing w:val="-2"/>
          <w:sz w:val="24"/>
          <w:szCs w:val="24"/>
        </w:rPr>
        <w:t>（1）与供应商单位负责人为同一人的其他单位；</w:t>
      </w:r>
    </w:p>
    <w:p w14:paraId="77D61B59">
      <w:pPr>
        <w:pStyle w:val="6"/>
        <w:keepNext w:val="0"/>
        <w:keepLines w:val="0"/>
        <w:pageBreakBefore w:val="0"/>
        <w:widowControl/>
        <w:kinsoku/>
        <w:wordWrap w:val="0"/>
        <w:overflowPunct/>
        <w:topLinePunct w:val="0"/>
        <w:bidi w:val="0"/>
        <w:spacing w:before="21" w:line="460" w:lineRule="exact"/>
        <w:ind w:left="1013"/>
        <w:rPr>
          <w:rFonts w:hint="eastAsia" w:ascii="黑体" w:hAnsi="黑体" w:eastAsia="黑体" w:cs="黑体"/>
          <w:color w:val="auto"/>
          <w:sz w:val="24"/>
          <w:szCs w:val="24"/>
        </w:rPr>
      </w:pPr>
      <w:r>
        <w:rPr>
          <w:rFonts w:hint="eastAsia" w:ascii="黑体" w:hAnsi="黑体" w:eastAsia="黑体" w:cs="黑体"/>
          <w:color w:val="auto"/>
          <w:spacing w:val="-2"/>
          <w:sz w:val="24"/>
          <w:szCs w:val="24"/>
        </w:rPr>
        <w:t>（2）与供应商存在直接控股、管理关系的其他单位。</w:t>
      </w:r>
    </w:p>
    <w:p w14:paraId="0C2F449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8E3CD37">
      <w:pPr>
        <w:pStyle w:val="6"/>
        <w:keepNext w:val="0"/>
        <w:keepLines w:val="0"/>
        <w:pageBreakBefore w:val="0"/>
        <w:widowControl/>
        <w:kinsoku/>
        <w:wordWrap w:val="0"/>
        <w:overflowPunct/>
        <w:topLinePunct w:val="0"/>
        <w:bidi w:val="0"/>
        <w:spacing w:before="104" w:line="460" w:lineRule="exact"/>
        <w:ind w:left="21"/>
        <w:jc w:val="center"/>
        <w:outlineLvl w:val="1"/>
        <w:rPr>
          <w:rFonts w:hint="eastAsia" w:ascii="黑体" w:hAnsi="黑体" w:eastAsia="黑体" w:cs="黑体"/>
          <w:b/>
          <w:bCs/>
          <w:color w:val="auto"/>
          <w:spacing w:val="-1"/>
          <w:sz w:val="24"/>
          <w:szCs w:val="24"/>
        </w:rPr>
      </w:pPr>
      <w:bookmarkStart w:id="39" w:name="bookmark35"/>
      <w:bookmarkEnd w:id="39"/>
    </w:p>
    <w:p w14:paraId="441A74EE">
      <w:pPr>
        <w:pStyle w:val="6"/>
        <w:keepNext w:val="0"/>
        <w:keepLines w:val="0"/>
        <w:pageBreakBefore w:val="0"/>
        <w:widowControl/>
        <w:kinsoku/>
        <w:wordWrap w:val="0"/>
        <w:overflowPunct/>
        <w:topLinePunct w:val="0"/>
        <w:bidi w:val="0"/>
        <w:spacing w:before="104" w:line="460" w:lineRule="exact"/>
        <w:ind w:left="21"/>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8、供应商可提供有利于投标的其他资格证明材料</w:t>
      </w:r>
    </w:p>
    <w:p w14:paraId="1B86ED3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B44E2E1">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AC2188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71AD5DA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0EA7AC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7F46AC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B2EF938">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A0ED81C">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81CE82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7F01E7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B2EB57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E49DFB8">
      <w:pPr>
        <w:pStyle w:val="6"/>
        <w:keepNext w:val="0"/>
        <w:keepLines w:val="0"/>
        <w:pageBreakBefore w:val="0"/>
        <w:widowControl/>
        <w:kinsoku/>
        <w:wordWrap w:val="0"/>
        <w:overflowPunct/>
        <w:topLinePunct w:val="0"/>
        <w:bidi w:val="0"/>
        <w:spacing w:before="100" w:line="460" w:lineRule="exact"/>
        <w:ind w:left="1091"/>
        <w:jc w:val="center"/>
        <w:outlineLvl w:val="1"/>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9、投标文件格式范本</w:t>
      </w:r>
    </w:p>
    <w:tbl>
      <w:tblPr>
        <w:tblStyle w:val="1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CD295FF">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420" w:hRule="atLeast"/>
        </w:trPr>
        <w:tc>
          <w:tcPr>
            <w:tcW w:w="9143" w:type="dxa"/>
            <w:shd w:val="clear" w:color="auto" w:fill="FCFEEA"/>
            <w:vAlign w:val="top"/>
          </w:tcPr>
          <w:p w14:paraId="79BC945A">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34A3CAF4">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36066825">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396A2280">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b/>
                <w:bCs/>
                <w:color w:val="auto"/>
                <w:spacing w:val="-16"/>
                <w:sz w:val="24"/>
                <w:szCs w:val="24"/>
              </w:rPr>
              <w:t>******************</w:t>
            </w:r>
            <w:r>
              <w:rPr>
                <w:rFonts w:hint="eastAsia" w:ascii="黑体" w:hAnsi="黑体" w:eastAsia="黑体" w:cs="黑体"/>
                <w:b/>
                <w:bCs/>
                <w:color w:val="auto"/>
                <w:spacing w:val="-17"/>
                <w:sz w:val="24"/>
                <w:szCs w:val="24"/>
              </w:rPr>
              <w:t>***项目</w:t>
            </w:r>
          </w:p>
          <w:p w14:paraId="6C4C5F4D">
            <w:pPr>
              <w:pStyle w:val="17"/>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rPr>
            </w:pPr>
          </w:p>
          <w:p w14:paraId="19FA49DB">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编号</w:t>
            </w:r>
            <w:r>
              <w:rPr>
                <w:rFonts w:hint="eastAsia" w:ascii="黑体" w:hAnsi="黑体" w:eastAsia="黑体" w:cs="黑体"/>
                <w:b/>
                <w:bCs/>
                <w:color w:val="auto"/>
                <w:spacing w:val="-4"/>
                <w:sz w:val="24"/>
                <w:szCs w:val="24"/>
                <w:lang w:eastAsia="zh-CN"/>
              </w:rPr>
              <w:t>：</w:t>
            </w:r>
            <w:r>
              <w:rPr>
                <w:rFonts w:hint="eastAsia" w:ascii="黑体" w:hAnsi="黑体" w:eastAsia="黑体" w:cs="黑体"/>
                <w:b/>
                <w:bCs/>
                <w:color w:val="auto"/>
                <w:spacing w:val="1"/>
                <w:sz w:val="24"/>
                <w:szCs w:val="24"/>
              </w:rPr>
              <w:t>＊＊＊</w:t>
            </w:r>
            <w:r>
              <w:rPr>
                <w:rFonts w:hint="eastAsia" w:ascii="黑体" w:hAnsi="黑体" w:eastAsia="黑体" w:cs="黑体"/>
                <w:b/>
                <w:bCs/>
                <w:color w:val="auto"/>
                <w:spacing w:val="-4"/>
                <w:sz w:val="24"/>
                <w:szCs w:val="24"/>
              </w:rPr>
              <w:t>标项：***</w:t>
            </w:r>
          </w:p>
          <w:p w14:paraId="04DED41F">
            <w:pPr>
              <w:pStyle w:val="17"/>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rPr>
            </w:pPr>
          </w:p>
          <w:p w14:paraId="50B28F60">
            <w:pPr>
              <w:pStyle w:val="17"/>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rPr>
            </w:pPr>
          </w:p>
          <w:p w14:paraId="3548411F">
            <w:pPr>
              <w:keepNext w:val="0"/>
              <w:keepLines w:val="0"/>
              <w:pageBreakBefore w:val="0"/>
              <w:widowControl/>
              <w:kinsoku/>
              <w:wordWrap w:val="0"/>
              <w:overflowPunct/>
              <w:topLinePunct w:val="0"/>
              <w:bidi w:val="0"/>
              <w:spacing w:before="103" w:line="460" w:lineRule="exact"/>
              <w:jc w:val="center"/>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投标文件</w:t>
            </w:r>
          </w:p>
          <w:p w14:paraId="6B65EFC9">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53766CD2">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7AE28F08">
            <w:pPr>
              <w:pStyle w:val="17"/>
              <w:keepNext w:val="0"/>
              <w:keepLines w:val="0"/>
              <w:pageBreakBefore w:val="0"/>
              <w:widowControl/>
              <w:kinsoku/>
              <w:wordWrap w:val="0"/>
              <w:overflowPunct/>
              <w:topLinePunct w:val="0"/>
              <w:bidi w:val="0"/>
              <w:spacing w:line="460" w:lineRule="exact"/>
              <w:rPr>
                <w:rFonts w:hint="eastAsia" w:ascii="黑体" w:hAnsi="黑体" w:eastAsia="黑体" w:cs="黑体"/>
                <w:color w:val="auto"/>
              </w:rPr>
            </w:pPr>
          </w:p>
          <w:p w14:paraId="613E1A0F">
            <w:pPr>
              <w:keepNext w:val="0"/>
              <w:keepLines w:val="0"/>
              <w:pageBreakBefore w:val="0"/>
              <w:widowControl/>
              <w:kinsoku/>
              <w:wordWrap w:val="0"/>
              <w:overflowPunct/>
              <w:topLinePunct w:val="0"/>
              <w:bidi w:val="0"/>
              <w:spacing w:before="103" w:line="460" w:lineRule="exact"/>
              <w:ind w:left="1254"/>
              <w:rPr>
                <w:rFonts w:hint="eastAsia" w:ascii="黑体" w:hAnsi="黑体" w:eastAsia="黑体" w:cs="黑体"/>
                <w:color w:val="auto"/>
                <w:sz w:val="24"/>
                <w:szCs w:val="24"/>
              </w:rPr>
            </w:pPr>
            <w:r>
              <w:rPr>
                <w:rFonts w:hint="eastAsia" w:ascii="黑体" w:hAnsi="黑体" w:eastAsia="黑体" w:cs="黑体"/>
                <w:color w:val="auto"/>
                <w:spacing w:val="3"/>
                <w:sz w:val="24"/>
                <w:szCs w:val="24"/>
              </w:rPr>
              <w:t>供应商</w:t>
            </w:r>
            <w:r>
              <w:rPr>
                <w:rFonts w:hint="eastAsia" w:ascii="黑体" w:hAnsi="黑体" w:eastAsia="黑体" w:cs="黑体"/>
                <w:color w:val="auto"/>
                <w:spacing w:val="-10"/>
                <w:sz w:val="24"/>
                <w:szCs w:val="24"/>
              </w:rPr>
              <w:t>：（</w:t>
            </w:r>
            <w:r>
              <w:rPr>
                <w:rFonts w:hint="eastAsia" w:ascii="黑体" w:hAnsi="黑体" w:eastAsia="黑体" w:cs="黑体"/>
                <w:color w:val="auto"/>
                <w:spacing w:val="3"/>
                <w:sz w:val="24"/>
                <w:szCs w:val="24"/>
              </w:rPr>
              <w:t>公章）</w:t>
            </w:r>
          </w:p>
          <w:p w14:paraId="5D677DF9">
            <w:pPr>
              <w:keepNext w:val="0"/>
              <w:keepLines w:val="0"/>
              <w:pageBreakBefore w:val="0"/>
              <w:widowControl/>
              <w:kinsoku/>
              <w:wordWrap w:val="0"/>
              <w:overflowPunct/>
              <w:topLinePunct w:val="0"/>
              <w:bidi w:val="0"/>
              <w:spacing w:before="282" w:line="460" w:lineRule="exact"/>
              <w:ind w:left="1255"/>
              <w:rPr>
                <w:rFonts w:hint="eastAsia" w:ascii="黑体" w:hAnsi="黑体" w:eastAsia="黑体" w:cs="黑体"/>
                <w:color w:val="auto"/>
                <w:sz w:val="24"/>
                <w:szCs w:val="24"/>
              </w:rPr>
            </w:pPr>
            <w:r>
              <w:rPr>
                <w:rFonts w:hint="eastAsia" w:ascii="黑体" w:hAnsi="黑体" w:eastAsia="黑体" w:cs="黑体"/>
                <w:color w:val="auto"/>
                <w:spacing w:val="-1"/>
                <w:sz w:val="24"/>
                <w:szCs w:val="24"/>
              </w:rPr>
              <w:t>项目名称：</w:t>
            </w:r>
          </w:p>
          <w:p w14:paraId="402FA2D6">
            <w:pPr>
              <w:keepNext w:val="0"/>
              <w:keepLines w:val="0"/>
              <w:pageBreakBefore w:val="0"/>
              <w:widowControl/>
              <w:kinsoku/>
              <w:wordWrap w:val="0"/>
              <w:overflowPunct/>
              <w:topLinePunct w:val="0"/>
              <w:bidi w:val="0"/>
              <w:spacing w:before="303" w:line="460" w:lineRule="exact"/>
              <w:ind w:left="1255"/>
              <w:rPr>
                <w:rFonts w:hint="eastAsia" w:ascii="黑体" w:hAnsi="黑体" w:eastAsia="黑体" w:cs="黑体"/>
                <w:color w:val="auto"/>
                <w:sz w:val="24"/>
                <w:szCs w:val="24"/>
              </w:rPr>
            </w:pPr>
            <w:r>
              <w:rPr>
                <w:rFonts w:hint="eastAsia" w:ascii="黑体" w:hAnsi="黑体" w:eastAsia="黑体" w:cs="黑体"/>
                <w:color w:val="auto"/>
                <w:sz w:val="24"/>
                <w:szCs w:val="24"/>
              </w:rPr>
              <w:t>项目编号：</w:t>
            </w:r>
          </w:p>
          <w:p w14:paraId="5DCF41B3">
            <w:pPr>
              <w:keepNext w:val="0"/>
              <w:keepLines w:val="0"/>
              <w:pageBreakBefore w:val="0"/>
              <w:widowControl/>
              <w:kinsoku/>
              <w:wordWrap w:val="0"/>
              <w:overflowPunct/>
              <w:topLinePunct w:val="0"/>
              <w:bidi w:val="0"/>
              <w:spacing w:before="307" w:line="460" w:lineRule="exact"/>
              <w:ind w:left="1256"/>
              <w:rPr>
                <w:rFonts w:hint="eastAsia" w:ascii="黑体" w:hAnsi="黑体" w:eastAsia="黑体" w:cs="黑体"/>
                <w:color w:val="auto"/>
                <w:sz w:val="24"/>
                <w:szCs w:val="24"/>
              </w:rPr>
            </w:pPr>
            <w:r>
              <w:rPr>
                <w:rFonts w:hint="eastAsia" w:ascii="黑体" w:hAnsi="黑体" w:eastAsia="黑体" w:cs="黑体"/>
                <w:color w:val="auto"/>
                <w:spacing w:val="-1"/>
                <w:sz w:val="24"/>
                <w:szCs w:val="24"/>
              </w:rPr>
              <w:t>联系人：</w:t>
            </w:r>
          </w:p>
          <w:p w14:paraId="3ED60079">
            <w:pPr>
              <w:keepNext w:val="0"/>
              <w:keepLines w:val="0"/>
              <w:pageBreakBefore w:val="0"/>
              <w:widowControl/>
              <w:kinsoku/>
              <w:wordWrap w:val="0"/>
              <w:overflowPunct/>
              <w:topLinePunct w:val="0"/>
              <w:bidi w:val="0"/>
              <w:spacing w:before="304" w:line="460" w:lineRule="exact"/>
              <w:ind w:left="1268"/>
              <w:rPr>
                <w:rFonts w:hint="eastAsia" w:ascii="黑体" w:hAnsi="黑体" w:eastAsia="黑体" w:cs="黑体"/>
                <w:color w:val="auto"/>
                <w:sz w:val="24"/>
                <w:szCs w:val="24"/>
              </w:rPr>
            </w:pPr>
            <w:r>
              <w:rPr>
                <w:rFonts w:hint="eastAsia" w:ascii="黑体" w:hAnsi="黑体" w:eastAsia="黑体" w:cs="黑体"/>
                <w:color w:val="auto"/>
                <w:spacing w:val="-2"/>
                <w:sz w:val="24"/>
                <w:szCs w:val="24"/>
              </w:rPr>
              <w:t>电话：</w:t>
            </w:r>
          </w:p>
          <w:p w14:paraId="13974AFC">
            <w:pPr>
              <w:keepNext w:val="0"/>
              <w:keepLines w:val="0"/>
              <w:pageBreakBefore w:val="0"/>
              <w:widowControl/>
              <w:kinsoku/>
              <w:wordWrap w:val="0"/>
              <w:overflowPunct/>
              <w:topLinePunct w:val="0"/>
              <w:bidi w:val="0"/>
              <w:spacing w:before="305" w:line="460" w:lineRule="exact"/>
              <w:ind w:left="1255"/>
              <w:rPr>
                <w:rFonts w:hint="eastAsia" w:ascii="黑体" w:hAnsi="黑体" w:eastAsia="黑体" w:cs="黑体"/>
                <w:color w:val="auto"/>
                <w:sz w:val="24"/>
                <w:szCs w:val="24"/>
              </w:rPr>
            </w:pPr>
            <w:r>
              <w:rPr>
                <w:rFonts w:hint="eastAsia" w:ascii="黑体" w:hAnsi="黑体" w:eastAsia="黑体" w:cs="黑体"/>
                <w:color w:val="auto"/>
                <w:spacing w:val="-2"/>
                <w:sz w:val="24"/>
                <w:szCs w:val="24"/>
              </w:rPr>
              <w:t>地址：</w:t>
            </w:r>
          </w:p>
        </w:tc>
      </w:tr>
    </w:tbl>
    <w:p w14:paraId="1526282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B49912F">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7D8E974">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D44B62B">
      <w:pPr>
        <w:pStyle w:val="6"/>
        <w:keepNext w:val="0"/>
        <w:keepLines w:val="0"/>
        <w:pageBreakBefore w:val="0"/>
        <w:widowControl/>
        <w:kinsoku/>
        <w:wordWrap w:val="0"/>
        <w:overflowPunct/>
        <w:topLinePunct w:val="0"/>
        <w:bidi w:val="0"/>
        <w:spacing w:before="171" w:line="360" w:lineRule="auto"/>
        <w:jc w:val="center"/>
        <w:outlineLvl w:val="0"/>
        <w:rPr>
          <w:rFonts w:hint="eastAsia" w:ascii="黑体" w:hAnsi="黑体" w:eastAsia="黑体" w:cs="黑体"/>
          <w:b/>
          <w:bCs/>
          <w:color w:val="auto"/>
          <w:sz w:val="40"/>
          <w:szCs w:val="40"/>
          <w:lang w:val="en-US" w:eastAsia="zh-CN"/>
        </w:rPr>
      </w:pPr>
      <w:bookmarkStart w:id="40" w:name="_Toc24017"/>
      <w:r>
        <w:rPr>
          <w:rFonts w:hint="eastAsia" w:ascii="黑体" w:hAnsi="黑体" w:eastAsia="黑体" w:cs="黑体"/>
          <w:b/>
          <w:bCs/>
          <w:color w:val="auto"/>
          <w:sz w:val="40"/>
          <w:szCs w:val="40"/>
          <w:lang w:val="en-US" w:eastAsia="zh-CN"/>
        </w:rPr>
        <w:t>2025年进口医疗设备购置项目（眼科进口医疗设备）</w:t>
      </w:r>
    </w:p>
    <w:p w14:paraId="18658749">
      <w:pPr>
        <w:pStyle w:val="6"/>
        <w:keepNext w:val="0"/>
        <w:keepLines w:val="0"/>
        <w:pageBreakBefore w:val="0"/>
        <w:widowControl/>
        <w:kinsoku/>
        <w:wordWrap w:val="0"/>
        <w:overflowPunct/>
        <w:topLinePunct w:val="0"/>
        <w:bidi w:val="0"/>
        <w:spacing w:before="171" w:line="460" w:lineRule="exact"/>
        <w:jc w:val="center"/>
        <w:outlineLvl w:val="0"/>
        <w:rPr>
          <w:rFonts w:hint="eastAsia" w:ascii="黑体" w:hAnsi="黑体" w:eastAsia="黑体" w:cs="黑体"/>
          <w:b/>
          <w:bCs/>
          <w:color w:val="auto"/>
          <w:sz w:val="40"/>
          <w:szCs w:val="40"/>
          <w:lang w:val="en-US" w:eastAsia="en-US"/>
        </w:rPr>
      </w:pPr>
    </w:p>
    <w:p w14:paraId="6A777D56">
      <w:pPr>
        <w:pStyle w:val="6"/>
        <w:keepNext w:val="0"/>
        <w:keepLines w:val="0"/>
        <w:pageBreakBefore w:val="0"/>
        <w:widowControl/>
        <w:kinsoku/>
        <w:wordWrap w:val="0"/>
        <w:overflowPunct/>
        <w:topLinePunct w:val="0"/>
        <w:bidi w:val="0"/>
        <w:spacing w:before="171" w:line="460" w:lineRule="exact"/>
        <w:jc w:val="center"/>
        <w:outlineLvl w:val="0"/>
        <w:rPr>
          <w:rFonts w:hint="eastAsia" w:ascii="黑体" w:hAnsi="黑体" w:eastAsia="黑体" w:cs="黑体"/>
          <w:color w:val="auto"/>
          <w:sz w:val="40"/>
          <w:szCs w:val="40"/>
        </w:rPr>
      </w:pPr>
      <w:bookmarkStart w:id="41" w:name="_Toc1820"/>
      <w:r>
        <w:rPr>
          <w:rFonts w:hint="eastAsia" w:ascii="黑体" w:hAnsi="黑体" w:eastAsia="黑体" w:cs="黑体"/>
          <w:b/>
          <w:bCs/>
          <w:color w:val="auto"/>
          <w:spacing w:val="-4"/>
          <w:sz w:val="40"/>
          <w:szCs w:val="40"/>
        </w:rPr>
        <w:t>招标文件</w:t>
      </w:r>
      <w:bookmarkEnd w:id="40"/>
      <w:bookmarkEnd w:id="41"/>
    </w:p>
    <w:p w14:paraId="3EBC2E9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231E029">
      <w:pPr>
        <w:pStyle w:val="6"/>
        <w:keepNext w:val="0"/>
        <w:keepLines w:val="0"/>
        <w:pageBreakBefore w:val="0"/>
        <w:widowControl/>
        <w:kinsoku/>
        <w:wordWrap w:val="0"/>
        <w:overflowPunct/>
        <w:topLinePunct w:val="0"/>
        <w:bidi w:val="0"/>
        <w:spacing w:before="172" w:line="460" w:lineRule="exact"/>
        <w:jc w:val="center"/>
        <w:rPr>
          <w:rFonts w:hint="eastAsia" w:ascii="黑体" w:hAnsi="黑体" w:eastAsia="黑体" w:cs="黑体"/>
          <w:color w:val="auto"/>
          <w:sz w:val="32"/>
          <w:szCs w:val="32"/>
        </w:rPr>
      </w:pPr>
      <w:r>
        <w:rPr>
          <w:rFonts w:hint="eastAsia" w:ascii="黑体" w:hAnsi="黑体" w:eastAsia="黑体" w:cs="黑体"/>
          <w:b/>
          <w:bCs/>
          <w:color w:val="auto"/>
          <w:spacing w:val="-1"/>
          <w:sz w:val="32"/>
          <w:szCs w:val="32"/>
        </w:rPr>
        <w:t>项目编号：</w:t>
      </w:r>
      <w:r>
        <w:rPr>
          <w:rFonts w:hint="eastAsia" w:ascii="黑体" w:hAnsi="黑体" w:eastAsia="黑体" w:cs="黑体"/>
          <w:b/>
          <w:bCs/>
          <w:color w:val="auto"/>
          <w:spacing w:val="-1"/>
          <w:sz w:val="32"/>
          <w:szCs w:val="32"/>
          <w:lang w:val="en-US" w:eastAsia="zh-CN"/>
        </w:rPr>
        <w:t>ZBGJKSDQ(GK)2025-08</w:t>
      </w:r>
    </w:p>
    <w:p w14:paraId="3BB27BEF">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7EC1A51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1494335">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7C3E14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A74368E">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1633F1D">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9F5BAAA">
      <w:pPr>
        <w:pStyle w:val="6"/>
        <w:keepNext w:val="0"/>
        <w:keepLines w:val="0"/>
        <w:pageBreakBefore w:val="0"/>
        <w:widowControl/>
        <w:kinsoku/>
        <w:wordWrap w:val="0"/>
        <w:overflowPunct/>
        <w:topLinePunct w:val="0"/>
        <w:bidi w:val="0"/>
        <w:spacing w:before="171" w:line="460" w:lineRule="exact"/>
        <w:ind w:left="3368" w:firstLine="392" w:firstLineChars="100"/>
        <w:rPr>
          <w:rFonts w:hint="eastAsia" w:ascii="黑体" w:hAnsi="黑体" w:eastAsia="黑体" w:cs="黑体"/>
          <w:color w:val="auto"/>
          <w:sz w:val="40"/>
          <w:szCs w:val="40"/>
        </w:rPr>
      </w:pPr>
      <w:r>
        <w:rPr>
          <w:rFonts w:hint="eastAsia" w:ascii="黑体" w:hAnsi="黑体" w:eastAsia="黑体" w:cs="黑体"/>
          <w:b/>
          <w:bCs/>
          <w:color w:val="auto"/>
          <w:spacing w:val="-5"/>
          <w:sz w:val="40"/>
          <w:szCs w:val="40"/>
        </w:rPr>
        <w:t>第二册</w:t>
      </w:r>
    </w:p>
    <w:p w14:paraId="0490B566">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B40A24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EE21F6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68ED138A">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5EE659A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27EC267">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9621B3B">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079C0F0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90767A0">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19885AED">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4EA87D3C">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7FF7C72">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337C62BA">
      <w:pPr>
        <w:rPr>
          <w:rFonts w:hint="eastAsia" w:ascii="黑体" w:hAnsi="黑体" w:eastAsia="黑体" w:cs="黑体"/>
          <w:b/>
          <w:bCs/>
          <w:color w:val="auto"/>
          <w:spacing w:val="3"/>
          <w:sz w:val="28"/>
          <w:szCs w:val="28"/>
        </w:rPr>
      </w:pPr>
      <w:bookmarkStart w:id="42" w:name="bookmark37"/>
      <w:bookmarkEnd w:id="42"/>
      <w:bookmarkStart w:id="43" w:name="_Toc28038"/>
      <w:r>
        <w:rPr>
          <w:rFonts w:hint="eastAsia" w:ascii="黑体" w:hAnsi="黑体" w:eastAsia="黑体" w:cs="黑体"/>
          <w:b/>
          <w:bCs/>
          <w:color w:val="auto"/>
          <w:spacing w:val="3"/>
          <w:sz w:val="28"/>
          <w:szCs w:val="28"/>
        </w:rPr>
        <w:br w:type="page"/>
      </w:r>
    </w:p>
    <w:p w14:paraId="64D6DBC4">
      <w:pPr>
        <w:pStyle w:val="6"/>
        <w:keepNext w:val="0"/>
        <w:keepLines w:val="0"/>
        <w:pageBreakBefore w:val="0"/>
        <w:widowControl/>
        <w:kinsoku/>
        <w:wordWrap w:val="0"/>
        <w:overflowPunct/>
        <w:topLinePunct w:val="0"/>
        <w:bidi w:val="0"/>
        <w:spacing w:before="119" w:line="460" w:lineRule="exact"/>
        <w:ind w:left="2947"/>
        <w:outlineLvl w:val="0"/>
        <w:rPr>
          <w:rFonts w:hint="eastAsia" w:ascii="黑体" w:hAnsi="黑体" w:eastAsia="黑体" w:cs="黑体"/>
          <w:color w:val="auto"/>
        </w:rPr>
      </w:pPr>
      <w:r>
        <w:rPr>
          <w:rFonts w:hint="eastAsia" w:ascii="黑体" w:hAnsi="黑体" w:eastAsia="黑体" w:cs="黑体"/>
          <w:b/>
          <w:bCs/>
          <w:color w:val="auto"/>
          <w:spacing w:val="3"/>
          <w:sz w:val="28"/>
          <w:szCs w:val="28"/>
        </w:rPr>
        <w:t>第3章投标邀请</w:t>
      </w:r>
      <w:bookmarkEnd w:id="43"/>
    </w:p>
    <w:p w14:paraId="3A3BDE8B">
      <w:pPr>
        <w:pStyle w:val="2"/>
        <w:keepNext w:val="0"/>
        <w:keepLines w:val="0"/>
        <w:pageBreakBefore w:val="0"/>
        <w:widowControl/>
        <w:kinsoku/>
        <w:wordWrap/>
        <w:overflowPunct/>
        <w:topLinePunct/>
        <w:autoSpaceDE/>
        <w:autoSpaceDN/>
        <w:bidi w:val="0"/>
        <w:adjustRightInd/>
        <w:snapToGrid/>
        <w:spacing w:line="460" w:lineRule="exact"/>
        <w:jc w:val="center"/>
        <w:textAlignment w:val="auto"/>
        <w:rPr>
          <w:rFonts w:hint="eastAsia" w:ascii="黑体" w:hAnsi="黑体" w:eastAsia="黑体" w:cs="黑体"/>
          <w:b/>
          <w:bCs w:val="0"/>
          <w:color w:val="auto"/>
          <w:sz w:val="28"/>
          <w:szCs w:val="28"/>
          <w:lang w:val="en-US" w:eastAsia="zh-CN"/>
        </w:rPr>
      </w:pPr>
      <w:bookmarkStart w:id="44" w:name="bookmark38"/>
      <w:bookmarkEnd w:id="44"/>
      <w:bookmarkStart w:id="45" w:name="_Toc19745"/>
      <w:bookmarkStart w:id="46" w:name="_Toc10696"/>
      <w:bookmarkStart w:id="47" w:name="_Toc24671"/>
      <w:r>
        <w:rPr>
          <w:rFonts w:hint="eastAsia" w:ascii="黑体" w:hAnsi="黑体" w:eastAsia="黑体" w:cs="黑体"/>
          <w:b/>
          <w:bCs w:val="0"/>
          <w:color w:val="auto"/>
          <w:sz w:val="28"/>
          <w:szCs w:val="28"/>
          <w:lang w:val="en-US" w:eastAsia="zh-CN"/>
        </w:rPr>
        <w:t>2025年进口医疗设备购置项目（眼科进口医疗设备）</w:t>
      </w:r>
    </w:p>
    <w:p w14:paraId="288AB940">
      <w:pPr>
        <w:pStyle w:val="2"/>
        <w:keepNext w:val="0"/>
        <w:keepLines w:val="0"/>
        <w:pageBreakBefore w:val="0"/>
        <w:widowControl/>
        <w:kinsoku/>
        <w:wordWrap/>
        <w:overflowPunct/>
        <w:topLinePunct/>
        <w:autoSpaceDE/>
        <w:autoSpaceDN/>
        <w:bidi w:val="0"/>
        <w:adjustRightInd/>
        <w:snapToGrid/>
        <w:spacing w:line="460" w:lineRule="exact"/>
        <w:jc w:val="center"/>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28"/>
          <w:szCs w:val="28"/>
          <w:lang w:val="en-US" w:eastAsia="zh-CN"/>
        </w:rPr>
        <w:t>公开招标</w:t>
      </w:r>
      <w:r>
        <w:rPr>
          <w:rFonts w:hint="eastAsia" w:ascii="黑体" w:hAnsi="黑体" w:eastAsia="黑体" w:cs="黑体"/>
          <w:b/>
          <w:bCs w:val="0"/>
          <w:color w:val="auto"/>
          <w:sz w:val="28"/>
          <w:szCs w:val="28"/>
        </w:rPr>
        <w:t>公告</w:t>
      </w:r>
      <w:bookmarkEnd w:id="45"/>
      <w:bookmarkEnd w:id="46"/>
      <w:bookmarkEnd w:id="47"/>
    </w:p>
    <w:p w14:paraId="229B15F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autoSpaceDE/>
        <w:autoSpaceDN/>
        <w:bidi w:val="0"/>
        <w:adjustRightInd/>
        <w:snapToGrid/>
        <w:spacing w:line="440" w:lineRule="exact"/>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项目概况</w:t>
      </w:r>
      <w:r>
        <w:rPr>
          <w:rFonts w:hint="eastAsia" w:ascii="黑体" w:hAnsi="黑体" w:eastAsia="黑体" w:cs="黑体"/>
          <w:color w:val="auto"/>
          <w:sz w:val="24"/>
          <w:lang w:val="en-US" w:eastAsia="zh-CN"/>
        </w:rPr>
        <w:t>：</w:t>
      </w:r>
    </w:p>
    <w:p w14:paraId="63FD6EB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autoSpaceDE/>
        <w:autoSpaceDN/>
        <w:bidi w:val="0"/>
        <w:adjustRightInd/>
        <w:snapToGrid/>
        <w:spacing w:line="440" w:lineRule="exact"/>
        <w:ind w:firstLine="480" w:firstLineChars="20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u w:val="none"/>
          <w:lang w:val="en-US" w:eastAsia="zh-CN"/>
        </w:rPr>
        <w:t>2025年进口医疗设备购置项目（眼科进口医疗设备）</w:t>
      </w:r>
      <w:r>
        <w:rPr>
          <w:rFonts w:hint="eastAsia" w:ascii="黑体" w:hAnsi="黑体" w:eastAsia="黑体" w:cs="黑体"/>
          <w:color w:val="auto"/>
          <w:sz w:val="24"/>
          <w:lang w:val="en-US" w:eastAsia="zh-CN"/>
        </w:rPr>
        <w:t>的潜在供应商应在政采云平台线上获取采购文件，并于2025年05月06日11点00分（北京时间）前递交投标文件。</w:t>
      </w:r>
    </w:p>
    <w:p w14:paraId="2181139E">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i w:val="0"/>
          <w:iCs w:val="0"/>
          <w:color w:val="auto"/>
          <w:sz w:val="24"/>
          <w:szCs w:val="24"/>
        </w:rPr>
      </w:pPr>
      <w:bookmarkStart w:id="48" w:name="_Toc28359089"/>
      <w:bookmarkStart w:id="49" w:name="_Toc35393798"/>
      <w:bookmarkStart w:id="50" w:name="_Toc32091"/>
      <w:bookmarkStart w:id="51" w:name="_Toc35393629"/>
      <w:bookmarkStart w:id="52" w:name="_Toc15067"/>
      <w:bookmarkStart w:id="53" w:name="_Toc28359012"/>
      <w:r>
        <w:rPr>
          <w:rFonts w:hint="eastAsia" w:ascii="黑体" w:hAnsi="黑体" w:eastAsia="黑体" w:cs="黑体"/>
          <w:i w:val="0"/>
          <w:iCs w:val="0"/>
          <w:color w:val="auto"/>
          <w:sz w:val="24"/>
          <w:szCs w:val="24"/>
        </w:rPr>
        <w:t>一、项目基本情况</w:t>
      </w:r>
      <w:bookmarkEnd w:id="48"/>
      <w:bookmarkEnd w:id="49"/>
      <w:bookmarkEnd w:id="50"/>
      <w:bookmarkEnd w:id="51"/>
      <w:bookmarkEnd w:id="52"/>
      <w:bookmarkEnd w:id="53"/>
    </w:p>
    <w:p w14:paraId="7062C9BC">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项目编号：</w:t>
      </w:r>
      <w:r>
        <w:rPr>
          <w:rFonts w:hint="eastAsia" w:ascii="黑体" w:hAnsi="黑体" w:eastAsia="黑体" w:cs="黑体"/>
          <w:color w:val="auto"/>
          <w:sz w:val="24"/>
          <w:szCs w:val="24"/>
          <w:lang w:val="en-US" w:eastAsia="zh-CN"/>
        </w:rPr>
        <w:t>ZBGJKSDQ(GK)2025-08</w:t>
      </w:r>
    </w:p>
    <w:p w14:paraId="73E9F655">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项目名称：</w:t>
      </w:r>
      <w:r>
        <w:rPr>
          <w:rFonts w:hint="eastAsia" w:ascii="黑体" w:hAnsi="黑体" w:eastAsia="黑体" w:cs="黑体"/>
          <w:color w:val="auto"/>
          <w:sz w:val="24"/>
          <w:szCs w:val="24"/>
          <w:lang w:eastAsia="zh-CN"/>
        </w:rPr>
        <w:t>2025年进口医疗设备购置项目（眼科进口医疗设备）</w:t>
      </w:r>
    </w:p>
    <w:p w14:paraId="6EE854C3">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采购方式</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rPr>
        <w:t>公开招标</w:t>
      </w:r>
    </w:p>
    <w:p w14:paraId="147C0F27">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预算金额（元）：</w:t>
      </w:r>
      <w:r>
        <w:rPr>
          <w:rFonts w:hint="eastAsia" w:ascii="黑体" w:hAnsi="黑体" w:eastAsia="黑体" w:cs="黑体"/>
          <w:color w:val="auto"/>
          <w:kern w:val="2"/>
          <w:sz w:val="24"/>
          <w:szCs w:val="24"/>
          <w:lang w:val="en-US" w:eastAsia="zh-CN" w:bidi="ar-SA"/>
        </w:rPr>
        <w:t>2600000.00</w:t>
      </w:r>
    </w:p>
    <w:p w14:paraId="741637E6">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kern w:val="2"/>
          <w:sz w:val="24"/>
          <w:szCs w:val="24"/>
          <w:lang w:val="en-US" w:eastAsia="zh-CN" w:bidi="ar-SA"/>
        </w:rPr>
        <w:t>最高限价（元）：2600000.00</w:t>
      </w:r>
    </w:p>
    <w:p w14:paraId="76350524">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采购需求：</w:t>
      </w:r>
    </w:p>
    <w:p w14:paraId="211C6AF4">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rPr>
        <w:t>标项</w:t>
      </w:r>
      <w:r>
        <w:rPr>
          <w:rFonts w:hint="eastAsia" w:ascii="黑体" w:hAnsi="黑体" w:eastAsia="黑体" w:cs="黑体"/>
          <w:b w:val="0"/>
          <w:bCs w:val="0"/>
          <w:color w:val="auto"/>
          <w:sz w:val="24"/>
          <w:szCs w:val="24"/>
          <w:lang w:val="en-US" w:eastAsia="zh-CN"/>
        </w:rPr>
        <w:t>一</w:t>
      </w:r>
    </w:p>
    <w:p w14:paraId="6ED82FBD">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rPr>
        <w:t>标项名称</w:t>
      </w:r>
      <w:r>
        <w:rPr>
          <w:rFonts w:hint="eastAsia" w:ascii="黑体" w:hAnsi="黑体" w:eastAsia="黑体" w:cs="黑体"/>
          <w:b w:val="0"/>
          <w:bCs w:val="0"/>
          <w:color w:val="auto"/>
          <w:sz w:val="24"/>
          <w:szCs w:val="24"/>
          <w:lang w:eastAsia="zh-CN"/>
        </w:rPr>
        <w:t>：2025年进口医疗设备购置项目（眼科进口医疗设备）</w:t>
      </w:r>
    </w:p>
    <w:p w14:paraId="2C6BDD4B">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数量</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1</w:t>
      </w:r>
    </w:p>
    <w:p w14:paraId="1C3F5804">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预算金额（元）</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2600000.00</w:t>
      </w:r>
    </w:p>
    <w:p w14:paraId="178AEA17">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简要规格描述或项目基本概况介绍、用途：采购干眼治疗仪</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干眼诊断仪</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视野机等医疗设备。（具体参数详见采购文件）</w:t>
      </w:r>
    </w:p>
    <w:p w14:paraId="0B51969E">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bCs/>
          <w:color w:val="auto"/>
          <w:sz w:val="24"/>
          <w:szCs w:val="24"/>
          <w:lang w:val="en-US" w:eastAsia="zh-CN"/>
        </w:rPr>
      </w:pPr>
      <w:r>
        <w:rPr>
          <w:rFonts w:hint="eastAsia" w:ascii="黑体" w:hAnsi="黑体" w:eastAsia="黑体" w:cs="黑体"/>
          <w:b w:val="0"/>
          <w:bCs w:val="0"/>
          <w:color w:val="auto"/>
          <w:sz w:val="24"/>
          <w:szCs w:val="24"/>
        </w:rPr>
        <w:t>备注：</w:t>
      </w:r>
      <w:r>
        <w:rPr>
          <w:rFonts w:hint="eastAsia" w:ascii="黑体" w:hAnsi="黑体" w:eastAsia="黑体" w:cs="黑体"/>
          <w:b/>
          <w:bCs/>
          <w:color w:val="auto"/>
          <w:sz w:val="24"/>
          <w:szCs w:val="24"/>
        </w:rPr>
        <w:t>合同履约期限：</w:t>
      </w:r>
      <w:r>
        <w:rPr>
          <w:rFonts w:hint="eastAsia" w:ascii="黑体" w:hAnsi="黑体" w:eastAsia="黑体" w:cs="黑体"/>
          <w:b/>
          <w:bCs/>
          <w:color w:val="auto"/>
          <w:sz w:val="24"/>
          <w:szCs w:val="24"/>
          <w:lang w:eastAsia="zh-CN"/>
        </w:rPr>
        <w:t>签订合同后90日历天内完成供货安装及调试验收</w:t>
      </w:r>
      <w:r>
        <w:rPr>
          <w:rFonts w:hint="eastAsia" w:ascii="黑体" w:hAnsi="黑体" w:eastAsia="黑体" w:cs="黑体"/>
          <w:b/>
          <w:bCs/>
          <w:color w:val="auto"/>
          <w:sz w:val="24"/>
          <w:szCs w:val="24"/>
          <w:lang w:val="en-US" w:eastAsia="zh-CN"/>
        </w:rPr>
        <w:t>。（具体以签订合同为准）</w:t>
      </w:r>
    </w:p>
    <w:p w14:paraId="0E64990B">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本项目（否）接受联合体投标</w:t>
      </w:r>
    </w:p>
    <w:p w14:paraId="33AEE0EE">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color w:val="auto"/>
          <w:sz w:val="24"/>
          <w:szCs w:val="24"/>
        </w:rPr>
      </w:pPr>
      <w:bookmarkStart w:id="54" w:name="_Toc28359013"/>
      <w:bookmarkStart w:id="55" w:name="_Toc4875"/>
      <w:bookmarkStart w:id="56" w:name="_Toc28359090"/>
      <w:bookmarkStart w:id="57" w:name="_Toc30528"/>
      <w:bookmarkStart w:id="58" w:name="_Toc35393799"/>
      <w:bookmarkStart w:id="59" w:name="_Toc35393630"/>
      <w:r>
        <w:rPr>
          <w:rFonts w:hint="eastAsia" w:ascii="黑体" w:hAnsi="黑体" w:eastAsia="黑体" w:cs="黑体"/>
          <w:color w:val="auto"/>
          <w:sz w:val="24"/>
          <w:szCs w:val="24"/>
        </w:rPr>
        <w:t>二、申请人的资格要求</w:t>
      </w:r>
      <w:bookmarkEnd w:id="54"/>
      <w:bookmarkEnd w:id="55"/>
      <w:bookmarkEnd w:id="56"/>
      <w:bookmarkEnd w:id="57"/>
      <w:bookmarkEnd w:id="58"/>
      <w:bookmarkEnd w:id="59"/>
    </w:p>
    <w:p w14:paraId="56E5223B">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1.满足《中华人民共和国政府采购法》第二十二条规定；</w:t>
      </w:r>
    </w:p>
    <w:p w14:paraId="4A170A43">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sz w:val="24"/>
          <w:szCs w:val="24"/>
          <w:lang w:val="en-US" w:eastAsia="zh-CN"/>
        </w:rPr>
      </w:pPr>
      <w:bookmarkStart w:id="60" w:name="_Toc28359014"/>
      <w:bookmarkStart w:id="61" w:name="_Toc28359091"/>
      <w:r>
        <w:rPr>
          <w:rFonts w:hint="eastAsia" w:ascii="黑体" w:hAnsi="黑体" w:eastAsia="黑体" w:cs="黑体"/>
          <w:color w:val="auto"/>
          <w:sz w:val="24"/>
          <w:szCs w:val="24"/>
        </w:rPr>
        <w:t>2.落实政府采购政策需满足的资格要求：</w:t>
      </w:r>
      <w:r>
        <w:rPr>
          <w:rFonts w:hint="eastAsia" w:ascii="黑体" w:hAnsi="黑体" w:eastAsia="黑体" w:cs="黑体"/>
          <w:color w:val="auto"/>
          <w:sz w:val="24"/>
          <w:szCs w:val="24"/>
          <w:lang w:val="en-US" w:eastAsia="zh-CN"/>
        </w:rPr>
        <w:t>无</w:t>
      </w:r>
    </w:p>
    <w:p w14:paraId="14EC2B9F">
      <w:pPr>
        <w:keepNext w:val="0"/>
        <w:keepLines w:val="0"/>
        <w:pageBreakBefore w:val="0"/>
        <w:widowControl/>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b w:val="0"/>
          <w:bCs/>
          <w:color w:val="auto"/>
          <w:sz w:val="24"/>
          <w:szCs w:val="24"/>
        </w:rPr>
      </w:pPr>
      <w:r>
        <w:rPr>
          <w:rFonts w:hint="eastAsia" w:ascii="黑体" w:hAnsi="黑体" w:eastAsia="黑体" w:cs="黑体"/>
          <w:color w:val="auto"/>
          <w:sz w:val="24"/>
        </w:rPr>
        <w:t>3.本项目的特定资格要求：</w:t>
      </w:r>
      <w:bookmarkStart w:id="62" w:name="_Toc35393800"/>
      <w:bookmarkStart w:id="63" w:name="_Toc35393631"/>
      <w:bookmarkStart w:id="64" w:name="_Toc20372"/>
      <w:bookmarkStart w:id="65" w:name="_Toc23487"/>
      <w:r>
        <w:rPr>
          <w:rFonts w:hint="eastAsia" w:ascii="黑体" w:hAnsi="黑体" w:eastAsia="黑体" w:cs="黑体"/>
          <w:b w:val="0"/>
          <w:bCs/>
          <w:color w:val="auto"/>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1970B8BC">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w:t>
      </w:r>
      <w:bookmarkEnd w:id="60"/>
      <w:bookmarkEnd w:id="61"/>
      <w:bookmarkEnd w:id="62"/>
      <w:bookmarkEnd w:id="63"/>
      <w:r>
        <w:rPr>
          <w:rFonts w:hint="eastAsia" w:ascii="黑体" w:hAnsi="黑体" w:eastAsia="黑体" w:cs="黑体"/>
          <w:color w:val="auto"/>
          <w:sz w:val="24"/>
          <w:szCs w:val="24"/>
        </w:rPr>
        <w:t>获取招标文件</w:t>
      </w:r>
      <w:bookmarkEnd w:id="64"/>
      <w:bookmarkEnd w:id="65"/>
    </w:p>
    <w:p w14:paraId="307C9786">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color w:val="auto"/>
          <w:sz w:val="24"/>
          <w:lang w:val="en-US" w:eastAsia="zh-CN"/>
        </w:rPr>
      </w:pPr>
      <w:bookmarkStart w:id="66" w:name="_Toc35393632"/>
      <w:bookmarkStart w:id="67" w:name="_Toc28359092"/>
      <w:bookmarkStart w:id="68" w:name="_Toc35393801"/>
      <w:bookmarkStart w:id="69" w:name="_Toc28359015"/>
      <w:bookmarkStart w:id="70" w:name="_Toc13643"/>
      <w:bookmarkStart w:id="71" w:name="_Toc19900"/>
      <w:r>
        <w:rPr>
          <w:rFonts w:hint="eastAsia" w:ascii="黑体" w:hAnsi="黑体" w:eastAsia="黑体" w:cs="黑体"/>
          <w:b w:val="0"/>
          <w:bCs/>
          <w:color w:val="auto"/>
          <w:sz w:val="24"/>
        </w:rPr>
        <w:t>时间：</w:t>
      </w:r>
      <w:r>
        <w:rPr>
          <w:rFonts w:hint="eastAsia" w:ascii="黑体" w:hAnsi="黑体" w:eastAsia="黑体" w:cs="黑体"/>
          <w:b w:val="0"/>
          <w:bCs/>
          <w:color w:val="auto"/>
          <w:sz w:val="24"/>
          <w:lang w:val="en-US" w:eastAsia="zh-CN"/>
        </w:rPr>
        <w:t>2025年04月</w:t>
      </w:r>
      <w:r>
        <w:rPr>
          <w:rFonts w:hint="eastAsia" w:ascii="黑体" w:hAnsi="黑体" w:cs="黑体"/>
          <w:b w:val="0"/>
          <w:bCs/>
          <w:color w:val="auto"/>
          <w:sz w:val="24"/>
          <w:lang w:val="en-US" w:eastAsia="zh-CN"/>
        </w:rPr>
        <w:t>11</w:t>
      </w:r>
      <w:r>
        <w:rPr>
          <w:rFonts w:hint="eastAsia" w:ascii="黑体" w:hAnsi="黑体" w:eastAsia="黑体" w:cs="黑体"/>
          <w:b w:val="0"/>
          <w:bCs/>
          <w:color w:val="auto"/>
          <w:sz w:val="24"/>
          <w:lang w:val="en-US" w:eastAsia="zh-CN"/>
        </w:rPr>
        <w:t>日</w:t>
      </w:r>
      <w:r>
        <w:rPr>
          <w:rFonts w:hint="eastAsia" w:ascii="黑体" w:hAnsi="黑体" w:eastAsia="黑体" w:cs="黑体"/>
          <w:b w:val="0"/>
          <w:bCs/>
          <w:color w:val="auto"/>
          <w:sz w:val="24"/>
        </w:rPr>
        <w:t>至</w:t>
      </w:r>
      <w:r>
        <w:rPr>
          <w:rFonts w:hint="eastAsia" w:ascii="黑体" w:hAnsi="黑体" w:eastAsia="黑体" w:cs="黑体"/>
          <w:b w:val="0"/>
          <w:bCs/>
          <w:color w:val="auto"/>
          <w:sz w:val="24"/>
          <w:lang w:val="en-US" w:eastAsia="zh-CN"/>
        </w:rPr>
        <w:t>2025年04月</w:t>
      </w:r>
      <w:r>
        <w:rPr>
          <w:rFonts w:hint="eastAsia" w:ascii="黑体" w:hAnsi="黑体" w:cs="黑体"/>
          <w:b w:val="0"/>
          <w:bCs/>
          <w:color w:val="auto"/>
          <w:sz w:val="24"/>
          <w:lang w:val="en-US" w:eastAsia="zh-CN"/>
        </w:rPr>
        <w:t>18</w:t>
      </w:r>
      <w:r>
        <w:rPr>
          <w:rFonts w:hint="eastAsia" w:ascii="黑体" w:hAnsi="黑体" w:eastAsia="黑体" w:cs="黑体"/>
          <w:b w:val="0"/>
          <w:bCs/>
          <w:color w:val="auto"/>
          <w:sz w:val="24"/>
          <w:lang w:val="en-US" w:eastAsia="zh-CN"/>
        </w:rPr>
        <w:t>日</w:t>
      </w:r>
      <w:r>
        <w:rPr>
          <w:rFonts w:hint="eastAsia" w:ascii="黑体" w:hAnsi="黑体" w:eastAsia="黑体" w:cs="黑体"/>
          <w:b w:val="0"/>
          <w:bCs/>
          <w:color w:val="auto"/>
          <w:sz w:val="24"/>
        </w:rPr>
        <w:t>，每天上午</w:t>
      </w:r>
      <w:r>
        <w:rPr>
          <w:rFonts w:hint="eastAsia" w:ascii="黑体" w:hAnsi="黑体" w:eastAsia="黑体" w:cs="黑体"/>
          <w:b w:val="0"/>
          <w:bCs/>
          <w:color w:val="auto"/>
          <w:sz w:val="24"/>
          <w:lang w:val="en-US" w:eastAsia="zh-CN"/>
        </w:rPr>
        <w:t>0</w:t>
      </w:r>
      <w:r>
        <w:rPr>
          <w:rFonts w:hint="eastAsia" w:ascii="黑体" w:hAnsi="黑体" w:eastAsia="黑体" w:cs="黑体"/>
          <w:b w:val="0"/>
          <w:bCs/>
          <w:color w:val="auto"/>
          <w:sz w:val="24"/>
        </w:rPr>
        <w:t>0</w:t>
      </w:r>
      <w:r>
        <w:rPr>
          <w:rFonts w:hint="eastAsia" w:ascii="黑体" w:hAnsi="黑体" w:eastAsia="黑体" w:cs="黑体"/>
          <w:b w:val="0"/>
          <w:bCs/>
          <w:color w:val="auto"/>
          <w:sz w:val="24"/>
          <w:lang w:eastAsia="zh-CN"/>
        </w:rPr>
        <w:t>：</w:t>
      </w:r>
      <w:r>
        <w:rPr>
          <w:rFonts w:hint="eastAsia" w:ascii="黑体" w:hAnsi="黑体" w:eastAsia="黑体" w:cs="黑体"/>
          <w:b w:val="0"/>
          <w:bCs/>
          <w:color w:val="auto"/>
          <w:sz w:val="24"/>
        </w:rPr>
        <w:t>00至14</w:t>
      </w:r>
      <w:r>
        <w:rPr>
          <w:rFonts w:hint="eastAsia" w:ascii="黑体" w:hAnsi="黑体" w:eastAsia="黑体" w:cs="黑体"/>
          <w:b w:val="0"/>
          <w:bCs/>
          <w:color w:val="auto"/>
          <w:sz w:val="24"/>
          <w:lang w:eastAsia="zh-CN"/>
        </w:rPr>
        <w:t>：</w:t>
      </w:r>
      <w:r>
        <w:rPr>
          <w:rFonts w:hint="eastAsia" w:ascii="黑体" w:hAnsi="黑体" w:eastAsia="黑体" w:cs="黑体"/>
          <w:b w:val="0"/>
          <w:bCs/>
          <w:color w:val="auto"/>
          <w:sz w:val="24"/>
        </w:rPr>
        <w:t>00，下午1</w:t>
      </w:r>
      <w:r>
        <w:rPr>
          <w:rFonts w:hint="eastAsia" w:ascii="黑体" w:hAnsi="黑体" w:eastAsia="黑体" w:cs="黑体"/>
          <w:b w:val="0"/>
          <w:bCs/>
          <w:color w:val="auto"/>
          <w:sz w:val="24"/>
          <w:lang w:val="en-US" w:eastAsia="zh-CN"/>
        </w:rPr>
        <w:t>4</w:t>
      </w:r>
      <w:r>
        <w:rPr>
          <w:rFonts w:hint="eastAsia" w:ascii="黑体" w:hAnsi="黑体" w:eastAsia="黑体" w:cs="黑体"/>
          <w:b w:val="0"/>
          <w:bCs/>
          <w:color w:val="auto"/>
          <w:sz w:val="24"/>
          <w:lang w:eastAsia="zh-CN"/>
        </w:rPr>
        <w:t>：</w:t>
      </w:r>
      <w:r>
        <w:rPr>
          <w:rFonts w:hint="eastAsia" w:ascii="黑体" w:hAnsi="黑体" w:eastAsia="黑体" w:cs="黑体"/>
          <w:b w:val="0"/>
          <w:bCs/>
          <w:color w:val="auto"/>
          <w:sz w:val="24"/>
        </w:rPr>
        <w:t>00至</w:t>
      </w:r>
      <w:r>
        <w:rPr>
          <w:rFonts w:hint="eastAsia" w:ascii="黑体" w:hAnsi="黑体" w:eastAsia="黑体" w:cs="黑体"/>
          <w:b w:val="0"/>
          <w:bCs/>
          <w:color w:val="auto"/>
          <w:sz w:val="24"/>
          <w:lang w:val="en-US" w:eastAsia="zh-CN"/>
        </w:rPr>
        <w:t>23</w:t>
      </w:r>
      <w:r>
        <w:rPr>
          <w:rFonts w:hint="eastAsia" w:ascii="黑体" w:hAnsi="黑体" w:eastAsia="黑体" w:cs="黑体"/>
          <w:b w:val="0"/>
          <w:bCs/>
          <w:color w:val="auto"/>
          <w:sz w:val="24"/>
          <w:lang w:eastAsia="zh-CN"/>
        </w:rPr>
        <w:t>：</w:t>
      </w:r>
      <w:r>
        <w:rPr>
          <w:rFonts w:hint="eastAsia" w:ascii="黑体" w:hAnsi="黑体" w:eastAsia="黑体" w:cs="黑体"/>
          <w:b w:val="0"/>
          <w:bCs/>
          <w:color w:val="auto"/>
          <w:sz w:val="24"/>
          <w:lang w:val="en-US" w:eastAsia="zh-CN"/>
        </w:rPr>
        <w:t>59(</w:t>
      </w:r>
      <w:r>
        <w:rPr>
          <w:rFonts w:hint="eastAsia" w:ascii="黑体" w:hAnsi="黑体" w:eastAsia="黑体" w:cs="黑体"/>
          <w:b w:val="0"/>
          <w:bCs/>
          <w:color w:val="auto"/>
          <w:sz w:val="24"/>
        </w:rPr>
        <w:t>北京时间</w:t>
      </w:r>
      <w:r>
        <w:rPr>
          <w:rFonts w:hint="eastAsia" w:ascii="黑体" w:hAnsi="黑体" w:eastAsia="黑体" w:cs="黑体"/>
          <w:b w:val="0"/>
          <w:bCs/>
          <w:color w:val="auto"/>
          <w:sz w:val="24"/>
          <w:lang w:val="en-US" w:eastAsia="zh-CN"/>
        </w:rPr>
        <w:t>,法定节假日除外)</w:t>
      </w:r>
    </w:p>
    <w:p w14:paraId="2EA14801">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地点：政采云平台线上</w:t>
      </w:r>
    </w:p>
    <w:p w14:paraId="56E1CCF8">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color w:val="auto"/>
          <w:sz w:val="24"/>
          <w:lang w:val="en-US" w:eastAsia="zh-CN"/>
        </w:rPr>
      </w:pPr>
      <w:r>
        <w:rPr>
          <w:rFonts w:hint="eastAsia" w:ascii="黑体" w:hAnsi="黑体" w:eastAsia="黑体" w:cs="黑体"/>
          <w:b w:val="0"/>
          <w:bCs/>
          <w:color w:val="auto"/>
          <w:sz w:val="24"/>
        </w:rPr>
        <w:t>方式：供应商登录政采云平台https</w:t>
      </w:r>
      <w:r>
        <w:rPr>
          <w:rFonts w:hint="eastAsia" w:ascii="黑体" w:hAnsi="黑体" w:eastAsia="黑体" w:cs="黑体"/>
          <w:b w:val="0"/>
          <w:bCs/>
          <w:color w:val="auto"/>
          <w:sz w:val="24"/>
          <w:lang w:eastAsia="zh-CN"/>
        </w:rPr>
        <w:t>：</w:t>
      </w:r>
      <w:r>
        <w:rPr>
          <w:rFonts w:hint="eastAsia" w:ascii="黑体" w:hAnsi="黑体" w:eastAsia="黑体" w:cs="黑体"/>
          <w:b w:val="0"/>
          <w:bCs/>
          <w:color w:val="auto"/>
          <w:sz w:val="24"/>
        </w:rPr>
        <w:t>//www.zcygov.cn/在线申请获取采购文件（进入“项目采购”应用，在获取采购文件菜单中选择项目，申请获取采购文件）</w:t>
      </w:r>
      <w:r>
        <w:rPr>
          <w:rFonts w:hint="eastAsia" w:ascii="黑体" w:hAnsi="黑体" w:eastAsia="黑体" w:cs="黑体"/>
          <w:b w:val="0"/>
          <w:bCs/>
          <w:color w:val="auto"/>
          <w:sz w:val="24"/>
          <w:lang w:eastAsia="zh-CN"/>
        </w:rPr>
        <w:t>。</w:t>
      </w:r>
    </w:p>
    <w:p w14:paraId="2AD6AAA8">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w:t>
      </w:r>
      <w:bookmarkEnd w:id="66"/>
      <w:bookmarkEnd w:id="67"/>
      <w:bookmarkEnd w:id="68"/>
      <w:bookmarkEnd w:id="69"/>
      <w:r>
        <w:rPr>
          <w:rFonts w:hint="eastAsia" w:ascii="黑体" w:hAnsi="黑体" w:eastAsia="黑体" w:cs="黑体"/>
          <w:color w:val="auto"/>
          <w:sz w:val="24"/>
          <w:szCs w:val="24"/>
        </w:rPr>
        <w:t>提交投标文件截止时间、开标时间和地点</w:t>
      </w:r>
      <w:bookmarkEnd w:id="70"/>
      <w:bookmarkEnd w:id="71"/>
    </w:p>
    <w:p w14:paraId="5D687772">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kern w:val="2"/>
          <w:lang w:val="en-US" w:eastAsia="zh-CN"/>
        </w:rPr>
      </w:pPr>
      <w:r>
        <w:rPr>
          <w:rFonts w:hint="eastAsia" w:ascii="黑体" w:hAnsi="黑体" w:eastAsia="黑体" w:cs="黑体"/>
          <w:color w:val="auto"/>
          <w:kern w:val="2"/>
        </w:rPr>
        <w:t>提交投标文件截止时间：</w:t>
      </w:r>
      <w:r>
        <w:rPr>
          <w:rFonts w:hint="eastAsia" w:ascii="黑体" w:hAnsi="黑体" w:eastAsia="黑体" w:cs="黑体"/>
          <w:color w:val="auto"/>
          <w:sz w:val="24"/>
          <w:lang w:val="en-US" w:eastAsia="zh-CN"/>
        </w:rPr>
        <w:t>2025年05月06日11点00分</w:t>
      </w:r>
      <w:r>
        <w:rPr>
          <w:rFonts w:hint="eastAsia" w:ascii="黑体" w:hAnsi="黑体" w:eastAsia="黑体" w:cs="黑体"/>
          <w:color w:val="auto"/>
          <w:sz w:val="24"/>
        </w:rPr>
        <w:t>（北京时间）</w:t>
      </w:r>
    </w:p>
    <w:p w14:paraId="1D87594D">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kern w:val="2"/>
          <w:lang w:val="en-US" w:eastAsia="zh-CN"/>
        </w:rPr>
      </w:pPr>
      <w:r>
        <w:rPr>
          <w:rFonts w:hint="eastAsia" w:ascii="黑体" w:hAnsi="黑体" w:eastAsia="黑体" w:cs="黑体"/>
          <w:color w:val="auto"/>
          <w:kern w:val="2"/>
        </w:rPr>
        <w:t>投标地点：政采云平台（https</w:t>
      </w:r>
      <w:r>
        <w:rPr>
          <w:rFonts w:hint="eastAsia" w:ascii="黑体" w:hAnsi="黑体" w:eastAsia="黑体" w:cs="黑体"/>
          <w:color w:val="auto"/>
          <w:kern w:val="2"/>
          <w:lang w:eastAsia="zh-CN"/>
        </w:rPr>
        <w:t>：</w:t>
      </w:r>
      <w:r>
        <w:rPr>
          <w:rFonts w:hint="eastAsia" w:ascii="黑体" w:hAnsi="黑体" w:eastAsia="黑体" w:cs="黑体"/>
          <w:color w:val="auto"/>
          <w:kern w:val="2"/>
        </w:rPr>
        <w:t>//login.zcygov.cn/user-login/#/login）</w:t>
      </w:r>
    </w:p>
    <w:p w14:paraId="1D0E9E9B">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kern w:val="2"/>
        </w:rPr>
      </w:pPr>
      <w:r>
        <w:rPr>
          <w:rFonts w:hint="eastAsia" w:ascii="黑体" w:hAnsi="黑体" w:eastAsia="黑体" w:cs="黑体"/>
          <w:color w:val="auto"/>
          <w:kern w:val="2"/>
        </w:rPr>
        <w:t>开标时间：</w:t>
      </w:r>
      <w:r>
        <w:rPr>
          <w:rFonts w:hint="eastAsia" w:ascii="黑体" w:hAnsi="黑体" w:eastAsia="黑体" w:cs="黑体"/>
          <w:color w:val="auto"/>
          <w:sz w:val="24"/>
          <w:lang w:val="en-US" w:eastAsia="zh-CN"/>
        </w:rPr>
        <w:t>2025年05月06日11点00分</w:t>
      </w:r>
      <w:r>
        <w:rPr>
          <w:rFonts w:hint="eastAsia" w:ascii="黑体" w:hAnsi="黑体" w:eastAsia="黑体" w:cs="黑体"/>
          <w:color w:val="auto"/>
          <w:sz w:val="24"/>
        </w:rPr>
        <w:t>（北京时间）</w:t>
      </w:r>
    </w:p>
    <w:p w14:paraId="7481829B">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kern w:val="2"/>
          <w:lang w:val="en-US"/>
        </w:rPr>
      </w:pPr>
      <w:r>
        <w:rPr>
          <w:rFonts w:hint="eastAsia" w:ascii="黑体" w:hAnsi="黑体" w:eastAsia="黑体" w:cs="黑体"/>
          <w:color w:val="auto"/>
          <w:kern w:val="2"/>
        </w:rPr>
        <w:t>开标地点：政采云平台（https</w:t>
      </w:r>
      <w:r>
        <w:rPr>
          <w:rFonts w:hint="eastAsia" w:ascii="黑体" w:hAnsi="黑体" w:eastAsia="黑体" w:cs="黑体"/>
          <w:color w:val="auto"/>
          <w:kern w:val="2"/>
          <w:lang w:eastAsia="zh-CN"/>
        </w:rPr>
        <w:t>：</w:t>
      </w:r>
      <w:r>
        <w:rPr>
          <w:rFonts w:hint="eastAsia" w:ascii="黑体" w:hAnsi="黑体" w:eastAsia="黑体" w:cs="黑体"/>
          <w:color w:val="auto"/>
          <w:kern w:val="2"/>
        </w:rPr>
        <w:t>//login.zcygov.cn/user-login/#/login）</w:t>
      </w:r>
    </w:p>
    <w:p w14:paraId="1C1E6DBF">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color w:val="auto"/>
          <w:sz w:val="24"/>
          <w:szCs w:val="24"/>
        </w:rPr>
      </w:pPr>
      <w:bookmarkStart w:id="72" w:name="_Toc28359017"/>
      <w:bookmarkStart w:id="73" w:name="_Toc28359094"/>
      <w:bookmarkStart w:id="74" w:name="_Toc22370"/>
      <w:bookmarkStart w:id="75" w:name="_Toc29260"/>
      <w:bookmarkStart w:id="76" w:name="_Toc35393803"/>
      <w:bookmarkStart w:id="77" w:name="_Toc35393634"/>
      <w:r>
        <w:rPr>
          <w:rFonts w:hint="eastAsia" w:ascii="黑体" w:hAnsi="黑体" w:eastAsia="黑体" w:cs="黑体"/>
          <w:color w:val="auto"/>
          <w:sz w:val="24"/>
          <w:szCs w:val="24"/>
          <w:lang w:eastAsia="zh-CN"/>
        </w:rPr>
        <w:t>五</w:t>
      </w:r>
      <w:r>
        <w:rPr>
          <w:rFonts w:hint="eastAsia" w:ascii="黑体" w:hAnsi="黑体" w:eastAsia="黑体" w:cs="黑体"/>
          <w:color w:val="auto"/>
          <w:sz w:val="24"/>
          <w:szCs w:val="24"/>
        </w:rPr>
        <w:t>、公告期限</w:t>
      </w:r>
      <w:bookmarkEnd w:id="72"/>
      <w:bookmarkEnd w:id="73"/>
      <w:bookmarkEnd w:id="74"/>
      <w:bookmarkEnd w:id="75"/>
      <w:bookmarkEnd w:id="76"/>
      <w:bookmarkEnd w:id="77"/>
    </w:p>
    <w:p w14:paraId="0DECB6DD">
      <w:pPr>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自本公告发布之日起5个</w:t>
      </w:r>
      <w:r>
        <w:rPr>
          <w:rFonts w:hint="eastAsia" w:ascii="黑体" w:hAnsi="黑体" w:eastAsia="黑体" w:cs="黑体"/>
          <w:color w:val="auto"/>
          <w:kern w:val="0"/>
          <w:sz w:val="24"/>
          <w:lang w:val="en-US" w:eastAsia="zh-CN"/>
        </w:rPr>
        <w:t>工作</w:t>
      </w:r>
      <w:r>
        <w:rPr>
          <w:rFonts w:hint="eastAsia" w:ascii="黑体" w:hAnsi="黑体" w:eastAsia="黑体" w:cs="黑体"/>
          <w:color w:val="auto"/>
          <w:kern w:val="0"/>
          <w:sz w:val="24"/>
        </w:rPr>
        <w:t>日。</w:t>
      </w:r>
    </w:p>
    <w:p w14:paraId="36E10CAE">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color w:val="auto"/>
          <w:sz w:val="24"/>
          <w:szCs w:val="24"/>
        </w:rPr>
      </w:pPr>
      <w:bookmarkStart w:id="78" w:name="_Toc18392"/>
      <w:bookmarkStart w:id="79" w:name="_Toc18994"/>
      <w:bookmarkStart w:id="80" w:name="_Toc35393635"/>
      <w:bookmarkStart w:id="81" w:name="_Toc35393804"/>
      <w:r>
        <w:rPr>
          <w:rFonts w:hint="eastAsia" w:ascii="黑体" w:hAnsi="黑体" w:eastAsia="黑体" w:cs="黑体"/>
          <w:color w:val="auto"/>
          <w:sz w:val="24"/>
          <w:szCs w:val="24"/>
          <w:lang w:eastAsia="zh-CN"/>
        </w:rPr>
        <w:t>六、</w:t>
      </w:r>
      <w:r>
        <w:rPr>
          <w:rFonts w:hint="eastAsia" w:ascii="黑体" w:hAnsi="黑体" w:eastAsia="黑体" w:cs="黑体"/>
          <w:color w:val="auto"/>
          <w:sz w:val="24"/>
          <w:szCs w:val="24"/>
        </w:rPr>
        <w:t>其他补充事宜</w:t>
      </w:r>
      <w:bookmarkEnd w:id="78"/>
      <w:bookmarkEnd w:id="79"/>
      <w:bookmarkEnd w:id="80"/>
      <w:bookmarkEnd w:id="81"/>
    </w:p>
    <w:p w14:paraId="62DF4DC4">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color w:val="auto"/>
          <w:kern w:val="0"/>
          <w:sz w:val="24"/>
          <w:szCs w:val="24"/>
        </w:rPr>
      </w:pPr>
      <w:bookmarkStart w:id="82" w:name="_Toc18863"/>
      <w:bookmarkStart w:id="83" w:name="_Toc35393636"/>
      <w:bookmarkStart w:id="84" w:name="_Toc28359095"/>
      <w:bookmarkStart w:id="85" w:name="_Toc35393805"/>
      <w:bookmarkStart w:id="86" w:name="_Toc28359018"/>
      <w:bookmarkStart w:id="87" w:name="_Toc2419"/>
      <w:r>
        <w:rPr>
          <w:rFonts w:hint="eastAsia" w:ascii="黑体" w:hAnsi="黑体" w:eastAsia="黑体" w:cs="黑体"/>
          <w:b w:val="0"/>
          <w:bCs/>
          <w:color w:val="auto"/>
          <w:kern w:val="0"/>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2.本项目实行网上投标，采用电子投标文件(供应商须使用CA加密设备通过政采云电子投标客户端制作投标文件)。若供应商参与投标，自行承担投标一切费用。3.各供应商应在开标前应确保成为新疆政府采购网正式注册入库供应商，并完成CA数字证书申领。因未注册入库、未办理CA数字证书等原因造成无法投标或投标失败等后果由供应商自行承担。4.供应商将政采云电子交易客户端下载、安装完成后，可通过账号密码或CA登录客户端进行投标文件制作。在使用政采云投标客户端时，建议使用WIN7及以上操作系统。客户端请至新疆政府采购网（http</w:t>
      </w:r>
      <w:r>
        <w:rPr>
          <w:rFonts w:hint="eastAsia" w:ascii="黑体" w:hAnsi="黑体" w:eastAsia="黑体" w:cs="黑体"/>
          <w:b w:val="0"/>
          <w:bCs/>
          <w:color w:val="auto"/>
          <w:kern w:val="0"/>
          <w:sz w:val="24"/>
          <w:szCs w:val="24"/>
          <w:lang w:eastAsia="zh-CN"/>
        </w:rPr>
        <w:t>：</w:t>
      </w:r>
      <w:r>
        <w:rPr>
          <w:rFonts w:hint="eastAsia" w:ascii="黑体" w:hAnsi="黑体" w:eastAsia="黑体" w:cs="黑体"/>
          <w:b w:val="0"/>
          <w:bCs/>
          <w:color w:val="auto"/>
          <w:kern w:val="0"/>
          <w:sz w:val="24"/>
          <w:szCs w:val="24"/>
        </w:rPr>
        <w:t xml:space="preserve">//www.ccgp-xinjiang.gov.cn/）下载专区查看，如有问题可拨打政采云客户服务热线95763进行咨询。5.供应商在开标时须使用制作加密电子投标文件所使用的CA锁及电脑，电脑须提前配置好浏览器（建议使用谷歌浏览器），以便开标时解锁。 </w:t>
      </w:r>
    </w:p>
    <w:p w14:paraId="6AECB438">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特别提示：</w:t>
      </w:r>
    </w:p>
    <w:p w14:paraId="032A83EA">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bCs w:val="0"/>
          <w:color w:val="auto"/>
          <w:sz w:val="24"/>
          <w:szCs w:val="24"/>
          <w:lang w:eastAsia="zh-CN"/>
        </w:rPr>
      </w:pPr>
      <w:r>
        <w:rPr>
          <w:rFonts w:hint="eastAsia" w:ascii="黑体" w:hAnsi="黑体" w:eastAsia="黑体" w:cs="黑体"/>
          <w:b/>
          <w:bCs w:val="0"/>
          <w:color w:val="auto"/>
          <w:sz w:val="24"/>
          <w:szCs w:val="24"/>
          <w:lang w:eastAsia="zh-CN"/>
        </w:rPr>
        <w:t>1、采购限额标准以上，200万元以下的货物和服务采购项目、400万元以下的工程采购项目，适宜由中小企业提供的，采购人应当专门面向中小企业采购。2、超过200万元的货物和服务采购项目，预留该部分采购项目预算总额的30%以上专门面向中小企业采购，其中预留给小微企业的比例不低于60%。3、超过400万元的工程采购项目中适宜由中小企业提供的，预留该部分采购项目预算总额的40%以上专门面向中小企业采购，其中预留给小微企业的比例不低于60%。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57FA225">
      <w:pPr>
        <w:pStyle w:val="3"/>
        <w:keepNext w:val="0"/>
        <w:keepLines w:val="0"/>
        <w:pageBreakBefore w:val="0"/>
        <w:kinsoku/>
        <w:wordWrap/>
        <w:overflowPunct/>
        <w:topLinePunct/>
        <w:autoSpaceDE/>
        <w:autoSpaceDN/>
        <w:bidi w:val="0"/>
        <w:adjustRightInd/>
        <w:snapToGrid/>
        <w:spacing w:line="440" w:lineRule="exact"/>
        <w:ind w:left="0" w:leftChars="0" w:firstLine="0" w:firstLineChars="0"/>
        <w:jc w:val="both"/>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eastAsia="zh-CN"/>
        </w:rPr>
        <w:t>七</w:t>
      </w:r>
      <w:r>
        <w:rPr>
          <w:rFonts w:hint="eastAsia" w:ascii="黑体" w:hAnsi="黑体" w:eastAsia="黑体" w:cs="黑体"/>
          <w:b/>
          <w:bCs w:val="0"/>
          <w:color w:val="auto"/>
          <w:sz w:val="24"/>
          <w:szCs w:val="24"/>
        </w:rPr>
        <w:t>、凡对本次采购提出询问，请按以下方式联系</w:t>
      </w:r>
      <w:bookmarkEnd w:id="82"/>
      <w:bookmarkEnd w:id="83"/>
      <w:bookmarkEnd w:id="84"/>
      <w:bookmarkEnd w:id="85"/>
      <w:bookmarkEnd w:id="86"/>
      <w:bookmarkEnd w:id="87"/>
    </w:p>
    <w:p w14:paraId="5F23CAEC">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rPr>
      </w:pPr>
      <w:bookmarkStart w:id="88" w:name="_Toc35393806"/>
      <w:bookmarkStart w:id="89" w:name="_Toc28359019"/>
      <w:bookmarkStart w:id="90" w:name="_Toc35393637"/>
      <w:bookmarkStart w:id="91" w:name="_Toc28359096"/>
      <w:r>
        <w:rPr>
          <w:rFonts w:hint="eastAsia" w:ascii="黑体" w:hAnsi="黑体" w:eastAsia="黑体" w:cs="黑体"/>
          <w:color w:val="auto"/>
        </w:rPr>
        <w:t>1.采购人信息</w:t>
      </w:r>
      <w:bookmarkEnd w:id="88"/>
      <w:bookmarkEnd w:id="89"/>
      <w:bookmarkEnd w:id="90"/>
      <w:bookmarkEnd w:id="91"/>
    </w:p>
    <w:p w14:paraId="4486FFC5">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rPr>
        <w:t>名称：</w:t>
      </w:r>
      <w:r>
        <w:rPr>
          <w:rFonts w:hint="eastAsia" w:ascii="黑体" w:hAnsi="黑体" w:eastAsia="黑体" w:cs="黑体"/>
          <w:color w:val="auto"/>
          <w:lang w:val="en-US" w:eastAsia="zh-CN"/>
        </w:rPr>
        <w:t>喀什地区第二人民医院</w:t>
      </w:r>
    </w:p>
    <w:p w14:paraId="4592839F">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地址：喀什地区喀什市健康路1号</w:t>
      </w:r>
    </w:p>
    <w:p w14:paraId="4A22B4F5">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联系人：喀什地区第二人民医院</w:t>
      </w:r>
    </w:p>
    <w:p w14:paraId="2FDD58EC">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rPr>
        <w:t>联系电话：</w:t>
      </w:r>
      <w:r>
        <w:rPr>
          <w:rFonts w:hint="eastAsia" w:ascii="黑体" w:hAnsi="黑体" w:eastAsia="黑体" w:cs="黑体"/>
          <w:color w:val="auto"/>
          <w:lang w:val="en-US" w:eastAsia="zh-CN"/>
        </w:rPr>
        <w:t>0998-2229512</w:t>
      </w:r>
    </w:p>
    <w:p w14:paraId="3DD569F1">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rPr>
      </w:pPr>
      <w:r>
        <w:rPr>
          <w:rFonts w:hint="eastAsia" w:ascii="黑体" w:hAnsi="黑体" w:eastAsia="黑体" w:cs="黑体"/>
          <w:color w:val="auto"/>
        </w:rPr>
        <w:t>2.采购代理机构信息</w:t>
      </w:r>
    </w:p>
    <w:p w14:paraId="44B6A8E3">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lang w:eastAsia="zh-CN"/>
        </w:rPr>
      </w:pPr>
      <w:r>
        <w:rPr>
          <w:rFonts w:hint="eastAsia" w:ascii="黑体" w:hAnsi="黑体" w:eastAsia="黑体" w:cs="黑体"/>
          <w:color w:val="auto"/>
        </w:rPr>
        <w:t>名称：</w:t>
      </w:r>
      <w:r>
        <w:rPr>
          <w:rFonts w:hint="eastAsia" w:ascii="黑体" w:hAnsi="黑体" w:eastAsia="黑体" w:cs="黑体"/>
          <w:color w:val="auto"/>
          <w:lang w:eastAsia="zh-CN"/>
        </w:rPr>
        <w:t>智博国际工程咨询有限公司</w:t>
      </w:r>
    </w:p>
    <w:p w14:paraId="796BC45F">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地址：</w:t>
      </w:r>
      <w:r>
        <w:rPr>
          <w:rFonts w:hint="eastAsia" w:ascii="黑体" w:hAnsi="黑体" w:eastAsia="黑体" w:cs="黑体"/>
          <w:color w:val="auto"/>
          <w:sz w:val="24"/>
          <w:szCs w:val="24"/>
          <w:lang w:eastAsia="zh-CN"/>
        </w:rPr>
        <w:t>喀什市东湖街道多来提巴格社区青年南路192号</w:t>
      </w:r>
    </w:p>
    <w:p w14:paraId="0204DD3B">
      <w:pPr>
        <w:pStyle w:val="11"/>
        <w:keepNext w:val="0"/>
        <w:keepLines w:val="0"/>
        <w:pageBreakBefore w:val="0"/>
        <w:kinsoku/>
        <w:wordWrap/>
        <w:overflowPunct/>
        <w:topLinePunct/>
        <w:autoSpaceDE/>
        <w:autoSpaceDN/>
        <w:bidi w:val="0"/>
        <w:adjustRightInd/>
        <w:snapToGrid/>
        <w:spacing w:before="75" w:beforeAutospacing="0" w:after="75" w:afterAutospacing="0" w:line="440" w:lineRule="exact"/>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联系人：</w:t>
      </w:r>
      <w:r>
        <w:rPr>
          <w:rFonts w:hint="eastAsia" w:ascii="黑体" w:hAnsi="黑体" w:eastAsia="黑体" w:cs="黑体"/>
          <w:color w:val="auto"/>
          <w:sz w:val="24"/>
          <w:szCs w:val="24"/>
          <w:lang w:val="en-US" w:eastAsia="zh-CN"/>
        </w:rPr>
        <w:t>刘静</w:t>
      </w:r>
    </w:p>
    <w:p w14:paraId="036C36DB">
      <w:pPr>
        <w:keepNext w:val="0"/>
        <w:keepLines w:val="0"/>
        <w:pageBreakBefore w:val="0"/>
        <w:overflowPunct/>
        <w:bidi w:val="0"/>
        <w:spacing w:line="440" w:lineRule="exact"/>
        <w:ind w:left="0" w:leftChars="0" w:firstLine="0" w:firstLineChars="0"/>
        <w:rPr>
          <w:rFonts w:hint="eastAsia" w:ascii="黑体" w:hAnsi="黑体" w:eastAsia="黑体" w:cs="黑体"/>
          <w:color w:val="auto"/>
          <w:sz w:val="24"/>
          <w:szCs w:val="24"/>
        </w:rPr>
      </w:pPr>
      <w:r>
        <w:rPr>
          <w:rFonts w:hint="eastAsia" w:ascii="黑体" w:hAnsi="黑体" w:eastAsia="黑体" w:cs="黑体"/>
          <w:color w:val="auto"/>
          <w:sz w:val="24"/>
          <w:szCs w:val="24"/>
        </w:rPr>
        <w:t>联系电话：</w:t>
      </w:r>
      <w:r>
        <w:rPr>
          <w:rFonts w:hint="eastAsia" w:ascii="黑体" w:hAnsi="黑体" w:eastAsia="黑体" w:cs="黑体"/>
          <w:color w:val="auto"/>
          <w:sz w:val="24"/>
          <w:szCs w:val="24"/>
          <w:lang w:eastAsia="zh-CN"/>
        </w:rPr>
        <w:t>18197668299</w:t>
      </w:r>
    </w:p>
    <w:p w14:paraId="6BA6B8A1">
      <w:pPr>
        <w:pStyle w:val="6"/>
        <w:keepNext w:val="0"/>
        <w:keepLines w:val="0"/>
        <w:pageBreakBefore w:val="0"/>
        <w:widowControl/>
        <w:kinsoku/>
        <w:wordWrap w:val="0"/>
        <w:overflowPunct/>
        <w:topLinePunct w:val="0"/>
        <w:bidi w:val="0"/>
        <w:spacing w:before="129" w:line="500" w:lineRule="exact"/>
        <w:ind w:left="2657"/>
        <w:outlineLvl w:val="9"/>
        <w:rPr>
          <w:rFonts w:hint="eastAsia" w:ascii="黑体" w:hAnsi="黑体" w:eastAsia="黑体" w:cs="黑体"/>
          <w:b/>
          <w:bCs/>
          <w:color w:val="auto"/>
          <w:spacing w:val="8"/>
        </w:rPr>
      </w:pPr>
    </w:p>
    <w:p w14:paraId="639C01E5">
      <w:pPr>
        <w:pStyle w:val="6"/>
        <w:keepNext w:val="0"/>
        <w:keepLines w:val="0"/>
        <w:pageBreakBefore w:val="0"/>
        <w:widowControl/>
        <w:kinsoku/>
        <w:wordWrap w:val="0"/>
        <w:overflowPunct/>
        <w:topLinePunct w:val="0"/>
        <w:bidi w:val="0"/>
        <w:spacing w:before="129" w:line="500" w:lineRule="exact"/>
        <w:ind w:left="2657"/>
        <w:outlineLvl w:val="9"/>
        <w:rPr>
          <w:rFonts w:hint="eastAsia" w:ascii="黑体" w:hAnsi="黑体" w:eastAsia="黑体" w:cs="黑体"/>
          <w:b/>
          <w:bCs/>
          <w:color w:val="auto"/>
          <w:spacing w:val="8"/>
        </w:rPr>
      </w:pPr>
    </w:p>
    <w:p w14:paraId="071E8BD3">
      <w:pPr>
        <w:pStyle w:val="6"/>
        <w:keepNext w:val="0"/>
        <w:keepLines w:val="0"/>
        <w:pageBreakBefore w:val="0"/>
        <w:widowControl/>
        <w:kinsoku/>
        <w:wordWrap w:val="0"/>
        <w:overflowPunct/>
        <w:topLinePunct w:val="0"/>
        <w:bidi w:val="0"/>
        <w:spacing w:before="129" w:line="500" w:lineRule="exact"/>
        <w:ind w:left="2657"/>
        <w:outlineLvl w:val="9"/>
        <w:rPr>
          <w:rFonts w:hint="eastAsia" w:ascii="黑体" w:hAnsi="黑体" w:eastAsia="黑体" w:cs="黑体"/>
          <w:b/>
          <w:bCs/>
          <w:color w:val="auto"/>
          <w:spacing w:val="8"/>
        </w:rPr>
      </w:pPr>
    </w:p>
    <w:p w14:paraId="1D9D6724">
      <w:pPr>
        <w:rPr>
          <w:rFonts w:hint="eastAsia" w:ascii="黑体" w:hAnsi="黑体" w:eastAsia="黑体" w:cs="黑体"/>
          <w:b/>
          <w:bCs/>
          <w:color w:val="auto"/>
          <w:spacing w:val="8"/>
          <w:sz w:val="28"/>
          <w:szCs w:val="28"/>
        </w:rPr>
      </w:pPr>
      <w:r>
        <w:rPr>
          <w:rFonts w:hint="eastAsia" w:ascii="黑体" w:hAnsi="黑体" w:eastAsia="黑体" w:cs="黑体"/>
          <w:b/>
          <w:bCs/>
          <w:color w:val="auto"/>
          <w:spacing w:val="8"/>
          <w:sz w:val="28"/>
          <w:szCs w:val="28"/>
        </w:rPr>
        <w:br w:type="page"/>
      </w:r>
    </w:p>
    <w:p w14:paraId="5F999A1E">
      <w:pPr>
        <w:pStyle w:val="6"/>
        <w:keepNext w:val="0"/>
        <w:keepLines w:val="0"/>
        <w:pageBreakBefore w:val="0"/>
        <w:widowControl/>
        <w:kinsoku/>
        <w:wordWrap w:val="0"/>
        <w:overflowPunct/>
        <w:topLinePunct w:val="0"/>
        <w:bidi w:val="0"/>
        <w:spacing w:before="129" w:line="500" w:lineRule="exact"/>
        <w:jc w:val="center"/>
        <w:outlineLvl w:val="0"/>
        <w:rPr>
          <w:rFonts w:hint="eastAsia" w:ascii="黑体" w:hAnsi="黑体" w:eastAsia="黑体" w:cs="黑体"/>
          <w:color w:val="auto"/>
          <w:sz w:val="28"/>
          <w:szCs w:val="28"/>
        </w:rPr>
      </w:pPr>
      <w:bookmarkStart w:id="92" w:name="_Toc21235"/>
      <w:r>
        <w:rPr>
          <w:rFonts w:hint="eastAsia" w:ascii="黑体" w:hAnsi="黑体" w:eastAsia="黑体" w:cs="黑体"/>
          <w:b/>
          <w:bCs/>
          <w:color w:val="auto"/>
          <w:spacing w:val="8"/>
          <w:sz w:val="28"/>
          <w:szCs w:val="28"/>
        </w:rPr>
        <w:t>第4章供应商须知资料表</w:t>
      </w:r>
      <w:bookmarkEnd w:id="92"/>
    </w:p>
    <w:p w14:paraId="5B6E6340">
      <w:pPr>
        <w:pStyle w:val="6"/>
        <w:keepNext w:val="0"/>
        <w:keepLines w:val="0"/>
        <w:pageBreakBefore w:val="0"/>
        <w:widowControl/>
        <w:tabs>
          <w:tab w:val="left" w:pos="8400"/>
        </w:tabs>
        <w:kinsoku/>
        <w:wordWrap w:val="0"/>
        <w:overflowPunct/>
        <w:topLinePunct w:val="0"/>
        <w:bidi w:val="0"/>
        <w:spacing w:before="118" w:line="500" w:lineRule="exact"/>
        <w:ind w:right="135" w:rightChars="0" w:firstLine="468" w:firstLineChars="200"/>
        <w:rPr>
          <w:rFonts w:hint="eastAsia" w:ascii="黑体" w:hAnsi="黑体" w:eastAsia="黑体" w:cs="黑体"/>
          <w:color w:val="auto"/>
          <w:sz w:val="24"/>
          <w:szCs w:val="24"/>
        </w:rPr>
      </w:pPr>
      <w:r>
        <w:rPr>
          <w:rFonts w:hint="eastAsia" w:ascii="黑体" w:hAnsi="黑体" w:eastAsia="黑体" w:cs="黑体"/>
          <w:color w:val="auto"/>
          <w:spacing w:val="-3"/>
          <w:sz w:val="24"/>
          <w:szCs w:val="24"/>
        </w:rPr>
        <w:t>本表是本招标项目的具体资料，是对供应商须知的具体补充和修改，如有矛</w:t>
      </w:r>
      <w:r>
        <w:rPr>
          <w:rFonts w:hint="eastAsia" w:ascii="黑体" w:hAnsi="黑体" w:eastAsia="黑体" w:cs="黑体"/>
          <w:color w:val="auto"/>
          <w:spacing w:val="-4"/>
          <w:sz w:val="24"/>
          <w:szCs w:val="24"/>
        </w:rPr>
        <w:t>盾，应以本资料表为准。</w:t>
      </w:r>
    </w:p>
    <w:tbl>
      <w:tblPr>
        <w:tblStyle w:val="16"/>
        <w:tblW w:w="904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7"/>
        <w:gridCol w:w="7973"/>
      </w:tblGrid>
      <w:tr w14:paraId="00A9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7" w:type="dxa"/>
            <w:tcBorders>
              <w:top w:val="single" w:color="000000" w:sz="10" w:space="0"/>
              <w:left w:val="single" w:color="000000" w:sz="10" w:space="0"/>
            </w:tcBorders>
            <w:vAlign w:val="center"/>
          </w:tcPr>
          <w:p w14:paraId="3FA40F3C">
            <w:pPr>
              <w:keepNext w:val="0"/>
              <w:keepLines w:val="0"/>
              <w:pageBreakBefore w:val="0"/>
              <w:widowControl/>
              <w:kinsoku/>
              <w:wordWrap w:val="0"/>
              <w:overflowPunct/>
              <w:topLinePunct w:val="0"/>
              <w:bidi w:val="0"/>
              <w:spacing w:before="88" w:line="500" w:lineRule="exact"/>
              <w:jc w:val="center"/>
              <w:rPr>
                <w:rFonts w:hint="eastAsia" w:ascii="黑体" w:hAnsi="黑体" w:eastAsia="黑体" w:cs="黑体"/>
                <w:b/>
                <w:bCs/>
                <w:color w:val="auto"/>
                <w:sz w:val="24"/>
                <w:szCs w:val="24"/>
              </w:rPr>
            </w:pPr>
            <w:r>
              <w:rPr>
                <w:rFonts w:hint="eastAsia" w:ascii="黑体" w:hAnsi="黑体" w:eastAsia="黑体" w:cs="黑体"/>
                <w:b/>
                <w:bCs/>
                <w:color w:val="auto"/>
                <w:spacing w:val="-2"/>
                <w:sz w:val="24"/>
                <w:szCs w:val="24"/>
              </w:rPr>
              <w:t>条款号</w:t>
            </w:r>
          </w:p>
        </w:tc>
        <w:tc>
          <w:tcPr>
            <w:tcW w:w="7973" w:type="dxa"/>
            <w:tcBorders>
              <w:top w:val="single" w:color="000000" w:sz="10" w:space="0"/>
              <w:right w:val="single" w:color="000000" w:sz="10" w:space="0"/>
            </w:tcBorders>
            <w:vAlign w:val="top"/>
          </w:tcPr>
          <w:p w14:paraId="1F986E47">
            <w:pPr>
              <w:keepNext w:val="0"/>
              <w:keepLines w:val="0"/>
              <w:pageBreakBefore w:val="0"/>
              <w:widowControl/>
              <w:kinsoku/>
              <w:wordWrap w:val="0"/>
              <w:overflowPunct/>
              <w:topLinePunct w:val="0"/>
              <w:bidi w:val="0"/>
              <w:spacing w:before="88" w:line="500" w:lineRule="exact"/>
              <w:jc w:val="center"/>
              <w:rPr>
                <w:rFonts w:hint="eastAsia" w:ascii="黑体" w:hAnsi="黑体" w:eastAsia="黑体" w:cs="黑体"/>
                <w:b/>
                <w:bCs/>
                <w:color w:val="auto"/>
                <w:sz w:val="24"/>
                <w:szCs w:val="24"/>
              </w:rPr>
            </w:pPr>
            <w:r>
              <w:rPr>
                <w:rFonts w:hint="eastAsia" w:ascii="黑体" w:hAnsi="黑体" w:eastAsia="黑体" w:cs="黑体"/>
                <w:b/>
                <w:bCs/>
                <w:color w:val="auto"/>
                <w:spacing w:val="-10"/>
                <w:sz w:val="24"/>
                <w:szCs w:val="24"/>
              </w:rPr>
              <w:t>内容</w:t>
            </w:r>
          </w:p>
        </w:tc>
      </w:tr>
      <w:tr w14:paraId="7844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1067" w:type="dxa"/>
            <w:tcBorders>
              <w:left w:val="single" w:color="000000" w:sz="10" w:space="0"/>
            </w:tcBorders>
            <w:vAlign w:val="center"/>
          </w:tcPr>
          <w:p w14:paraId="23847C85">
            <w:pPr>
              <w:keepNext w:val="0"/>
              <w:keepLines w:val="0"/>
              <w:pageBreakBefore w:val="0"/>
              <w:widowControl/>
              <w:kinsoku/>
              <w:wordWrap w:val="0"/>
              <w:overflowPunct/>
              <w:topLinePunct w:val="0"/>
              <w:bidi w:val="0"/>
              <w:spacing w:before="307"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9"/>
                <w:sz w:val="24"/>
                <w:szCs w:val="24"/>
              </w:rPr>
              <w:t>1.1</w:t>
            </w:r>
          </w:p>
        </w:tc>
        <w:tc>
          <w:tcPr>
            <w:tcW w:w="7973" w:type="dxa"/>
            <w:tcBorders>
              <w:right w:val="single" w:color="000000" w:sz="10" w:space="0"/>
            </w:tcBorders>
            <w:vAlign w:val="top"/>
          </w:tcPr>
          <w:p w14:paraId="38CE3805">
            <w:pPr>
              <w:keepNext w:val="0"/>
              <w:keepLines w:val="0"/>
              <w:pageBreakBefore w:val="0"/>
              <w:widowControl/>
              <w:kinsoku/>
              <w:wordWrap w:val="0"/>
              <w:overflowPunct/>
              <w:topLinePunct w:val="0"/>
              <w:bidi w:val="0"/>
              <w:spacing w:before="111" w:line="500" w:lineRule="exact"/>
              <w:ind w:left="17"/>
              <w:rPr>
                <w:rFonts w:hint="eastAsia" w:ascii="黑体" w:hAnsi="黑体" w:eastAsia="黑体" w:cs="黑体"/>
                <w:color w:val="auto"/>
                <w:sz w:val="24"/>
                <w:szCs w:val="24"/>
              </w:rPr>
            </w:pPr>
            <w:r>
              <w:rPr>
                <w:rFonts w:hint="eastAsia" w:ascii="黑体" w:hAnsi="黑体" w:eastAsia="黑体" w:cs="黑体"/>
                <w:color w:val="auto"/>
                <w:spacing w:val="-4"/>
                <w:sz w:val="24"/>
                <w:szCs w:val="24"/>
              </w:rPr>
              <w:t>采购人：</w:t>
            </w:r>
            <w:r>
              <w:rPr>
                <w:rFonts w:hint="eastAsia" w:ascii="黑体" w:hAnsi="黑体" w:eastAsia="黑体" w:cs="黑体"/>
                <w:color w:val="auto"/>
                <w:spacing w:val="-4"/>
                <w:sz w:val="24"/>
                <w:szCs w:val="24"/>
                <w:u w:val="none" w:color="auto"/>
              </w:rPr>
              <w:t>喀什地区第二人民医院</w:t>
            </w:r>
          </w:p>
          <w:p w14:paraId="2B9B13A7">
            <w:pPr>
              <w:keepNext w:val="0"/>
              <w:keepLines w:val="0"/>
              <w:pageBreakBefore w:val="0"/>
              <w:widowControl/>
              <w:kinsoku/>
              <w:wordWrap w:val="0"/>
              <w:overflowPunct/>
              <w:topLinePunct w:val="0"/>
              <w:bidi w:val="0"/>
              <w:spacing w:before="48" w:line="500" w:lineRule="exact"/>
              <w:ind w:left="17"/>
              <w:rPr>
                <w:rFonts w:hint="eastAsia" w:ascii="黑体" w:hAnsi="黑体" w:eastAsia="黑体" w:cs="黑体"/>
                <w:color w:val="auto"/>
                <w:spacing w:val="-1"/>
                <w:sz w:val="24"/>
                <w:szCs w:val="24"/>
                <w:u w:val="single" w:color="auto"/>
                <w:lang w:eastAsia="zh-CN"/>
              </w:rPr>
            </w:pPr>
            <w:r>
              <w:rPr>
                <w:rFonts w:hint="eastAsia" w:ascii="黑体" w:hAnsi="黑体" w:eastAsia="黑体" w:cs="黑体"/>
                <w:color w:val="auto"/>
                <w:spacing w:val="-1"/>
                <w:sz w:val="24"/>
                <w:szCs w:val="24"/>
              </w:rPr>
              <w:t>联系人：</w:t>
            </w:r>
            <w:r>
              <w:rPr>
                <w:rFonts w:hint="eastAsia" w:ascii="黑体" w:hAnsi="黑体" w:eastAsia="黑体" w:cs="黑体"/>
                <w:color w:val="auto"/>
                <w:spacing w:val="-1"/>
                <w:sz w:val="24"/>
                <w:szCs w:val="24"/>
                <w:u w:val="none" w:color="auto"/>
                <w:lang w:eastAsia="zh-CN"/>
              </w:rPr>
              <w:t>喀什地区第二人民医院</w:t>
            </w:r>
          </w:p>
          <w:p w14:paraId="3AE86498">
            <w:pPr>
              <w:keepNext w:val="0"/>
              <w:keepLines w:val="0"/>
              <w:pageBreakBefore w:val="0"/>
              <w:widowControl/>
              <w:kinsoku/>
              <w:wordWrap w:val="0"/>
              <w:overflowPunct/>
              <w:topLinePunct w:val="0"/>
              <w:bidi w:val="0"/>
              <w:spacing w:before="48" w:line="500" w:lineRule="exact"/>
              <w:ind w:left="17"/>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rPr>
              <w:t>联系电话：</w:t>
            </w:r>
            <w:r>
              <w:rPr>
                <w:rFonts w:hint="eastAsia" w:ascii="黑体" w:hAnsi="黑体" w:eastAsia="黑体" w:cs="黑体"/>
                <w:color w:val="auto"/>
                <w:spacing w:val="-1"/>
                <w:sz w:val="24"/>
                <w:szCs w:val="24"/>
                <w:u w:val="none" w:color="auto"/>
                <w:lang w:eastAsia="zh-CN"/>
              </w:rPr>
              <w:t>0998-2229512</w:t>
            </w:r>
          </w:p>
        </w:tc>
      </w:tr>
      <w:tr w14:paraId="29E2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67" w:type="dxa"/>
            <w:tcBorders>
              <w:left w:val="single" w:color="000000" w:sz="10" w:space="0"/>
            </w:tcBorders>
            <w:vAlign w:val="center"/>
          </w:tcPr>
          <w:p w14:paraId="1E47B9DE">
            <w:pPr>
              <w:keepNext w:val="0"/>
              <w:keepLines w:val="0"/>
              <w:pageBreakBefore w:val="0"/>
              <w:widowControl/>
              <w:kinsoku/>
              <w:wordWrap w:val="0"/>
              <w:overflowPunct/>
              <w:topLinePunct w:val="0"/>
              <w:bidi w:val="0"/>
              <w:spacing w:before="103"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9"/>
                <w:sz w:val="24"/>
                <w:szCs w:val="24"/>
              </w:rPr>
              <w:t>1.2</w:t>
            </w:r>
          </w:p>
        </w:tc>
        <w:tc>
          <w:tcPr>
            <w:tcW w:w="7973" w:type="dxa"/>
            <w:tcBorders>
              <w:right w:val="single" w:color="000000" w:sz="10" w:space="0"/>
            </w:tcBorders>
            <w:vAlign w:val="top"/>
          </w:tcPr>
          <w:p w14:paraId="087A5DD0">
            <w:pPr>
              <w:keepNext w:val="0"/>
              <w:keepLines w:val="0"/>
              <w:pageBreakBefore w:val="0"/>
              <w:widowControl/>
              <w:kinsoku/>
              <w:wordWrap w:val="0"/>
              <w:overflowPunct/>
              <w:topLinePunct w:val="0"/>
              <w:bidi w:val="0"/>
              <w:spacing w:before="84" w:line="500" w:lineRule="exact"/>
              <w:ind w:left="17"/>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rPr>
              <w:t>采购代理机构：</w:t>
            </w:r>
            <w:r>
              <w:rPr>
                <w:rFonts w:hint="eastAsia" w:ascii="黑体" w:hAnsi="黑体" w:eastAsia="黑体" w:cs="黑体"/>
                <w:color w:val="auto"/>
                <w:spacing w:val="-2"/>
                <w:sz w:val="24"/>
                <w:szCs w:val="24"/>
                <w:u w:val="none" w:color="auto"/>
                <w:lang w:eastAsia="zh-CN"/>
              </w:rPr>
              <w:t>智博国际工程咨询有限公司</w:t>
            </w:r>
          </w:p>
          <w:p w14:paraId="7CFDBE1B">
            <w:pPr>
              <w:keepNext w:val="0"/>
              <w:keepLines w:val="0"/>
              <w:pageBreakBefore w:val="0"/>
              <w:widowControl/>
              <w:kinsoku/>
              <w:wordWrap w:val="0"/>
              <w:overflowPunct/>
              <w:topLinePunct w:val="0"/>
              <w:bidi w:val="0"/>
              <w:spacing w:before="44" w:line="500" w:lineRule="exact"/>
              <w:ind w:left="15"/>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rPr>
              <w:t>地址：</w:t>
            </w:r>
            <w:r>
              <w:rPr>
                <w:rFonts w:hint="eastAsia" w:ascii="黑体" w:hAnsi="黑体" w:eastAsia="黑体" w:cs="黑体"/>
                <w:color w:val="auto"/>
                <w:spacing w:val="-2"/>
                <w:sz w:val="24"/>
                <w:szCs w:val="24"/>
                <w:u w:val="none" w:color="auto"/>
                <w:lang w:eastAsia="zh-CN"/>
              </w:rPr>
              <w:t>喀什市东湖街道多来提巴格社区青年南路192号</w:t>
            </w:r>
          </w:p>
          <w:p w14:paraId="6594BD6B">
            <w:pPr>
              <w:keepNext w:val="0"/>
              <w:keepLines w:val="0"/>
              <w:pageBreakBefore w:val="0"/>
              <w:widowControl/>
              <w:kinsoku/>
              <w:wordWrap w:val="0"/>
              <w:overflowPunct/>
              <w:topLinePunct w:val="0"/>
              <w:bidi w:val="0"/>
              <w:spacing w:before="45" w:line="500" w:lineRule="exact"/>
              <w:ind w:left="18"/>
              <w:rPr>
                <w:rFonts w:hint="eastAsia" w:ascii="黑体" w:hAnsi="黑体" w:eastAsia="黑体" w:cs="黑体"/>
                <w:color w:val="auto"/>
                <w:spacing w:val="-1"/>
                <w:sz w:val="24"/>
                <w:szCs w:val="24"/>
                <w:u w:val="single" w:color="auto"/>
                <w:lang w:eastAsia="zh-CN"/>
              </w:rPr>
            </w:pPr>
            <w:r>
              <w:rPr>
                <w:rFonts w:hint="eastAsia" w:ascii="黑体" w:hAnsi="黑体" w:eastAsia="黑体" w:cs="黑体"/>
                <w:color w:val="auto"/>
                <w:spacing w:val="-1"/>
                <w:sz w:val="24"/>
                <w:szCs w:val="24"/>
              </w:rPr>
              <w:t>业务联系人：</w:t>
            </w:r>
            <w:r>
              <w:rPr>
                <w:rFonts w:hint="eastAsia" w:ascii="黑体" w:hAnsi="黑体" w:eastAsia="黑体" w:cs="黑体"/>
                <w:color w:val="auto"/>
                <w:spacing w:val="-1"/>
                <w:sz w:val="24"/>
                <w:szCs w:val="24"/>
                <w:u w:val="none" w:color="auto"/>
                <w:lang w:eastAsia="zh-CN"/>
              </w:rPr>
              <w:t>刘静</w:t>
            </w:r>
          </w:p>
          <w:p w14:paraId="55ED6558">
            <w:pPr>
              <w:keepNext w:val="0"/>
              <w:keepLines w:val="0"/>
              <w:pageBreakBefore w:val="0"/>
              <w:widowControl/>
              <w:kinsoku/>
              <w:wordWrap w:val="0"/>
              <w:overflowPunct/>
              <w:topLinePunct w:val="0"/>
              <w:bidi w:val="0"/>
              <w:spacing w:before="45" w:line="500" w:lineRule="exact"/>
              <w:ind w:left="18"/>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rPr>
              <w:t>联系电话：</w:t>
            </w:r>
            <w:r>
              <w:rPr>
                <w:rFonts w:hint="eastAsia" w:ascii="黑体" w:hAnsi="黑体" w:eastAsia="黑体" w:cs="黑体"/>
                <w:color w:val="auto"/>
                <w:spacing w:val="-1"/>
                <w:sz w:val="24"/>
                <w:szCs w:val="24"/>
                <w:u w:val="none" w:color="auto"/>
                <w:lang w:eastAsia="zh-CN"/>
              </w:rPr>
              <w:t>18197668299</w:t>
            </w:r>
          </w:p>
        </w:tc>
      </w:tr>
      <w:tr w14:paraId="5332D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1067" w:type="dxa"/>
            <w:tcBorders>
              <w:left w:val="single" w:color="000000" w:sz="10" w:space="0"/>
            </w:tcBorders>
            <w:vAlign w:val="center"/>
          </w:tcPr>
          <w:p w14:paraId="677977BB">
            <w:pPr>
              <w:keepNext w:val="0"/>
              <w:keepLines w:val="0"/>
              <w:pageBreakBefore w:val="0"/>
              <w:widowControl/>
              <w:kinsoku/>
              <w:wordWrap w:val="0"/>
              <w:overflowPunct/>
              <w:topLinePunct w:val="0"/>
              <w:bidi w:val="0"/>
              <w:spacing w:before="103"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5"/>
                <w:sz w:val="24"/>
                <w:szCs w:val="24"/>
              </w:rPr>
              <w:t>1.3.4</w:t>
            </w:r>
          </w:p>
        </w:tc>
        <w:tc>
          <w:tcPr>
            <w:tcW w:w="7973" w:type="dxa"/>
            <w:tcBorders>
              <w:right w:val="single" w:color="000000" w:sz="10" w:space="0"/>
            </w:tcBorders>
            <w:vAlign w:val="top"/>
          </w:tcPr>
          <w:p w14:paraId="33490F4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rPr>
            </w:pPr>
            <w:r>
              <w:rPr>
                <w:rFonts w:hint="eastAsia" w:ascii="黑体" w:hAnsi="黑体" w:eastAsia="黑体" w:cs="黑体"/>
                <w:b/>
                <w:bCs/>
                <w:color w:val="auto"/>
                <w:sz w:val="24"/>
                <w:szCs w:val="24"/>
              </w:rPr>
              <w:t>合格供应商的其他资格要求</w:t>
            </w:r>
            <w:r>
              <w:rPr>
                <w:rFonts w:hint="eastAsia" w:ascii="黑体" w:hAnsi="黑体" w:eastAsia="黑体" w:cs="黑体"/>
                <w:b/>
                <w:bCs/>
                <w:color w:val="auto"/>
                <w:spacing w:val="-49"/>
                <w:sz w:val="24"/>
                <w:szCs w:val="24"/>
              </w:rPr>
              <w:t>：（</w:t>
            </w:r>
            <w:r>
              <w:rPr>
                <w:rFonts w:hint="eastAsia" w:ascii="黑体" w:hAnsi="黑体" w:eastAsia="黑体" w:cs="黑体"/>
                <w:b/>
                <w:bCs/>
                <w:color w:val="auto"/>
                <w:sz w:val="24"/>
                <w:szCs w:val="24"/>
              </w:rPr>
              <w:t>须将以下资格证明材料附在投标文件中并对</w:t>
            </w:r>
            <w:r>
              <w:rPr>
                <w:rFonts w:hint="eastAsia" w:ascii="黑体" w:hAnsi="黑体" w:eastAsia="黑体" w:cs="黑体"/>
                <w:b/>
                <w:bCs/>
                <w:color w:val="auto"/>
                <w:spacing w:val="-1"/>
                <w:sz w:val="24"/>
                <w:szCs w:val="24"/>
              </w:rPr>
              <w:t>应上传关联节点）</w:t>
            </w:r>
          </w:p>
          <w:p w14:paraId="2057AD4D">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1、具有有效的营业执照；</w:t>
            </w:r>
          </w:p>
          <w:p w14:paraId="603BE62F">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z w:val="24"/>
                <w:szCs w:val="24"/>
              </w:rPr>
              <w:t>2、</w:t>
            </w:r>
            <w:r>
              <w:rPr>
                <w:rFonts w:hint="eastAsia" w:ascii="黑体" w:hAnsi="黑体" w:eastAsia="黑体" w:cs="黑体"/>
                <w:b/>
                <w:bCs/>
                <w:color w:val="auto"/>
                <w:sz w:val="24"/>
                <w:szCs w:val="24"/>
                <w:lang w:eastAsia="zh-CN"/>
              </w:rPr>
              <w:t>法定代表人授权书及被委托人身份证（法定代表人投标提供法定代表人身份证明及身份证）；</w:t>
            </w:r>
          </w:p>
          <w:p w14:paraId="0DF98BDA">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16"/>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7"/>
                <w:sz w:val="24"/>
                <w:szCs w:val="24"/>
              </w:rPr>
              <w:t>3、</w:t>
            </w:r>
            <w:r>
              <w:rPr>
                <w:rFonts w:hint="eastAsia" w:ascii="黑体" w:hAnsi="黑体" w:eastAsia="黑体" w:cs="黑体"/>
                <w:b/>
                <w:bCs/>
                <w:color w:val="auto"/>
                <w:spacing w:val="-7"/>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p w14:paraId="58DBA627">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hanging="3"/>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1"/>
                <w:sz w:val="24"/>
                <w:szCs w:val="24"/>
              </w:rPr>
              <w:t>4、</w:t>
            </w:r>
            <w:r>
              <w:rPr>
                <w:rFonts w:hint="eastAsia" w:ascii="黑体" w:hAnsi="黑体" w:eastAsia="黑体" w:cs="黑体"/>
                <w:b/>
                <w:bCs/>
                <w:color w:val="auto"/>
                <w:spacing w:val="-1"/>
                <w:sz w:val="24"/>
                <w:szCs w:val="24"/>
                <w:lang w:eastAsia="zh-CN"/>
              </w:rPr>
              <w:t>提供2023年度或2024年度的财务审计报告（新成立未满一年的公司需提供有效的银行资信证明）；</w:t>
            </w:r>
          </w:p>
          <w:p w14:paraId="7FD33CD5">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3"/>
                <w:sz w:val="24"/>
                <w:szCs w:val="24"/>
              </w:rPr>
              <w:t>5、</w:t>
            </w:r>
            <w:r>
              <w:rPr>
                <w:rFonts w:hint="eastAsia" w:ascii="黑体" w:hAnsi="黑体" w:eastAsia="黑体" w:cs="黑体"/>
                <w:b/>
                <w:bCs/>
                <w:color w:val="auto"/>
                <w:spacing w:val="-3"/>
                <w:sz w:val="24"/>
                <w:szCs w:val="24"/>
                <w:lang w:eastAsia="zh-CN"/>
              </w:rPr>
              <w:t>提供依法缴纳公告发布之日起近6个月任意1个月社会保险证明；</w:t>
            </w:r>
          </w:p>
          <w:p w14:paraId="7AAE970B">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pacing w:val="-2"/>
                <w:sz w:val="24"/>
                <w:szCs w:val="24"/>
              </w:rPr>
              <w:t>6、</w:t>
            </w:r>
            <w:r>
              <w:rPr>
                <w:rFonts w:hint="eastAsia" w:ascii="黑体" w:hAnsi="黑体" w:eastAsia="黑体" w:cs="黑体"/>
                <w:b/>
                <w:bCs/>
                <w:color w:val="auto"/>
                <w:spacing w:val="-2"/>
                <w:sz w:val="24"/>
                <w:szCs w:val="24"/>
                <w:lang w:eastAsia="zh-CN"/>
              </w:rPr>
              <w:t>提供依法缴纳公告发布之日起近6个月任意1个月的税收证明；</w:t>
            </w:r>
          </w:p>
          <w:p w14:paraId="2257537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right="0"/>
              <w:jc w:val="both"/>
              <w:textAlignment w:val="baseline"/>
              <w:rPr>
                <w:rFonts w:hint="eastAsia" w:ascii="黑体" w:hAnsi="黑体" w:eastAsia="黑体" w:cs="黑体"/>
                <w:color w:val="auto"/>
                <w:sz w:val="24"/>
                <w:szCs w:val="24"/>
                <w:lang w:eastAsia="zh-CN"/>
              </w:rPr>
            </w:pPr>
            <w:r>
              <w:rPr>
                <w:rFonts w:hint="eastAsia" w:ascii="黑体" w:hAnsi="黑体" w:eastAsia="黑体" w:cs="黑体"/>
                <w:b/>
                <w:bCs/>
                <w:color w:val="auto"/>
                <w:sz w:val="24"/>
                <w:szCs w:val="24"/>
              </w:rPr>
              <w:t>7、</w:t>
            </w:r>
            <w:r>
              <w:rPr>
                <w:rFonts w:hint="eastAsia" w:ascii="黑体" w:hAnsi="黑体" w:eastAsia="黑体" w:cs="黑体"/>
                <w:b/>
                <w:bCs/>
                <w:color w:val="auto"/>
                <w:sz w:val="24"/>
                <w:szCs w:val="24"/>
                <w:lang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中国政府采购网（http：//www.ccgp.gov.cn/search/cr/）严重违法失信行为记录名单的（尚在处罚期内的），国家企业信用信息公示系统（https：//www.gsxt.gov.cn/）列入经营异常名录信息、列入严重违法失信名单(黑名单)信息，将拒绝其参加本次招标活动；（以采购代理机构或采购人查询为准）</w:t>
            </w:r>
          </w:p>
          <w:p w14:paraId="138A7CC3">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firstLine="7"/>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8、提供参加政府采购活动前3年内在经营活动中没有重大违法记录的书面</w:t>
            </w:r>
            <w:r>
              <w:rPr>
                <w:rFonts w:hint="eastAsia" w:ascii="黑体" w:hAnsi="黑体" w:eastAsia="黑体" w:cs="黑体"/>
                <w:b/>
                <w:bCs/>
                <w:color w:val="auto"/>
                <w:spacing w:val="-1"/>
                <w:sz w:val="24"/>
                <w:szCs w:val="24"/>
              </w:rPr>
              <w:t>声明；</w:t>
            </w:r>
          </w:p>
          <w:p w14:paraId="3817ABD4">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9、缴纳投标保证金有效凭证。</w:t>
            </w:r>
          </w:p>
          <w:p w14:paraId="434FE7B1">
            <w:pPr>
              <w:keepNext w:val="0"/>
              <w:keepLines w:val="0"/>
              <w:pageBreakBefore w:val="0"/>
              <w:widowControl/>
              <w:kinsoku/>
              <w:wordWrap w:val="0"/>
              <w:overflowPunct/>
              <w:topLinePunct w:val="0"/>
              <w:autoSpaceDE w:val="0"/>
              <w:autoSpaceDN w:val="0"/>
              <w:bidi w:val="0"/>
              <w:adjustRightInd w:val="0"/>
              <w:snapToGrid w:val="0"/>
              <w:spacing w:line="500" w:lineRule="exact"/>
              <w:ind w:left="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注：“</w:t>
            </w:r>
            <w:r>
              <w:rPr>
                <w:rFonts w:hint="eastAsia" w:ascii="黑体" w:hAnsi="黑体" w:eastAsia="黑体" w:cs="黑体"/>
                <w:b/>
                <w:bCs/>
                <w:color w:val="auto"/>
                <w:spacing w:val="-3"/>
                <w:sz w:val="24"/>
                <w:szCs w:val="24"/>
                <w:lang w:eastAsia="zh-CN"/>
              </w:rPr>
              <w:t>提供依法缴纳公告发布之日起近6个月任意1个月的税收证明</w:t>
            </w:r>
            <w:r>
              <w:rPr>
                <w:rFonts w:hint="eastAsia" w:ascii="黑体" w:hAnsi="黑体" w:eastAsia="黑体" w:cs="黑体"/>
                <w:b/>
                <w:bCs/>
                <w:color w:val="auto"/>
                <w:spacing w:val="-3"/>
                <w:sz w:val="24"/>
                <w:szCs w:val="24"/>
              </w:rPr>
              <w:t>”：①若</w:t>
            </w:r>
            <w:r>
              <w:rPr>
                <w:rFonts w:hint="eastAsia" w:ascii="黑体" w:hAnsi="黑体" w:eastAsia="黑体" w:cs="黑体"/>
                <w:b/>
                <w:bCs/>
                <w:color w:val="auto"/>
                <w:spacing w:val="-4"/>
                <w:sz w:val="24"/>
                <w:szCs w:val="24"/>
              </w:rPr>
              <w:t>供应商某月税收为零申报，须提供当月加盖税务局公章的无欠税证明或“国家税务总局</w:t>
            </w:r>
            <w:r>
              <w:rPr>
                <w:rFonts w:hint="eastAsia" w:ascii="黑体" w:hAnsi="黑体" w:eastAsia="黑体" w:cs="黑体"/>
                <w:b/>
                <w:bCs/>
                <w:color w:val="auto"/>
                <w:spacing w:val="-1"/>
                <w:sz w:val="24"/>
                <w:szCs w:val="24"/>
              </w:rPr>
              <w:t>电子税务局（12366.chinatax.gov.cn/bsfw/onlinetaxation/main）”</w:t>
            </w:r>
            <w:r>
              <w:rPr>
                <w:rFonts w:hint="eastAsia" w:ascii="黑体" w:hAnsi="黑体" w:eastAsia="黑体" w:cs="黑体"/>
                <w:b/>
                <w:bCs/>
                <w:color w:val="auto"/>
                <w:spacing w:val="-4"/>
                <w:sz w:val="24"/>
                <w:szCs w:val="24"/>
              </w:rPr>
              <w:t>的申报结果查询截图。②完税证明中“税种”非养老保险、医疗保险、失业</w:t>
            </w:r>
            <w:r>
              <w:rPr>
                <w:rFonts w:hint="eastAsia" w:ascii="黑体" w:hAnsi="黑体" w:eastAsia="黑体" w:cs="黑体"/>
                <w:b/>
                <w:bCs/>
                <w:color w:val="auto"/>
                <w:spacing w:val="-1"/>
                <w:sz w:val="24"/>
                <w:szCs w:val="24"/>
              </w:rPr>
              <w:t>保险、工伤保险和生育保险。请各供应商注意！</w:t>
            </w:r>
          </w:p>
        </w:tc>
      </w:tr>
      <w:tr w14:paraId="779E3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67" w:type="dxa"/>
            <w:tcBorders>
              <w:left w:val="single" w:color="000000" w:sz="10" w:space="0"/>
            </w:tcBorders>
            <w:vAlign w:val="center"/>
          </w:tcPr>
          <w:p w14:paraId="3389DD83">
            <w:pPr>
              <w:keepNext w:val="0"/>
              <w:keepLines w:val="0"/>
              <w:pageBreakBefore w:val="0"/>
              <w:widowControl/>
              <w:kinsoku/>
              <w:wordWrap w:val="0"/>
              <w:overflowPunct/>
              <w:topLinePunct w:val="0"/>
              <w:bidi w:val="0"/>
              <w:spacing w:before="180"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5"/>
                <w:sz w:val="24"/>
                <w:szCs w:val="24"/>
              </w:rPr>
              <w:t>1.3.5</w:t>
            </w:r>
          </w:p>
        </w:tc>
        <w:tc>
          <w:tcPr>
            <w:tcW w:w="7973" w:type="dxa"/>
            <w:tcBorders>
              <w:right w:val="single" w:color="000000" w:sz="10" w:space="0"/>
            </w:tcBorders>
            <w:vAlign w:val="top"/>
          </w:tcPr>
          <w:p w14:paraId="0EEE0FAD">
            <w:pPr>
              <w:keepNext w:val="0"/>
              <w:keepLines w:val="0"/>
              <w:pageBreakBefore w:val="0"/>
              <w:widowControl/>
              <w:kinsoku/>
              <w:wordWrap w:val="0"/>
              <w:overflowPunct/>
              <w:topLinePunct w:val="0"/>
              <w:bidi w:val="0"/>
              <w:spacing w:before="120" w:line="500" w:lineRule="exact"/>
              <w:ind w:left="15"/>
              <w:rPr>
                <w:rFonts w:hint="eastAsia" w:ascii="黑体" w:hAnsi="黑体" w:eastAsia="黑体" w:cs="黑体"/>
                <w:color w:val="auto"/>
                <w:sz w:val="24"/>
                <w:szCs w:val="24"/>
              </w:rPr>
            </w:pPr>
            <w:r>
              <w:rPr>
                <w:rFonts w:hint="eastAsia" w:ascii="黑体" w:hAnsi="黑体" w:eastAsia="黑体" w:cs="黑体"/>
                <w:color w:val="auto"/>
                <w:spacing w:val="-1"/>
                <w:sz w:val="24"/>
                <w:szCs w:val="24"/>
              </w:rPr>
              <w:t>是否允许采购进口产品：</w:t>
            </w:r>
            <w:r>
              <w:rPr>
                <w:rFonts w:hint="eastAsia" w:ascii="黑体" w:hAnsi="黑体" w:eastAsia="黑体" w:cs="黑体"/>
                <w:color w:val="auto"/>
                <w:spacing w:val="-1"/>
                <w:sz w:val="24"/>
                <w:szCs w:val="24"/>
                <w:u w:val="single" w:color="auto"/>
                <w:lang w:val="en-US" w:eastAsia="zh-CN"/>
              </w:rPr>
              <w:t>是</w:t>
            </w:r>
            <w:r>
              <w:rPr>
                <w:rFonts w:hint="eastAsia" w:ascii="黑体" w:hAnsi="黑体" w:eastAsia="黑体" w:cs="黑体"/>
                <w:color w:val="auto"/>
                <w:spacing w:val="-1"/>
                <w:sz w:val="24"/>
                <w:szCs w:val="24"/>
              </w:rPr>
              <w:t>（是、否）</w:t>
            </w:r>
          </w:p>
        </w:tc>
      </w:tr>
      <w:tr w14:paraId="6E57C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67" w:type="dxa"/>
            <w:tcBorders>
              <w:left w:val="single" w:color="000000" w:sz="10" w:space="0"/>
            </w:tcBorders>
            <w:vAlign w:val="center"/>
          </w:tcPr>
          <w:p w14:paraId="17A80D43">
            <w:pPr>
              <w:keepNext w:val="0"/>
              <w:keepLines w:val="0"/>
              <w:pageBreakBefore w:val="0"/>
              <w:widowControl/>
              <w:kinsoku/>
              <w:wordWrap w:val="0"/>
              <w:overflowPunct/>
              <w:topLinePunct w:val="0"/>
              <w:bidi w:val="0"/>
              <w:spacing w:before="139"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5"/>
                <w:position w:val="-2"/>
                <w:sz w:val="24"/>
                <w:szCs w:val="24"/>
              </w:rPr>
              <w:t>1.3.6</w:t>
            </w:r>
          </w:p>
        </w:tc>
        <w:tc>
          <w:tcPr>
            <w:tcW w:w="7973" w:type="dxa"/>
            <w:tcBorders>
              <w:right w:val="single" w:color="000000" w:sz="10" w:space="0"/>
            </w:tcBorders>
            <w:vAlign w:val="top"/>
          </w:tcPr>
          <w:p w14:paraId="2E66D7F4">
            <w:pPr>
              <w:keepNext w:val="0"/>
              <w:keepLines w:val="0"/>
              <w:pageBreakBefore w:val="0"/>
              <w:widowControl/>
              <w:kinsoku/>
              <w:wordWrap w:val="0"/>
              <w:overflowPunct/>
              <w:topLinePunct w:val="0"/>
              <w:bidi w:val="0"/>
              <w:spacing w:before="79" w:line="500" w:lineRule="exact"/>
              <w:ind w:left="15"/>
              <w:rPr>
                <w:rFonts w:hint="eastAsia" w:ascii="黑体" w:hAnsi="黑体" w:eastAsia="黑体" w:cs="黑体"/>
                <w:color w:val="auto"/>
                <w:sz w:val="24"/>
                <w:szCs w:val="24"/>
              </w:rPr>
            </w:pPr>
            <w:r>
              <w:rPr>
                <w:rFonts w:hint="eastAsia" w:ascii="黑体" w:hAnsi="黑体" w:eastAsia="黑体" w:cs="黑体"/>
                <w:color w:val="auto"/>
                <w:spacing w:val="1"/>
                <w:sz w:val="24"/>
                <w:szCs w:val="24"/>
              </w:rPr>
              <w:t>是否为专门面向中小企业采购：</w:t>
            </w:r>
            <w:r>
              <w:rPr>
                <w:rFonts w:hint="eastAsia" w:ascii="黑体" w:hAnsi="黑体" w:eastAsia="黑体" w:cs="黑体"/>
                <w:color w:val="auto"/>
                <w:spacing w:val="1"/>
                <w:sz w:val="24"/>
                <w:szCs w:val="24"/>
                <w:u w:val="single"/>
              </w:rPr>
              <w:t>否</w:t>
            </w:r>
            <w:r>
              <w:rPr>
                <w:rFonts w:hint="eastAsia" w:ascii="黑体" w:hAnsi="黑体" w:eastAsia="黑体" w:cs="黑体"/>
                <w:color w:val="auto"/>
                <w:spacing w:val="1"/>
                <w:sz w:val="24"/>
                <w:szCs w:val="24"/>
              </w:rPr>
              <w:t>（是、否）</w:t>
            </w:r>
          </w:p>
        </w:tc>
      </w:tr>
      <w:tr w14:paraId="2EA8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17687725">
            <w:pPr>
              <w:keepNext w:val="0"/>
              <w:keepLines w:val="0"/>
              <w:pageBreakBefore w:val="0"/>
              <w:widowControl/>
              <w:kinsoku/>
              <w:wordWrap w:val="0"/>
              <w:overflowPunct/>
              <w:topLinePunct w:val="0"/>
              <w:bidi w:val="0"/>
              <w:spacing w:before="166"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9"/>
                <w:sz w:val="24"/>
                <w:szCs w:val="24"/>
              </w:rPr>
              <w:t>1.4</w:t>
            </w:r>
          </w:p>
        </w:tc>
        <w:tc>
          <w:tcPr>
            <w:tcW w:w="7973" w:type="dxa"/>
            <w:tcBorders>
              <w:right w:val="single" w:color="000000" w:sz="10" w:space="0"/>
            </w:tcBorders>
            <w:vAlign w:val="top"/>
          </w:tcPr>
          <w:p w14:paraId="5D7D92A0">
            <w:pPr>
              <w:keepNext w:val="0"/>
              <w:keepLines w:val="0"/>
              <w:pageBreakBefore w:val="0"/>
              <w:widowControl/>
              <w:kinsoku/>
              <w:wordWrap w:val="0"/>
              <w:overflowPunct/>
              <w:topLinePunct w:val="0"/>
              <w:bidi w:val="0"/>
              <w:spacing w:before="105" w:line="500" w:lineRule="exact"/>
              <w:ind w:left="15"/>
              <w:rPr>
                <w:rFonts w:hint="eastAsia" w:ascii="黑体" w:hAnsi="黑体" w:eastAsia="黑体" w:cs="黑体"/>
                <w:color w:val="auto"/>
                <w:sz w:val="25"/>
                <w:szCs w:val="25"/>
              </w:rPr>
            </w:pPr>
            <w:r>
              <w:rPr>
                <w:rFonts w:hint="eastAsia" w:ascii="黑体" w:hAnsi="黑体" w:eastAsia="黑体" w:cs="黑体"/>
                <w:i w:val="0"/>
                <w:iCs w:val="0"/>
                <w:color w:val="auto"/>
                <w:spacing w:val="-1"/>
                <w:sz w:val="24"/>
                <w:szCs w:val="24"/>
              </w:rPr>
              <w:t>是否允许联合体投标：</w:t>
            </w:r>
            <w:r>
              <w:rPr>
                <w:rFonts w:hint="eastAsia" w:ascii="黑体" w:hAnsi="黑体" w:eastAsia="黑体" w:cs="黑体"/>
                <w:i w:val="0"/>
                <w:iCs w:val="0"/>
                <w:color w:val="auto"/>
                <w:spacing w:val="-1"/>
                <w:sz w:val="24"/>
                <w:szCs w:val="24"/>
                <w:u w:val="single" w:color="auto"/>
              </w:rPr>
              <w:t>否</w:t>
            </w:r>
            <w:r>
              <w:rPr>
                <w:rFonts w:hint="eastAsia" w:ascii="黑体" w:hAnsi="黑体" w:eastAsia="黑体" w:cs="黑体"/>
                <w:i w:val="0"/>
                <w:iCs w:val="0"/>
                <w:color w:val="auto"/>
                <w:spacing w:val="-1"/>
                <w:sz w:val="25"/>
                <w:szCs w:val="25"/>
              </w:rPr>
              <w:t>（是、否）</w:t>
            </w:r>
          </w:p>
        </w:tc>
      </w:tr>
      <w:tr w14:paraId="3BE6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5043F019">
            <w:pPr>
              <w:keepNext w:val="0"/>
              <w:keepLines w:val="0"/>
              <w:pageBreakBefore w:val="0"/>
              <w:widowControl/>
              <w:kinsoku/>
              <w:wordWrap w:val="0"/>
              <w:overflowPunct/>
              <w:topLinePunct w:val="0"/>
              <w:bidi w:val="0"/>
              <w:spacing w:before="174"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5"/>
                <w:sz w:val="24"/>
                <w:szCs w:val="24"/>
              </w:rPr>
              <w:t>1.4.8</w:t>
            </w:r>
          </w:p>
        </w:tc>
        <w:tc>
          <w:tcPr>
            <w:tcW w:w="7973" w:type="dxa"/>
            <w:tcBorders>
              <w:right w:val="single" w:color="000000" w:sz="10" w:space="0"/>
            </w:tcBorders>
            <w:vAlign w:val="top"/>
          </w:tcPr>
          <w:p w14:paraId="58FA0662">
            <w:pPr>
              <w:keepNext w:val="0"/>
              <w:keepLines w:val="0"/>
              <w:pageBreakBefore w:val="0"/>
              <w:widowControl/>
              <w:kinsoku/>
              <w:wordWrap w:val="0"/>
              <w:overflowPunct/>
              <w:topLinePunct w:val="0"/>
              <w:bidi w:val="0"/>
              <w:spacing w:before="157" w:line="500" w:lineRule="exact"/>
              <w:ind w:left="17" w:leftChars="0"/>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z w:val="24"/>
                <w:szCs w:val="24"/>
              </w:rPr>
              <w:t>联合体的其他资格要求：无</w:t>
            </w:r>
          </w:p>
        </w:tc>
      </w:tr>
      <w:tr w14:paraId="10A7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40FDA8C2">
            <w:pPr>
              <w:keepNext w:val="0"/>
              <w:keepLines w:val="0"/>
              <w:pageBreakBefore w:val="0"/>
              <w:kinsoku/>
              <w:wordWrap w:val="0"/>
              <w:overflowPunct/>
              <w:topLinePunct w:val="0"/>
              <w:bidi w:val="0"/>
              <w:spacing w:line="500" w:lineRule="exact"/>
              <w:jc w:val="center"/>
              <w:textAlignment w:val="auto"/>
              <w:rPr>
                <w:rFonts w:hint="eastAsia" w:ascii="黑体" w:hAnsi="黑体" w:eastAsia="黑体" w:cs="黑体"/>
                <w:i w:val="0"/>
                <w:iCs w:val="0"/>
                <w:snapToGrid w:val="0"/>
                <w:color w:val="auto"/>
                <w:kern w:val="0"/>
                <w:sz w:val="24"/>
                <w:szCs w:val="24"/>
                <w:lang w:val="en-US" w:eastAsia="en-US" w:bidi="ar-SA"/>
              </w:rPr>
            </w:pPr>
            <w:r>
              <w:rPr>
                <w:rFonts w:hint="eastAsia" w:ascii="黑体" w:hAnsi="黑体" w:eastAsia="黑体" w:cs="黑体"/>
                <w:i w:val="0"/>
                <w:iCs w:val="0"/>
                <w:color w:val="auto"/>
                <w:sz w:val="24"/>
                <w:szCs w:val="24"/>
              </w:rPr>
              <w:t>2.2</w:t>
            </w:r>
          </w:p>
        </w:tc>
        <w:tc>
          <w:tcPr>
            <w:tcW w:w="7973" w:type="dxa"/>
            <w:tcBorders>
              <w:right w:val="single" w:color="000000" w:sz="10" w:space="0"/>
            </w:tcBorders>
            <w:vAlign w:val="center"/>
          </w:tcPr>
          <w:p w14:paraId="4CA1D006">
            <w:pPr>
              <w:keepNext w:val="0"/>
              <w:keepLines w:val="0"/>
              <w:pageBreakBefore w:val="0"/>
              <w:kinsoku/>
              <w:wordWrap w:val="0"/>
              <w:overflowPunct/>
              <w:topLinePunct w:val="0"/>
              <w:bidi w:val="0"/>
              <w:spacing w:line="500" w:lineRule="exact"/>
              <w:textAlignment w:val="auto"/>
              <w:rPr>
                <w:rFonts w:hint="eastAsia" w:ascii="黑体" w:hAnsi="黑体" w:eastAsia="黑体" w:cs="黑体"/>
                <w:b/>
                <w:bCs/>
                <w:i w:val="0"/>
                <w:iCs w:val="0"/>
                <w:snapToGrid w:val="0"/>
                <w:color w:val="auto"/>
                <w:kern w:val="0"/>
                <w:sz w:val="24"/>
                <w:szCs w:val="24"/>
                <w:highlight w:val="none"/>
                <w:u w:val="none"/>
                <w:lang w:val="en-US" w:eastAsia="zh-CN" w:bidi="ar-SA"/>
              </w:rPr>
            </w:pPr>
            <w:r>
              <w:rPr>
                <w:rFonts w:hint="eastAsia" w:ascii="黑体" w:hAnsi="黑体" w:eastAsia="黑体" w:cs="黑体"/>
                <w:b/>
                <w:bCs/>
                <w:i w:val="0"/>
                <w:iCs w:val="0"/>
                <w:snapToGrid w:val="0"/>
                <w:color w:val="auto"/>
                <w:kern w:val="0"/>
                <w:sz w:val="24"/>
                <w:szCs w:val="24"/>
                <w:highlight w:val="none"/>
                <w:u w:val="none"/>
                <w:lang w:val="en-US" w:eastAsia="zh-CN" w:bidi="ar-SA"/>
              </w:rPr>
              <w:t>预算金额（元）：2600000.00(大写：贰佰陆拾万元整)</w:t>
            </w:r>
          </w:p>
          <w:p w14:paraId="32720518">
            <w:pPr>
              <w:keepNext w:val="0"/>
              <w:keepLines w:val="0"/>
              <w:pageBreakBefore w:val="0"/>
              <w:kinsoku/>
              <w:wordWrap w:val="0"/>
              <w:overflowPunct/>
              <w:topLinePunct w:val="0"/>
              <w:bidi w:val="0"/>
              <w:spacing w:line="500" w:lineRule="exact"/>
              <w:textAlignment w:val="auto"/>
              <w:rPr>
                <w:rFonts w:hint="eastAsia" w:ascii="黑体" w:hAnsi="黑体" w:eastAsia="黑体" w:cs="黑体"/>
                <w:b/>
                <w:bCs/>
                <w:i w:val="0"/>
                <w:iCs w:val="0"/>
                <w:snapToGrid w:val="0"/>
                <w:color w:val="auto"/>
                <w:kern w:val="0"/>
                <w:sz w:val="24"/>
                <w:szCs w:val="24"/>
                <w:highlight w:val="none"/>
                <w:u w:val="none"/>
                <w:lang w:val="en-US" w:eastAsia="zh-CN" w:bidi="ar-SA"/>
              </w:rPr>
            </w:pPr>
            <w:r>
              <w:rPr>
                <w:rFonts w:hint="eastAsia" w:ascii="黑体" w:hAnsi="黑体" w:eastAsia="黑体" w:cs="黑体"/>
                <w:b/>
                <w:bCs/>
                <w:i w:val="0"/>
                <w:iCs w:val="0"/>
                <w:snapToGrid w:val="0"/>
                <w:color w:val="auto"/>
                <w:kern w:val="0"/>
                <w:sz w:val="24"/>
                <w:szCs w:val="24"/>
                <w:highlight w:val="none"/>
                <w:u w:val="none"/>
                <w:lang w:val="en-US" w:eastAsia="zh-CN" w:bidi="ar-SA"/>
              </w:rPr>
              <w:t>最高限价（元）：2600000.00(大写：贰佰陆拾万元整)</w:t>
            </w:r>
          </w:p>
          <w:p w14:paraId="6709395B">
            <w:pPr>
              <w:keepNext w:val="0"/>
              <w:keepLines w:val="0"/>
              <w:pageBreakBefore w:val="0"/>
              <w:kinsoku/>
              <w:wordWrap w:val="0"/>
              <w:overflowPunct/>
              <w:topLinePunct w:val="0"/>
              <w:bidi w:val="0"/>
              <w:spacing w:line="500" w:lineRule="exact"/>
              <w:textAlignment w:val="auto"/>
              <w:rPr>
                <w:rFonts w:hint="eastAsia" w:ascii="黑体" w:hAnsi="黑体" w:eastAsia="黑体" w:cs="黑体"/>
                <w:b/>
                <w:bCs/>
                <w:i w:val="0"/>
                <w:iCs w:val="0"/>
                <w:snapToGrid w:val="0"/>
                <w:color w:val="auto"/>
                <w:kern w:val="0"/>
                <w:sz w:val="24"/>
                <w:szCs w:val="24"/>
                <w:highlight w:val="none"/>
                <w:u w:val="none"/>
                <w:lang w:val="en-US" w:eastAsia="zh-CN" w:bidi="ar-SA"/>
              </w:rPr>
            </w:pPr>
            <w:r>
              <w:rPr>
                <w:rFonts w:hint="eastAsia" w:ascii="黑体" w:hAnsi="黑体" w:eastAsia="黑体" w:cs="黑体"/>
                <w:b/>
                <w:bCs/>
                <w:i w:val="0"/>
                <w:iCs w:val="0"/>
                <w:snapToGrid w:val="0"/>
                <w:color w:val="auto"/>
                <w:kern w:val="0"/>
                <w:sz w:val="24"/>
                <w:szCs w:val="24"/>
                <w:highlight w:val="none"/>
                <w:u w:val="none"/>
                <w:lang w:val="en-US" w:eastAsia="zh-CN" w:bidi="ar-SA"/>
              </w:rPr>
              <w:t>各投标人的投标报价不得超过投标最高限价金额，否则其投标文件将按否决投标处理。</w:t>
            </w:r>
          </w:p>
        </w:tc>
      </w:tr>
      <w:tr w14:paraId="57E7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522E9597">
            <w:pPr>
              <w:keepNext w:val="0"/>
              <w:keepLines w:val="0"/>
              <w:pageBreakBefore w:val="0"/>
              <w:widowControl/>
              <w:kinsoku/>
              <w:wordWrap w:val="0"/>
              <w:overflowPunct/>
              <w:topLinePunct w:val="0"/>
              <w:autoSpaceDE w:val="0"/>
              <w:autoSpaceDN w:val="0"/>
              <w:bidi w:val="0"/>
              <w:adjustRightInd w:val="0"/>
              <w:snapToGrid w:val="0"/>
              <w:spacing w:before="103"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6"/>
                <w:sz w:val="24"/>
                <w:szCs w:val="24"/>
              </w:rPr>
              <w:t>12.1</w:t>
            </w:r>
          </w:p>
        </w:tc>
        <w:tc>
          <w:tcPr>
            <w:tcW w:w="7973" w:type="dxa"/>
            <w:tcBorders>
              <w:right w:val="single" w:color="000000" w:sz="10" w:space="0"/>
            </w:tcBorders>
            <w:vAlign w:val="top"/>
          </w:tcPr>
          <w:p w14:paraId="4CBE8210">
            <w:pPr>
              <w:keepNext w:val="0"/>
              <w:keepLines w:val="0"/>
              <w:pageBreakBefore w:val="0"/>
              <w:widowControl/>
              <w:kinsoku/>
              <w:wordWrap w:val="0"/>
              <w:overflowPunct/>
              <w:topLinePunct w:val="0"/>
              <w:autoSpaceDE w:val="0"/>
              <w:autoSpaceDN w:val="0"/>
              <w:bidi w:val="0"/>
              <w:adjustRightInd w:val="0"/>
              <w:snapToGrid w:val="0"/>
              <w:spacing w:line="500" w:lineRule="exact"/>
              <w:jc w:val="left"/>
              <w:textAlignment w:val="auto"/>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sz w:val="24"/>
                <w:szCs w:val="24"/>
                <w:highlight w:val="none"/>
                <w:u w:val="none"/>
              </w:rPr>
              <w:t>投标保证金的形式：银行电汇或转账或</w:t>
            </w:r>
            <w:r>
              <w:rPr>
                <w:rFonts w:hint="eastAsia" w:ascii="黑体" w:hAnsi="黑体" w:eastAsia="黑体" w:cs="黑体"/>
                <w:i w:val="0"/>
                <w:iCs w:val="0"/>
                <w:color w:val="auto"/>
                <w:sz w:val="24"/>
                <w:szCs w:val="24"/>
                <w:highlight w:val="none"/>
                <w:u w:val="none"/>
                <w:lang w:eastAsia="zh-CN"/>
              </w:rPr>
              <w:t>银行</w:t>
            </w:r>
            <w:r>
              <w:rPr>
                <w:rFonts w:hint="eastAsia" w:ascii="黑体" w:hAnsi="黑体" w:eastAsia="黑体" w:cs="黑体"/>
                <w:i w:val="0"/>
                <w:iCs w:val="0"/>
                <w:color w:val="auto"/>
                <w:sz w:val="24"/>
                <w:szCs w:val="24"/>
                <w:highlight w:val="none"/>
                <w:u w:val="none"/>
              </w:rPr>
              <w:t>保函</w:t>
            </w:r>
            <w:r>
              <w:rPr>
                <w:rFonts w:hint="eastAsia" w:ascii="黑体" w:hAnsi="黑体" w:eastAsia="黑体" w:cs="黑体"/>
                <w:i w:val="0"/>
                <w:iCs w:val="0"/>
                <w:color w:val="auto"/>
                <w:sz w:val="24"/>
                <w:szCs w:val="24"/>
                <w:highlight w:val="none"/>
                <w:u w:val="none"/>
                <w:lang w:eastAsia="zh-CN"/>
              </w:rPr>
              <w:t>或电子保函</w:t>
            </w:r>
            <w:r>
              <w:rPr>
                <w:rFonts w:hint="eastAsia" w:ascii="黑体" w:hAnsi="黑体" w:eastAsia="黑体" w:cs="黑体"/>
                <w:i w:val="0"/>
                <w:iCs w:val="0"/>
                <w:color w:val="auto"/>
                <w:sz w:val="24"/>
                <w:szCs w:val="24"/>
                <w:highlight w:val="none"/>
                <w:u w:val="none"/>
              </w:rPr>
              <w:t>（</w:t>
            </w:r>
            <w:r>
              <w:rPr>
                <w:rFonts w:hint="eastAsia" w:ascii="黑体" w:hAnsi="黑体" w:eastAsia="黑体" w:cs="黑体"/>
                <w:i w:val="0"/>
                <w:iCs w:val="0"/>
                <w:color w:val="auto"/>
                <w:sz w:val="24"/>
                <w:szCs w:val="24"/>
                <w:highlight w:val="none"/>
                <w:u w:val="none"/>
                <w:lang w:val="en-US" w:eastAsia="zh-CN"/>
              </w:rPr>
              <w:t>法律</w:t>
            </w:r>
            <w:r>
              <w:rPr>
                <w:rFonts w:hint="eastAsia" w:ascii="黑体" w:hAnsi="黑体" w:eastAsia="黑体" w:cs="黑体"/>
                <w:i w:val="0"/>
                <w:iCs w:val="0"/>
                <w:color w:val="auto"/>
                <w:sz w:val="24"/>
                <w:szCs w:val="24"/>
                <w:highlight w:val="none"/>
                <w:u w:val="none"/>
                <w:lang w:eastAsia="zh-CN"/>
              </w:rPr>
              <w:t>允许的其他形式</w:t>
            </w:r>
            <w:r>
              <w:rPr>
                <w:rFonts w:hint="eastAsia" w:ascii="黑体" w:hAnsi="黑体" w:eastAsia="黑体" w:cs="黑体"/>
                <w:i w:val="0"/>
                <w:iCs w:val="0"/>
                <w:color w:val="auto"/>
                <w:sz w:val="24"/>
                <w:szCs w:val="24"/>
                <w:highlight w:val="none"/>
                <w:u w:val="none"/>
              </w:rPr>
              <w:t>）</w:t>
            </w:r>
          </w:p>
          <w:p w14:paraId="3D30EC90">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i w:val="0"/>
                <w:iCs w:val="0"/>
                <w:color w:val="auto"/>
                <w:sz w:val="24"/>
                <w:szCs w:val="24"/>
                <w:highlight w:val="none"/>
                <w:u w:val="none"/>
              </w:rPr>
              <w:t>投标保证金金额：</w:t>
            </w:r>
            <w:r>
              <w:rPr>
                <w:rFonts w:hint="eastAsia" w:ascii="黑体" w:hAnsi="黑体" w:eastAsia="黑体" w:cs="黑体"/>
                <w:b/>
                <w:bCs/>
                <w:color w:val="auto"/>
                <w:sz w:val="24"/>
                <w:szCs w:val="24"/>
                <w:lang w:val="en-US" w:eastAsia="zh-CN"/>
              </w:rPr>
              <w:t>50000.00元（大写：伍万元整）</w:t>
            </w:r>
          </w:p>
          <w:p w14:paraId="7D8E5199">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账户名称：智博国际工程咨询有限公司疏勒分公司</w:t>
            </w:r>
          </w:p>
          <w:p w14:paraId="52936AD7">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银行账号：1070 9687 2437</w:t>
            </w:r>
          </w:p>
          <w:p w14:paraId="50437693">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行号：1048 9400 1054</w:t>
            </w:r>
          </w:p>
          <w:p w14:paraId="6B310C28">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开户行：中国银行股份有限公司喀什市青年南路支行</w:t>
            </w:r>
          </w:p>
          <w:p w14:paraId="652DDCA1">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注：1、转账或电汇形式：投标保证金须从投标人基本帐户一次性转入指定账户，（以实际到账时间为准）。</w:t>
            </w:r>
          </w:p>
          <w:p w14:paraId="5557F3CF">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投标保证金提交截止时间：</w:t>
            </w:r>
            <w:r>
              <w:rPr>
                <w:rFonts w:hint="eastAsia" w:ascii="黑体" w:hAnsi="黑体" w:eastAsia="黑体" w:cs="黑体"/>
                <w:b/>
                <w:bCs/>
                <w:color w:val="auto"/>
                <w:sz w:val="24"/>
                <w:szCs w:val="24"/>
                <w:lang w:val="en-US" w:eastAsia="zh-CN"/>
              </w:rPr>
              <w:t>2025年05月06日11点00分（北京时间）</w:t>
            </w:r>
            <w:r>
              <w:rPr>
                <w:rFonts w:hint="eastAsia" w:ascii="黑体" w:hAnsi="黑体" w:eastAsia="黑体" w:cs="黑体"/>
                <w:color w:val="auto"/>
                <w:sz w:val="24"/>
                <w:szCs w:val="24"/>
                <w:lang w:val="en-US" w:eastAsia="zh-CN"/>
              </w:rPr>
              <w:t>（过期不予办理）；汇款时注明投标保证金项目名称及项目编号（如有包段，需注明包段）、可简写。投标保证金转入智博国际工程咨询有限公司疏勒分公司账户后，保证金汇款凭证扫描件上传到投标文件中。</w:t>
            </w:r>
          </w:p>
          <w:p w14:paraId="5D2C582A">
            <w:pPr>
              <w:keepNext w:val="0"/>
              <w:keepLines w:val="0"/>
              <w:pageBreakBefore w:val="0"/>
              <w:widowControl/>
              <w:kinsoku/>
              <w:wordWrap w:val="0"/>
              <w:overflowPunct/>
              <w:topLinePunct w:val="0"/>
              <w:autoSpaceDE w:val="0"/>
              <w:autoSpaceDN w:val="0"/>
              <w:bidi w:val="0"/>
              <w:adjustRightInd w:val="0"/>
              <w:snapToGrid w:val="0"/>
              <w:spacing w:line="50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保函形式：应在规定截止时间前开具完成并满足投标有效期等有关内容规定。（注：若采用电子保函形式：按照政采云电子投标流程制作并上传电子保函。采用银行保函时，出具保函的银行级别：应为国有商业银行或股份制银行的支行及其以上的银行，应将银行保函正本扫描件制作在招标文件内；金融机构、担保机构出具的保函扫描件扫描件制作在投标文件内）。</w:t>
            </w:r>
          </w:p>
          <w:p w14:paraId="4095B347">
            <w:pPr>
              <w:keepNext w:val="0"/>
              <w:keepLines w:val="0"/>
              <w:pageBreakBefore w:val="0"/>
              <w:widowControl/>
              <w:kinsoku/>
              <w:wordWrap w:val="0"/>
              <w:overflowPunct/>
              <w:topLinePunct w:val="0"/>
              <w:autoSpaceDE w:val="0"/>
              <w:autoSpaceDN w:val="0"/>
              <w:bidi w:val="0"/>
              <w:adjustRightInd w:val="0"/>
              <w:snapToGrid w:val="0"/>
              <w:spacing w:before="4" w:line="500" w:lineRule="exact"/>
              <w:ind w:left="17" w:leftChars="0" w:right="16" w:rightChars="0" w:firstLine="34" w:firstLineChars="0"/>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val="en-US" w:eastAsia="zh-CN"/>
              </w:rPr>
              <w:t>3、根据《政府采购货物和服务招标投标管理办法》第三十八条采购人或者采购代理机构应当在采购活动结束后及时退还供应商的投标保证金，但因供应商自身原因导致无法及时退还的除外。未成交供应商的投标保证金应当在成交通知书发出后5个工作日内退还，成交供应商的投标保证金应当在采购合同签订后5个工作日内退还。</w:t>
            </w:r>
          </w:p>
        </w:tc>
      </w:tr>
      <w:tr w14:paraId="3450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14C3EB50">
            <w:pPr>
              <w:keepNext w:val="0"/>
              <w:keepLines w:val="0"/>
              <w:pageBreakBefore w:val="0"/>
              <w:widowControl/>
              <w:kinsoku/>
              <w:wordWrap w:val="0"/>
              <w:overflowPunct/>
              <w:topLinePunct w:val="0"/>
              <w:bidi w:val="0"/>
              <w:spacing w:before="119"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bCs/>
                <w:color w:val="auto"/>
                <w:position w:val="-3"/>
                <w:sz w:val="24"/>
                <w:szCs w:val="24"/>
              </w:rPr>
              <w:t>13.1</w:t>
            </w:r>
          </w:p>
        </w:tc>
        <w:tc>
          <w:tcPr>
            <w:tcW w:w="7973" w:type="dxa"/>
            <w:tcBorders>
              <w:right w:val="single" w:color="000000" w:sz="10" w:space="0"/>
            </w:tcBorders>
            <w:vAlign w:val="top"/>
          </w:tcPr>
          <w:p w14:paraId="7281506D">
            <w:pPr>
              <w:keepNext w:val="0"/>
              <w:keepLines w:val="0"/>
              <w:pageBreakBefore w:val="0"/>
              <w:widowControl/>
              <w:kinsoku/>
              <w:wordWrap w:val="0"/>
              <w:overflowPunct/>
              <w:topLinePunct w:val="0"/>
              <w:bidi w:val="0"/>
              <w:spacing w:before="104" w:line="500" w:lineRule="exact"/>
              <w:ind w:left="18" w:leftChars="0"/>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b/>
                <w:bCs/>
                <w:color w:val="auto"/>
                <w:spacing w:val="-4"/>
                <w:position w:val="-1"/>
                <w:sz w:val="24"/>
                <w:szCs w:val="24"/>
              </w:rPr>
              <w:t>投标有效期：90日历日</w:t>
            </w:r>
          </w:p>
        </w:tc>
      </w:tr>
      <w:tr w14:paraId="0488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00F87F5C">
            <w:pPr>
              <w:keepNext w:val="0"/>
              <w:keepLines w:val="0"/>
              <w:pageBreakBefore w:val="0"/>
              <w:widowControl/>
              <w:kinsoku/>
              <w:wordWrap w:val="0"/>
              <w:overflowPunct/>
              <w:topLinePunct w:val="0"/>
              <w:bidi w:val="0"/>
              <w:spacing w:before="103"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6"/>
                <w:sz w:val="24"/>
                <w:szCs w:val="24"/>
              </w:rPr>
              <w:t>14.1</w:t>
            </w:r>
          </w:p>
        </w:tc>
        <w:tc>
          <w:tcPr>
            <w:tcW w:w="7973" w:type="dxa"/>
            <w:tcBorders>
              <w:right w:val="single" w:color="000000" w:sz="10" w:space="0"/>
            </w:tcBorders>
            <w:vAlign w:val="top"/>
          </w:tcPr>
          <w:p w14:paraId="2BC96E6F">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4"/>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4"/>
                <w:sz w:val="24"/>
                <w:szCs w:val="24"/>
                <w:lang w:eastAsia="zh-CN"/>
              </w:rPr>
              <w:t>（</w:t>
            </w:r>
            <w:r>
              <w:rPr>
                <w:rFonts w:hint="eastAsia" w:ascii="黑体" w:hAnsi="黑体" w:eastAsia="黑体" w:cs="黑体"/>
                <w:b/>
                <w:bCs/>
                <w:color w:val="auto"/>
                <w:spacing w:val="-4"/>
                <w:sz w:val="24"/>
                <w:szCs w:val="24"/>
                <w:lang w:val="en-US" w:eastAsia="zh-CN"/>
              </w:rPr>
              <w:t>1</w:t>
            </w:r>
            <w:r>
              <w:rPr>
                <w:rFonts w:hint="eastAsia" w:ascii="黑体" w:hAnsi="黑体" w:eastAsia="黑体" w:cs="黑体"/>
                <w:b/>
                <w:bCs/>
                <w:color w:val="auto"/>
                <w:spacing w:val="-4"/>
                <w:sz w:val="24"/>
                <w:szCs w:val="24"/>
                <w:lang w:eastAsia="zh-CN"/>
              </w:rPr>
              <w:t>）</w:t>
            </w:r>
            <w:r>
              <w:rPr>
                <w:rFonts w:hint="eastAsia" w:ascii="黑体" w:hAnsi="黑体" w:eastAsia="黑体" w:cs="黑体"/>
                <w:b/>
                <w:bCs/>
                <w:color w:val="auto"/>
                <w:spacing w:val="-4"/>
                <w:sz w:val="24"/>
                <w:szCs w:val="24"/>
              </w:rPr>
              <w:t>本项目为电子招投标，供应商需要使用CA加密设备，凡参加本项目</w:t>
            </w:r>
            <w:r>
              <w:rPr>
                <w:rFonts w:hint="eastAsia" w:ascii="黑体" w:hAnsi="黑体" w:eastAsia="黑体" w:cs="黑体"/>
                <w:b/>
                <w:bCs/>
                <w:color w:val="auto"/>
                <w:spacing w:val="-3"/>
                <w:sz w:val="24"/>
                <w:szCs w:val="24"/>
              </w:rPr>
              <w:t>必须可自主通过新疆CA申领渠道“新疆政务通”申请政采云平台可使用的</w:t>
            </w:r>
            <w:r>
              <w:rPr>
                <w:rFonts w:hint="eastAsia" w:ascii="黑体" w:hAnsi="黑体" w:eastAsia="黑体" w:cs="黑体"/>
                <w:b/>
                <w:bCs/>
                <w:color w:val="auto"/>
                <w:spacing w:val="-4"/>
                <w:sz w:val="24"/>
                <w:szCs w:val="24"/>
              </w:rPr>
              <w:t>CA设备，如原有兵团或公共资源使用的CA，可与新疆CA联系，申请增</w:t>
            </w:r>
            <w:r>
              <w:rPr>
                <w:rFonts w:hint="eastAsia" w:ascii="黑体" w:hAnsi="黑体" w:eastAsia="黑体" w:cs="黑体"/>
                <w:b/>
                <w:bCs/>
                <w:color w:val="auto"/>
                <w:spacing w:val="-3"/>
                <w:sz w:val="24"/>
                <w:szCs w:val="24"/>
              </w:rPr>
              <w:t>加电子证书即可，无需重复申领。如需咨询，请联系新疆CA服务热线09</w:t>
            </w:r>
            <w:r>
              <w:rPr>
                <w:rFonts w:hint="eastAsia" w:ascii="黑体" w:hAnsi="黑体" w:eastAsia="黑体" w:cs="黑体"/>
                <w:b/>
                <w:bCs/>
                <w:color w:val="auto"/>
                <w:spacing w:val="-1"/>
                <w:sz w:val="24"/>
                <w:szCs w:val="24"/>
              </w:rPr>
              <w:t>91-2819290。</w:t>
            </w:r>
          </w:p>
          <w:p w14:paraId="6A1072DD">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3"/>
              <w:textAlignment w:val="baseline"/>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（2）本项目实行网上投标，采用电子投标文件(供应商须使用CA加密设备</w:t>
            </w:r>
            <w:r>
              <w:rPr>
                <w:rFonts w:hint="eastAsia" w:ascii="黑体" w:hAnsi="黑体" w:eastAsia="黑体" w:cs="黑体"/>
                <w:b/>
                <w:bCs/>
                <w:color w:val="auto"/>
                <w:spacing w:val="-2"/>
                <w:sz w:val="24"/>
                <w:szCs w:val="24"/>
              </w:rPr>
              <w:t>通过政采云电子投标客户端制作投标文件)。若供应商参与投标，自行承担</w:t>
            </w:r>
            <w:r>
              <w:rPr>
                <w:rFonts w:hint="eastAsia" w:ascii="黑体" w:hAnsi="黑体" w:eastAsia="黑体" w:cs="黑体"/>
                <w:b/>
                <w:bCs/>
                <w:color w:val="auto"/>
                <w:spacing w:val="-1"/>
                <w:sz w:val="24"/>
                <w:szCs w:val="24"/>
              </w:rPr>
              <w:t>投标一切费用。</w:t>
            </w:r>
          </w:p>
          <w:p w14:paraId="3760F69C">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28"/>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（3）各供应商应在开标前应确保成为新疆政府采购网正式注册入库供应</w:t>
            </w:r>
            <w:r>
              <w:rPr>
                <w:rFonts w:hint="eastAsia" w:ascii="黑体" w:hAnsi="黑体" w:eastAsia="黑体" w:cs="黑体"/>
                <w:b/>
                <w:bCs/>
                <w:color w:val="auto"/>
                <w:spacing w:val="-3"/>
                <w:sz w:val="24"/>
                <w:szCs w:val="24"/>
              </w:rPr>
              <w:t>商，并完成CA数字证书申领。因未注册入库、未办理CA数字证书</w:t>
            </w:r>
            <w:r>
              <w:rPr>
                <w:rFonts w:hint="eastAsia" w:ascii="黑体" w:hAnsi="黑体" w:eastAsia="黑体" w:cs="黑体"/>
                <w:b/>
                <w:bCs/>
                <w:color w:val="auto"/>
                <w:spacing w:val="-4"/>
                <w:sz w:val="24"/>
                <w:szCs w:val="24"/>
              </w:rPr>
              <w:t>等原因</w:t>
            </w:r>
            <w:r>
              <w:rPr>
                <w:rFonts w:hint="eastAsia" w:ascii="黑体" w:hAnsi="黑体" w:eastAsia="黑体" w:cs="黑体"/>
                <w:b/>
                <w:bCs/>
                <w:color w:val="auto"/>
                <w:spacing w:val="-1"/>
                <w:sz w:val="24"/>
                <w:szCs w:val="24"/>
              </w:rPr>
              <w:t>造成无法投标或投标失败等后果由供应商自行承担。</w:t>
            </w:r>
          </w:p>
          <w:p w14:paraId="75401D4F">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4"/>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（4）供应商将政采云电子交易客户端下载、安装完成后，可通</w:t>
            </w:r>
            <w:r>
              <w:rPr>
                <w:rFonts w:hint="eastAsia" w:ascii="黑体" w:hAnsi="黑体" w:eastAsia="黑体" w:cs="黑体"/>
                <w:b/>
                <w:bCs/>
                <w:color w:val="auto"/>
                <w:spacing w:val="-3"/>
                <w:sz w:val="24"/>
                <w:szCs w:val="24"/>
              </w:rPr>
              <w:t>过账号密码或CA登录客户端进行投标文件制作。在使用政采云投标客户端时，建议使</w:t>
            </w:r>
            <w:r>
              <w:rPr>
                <w:rFonts w:hint="eastAsia" w:ascii="黑体" w:hAnsi="黑体" w:eastAsia="黑体" w:cs="黑体"/>
                <w:b/>
                <w:bCs/>
                <w:color w:val="auto"/>
                <w:spacing w:val="-1"/>
                <w:sz w:val="24"/>
                <w:szCs w:val="24"/>
              </w:rPr>
              <w:t>用WIN7及以上操作系统。客户端请至新疆政府采购网（http</w:t>
            </w:r>
            <w:r>
              <w:rPr>
                <w:rFonts w:hint="eastAsia" w:ascii="黑体" w:hAnsi="黑体" w:eastAsia="黑体" w:cs="黑体"/>
                <w:b/>
                <w:bCs/>
                <w:color w:val="auto"/>
                <w:spacing w:val="-1"/>
                <w:sz w:val="24"/>
                <w:szCs w:val="24"/>
                <w:lang w:eastAsia="zh-CN"/>
              </w:rPr>
              <w:t>：</w:t>
            </w:r>
            <w:r>
              <w:rPr>
                <w:rFonts w:hint="eastAsia" w:ascii="黑体" w:hAnsi="黑体" w:eastAsia="黑体" w:cs="黑体"/>
                <w:b/>
                <w:bCs/>
                <w:color w:val="auto"/>
                <w:spacing w:val="-1"/>
                <w:sz w:val="24"/>
                <w:szCs w:val="24"/>
              </w:rPr>
              <w:t>//www.cc</w:t>
            </w:r>
            <w:r>
              <w:rPr>
                <w:rFonts w:hint="eastAsia" w:ascii="黑体" w:hAnsi="黑体" w:eastAsia="黑体" w:cs="黑体"/>
                <w:b/>
                <w:bCs/>
                <w:color w:val="auto"/>
                <w:spacing w:val="6"/>
                <w:sz w:val="24"/>
                <w:szCs w:val="24"/>
              </w:rPr>
              <w:t xml:space="preserve"> </w:t>
            </w:r>
            <w:r>
              <w:rPr>
                <w:rFonts w:hint="eastAsia" w:ascii="黑体" w:hAnsi="黑体" w:eastAsia="黑体" w:cs="黑体"/>
                <w:b/>
                <w:bCs/>
                <w:color w:val="auto"/>
                <w:spacing w:val="-2"/>
                <w:sz w:val="24"/>
                <w:szCs w:val="24"/>
              </w:rPr>
              <w:t>gp-xinjiang.gov.cn/）下载专区查看，如有问题可拨打政采云客户服务热线400-881-7190进行咨询。</w:t>
            </w:r>
          </w:p>
          <w:p w14:paraId="5897AF13">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4"/>
              <w:textAlignment w:val="baseline"/>
              <w:rPr>
                <w:rFonts w:hint="eastAsia" w:ascii="黑体" w:hAnsi="黑体" w:eastAsia="黑体" w:cs="黑体"/>
                <w:color w:val="auto"/>
                <w:sz w:val="24"/>
                <w:szCs w:val="24"/>
              </w:rPr>
            </w:pPr>
            <w:r>
              <w:rPr>
                <w:rFonts w:hint="eastAsia" w:ascii="黑体" w:hAnsi="黑体" w:eastAsia="黑体" w:cs="黑体"/>
                <w:b/>
                <w:bCs/>
                <w:color w:val="auto"/>
                <w:spacing w:val="-7"/>
                <w:sz w:val="24"/>
                <w:szCs w:val="24"/>
              </w:rPr>
              <w:t>（5）供应商在开标时须使用制作加密电子投</w:t>
            </w:r>
            <w:r>
              <w:rPr>
                <w:rFonts w:hint="eastAsia" w:ascii="黑体" w:hAnsi="黑体" w:eastAsia="黑体" w:cs="黑体"/>
                <w:b/>
                <w:bCs/>
                <w:color w:val="auto"/>
                <w:spacing w:val="-8"/>
                <w:sz w:val="24"/>
                <w:szCs w:val="24"/>
              </w:rPr>
              <w:t>标文件所使用的CA锁及电脑，</w:t>
            </w:r>
            <w:r>
              <w:rPr>
                <w:rFonts w:hint="eastAsia" w:ascii="黑体" w:hAnsi="黑体" w:eastAsia="黑体" w:cs="黑体"/>
                <w:b/>
                <w:bCs/>
                <w:color w:val="auto"/>
                <w:spacing w:val="-3"/>
                <w:sz w:val="24"/>
                <w:szCs w:val="24"/>
              </w:rPr>
              <w:t>电脑须提前配置好浏览器（建议使用360浏览器或谷歌浏览器</w:t>
            </w:r>
            <w:r>
              <w:rPr>
                <w:rFonts w:hint="eastAsia" w:ascii="黑体" w:hAnsi="黑体" w:eastAsia="黑体" w:cs="黑体"/>
                <w:b/>
                <w:bCs/>
                <w:color w:val="auto"/>
                <w:spacing w:val="-7"/>
                <w:sz w:val="24"/>
                <w:szCs w:val="24"/>
              </w:rPr>
              <w:t>），</w:t>
            </w:r>
            <w:r>
              <w:rPr>
                <w:rFonts w:hint="eastAsia" w:ascii="黑体" w:hAnsi="黑体" w:eastAsia="黑体" w:cs="黑体"/>
                <w:b/>
                <w:bCs/>
                <w:color w:val="auto"/>
                <w:spacing w:val="-3"/>
                <w:sz w:val="24"/>
                <w:szCs w:val="24"/>
              </w:rPr>
              <w:t>以便开</w:t>
            </w:r>
            <w:r>
              <w:rPr>
                <w:rFonts w:hint="eastAsia" w:ascii="黑体" w:hAnsi="黑体" w:eastAsia="黑体" w:cs="黑体"/>
                <w:b/>
                <w:bCs/>
                <w:color w:val="auto"/>
                <w:spacing w:val="-2"/>
                <w:sz w:val="24"/>
                <w:szCs w:val="24"/>
              </w:rPr>
              <w:t>标时解锁。</w:t>
            </w:r>
          </w:p>
          <w:p w14:paraId="1E98796A">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3"/>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（6）投标保证金缴纳及确认时间：凡拟参加本次招标项目的供</w:t>
            </w:r>
            <w:r>
              <w:rPr>
                <w:rFonts w:hint="eastAsia" w:ascii="黑体" w:hAnsi="黑体" w:eastAsia="黑体" w:cs="黑体"/>
                <w:b/>
                <w:bCs/>
                <w:color w:val="auto"/>
                <w:spacing w:val="-3"/>
                <w:sz w:val="24"/>
                <w:szCs w:val="24"/>
              </w:rPr>
              <w:t>应商，必须</w:t>
            </w:r>
            <w:r>
              <w:rPr>
                <w:rFonts w:hint="eastAsia" w:ascii="黑体" w:hAnsi="黑体" w:eastAsia="黑体" w:cs="黑体"/>
                <w:b/>
                <w:bCs/>
                <w:color w:val="auto"/>
                <w:spacing w:val="-1"/>
                <w:sz w:val="24"/>
                <w:szCs w:val="24"/>
              </w:rPr>
              <w:t>在开标前将投标保证金汇入指定账户。否则，届时其投</w:t>
            </w:r>
            <w:r>
              <w:rPr>
                <w:rFonts w:hint="eastAsia" w:ascii="黑体" w:hAnsi="黑体" w:eastAsia="黑体" w:cs="黑体"/>
                <w:b/>
                <w:bCs/>
                <w:color w:val="auto"/>
                <w:spacing w:val="-2"/>
                <w:sz w:val="24"/>
                <w:szCs w:val="24"/>
              </w:rPr>
              <w:t>标将被拒绝。</w:t>
            </w:r>
          </w:p>
          <w:p w14:paraId="2A9879C0">
            <w:pPr>
              <w:keepNext w:val="0"/>
              <w:keepLines w:val="0"/>
              <w:pageBreakBefore w:val="0"/>
              <w:widowControl/>
              <w:kinsoku w:val="0"/>
              <w:wordWrap w:val="0"/>
              <w:overflowPunct/>
              <w:topLinePunct w:val="0"/>
              <w:autoSpaceDE/>
              <w:autoSpaceDN/>
              <w:bidi w:val="0"/>
              <w:adjustRightInd w:val="0"/>
              <w:snapToGrid w:val="0"/>
              <w:spacing w:line="460" w:lineRule="exact"/>
              <w:ind w:left="0" w:right="0" w:firstLine="37"/>
              <w:textAlignment w:val="baseline"/>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（7）供应商对不见面开评标系统的技术操作咨询，可通过https</w:t>
            </w:r>
            <w:r>
              <w:rPr>
                <w:rFonts w:hint="eastAsia" w:ascii="黑体" w:hAnsi="黑体" w:eastAsia="黑体" w:cs="黑体"/>
                <w:b/>
                <w:bCs/>
                <w:color w:val="auto"/>
                <w:spacing w:val="-2"/>
                <w:sz w:val="24"/>
                <w:szCs w:val="24"/>
                <w:lang w:eastAsia="zh-CN"/>
              </w:rPr>
              <w:t>：</w:t>
            </w:r>
            <w:r>
              <w:rPr>
                <w:rFonts w:hint="eastAsia" w:ascii="黑体" w:hAnsi="黑体" w:eastAsia="黑体" w:cs="黑体"/>
                <w:b/>
                <w:bCs/>
                <w:color w:val="auto"/>
                <w:spacing w:val="-2"/>
                <w:sz w:val="24"/>
                <w:szCs w:val="24"/>
              </w:rPr>
              <w:t>//</w:t>
            </w:r>
            <w:r>
              <w:rPr>
                <w:rFonts w:hint="eastAsia" w:ascii="黑体" w:hAnsi="黑体" w:eastAsia="黑体" w:cs="黑体"/>
                <w:b/>
                <w:bCs/>
                <w:color w:val="auto"/>
                <w:spacing w:val="-3"/>
                <w:sz w:val="24"/>
                <w:szCs w:val="24"/>
              </w:rPr>
              <w:t>edu.z cygov.cn/luban/xinjiang-e-biding自助查询，也可在政采云帮助中</w:t>
            </w:r>
            <w:r>
              <w:rPr>
                <w:rFonts w:hint="eastAsia" w:ascii="黑体" w:hAnsi="黑体" w:eastAsia="黑体" w:cs="黑体"/>
                <w:b/>
                <w:bCs/>
                <w:color w:val="auto"/>
                <w:spacing w:val="-4"/>
                <w:sz w:val="24"/>
                <w:szCs w:val="24"/>
              </w:rPr>
              <w:t>心常</w:t>
            </w:r>
            <w:r>
              <w:rPr>
                <w:rFonts w:hint="eastAsia" w:ascii="黑体" w:hAnsi="黑体" w:eastAsia="黑体" w:cs="黑体"/>
                <w:b/>
                <w:bCs/>
                <w:color w:val="auto"/>
                <w:spacing w:val="-1"/>
                <w:sz w:val="24"/>
                <w:szCs w:val="24"/>
              </w:rPr>
              <w:t>见问题解答和操作流程讲解视频中自助查询，网址为：https</w:t>
            </w:r>
            <w:r>
              <w:rPr>
                <w:rFonts w:hint="eastAsia" w:ascii="黑体" w:hAnsi="黑体" w:eastAsia="黑体" w:cs="黑体"/>
                <w:b/>
                <w:bCs/>
                <w:color w:val="auto"/>
                <w:spacing w:val="-1"/>
                <w:sz w:val="24"/>
                <w:szCs w:val="24"/>
                <w:lang w:eastAsia="zh-CN"/>
              </w:rPr>
              <w:t>：</w:t>
            </w:r>
            <w:r>
              <w:rPr>
                <w:rFonts w:hint="eastAsia" w:ascii="黑体" w:hAnsi="黑体" w:eastAsia="黑体" w:cs="黑体"/>
                <w:b/>
                <w:bCs/>
                <w:color w:val="auto"/>
                <w:spacing w:val="-1"/>
                <w:sz w:val="24"/>
                <w:szCs w:val="24"/>
              </w:rPr>
              <w:t>//service.</w:t>
            </w:r>
            <w:r>
              <w:rPr>
                <w:rFonts w:hint="eastAsia" w:ascii="黑体" w:hAnsi="黑体" w:eastAsia="黑体" w:cs="黑体"/>
                <w:b/>
                <w:bCs/>
                <w:color w:val="auto"/>
                <w:spacing w:val="-2"/>
                <w:sz w:val="24"/>
                <w:szCs w:val="24"/>
              </w:rPr>
              <w:t>zc</w:t>
            </w:r>
            <w:r>
              <w:rPr>
                <w:rFonts w:hint="eastAsia" w:ascii="黑体" w:hAnsi="黑体" w:eastAsia="黑体" w:cs="黑体"/>
                <w:b/>
                <w:bCs/>
                <w:color w:val="auto"/>
                <w:sz w:val="24"/>
                <w:szCs w:val="24"/>
              </w:rPr>
              <w:t xml:space="preserve"> </w:t>
            </w:r>
            <w:r>
              <w:rPr>
                <w:rFonts w:hint="eastAsia" w:ascii="黑体" w:hAnsi="黑体" w:eastAsia="黑体" w:cs="黑体"/>
                <w:b/>
                <w:bCs/>
                <w:color w:val="auto"/>
                <w:spacing w:val="-1"/>
                <w:sz w:val="24"/>
                <w:szCs w:val="24"/>
              </w:rPr>
              <w:t>ygov.cn/#/help，“项目采购”—“操作流程-电</w:t>
            </w:r>
            <w:r>
              <w:rPr>
                <w:rFonts w:hint="eastAsia" w:ascii="黑体" w:hAnsi="黑体" w:eastAsia="黑体" w:cs="黑体"/>
                <w:b/>
                <w:bCs/>
                <w:color w:val="auto"/>
                <w:spacing w:val="-2"/>
                <w:sz w:val="24"/>
                <w:szCs w:val="24"/>
              </w:rPr>
              <w:t>子招投标”—“政府采</w:t>
            </w:r>
            <w:r>
              <w:rPr>
                <w:rFonts w:hint="eastAsia" w:ascii="黑体" w:hAnsi="黑体" w:eastAsia="黑体" w:cs="黑体"/>
                <w:b/>
                <w:bCs/>
                <w:color w:val="auto"/>
                <w:spacing w:val="-1"/>
                <w:sz w:val="24"/>
                <w:szCs w:val="24"/>
              </w:rPr>
              <w:t>购项目电子交易管理操作指南-供应商”版面获取操作指</w:t>
            </w:r>
            <w:r>
              <w:rPr>
                <w:rFonts w:hint="eastAsia" w:ascii="黑体" w:hAnsi="黑体" w:eastAsia="黑体" w:cs="黑体"/>
                <w:b/>
                <w:bCs/>
                <w:color w:val="auto"/>
                <w:spacing w:val="-2"/>
                <w:sz w:val="24"/>
                <w:szCs w:val="24"/>
              </w:rPr>
              <w:t>南，同时对自助查</w:t>
            </w:r>
            <w:r>
              <w:rPr>
                <w:rFonts w:hint="eastAsia" w:ascii="黑体" w:hAnsi="黑体" w:eastAsia="黑体" w:cs="黑体"/>
                <w:b/>
                <w:bCs/>
                <w:color w:val="auto"/>
                <w:spacing w:val="-3"/>
                <w:sz w:val="24"/>
                <w:szCs w:val="24"/>
              </w:rPr>
              <w:t>询无法解决的问题可通过钉钉群及政采云在线客服获取服务支持。供应商钉</w:t>
            </w:r>
            <w:r>
              <w:rPr>
                <w:rFonts w:hint="eastAsia" w:ascii="黑体" w:hAnsi="黑体" w:eastAsia="黑体" w:cs="黑体"/>
                <w:b/>
                <w:bCs/>
                <w:color w:val="auto"/>
                <w:sz w:val="24"/>
                <w:szCs w:val="24"/>
              </w:rPr>
              <w:t>钉群号：政采云新疆网超供应商服务二十群：3554</w:t>
            </w:r>
            <w:r>
              <w:rPr>
                <w:rFonts w:hint="eastAsia" w:ascii="黑体" w:hAnsi="黑体" w:eastAsia="黑体" w:cs="黑体"/>
                <w:b/>
                <w:bCs/>
                <w:color w:val="auto"/>
                <w:spacing w:val="-1"/>
                <w:sz w:val="24"/>
                <w:szCs w:val="24"/>
              </w:rPr>
              <w:t>7618（如已加入1-19</w:t>
            </w:r>
            <w:r>
              <w:rPr>
                <w:rFonts w:hint="eastAsia" w:ascii="黑体" w:hAnsi="黑体" w:eastAsia="黑体" w:cs="黑体"/>
                <w:b/>
                <w:bCs/>
                <w:color w:val="auto"/>
                <w:spacing w:val="-2"/>
                <w:sz w:val="24"/>
                <w:szCs w:val="24"/>
              </w:rPr>
              <w:t>群，无需重复加入</w:t>
            </w:r>
            <w:r>
              <w:rPr>
                <w:rFonts w:hint="eastAsia" w:ascii="黑体" w:hAnsi="黑体" w:eastAsia="黑体" w:cs="黑体"/>
                <w:b/>
                <w:bCs/>
                <w:color w:val="auto"/>
                <w:spacing w:val="-17"/>
                <w:sz w:val="24"/>
                <w:szCs w:val="24"/>
              </w:rPr>
              <w:t>），</w:t>
            </w:r>
            <w:r>
              <w:rPr>
                <w:rFonts w:hint="eastAsia" w:ascii="黑体" w:hAnsi="黑体" w:eastAsia="黑体" w:cs="黑体"/>
                <w:b/>
                <w:bCs/>
                <w:color w:val="auto"/>
                <w:spacing w:val="-2"/>
                <w:sz w:val="24"/>
                <w:szCs w:val="24"/>
              </w:rPr>
              <w:t>钉钉工具软件具有回放功能，直播培训结束后可在钉</w:t>
            </w:r>
            <w:r>
              <w:rPr>
                <w:rFonts w:hint="eastAsia" w:ascii="黑体" w:hAnsi="黑体" w:eastAsia="黑体" w:cs="黑体"/>
                <w:b/>
                <w:bCs/>
                <w:color w:val="auto"/>
                <w:sz w:val="24"/>
                <w:szCs w:val="24"/>
              </w:rPr>
              <w:t>钉群中回放观看学习。</w:t>
            </w:r>
          </w:p>
          <w:p w14:paraId="16F98346">
            <w:pPr>
              <w:keepNext w:val="0"/>
              <w:keepLines w:val="0"/>
              <w:pageBreakBefore w:val="0"/>
              <w:widowControl/>
              <w:kinsoku w:val="0"/>
              <w:wordWrap w:val="0"/>
              <w:overflowPunct/>
              <w:topLinePunct w:val="0"/>
              <w:autoSpaceDE/>
              <w:autoSpaceDN/>
              <w:bidi w:val="0"/>
              <w:adjustRightInd w:val="0"/>
              <w:snapToGrid w:val="0"/>
              <w:spacing w:line="460" w:lineRule="exact"/>
              <w:ind w:left="0" w:leftChars="0" w:right="0"/>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1"/>
                <w:sz w:val="24"/>
                <w:szCs w:val="24"/>
              </w:rPr>
              <w:t>（8）各供应商须在投标截止时间前完成在系统上递交电子</w:t>
            </w:r>
            <w:r>
              <w:rPr>
                <w:rFonts w:hint="eastAsia" w:ascii="黑体" w:hAnsi="黑体" w:eastAsia="黑体" w:cs="黑体"/>
                <w:b/>
                <w:bCs/>
                <w:color w:val="auto"/>
                <w:spacing w:val="-2"/>
                <w:sz w:val="24"/>
                <w:szCs w:val="24"/>
              </w:rPr>
              <w:t>投标文件。投标</w:t>
            </w:r>
            <w:r>
              <w:rPr>
                <w:rFonts w:hint="eastAsia" w:ascii="黑体" w:hAnsi="黑体" w:eastAsia="黑体" w:cs="黑体"/>
                <w:b/>
                <w:bCs/>
                <w:color w:val="auto"/>
                <w:spacing w:val="-3"/>
                <w:sz w:val="24"/>
                <w:szCs w:val="24"/>
              </w:rPr>
              <w:t>供应商的电子投标文件是经过CA证书加密后上传提交的，任何单位或个人</w:t>
            </w:r>
            <w:r>
              <w:rPr>
                <w:rFonts w:hint="eastAsia" w:ascii="黑体" w:hAnsi="黑体" w:eastAsia="黑体" w:cs="黑体"/>
                <w:b/>
                <w:bCs/>
                <w:color w:val="auto"/>
                <w:spacing w:val="-8"/>
                <w:sz w:val="24"/>
                <w:szCs w:val="24"/>
              </w:rPr>
              <w:t>均无法在投标截止时间(即投标时间)之前查看或篡改，不存在泄密</w:t>
            </w:r>
            <w:r>
              <w:rPr>
                <w:rFonts w:hint="eastAsia" w:ascii="黑体" w:hAnsi="黑体" w:eastAsia="黑体" w:cs="黑体"/>
                <w:b/>
                <w:bCs/>
                <w:color w:val="auto"/>
                <w:spacing w:val="-9"/>
                <w:sz w:val="24"/>
                <w:szCs w:val="24"/>
              </w:rPr>
              <w:t>风险。（严</w:t>
            </w:r>
            <w:r>
              <w:rPr>
                <w:rFonts w:hint="eastAsia" w:ascii="黑体" w:hAnsi="黑体" w:eastAsia="黑体" w:cs="黑体"/>
                <w:b/>
                <w:bCs/>
                <w:color w:val="auto"/>
                <w:sz w:val="24"/>
                <w:szCs w:val="24"/>
              </w:rPr>
              <w:t>格按照政采云电子投标流程制作并上传完整版的电子投标文件后缀为</w:t>
            </w:r>
            <w:r>
              <w:rPr>
                <w:rFonts w:hint="eastAsia" w:ascii="黑体" w:hAnsi="黑体" w:eastAsia="黑体" w:cs="黑体"/>
                <w:b/>
                <w:bCs/>
                <w:color w:val="auto"/>
                <w:spacing w:val="-1"/>
                <w:sz w:val="24"/>
                <w:szCs w:val="24"/>
              </w:rPr>
              <w:t>.bfb</w:t>
            </w:r>
            <w:r>
              <w:rPr>
                <w:rFonts w:hint="eastAsia" w:ascii="黑体" w:hAnsi="黑体" w:eastAsia="黑体" w:cs="黑体"/>
                <w:b/>
                <w:bCs/>
                <w:color w:val="auto"/>
                <w:sz w:val="24"/>
                <w:szCs w:val="24"/>
              </w:rPr>
              <w:t xml:space="preserve"> </w:t>
            </w:r>
            <w:r>
              <w:rPr>
                <w:rFonts w:hint="eastAsia" w:ascii="黑体" w:hAnsi="黑体" w:eastAsia="黑体" w:cs="黑体"/>
                <w:b/>
                <w:bCs/>
                <w:color w:val="auto"/>
                <w:spacing w:val="-2"/>
                <w:sz w:val="24"/>
                <w:szCs w:val="24"/>
              </w:rPr>
              <w:t>s，包含第一部分开标一览表及资格证明文件、第二部分商务及技术文</w:t>
            </w:r>
            <w:r>
              <w:rPr>
                <w:rFonts w:hint="eastAsia" w:ascii="黑体" w:hAnsi="黑体" w:eastAsia="黑体" w:cs="黑体"/>
                <w:b/>
                <w:bCs/>
                <w:color w:val="auto"/>
                <w:spacing w:val="-3"/>
                <w:sz w:val="24"/>
                <w:szCs w:val="24"/>
              </w:rPr>
              <w:t>件）</w:t>
            </w:r>
          </w:p>
          <w:p w14:paraId="7CDA6241">
            <w:pPr>
              <w:keepNext w:val="0"/>
              <w:keepLines w:val="0"/>
              <w:pageBreakBefore w:val="0"/>
              <w:widowControl/>
              <w:kinsoku w:val="0"/>
              <w:wordWrap w:val="0"/>
              <w:overflowPunct/>
              <w:topLinePunct w:val="0"/>
              <w:autoSpaceDE/>
              <w:autoSpaceDN/>
              <w:bidi w:val="0"/>
              <w:adjustRightInd w:val="0"/>
              <w:snapToGrid w:val="0"/>
              <w:spacing w:line="460" w:lineRule="exact"/>
              <w:ind w:left="0" w:right="0"/>
              <w:textAlignment w:val="baseline"/>
              <w:rPr>
                <w:rFonts w:hint="eastAsia" w:ascii="黑体" w:hAnsi="黑体" w:eastAsia="黑体" w:cs="黑体"/>
                <w:color w:val="auto"/>
                <w:sz w:val="24"/>
                <w:szCs w:val="24"/>
              </w:rPr>
            </w:pPr>
            <w:r>
              <w:rPr>
                <w:rFonts w:hint="eastAsia" w:ascii="黑体" w:hAnsi="黑体" w:eastAsia="黑体" w:cs="黑体"/>
                <w:b/>
                <w:bCs/>
                <w:color w:val="auto"/>
                <w:sz w:val="24"/>
                <w:szCs w:val="24"/>
              </w:rPr>
              <w:t>（9）各供应商应完整地按招标文件提供的投标文件格式及要</w:t>
            </w:r>
            <w:r>
              <w:rPr>
                <w:rFonts w:hint="eastAsia" w:ascii="黑体" w:hAnsi="黑体" w:eastAsia="黑体" w:cs="黑体"/>
                <w:b/>
                <w:bCs/>
                <w:color w:val="auto"/>
                <w:spacing w:val="-1"/>
                <w:sz w:val="24"/>
                <w:szCs w:val="24"/>
              </w:rPr>
              <w:t>求编写投标文</w:t>
            </w:r>
            <w:r>
              <w:rPr>
                <w:rFonts w:hint="eastAsia" w:ascii="黑体" w:hAnsi="黑体" w:eastAsia="黑体" w:cs="黑体"/>
                <w:b/>
                <w:bCs/>
                <w:color w:val="auto"/>
                <w:spacing w:val="-3"/>
                <w:sz w:val="24"/>
                <w:szCs w:val="24"/>
              </w:rPr>
              <w:t>件，根据平台关联点上传对应佐证资料，投标文件应包括“开标一览表及资格证明文件”和“商务及技术文件”两部分，两部分合并成完整一册上传至</w:t>
            </w:r>
            <w:r>
              <w:rPr>
                <w:rFonts w:hint="eastAsia" w:ascii="黑体" w:hAnsi="黑体" w:eastAsia="黑体" w:cs="黑体"/>
                <w:b/>
                <w:bCs/>
                <w:color w:val="auto"/>
                <w:spacing w:val="-1"/>
                <w:sz w:val="24"/>
                <w:szCs w:val="24"/>
              </w:rPr>
              <w:t>政采云平台。</w:t>
            </w:r>
          </w:p>
          <w:p w14:paraId="4B03F6AB">
            <w:pPr>
              <w:keepNext w:val="0"/>
              <w:keepLines w:val="0"/>
              <w:pageBreakBefore w:val="0"/>
              <w:widowControl/>
              <w:kinsoku w:val="0"/>
              <w:wordWrap w:val="0"/>
              <w:overflowPunct/>
              <w:topLinePunct w:val="0"/>
              <w:autoSpaceDE/>
              <w:autoSpaceDN/>
              <w:bidi w:val="0"/>
              <w:adjustRightInd w:val="0"/>
              <w:snapToGrid w:val="0"/>
              <w:spacing w:line="460" w:lineRule="exact"/>
              <w:ind w:left="0" w:leftChars="0" w:right="0"/>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bCs/>
                <w:color w:val="auto"/>
                <w:spacing w:val="-4"/>
                <w:sz w:val="24"/>
                <w:szCs w:val="24"/>
              </w:rPr>
              <w:t>（10）解密时长为30分钟，超出解密时长，作无效投标处理。</w:t>
            </w:r>
          </w:p>
        </w:tc>
      </w:tr>
      <w:tr w14:paraId="1E2C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1E60A161">
            <w:pPr>
              <w:keepNext w:val="0"/>
              <w:keepLines w:val="0"/>
              <w:pageBreakBefore w:val="0"/>
              <w:widowControl/>
              <w:kinsoku/>
              <w:wordWrap w:val="0"/>
              <w:overflowPunct/>
              <w:topLinePunct w:val="0"/>
              <w:bidi w:val="0"/>
              <w:spacing w:before="102" w:line="500" w:lineRule="exact"/>
              <w:jc w:val="center"/>
              <w:rPr>
                <w:rFonts w:hint="eastAsia" w:ascii="黑体" w:hAnsi="黑体" w:eastAsia="黑体" w:cs="黑体"/>
                <w:b w:val="0"/>
                <w:bCs w:val="0"/>
                <w:snapToGrid w:val="0"/>
                <w:color w:val="auto"/>
                <w:kern w:val="0"/>
                <w:sz w:val="24"/>
                <w:szCs w:val="24"/>
                <w:u w:val="none" w:color="auto"/>
                <w:lang w:val="en-US" w:eastAsia="en-US" w:bidi="ar-SA"/>
              </w:rPr>
            </w:pPr>
            <w:r>
              <w:rPr>
                <w:rFonts w:hint="eastAsia" w:ascii="黑体" w:hAnsi="黑体" w:eastAsia="黑体" w:cs="黑体"/>
                <w:b w:val="0"/>
                <w:bCs w:val="0"/>
                <w:color w:val="auto"/>
                <w:spacing w:val="-6"/>
                <w:position w:val="-2"/>
                <w:sz w:val="24"/>
                <w:szCs w:val="24"/>
                <w:u w:val="none" w:color="auto"/>
              </w:rPr>
              <w:t>16.1</w:t>
            </w:r>
          </w:p>
        </w:tc>
        <w:tc>
          <w:tcPr>
            <w:tcW w:w="7973" w:type="dxa"/>
            <w:tcBorders>
              <w:right w:val="single" w:color="000000" w:sz="10" w:space="0"/>
            </w:tcBorders>
            <w:vAlign w:val="top"/>
          </w:tcPr>
          <w:p w14:paraId="2FB214C9">
            <w:pPr>
              <w:keepNext w:val="0"/>
              <w:keepLines w:val="0"/>
              <w:pageBreakBefore w:val="0"/>
              <w:widowControl/>
              <w:kinsoku/>
              <w:wordWrap w:val="0"/>
              <w:overflowPunct/>
              <w:topLinePunct w:val="0"/>
              <w:bidi w:val="0"/>
              <w:spacing w:before="37" w:line="500" w:lineRule="exact"/>
              <w:ind w:left="17" w:leftChars="0"/>
              <w:rPr>
                <w:rFonts w:hint="eastAsia" w:ascii="黑体" w:hAnsi="黑体" w:eastAsia="黑体" w:cs="黑体"/>
                <w:b/>
                <w:bCs/>
                <w:snapToGrid w:val="0"/>
                <w:color w:val="auto"/>
                <w:kern w:val="0"/>
                <w:sz w:val="24"/>
                <w:szCs w:val="24"/>
                <w:u w:val="none" w:color="auto"/>
                <w:lang w:val="en-US" w:eastAsia="en-US" w:bidi="ar-SA"/>
              </w:rPr>
            </w:pPr>
            <w:r>
              <w:rPr>
                <w:rFonts w:hint="eastAsia" w:ascii="黑体" w:hAnsi="黑体" w:eastAsia="黑体" w:cs="黑体"/>
                <w:b/>
                <w:bCs/>
                <w:color w:val="auto"/>
                <w:spacing w:val="-4"/>
                <w:sz w:val="24"/>
                <w:szCs w:val="24"/>
                <w:u w:val="none" w:color="auto"/>
              </w:rPr>
              <w:t>投标截止时间：</w:t>
            </w:r>
            <w:r>
              <w:rPr>
                <w:rFonts w:hint="eastAsia" w:ascii="黑体" w:hAnsi="黑体" w:eastAsia="黑体" w:cs="黑体"/>
                <w:b/>
                <w:bCs/>
                <w:color w:val="auto"/>
                <w:sz w:val="24"/>
                <w:lang w:val="en-US" w:eastAsia="zh-CN"/>
              </w:rPr>
              <w:t>2025年05月06日11点00分</w:t>
            </w:r>
            <w:r>
              <w:rPr>
                <w:rFonts w:hint="eastAsia" w:ascii="黑体" w:hAnsi="黑体" w:eastAsia="黑体" w:cs="黑体"/>
                <w:b/>
                <w:bCs/>
                <w:color w:val="auto"/>
                <w:sz w:val="24"/>
              </w:rPr>
              <w:t>（北京时间）</w:t>
            </w:r>
          </w:p>
        </w:tc>
      </w:tr>
      <w:tr w14:paraId="3F2E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7D86A9BC">
            <w:pPr>
              <w:keepNext w:val="0"/>
              <w:keepLines w:val="0"/>
              <w:pageBreakBefore w:val="0"/>
              <w:widowControl/>
              <w:kinsoku/>
              <w:wordWrap w:val="0"/>
              <w:overflowPunct/>
              <w:topLinePunct w:val="0"/>
              <w:bidi w:val="0"/>
              <w:spacing w:before="341" w:line="500" w:lineRule="exact"/>
              <w:jc w:val="center"/>
              <w:rPr>
                <w:rFonts w:hint="eastAsia" w:ascii="黑体" w:hAnsi="黑体" w:eastAsia="黑体" w:cs="黑体"/>
                <w:b w:val="0"/>
                <w:bCs w:val="0"/>
                <w:snapToGrid w:val="0"/>
                <w:color w:val="auto"/>
                <w:kern w:val="0"/>
                <w:sz w:val="24"/>
                <w:szCs w:val="24"/>
                <w:u w:val="none" w:color="auto"/>
                <w:lang w:val="en-US" w:eastAsia="en-US" w:bidi="ar-SA"/>
              </w:rPr>
            </w:pPr>
            <w:r>
              <w:rPr>
                <w:rFonts w:hint="eastAsia" w:ascii="黑体" w:hAnsi="黑体" w:eastAsia="黑体" w:cs="黑体"/>
                <w:b w:val="0"/>
                <w:bCs w:val="0"/>
                <w:color w:val="auto"/>
                <w:spacing w:val="-6"/>
                <w:sz w:val="24"/>
                <w:szCs w:val="24"/>
                <w:u w:val="none" w:color="auto"/>
              </w:rPr>
              <w:t>18.1</w:t>
            </w:r>
          </w:p>
        </w:tc>
        <w:tc>
          <w:tcPr>
            <w:tcW w:w="7973" w:type="dxa"/>
            <w:tcBorders>
              <w:right w:val="single" w:color="000000" w:sz="10" w:space="0"/>
            </w:tcBorders>
            <w:vAlign w:val="top"/>
          </w:tcPr>
          <w:p w14:paraId="7C68DCAC">
            <w:pPr>
              <w:keepNext w:val="0"/>
              <w:keepLines w:val="0"/>
              <w:pageBreakBefore w:val="0"/>
              <w:widowControl/>
              <w:kinsoku w:val="0"/>
              <w:wordWrap w:val="0"/>
              <w:overflowPunct/>
              <w:topLinePunct w:val="0"/>
              <w:autoSpaceDE/>
              <w:autoSpaceDN/>
              <w:bidi w:val="0"/>
              <w:adjustRightInd w:val="0"/>
              <w:snapToGrid w:val="0"/>
              <w:spacing w:line="500" w:lineRule="exact"/>
              <w:ind w:left="0"/>
              <w:jc w:val="left"/>
              <w:textAlignment w:val="baseline"/>
              <w:rPr>
                <w:rFonts w:hint="eastAsia" w:ascii="黑体" w:hAnsi="黑体" w:eastAsia="黑体" w:cs="黑体"/>
                <w:b/>
                <w:bCs/>
                <w:color w:val="auto"/>
                <w:sz w:val="24"/>
                <w:szCs w:val="24"/>
                <w:u w:val="none" w:color="auto"/>
              </w:rPr>
            </w:pPr>
            <w:r>
              <w:rPr>
                <w:rFonts w:hint="eastAsia" w:ascii="黑体" w:hAnsi="黑体" w:eastAsia="黑体" w:cs="黑体"/>
                <w:b/>
                <w:bCs/>
                <w:color w:val="auto"/>
                <w:spacing w:val="-5"/>
                <w:sz w:val="24"/>
                <w:szCs w:val="24"/>
                <w:u w:val="none" w:color="auto"/>
              </w:rPr>
              <w:t>开标时间：</w:t>
            </w:r>
            <w:r>
              <w:rPr>
                <w:rFonts w:hint="eastAsia" w:ascii="黑体" w:hAnsi="黑体" w:eastAsia="黑体" w:cs="黑体"/>
                <w:b/>
                <w:bCs/>
                <w:color w:val="auto"/>
                <w:spacing w:val="-5"/>
                <w:sz w:val="24"/>
                <w:szCs w:val="24"/>
                <w:u w:val="none" w:color="auto"/>
                <w:lang w:val="en-US" w:eastAsia="zh-CN"/>
              </w:rPr>
              <w:t>2025年05月06日11点00分</w:t>
            </w:r>
            <w:r>
              <w:rPr>
                <w:rFonts w:hint="eastAsia" w:ascii="黑体" w:hAnsi="黑体" w:eastAsia="黑体" w:cs="黑体"/>
                <w:b/>
                <w:bCs/>
                <w:color w:val="auto"/>
                <w:spacing w:val="-5"/>
                <w:sz w:val="24"/>
                <w:szCs w:val="24"/>
                <w:u w:val="none" w:color="auto"/>
              </w:rPr>
              <w:t>（北京时间）</w:t>
            </w:r>
          </w:p>
          <w:p w14:paraId="4BEC17CC">
            <w:pPr>
              <w:keepNext w:val="0"/>
              <w:keepLines w:val="0"/>
              <w:pageBreakBefore w:val="0"/>
              <w:widowControl/>
              <w:kinsoku w:val="0"/>
              <w:wordWrap w:val="0"/>
              <w:overflowPunct/>
              <w:topLinePunct w:val="0"/>
              <w:autoSpaceDE/>
              <w:autoSpaceDN/>
              <w:bidi w:val="0"/>
              <w:adjustRightInd w:val="0"/>
              <w:snapToGrid w:val="0"/>
              <w:spacing w:line="500" w:lineRule="exact"/>
              <w:ind w:left="0"/>
              <w:jc w:val="left"/>
              <w:textAlignment w:val="baseline"/>
              <w:rPr>
                <w:rFonts w:hint="eastAsia" w:ascii="黑体" w:hAnsi="黑体" w:eastAsia="黑体" w:cs="黑体"/>
                <w:b/>
                <w:bCs/>
                <w:snapToGrid w:val="0"/>
                <w:color w:val="auto"/>
                <w:kern w:val="0"/>
                <w:sz w:val="24"/>
                <w:szCs w:val="24"/>
                <w:u w:val="none" w:color="auto"/>
                <w:lang w:val="en-US" w:eastAsia="en-US" w:bidi="ar-SA"/>
              </w:rPr>
            </w:pPr>
            <w:r>
              <w:rPr>
                <w:rFonts w:hint="eastAsia" w:ascii="黑体" w:hAnsi="黑体" w:eastAsia="黑体" w:cs="黑体"/>
                <w:b/>
                <w:bCs/>
                <w:color w:val="auto"/>
                <w:spacing w:val="-3"/>
                <w:sz w:val="24"/>
                <w:szCs w:val="24"/>
                <w:u w:val="none" w:color="auto"/>
              </w:rPr>
              <w:t>开标地点：政采云平台（https</w:t>
            </w:r>
            <w:r>
              <w:rPr>
                <w:rFonts w:hint="eastAsia" w:ascii="黑体" w:hAnsi="黑体" w:eastAsia="黑体" w:cs="黑体"/>
                <w:b/>
                <w:bCs/>
                <w:color w:val="auto"/>
                <w:spacing w:val="-3"/>
                <w:sz w:val="24"/>
                <w:szCs w:val="24"/>
                <w:u w:val="none" w:color="auto"/>
                <w:lang w:eastAsia="zh-CN"/>
              </w:rPr>
              <w:t>：</w:t>
            </w:r>
            <w:r>
              <w:rPr>
                <w:rFonts w:hint="eastAsia" w:ascii="黑体" w:hAnsi="黑体" w:eastAsia="黑体" w:cs="黑体"/>
                <w:b/>
                <w:bCs/>
                <w:color w:val="auto"/>
                <w:spacing w:val="-3"/>
                <w:sz w:val="24"/>
                <w:szCs w:val="24"/>
                <w:u w:val="none" w:color="auto"/>
              </w:rPr>
              <w:t>//login.zcygov.cn/user-login/#/login）</w:t>
            </w:r>
          </w:p>
        </w:tc>
      </w:tr>
      <w:tr w14:paraId="23D2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1FB1B203">
            <w:pPr>
              <w:keepNext w:val="0"/>
              <w:keepLines w:val="0"/>
              <w:pageBreakBefore w:val="0"/>
              <w:widowControl/>
              <w:kinsoku/>
              <w:wordWrap w:val="0"/>
              <w:overflowPunct/>
              <w:topLinePunct w:val="0"/>
              <w:bidi w:val="0"/>
              <w:spacing w:before="108"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4"/>
                <w:position w:val="-2"/>
                <w:sz w:val="24"/>
                <w:szCs w:val="24"/>
              </w:rPr>
              <w:t>23.2</w:t>
            </w:r>
          </w:p>
        </w:tc>
        <w:tc>
          <w:tcPr>
            <w:tcW w:w="7973" w:type="dxa"/>
            <w:tcBorders>
              <w:right w:val="single" w:color="000000" w:sz="10" w:space="0"/>
            </w:tcBorders>
            <w:vAlign w:val="top"/>
          </w:tcPr>
          <w:p w14:paraId="46F47444">
            <w:pPr>
              <w:keepNext w:val="0"/>
              <w:keepLines w:val="0"/>
              <w:pageBreakBefore w:val="0"/>
              <w:widowControl/>
              <w:kinsoku/>
              <w:wordWrap w:val="0"/>
              <w:overflowPunct/>
              <w:topLinePunct w:val="0"/>
              <w:bidi w:val="0"/>
              <w:spacing w:before="91" w:line="500" w:lineRule="exact"/>
              <w:ind w:left="18" w:leftChars="0"/>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1"/>
                <w:sz w:val="24"/>
                <w:szCs w:val="24"/>
              </w:rPr>
              <w:t>评标方法：适用</w:t>
            </w:r>
            <w:r>
              <w:rPr>
                <w:rFonts w:hint="eastAsia" w:ascii="黑体" w:hAnsi="黑体" w:eastAsia="黑体" w:cs="黑体"/>
                <w:color w:val="auto"/>
                <w:spacing w:val="-1"/>
                <w:sz w:val="24"/>
                <w:szCs w:val="24"/>
                <w:u w:val="single" w:color="auto"/>
              </w:rPr>
              <w:t>综合评分法</w:t>
            </w:r>
          </w:p>
        </w:tc>
      </w:tr>
      <w:tr w14:paraId="429D3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21F4409C">
            <w:pPr>
              <w:keepNext w:val="0"/>
              <w:keepLines w:val="0"/>
              <w:pageBreakBefore w:val="0"/>
              <w:widowControl/>
              <w:kinsoku/>
              <w:wordWrap w:val="0"/>
              <w:overflowPunct/>
              <w:topLinePunct w:val="0"/>
              <w:bidi w:val="0"/>
              <w:spacing w:before="109"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7"/>
                <w:position w:val="-2"/>
                <w:sz w:val="24"/>
                <w:szCs w:val="24"/>
              </w:rPr>
              <w:t>27</w:t>
            </w:r>
          </w:p>
        </w:tc>
        <w:tc>
          <w:tcPr>
            <w:tcW w:w="7973" w:type="dxa"/>
            <w:tcBorders>
              <w:right w:val="single" w:color="000000" w:sz="10" w:space="0"/>
            </w:tcBorders>
            <w:vAlign w:val="top"/>
          </w:tcPr>
          <w:p w14:paraId="6008ED3C">
            <w:pPr>
              <w:keepNext w:val="0"/>
              <w:keepLines w:val="0"/>
              <w:pageBreakBefore w:val="0"/>
              <w:widowControl/>
              <w:kinsoku/>
              <w:wordWrap w:val="0"/>
              <w:overflowPunct/>
              <w:topLinePunct w:val="0"/>
              <w:bidi w:val="0"/>
              <w:spacing w:before="91" w:line="500" w:lineRule="exact"/>
              <w:ind w:left="17" w:leftChars="0"/>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2"/>
                <w:sz w:val="24"/>
                <w:szCs w:val="24"/>
              </w:rPr>
              <w:t>推荐中标候选供应商的数量：</w:t>
            </w:r>
            <w:r>
              <w:rPr>
                <w:rFonts w:hint="eastAsia" w:ascii="黑体" w:hAnsi="黑体" w:eastAsia="黑体" w:cs="黑体"/>
                <w:color w:val="auto"/>
                <w:spacing w:val="-2"/>
                <w:sz w:val="24"/>
                <w:szCs w:val="24"/>
                <w:u w:val="single" w:color="auto"/>
              </w:rPr>
              <w:t>3</w:t>
            </w:r>
          </w:p>
        </w:tc>
      </w:tr>
      <w:tr w14:paraId="6389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38CF5013">
            <w:pPr>
              <w:keepNext w:val="0"/>
              <w:keepLines w:val="0"/>
              <w:pageBreakBefore w:val="0"/>
              <w:widowControl/>
              <w:kinsoku/>
              <w:wordWrap w:val="0"/>
              <w:overflowPunct/>
              <w:topLinePunct w:val="0"/>
              <w:bidi w:val="0"/>
              <w:spacing w:before="109"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7"/>
                <w:position w:val="-2"/>
                <w:sz w:val="24"/>
                <w:szCs w:val="24"/>
              </w:rPr>
              <w:t>27</w:t>
            </w:r>
          </w:p>
        </w:tc>
        <w:tc>
          <w:tcPr>
            <w:tcW w:w="7973" w:type="dxa"/>
            <w:tcBorders>
              <w:right w:val="single" w:color="000000" w:sz="10" w:space="0"/>
            </w:tcBorders>
            <w:vAlign w:val="top"/>
          </w:tcPr>
          <w:p w14:paraId="3B65985D">
            <w:pPr>
              <w:keepNext w:val="0"/>
              <w:keepLines w:val="0"/>
              <w:pageBreakBefore w:val="0"/>
              <w:widowControl/>
              <w:kinsoku/>
              <w:wordWrap w:val="0"/>
              <w:overflowPunct/>
              <w:topLinePunct w:val="0"/>
              <w:bidi w:val="0"/>
              <w:spacing w:before="48" w:line="500" w:lineRule="exact"/>
              <w:ind w:left="17" w:leftChars="0"/>
              <w:rPr>
                <w:rFonts w:hint="eastAsia" w:ascii="黑体" w:hAnsi="黑体" w:eastAsia="黑体" w:cs="黑体"/>
                <w:snapToGrid w:val="0"/>
                <w:color w:val="auto"/>
                <w:kern w:val="0"/>
                <w:sz w:val="25"/>
                <w:szCs w:val="25"/>
                <w:lang w:val="en-US" w:eastAsia="en-US" w:bidi="ar-SA"/>
              </w:rPr>
            </w:pPr>
            <w:r>
              <w:rPr>
                <w:rFonts w:hint="eastAsia" w:ascii="黑体" w:hAnsi="黑体" w:eastAsia="黑体" w:cs="黑体"/>
                <w:color w:val="auto"/>
                <w:spacing w:val="-1"/>
                <w:sz w:val="24"/>
                <w:szCs w:val="24"/>
              </w:rPr>
              <w:t>采购人是否委托评标委员会直接确定中标人：</w:t>
            </w:r>
            <w:r>
              <w:rPr>
                <w:rFonts w:hint="eastAsia" w:ascii="黑体" w:hAnsi="黑体" w:eastAsia="黑体" w:cs="黑体"/>
                <w:color w:val="auto"/>
                <w:spacing w:val="-1"/>
                <w:sz w:val="24"/>
                <w:szCs w:val="24"/>
                <w:u w:val="single"/>
              </w:rPr>
              <w:t>否</w:t>
            </w:r>
            <w:r>
              <w:rPr>
                <w:rFonts w:hint="eastAsia" w:ascii="黑体" w:hAnsi="黑体" w:eastAsia="黑体" w:cs="黑体"/>
                <w:i/>
                <w:iCs/>
                <w:color w:val="auto"/>
                <w:spacing w:val="-1"/>
                <w:sz w:val="25"/>
                <w:szCs w:val="25"/>
              </w:rPr>
              <w:t>（是、</w:t>
            </w:r>
            <w:r>
              <w:rPr>
                <w:rFonts w:hint="eastAsia" w:ascii="黑体" w:hAnsi="黑体" w:eastAsia="黑体" w:cs="黑体"/>
                <w:i/>
                <w:iCs/>
                <w:color w:val="auto"/>
                <w:spacing w:val="-2"/>
                <w:sz w:val="25"/>
                <w:szCs w:val="25"/>
              </w:rPr>
              <w:t>否）</w:t>
            </w:r>
          </w:p>
        </w:tc>
      </w:tr>
      <w:tr w14:paraId="00F9B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77A2FDEC">
            <w:pPr>
              <w:keepNext w:val="0"/>
              <w:keepLines w:val="0"/>
              <w:pageBreakBefore w:val="0"/>
              <w:widowControl/>
              <w:kinsoku/>
              <w:wordWrap w:val="0"/>
              <w:overflowPunct/>
              <w:topLinePunct w:val="0"/>
              <w:bidi w:val="0"/>
              <w:spacing w:before="103"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4"/>
                <w:sz w:val="24"/>
                <w:szCs w:val="24"/>
              </w:rPr>
              <w:t>31.1</w:t>
            </w:r>
          </w:p>
        </w:tc>
        <w:tc>
          <w:tcPr>
            <w:tcW w:w="7973" w:type="dxa"/>
            <w:tcBorders>
              <w:right w:val="single" w:color="000000" w:sz="10" w:space="0"/>
            </w:tcBorders>
            <w:vAlign w:val="top"/>
          </w:tcPr>
          <w:p w14:paraId="1BD61D15">
            <w:pPr>
              <w:keepNext w:val="0"/>
              <w:keepLines w:val="0"/>
              <w:pageBreakBefore w:val="0"/>
              <w:widowControl/>
              <w:kinsoku/>
              <w:wordWrap w:val="0"/>
              <w:overflowPunct/>
              <w:topLinePunct w:val="0"/>
              <w:bidi w:val="0"/>
              <w:spacing w:before="64" w:line="500" w:lineRule="exact"/>
              <w:jc w:val="both"/>
              <w:rPr>
                <w:rFonts w:hint="eastAsia" w:ascii="黑体" w:hAnsi="黑体" w:eastAsia="黑体" w:cs="黑体"/>
                <w:color w:val="auto"/>
                <w:sz w:val="24"/>
                <w:szCs w:val="24"/>
              </w:rPr>
            </w:pPr>
            <w:r>
              <w:rPr>
                <w:rFonts w:hint="eastAsia" w:ascii="黑体" w:hAnsi="黑体" w:eastAsia="黑体" w:cs="黑体"/>
                <w:color w:val="auto"/>
                <w:spacing w:val="-7"/>
                <w:sz w:val="24"/>
                <w:szCs w:val="24"/>
              </w:rPr>
              <w:t>履约保证金金额：合同总价的</w:t>
            </w:r>
            <w:r>
              <w:rPr>
                <w:rFonts w:hint="eastAsia" w:ascii="黑体" w:hAnsi="黑体" w:eastAsia="黑体" w:cs="黑体"/>
                <w:color w:val="auto"/>
                <w:spacing w:val="-7"/>
                <w:sz w:val="24"/>
                <w:szCs w:val="24"/>
                <w:u w:val="single" w:color="auto"/>
              </w:rPr>
              <w:t>3%</w:t>
            </w:r>
            <w:r>
              <w:rPr>
                <w:rFonts w:hint="eastAsia" w:ascii="黑体" w:hAnsi="黑体" w:eastAsia="黑体" w:cs="黑体"/>
                <w:color w:val="auto"/>
                <w:spacing w:val="-7"/>
                <w:sz w:val="24"/>
                <w:szCs w:val="24"/>
              </w:rPr>
              <w:t>（不得超过</w:t>
            </w:r>
            <w:r>
              <w:rPr>
                <w:rFonts w:hint="eastAsia" w:ascii="黑体" w:hAnsi="黑体" w:eastAsia="黑体" w:cs="黑体"/>
                <w:color w:val="auto"/>
                <w:spacing w:val="-8"/>
                <w:sz w:val="24"/>
                <w:szCs w:val="24"/>
              </w:rPr>
              <w:t>政府采购合同金额的10%）</w:t>
            </w:r>
          </w:p>
          <w:p w14:paraId="41C2F5FA">
            <w:pPr>
              <w:keepNext w:val="0"/>
              <w:keepLines w:val="0"/>
              <w:pageBreakBefore w:val="0"/>
              <w:widowControl/>
              <w:kinsoku/>
              <w:wordWrap w:val="0"/>
              <w:overflowPunct/>
              <w:topLinePunct w:val="0"/>
              <w:bidi w:val="0"/>
              <w:spacing w:before="24" w:line="500" w:lineRule="exact"/>
              <w:ind w:left="19"/>
              <w:rPr>
                <w:rFonts w:hint="eastAsia" w:ascii="黑体" w:hAnsi="黑体" w:eastAsia="黑体" w:cs="黑体"/>
                <w:color w:val="auto"/>
                <w:spacing w:val="-4"/>
                <w:sz w:val="24"/>
                <w:szCs w:val="24"/>
                <w:u w:val="single" w:color="auto"/>
              </w:rPr>
            </w:pPr>
            <w:r>
              <w:rPr>
                <w:rFonts w:hint="eastAsia" w:ascii="黑体" w:hAnsi="黑体" w:eastAsia="黑体" w:cs="黑体"/>
                <w:color w:val="auto"/>
                <w:spacing w:val="-4"/>
                <w:sz w:val="24"/>
                <w:szCs w:val="24"/>
              </w:rPr>
              <w:t>履约保证金形式：</w:t>
            </w:r>
            <w:r>
              <w:rPr>
                <w:rFonts w:hint="eastAsia" w:ascii="黑体" w:hAnsi="黑体" w:eastAsia="黑体" w:cs="黑体"/>
                <w:color w:val="auto"/>
                <w:spacing w:val="-4"/>
                <w:sz w:val="24"/>
                <w:szCs w:val="24"/>
                <w:u w:val="single" w:color="auto"/>
              </w:rPr>
              <w:t>支票、汇票、本票、网银转账或者金融机构、担保机构出具的保函等非现金形式</w:t>
            </w:r>
            <w:r>
              <w:rPr>
                <w:rFonts w:hint="eastAsia" w:ascii="黑体" w:hAnsi="黑体" w:eastAsia="黑体" w:cs="黑体"/>
                <w:color w:val="auto"/>
                <w:spacing w:val="-4"/>
                <w:sz w:val="24"/>
                <w:szCs w:val="24"/>
                <w:u w:val="none" w:color="auto"/>
              </w:rPr>
              <w:t>。</w:t>
            </w:r>
          </w:p>
          <w:p w14:paraId="33444A00">
            <w:pPr>
              <w:keepNext w:val="0"/>
              <w:keepLines w:val="0"/>
              <w:pageBreakBefore w:val="0"/>
              <w:widowControl/>
              <w:kinsoku/>
              <w:wordWrap w:val="0"/>
              <w:overflowPunct/>
              <w:topLinePunct w:val="0"/>
              <w:bidi w:val="0"/>
              <w:spacing w:before="44" w:line="500" w:lineRule="exact"/>
              <w:ind w:left="17"/>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提交履约保证金的时间：签订合同前打入甲</w:t>
            </w:r>
            <w:r>
              <w:rPr>
                <w:rFonts w:hint="eastAsia" w:ascii="黑体" w:hAnsi="黑体" w:eastAsia="黑体" w:cs="黑体"/>
                <w:color w:val="auto"/>
                <w:spacing w:val="-1"/>
                <w:sz w:val="24"/>
                <w:szCs w:val="24"/>
              </w:rPr>
              <w:t>方指定账户</w:t>
            </w:r>
            <w:r>
              <w:rPr>
                <w:rFonts w:hint="eastAsia" w:ascii="黑体" w:hAnsi="黑体" w:eastAsia="黑体" w:cs="黑体"/>
                <w:color w:val="auto"/>
                <w:spacing w:val="-1"/>
                <w:sz w:val="24"/>
                <w:szCs w:val="24"/>
                <w:lang w:eastAsia="zh-CN"/>
              </w:rPr>
              <w:t>。</w:t>
            </w:r>
          </w:p>
          <w:p w14:paraId="7EE9F2BB">
            <w:pPr>
              <w:keepNext w:val="0"/>
              <w:keepLines w:val="0"/>
              <w:pageBreakBefore w:val="0"/>
              <w:widowControl/>
              <w:kinsoku/>
              <w:wordWrap w:val="0"/>
              <w:overflowPunct/>
              <w:topLinePunct w:val="0"/>
              <w:bidi w:val="0"/>
              <w:spacing w:before="45" w:line="500" w:lineRule="exact"/>
              <w:ind w:left="17" w:leftChars="0"/>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position w:val="-1"/>
                <w:sz w:val="24"/>
                <w:szCs w:val="24"/>
              </w:rPr>
              <w:t>注：双方可以通过协商另行约定其他退还时间和方</w:t>
            </w:r>
            <w:r>
              <w:rPr>
                <w:rFonts w:hint="eastAsia" w:ascii="黑体" w:hAnsi="黑体" w:eastAsia="黑体" w:cs="黑体"/>
                <w:color w:val="auto"/>
                <w:spacing w:val="-1"/>
                <w:position w:val="-1"/>
                <w:sz w:val="24"/>
                <w:szCs w:val="24"/>
              </w:rPr>
              <w:t>式及用途。</w:t>
            </w:r>
          </w:p>
        </w:tc>
      </w:tr>
      <w:tr w14:paraId="0A326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2E4191DF">
            <w:pPr>
              <w:keepNext w:val="0"/>
              <w:keepLines w:val="0"/>
              <w:pageBreakBefore w:val="0"/>
              <w:widowControl/>
              <w:kinsoku/>
              <w:wordWrap w:val="0"/>
              <w:overflowPunct/>
              <w:topLinePunct w:val="0"/>
              <w:bidi w:val="0"/>
              <w:spacing w:before="103"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9"/>
                <w:sz w:val="24"/>
                <w:szCs w:val="24"/>
              </w:rPr>
              <w:t>32</w:t>
            </w:r>
          </w:p>
        </w:tc>
        <w:tc>
          <w:tcPr>
            <w:tcW w:w="7973" w:type="dxa"/>
            <w:tcBorders>
              <w:right w:val="single" w:color="000000" w:sz="10" w:space="0"/>
            </w:tcBorders>
            <w:vAlign w:val="top"/>
          </w:tcPr>
          <w:p w14:paraId="00E4D1D2">
            <w:pPr>
              <w:keepNext w:val="0"/>
              <w:keepLines w:val="0"/>
              <w:pageBreakBefore w:val="0"/>
              <w:widowControl/>
              <w:kinsoku/>
              <w:wordWrap w:val="0"/>
              <w:overflowPunct/>
              <w:topLinePunct w:val="0"/>
              <w:bidi w:val="0"/>
              <w:spacing w:before="58" w:line="500" w:lineRule="exact"/>
              <w:ind w:left="38" w:right="16" w:hanging="5"/>
              <w:rPr>
                <w:rFonts w:hint="eastAsia" w:ascii="黑体" w:hAnsi="黑体" w:eastAsia="黑体" w:cs="黑体"/>
                <w:color w:val="auto"/>
                <w:sz w:val="24"/>
                <w:szCs w:val="24"/>
                <w:lang w:eastAsia="zh-CN"/>
              </w:rPr>
            </w:pPr>
            <w:r>
              <w:rPr>
                <w:rFonts w:hint="eastAsia" w:ascii="黑体" w:hAnsi="黑体" w:eastAsia="黑体" w:cs="黑体"/>
                <w:color w:val="auto"/>
                <w:spacing w:val="-3"/>
                <w:sz w:val="24"/>
                <w:szCs w:val="24"/>
              </w:rPr>
              <w:t>中标服务费：</w:t>
            </w:r>
            <w:r>
              <w:rPr>
                <w:rFonts w:hint="eastAsia" w:ascii="黑体" w:hAnsi="黑体" w:eastAsia="黑体" w:cs="黑体"/>
                <w:color w:val="auto"/>
                <w:spacing w:val="-3"/>
                <w:sz w:val="24"/>
                <w:szCs w:val="24"/>
                <w:lang w:val="en-US" w:eastAsia="zh-CN"/>
              </w:rPr>
              <w:t>按照</w:t>
            </w:r>
            <w:r>
              <w:rPr>
                <w:rFonts w:hint="eastAsia" w:ascii="黑体" w:hAnsi="黑体" w:eastAsia="黑体" w:cs="黑体"/>
                <w:color w:val="auto"/>
                <w:spacing w:val="-3"/>
                <w:sz w:val="24"/>
                <w:szCs w:val="24"/>
              </w:rPr>
              <w:t>发改价格〔2015〕299号</w:t>
            </w:r>
            <w:r>
              <w:rPr>
                <w:rFonts w:hint="eastAsia" w:ascii="黑体" w:hAnsi="黑体" w:eastAsia="黑体" w:cs="黑体"/>
                <w:color w:val="auto"/>
                <w:spacing w:val="-3"/>
                <w:sz w:val="24"/>
                <w:szCs w:val="24"/>
                <w:lang w:eastAsia="zh-CN"/>
              </w:rPr>
              <w:t>文</w:t>
            </w:r>
            <w:r>
              <w:rPr>
                <w:rFonts w:hint="eastAsia" w:ascii="黑体" w:hAnsi="黑体" w:eastAsia="黑体" w:cs="黑体"/>
                <w:color w:val="auto"/>
                <w:spacing w:val="-3"/>
                <w:sz w:val="24"/>
                <w:szCs w:val="24"/>
                <w:lang w:val="en-US" w:eastAsia="zh-CN"/>
              </w:rPr>
              <w:t>计取，</w:t>
            </w:r>
            <w:r>
              <w:rPr>
                <w:rFonts w:hint="eastAsia" w:ascii="黑体" w:hAnsi="黑体" w:eastAsia="黑体" w:cs="黑体"/>
                <w:color w:val="auto"/>
                <w:spacing w:val="-2"/>
                <w:sz w:val="24"/>
                <w:szCs w:val="24"/>
              </w:rPr>
              <w:t>由中标供应商支付</w:t>
            </w:r>
            <w:r>
              <w:rPr>
                <w:rFonts w:hint="eastAsia" w:ascii="黑体" w:hAnsi="黑体" w:eastAsia="黑体" w:cs="黑体"/>
                <w:color w:val="auto"/>
                <w:spacing w:val="-2"/>
                <w:sz w:val="24"/>
                <w:szCs w:val="24"/>
                <w:lang w:eastAsia="zh-CN"/>
              </w:rPr>
              <w:t>。</w:t>
            </w:r>
          </w:p>
          <w:p w14:paraId="42E16953">
            <w:pPr>
              <w:keepNext w:val="0"/>
              <w:keepLines w:val="0"/>
              <w:pageBreakBefore w:val="0"/>
              <w:widowControl/>
              <w:kinsoku/>
              <w:wordWrap w:val="0"/>
              <w:overflowPunct/>
              <w:topLinePunct w:val="0"/>
              <w:bidi w:val="0"/>
              <w:spacing w:before="26" w:line="500" w:lineRule="exact"/>
              <w:ind w:left="19" w:leftChars="0"/>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pacing w:val="-1"/>
                <w:position w:val="-1"/>
                <w:sz w:val="24"/>
                <w:szCs w:val="24"/>
              </w:rPr>
              <w:t>支付时间：领取中标通知书时</w:t>
            </w:r>
            <w:r>
              <w:rPr>
                <w:rFonts w:hint="eastAsia" w:ascii="黑体" w:hAnsi="黑体" w:eastAsia="黑体" w:cs="黑体"/>
                <w:color w:val="auto"/>
                <w:spacing w:val="-1"/>
                <w:position w:val="-1"/>
                <w:sz w:val="24"/>
                <w:szCs w:val="24"/>
                <w:lang w:eastAsia="zh-CN"/>
              </w:rPr>
              <w:t>。</w:t>
            </w:r>
          </w:p>
        </w:tc>
      </w:tr>
      <w:tr w14:paraId="5029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67" w:type="dxa"/>
            <w:tcBorders>
              <w:left w:val="single" w:color="000000" w:sz="10" w:space="0"/>
            </w:tcBorders>
            <w:vAlign w:val="center"/>
          </w:tcPr>
          <w:p w14:paraId="19960CE6">
            <w:pPr>
              <w:keepNext w:val="0"/>
              <w:keepLines w:val="0"/>
              <w:pageBreakBefore w:val="0"/>
              <w:widowControl/>
              <w:kinsoku/>
              <w:wordWrap w:val="0"/>
              <w:overflowPunct/>
              <w:topLinePunct w:val="0"/>
              <w:bidi w:val="0"/>
              <w:spacing w:before="121" w:line="500" w:lineRule="exact"/>
              <w:jc w:val="center"/>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4"/>
                <w:position w:val="-2"/>
                <w:sz w:val="24"/>
                <w:szCs w:val="24"/>
              </w:rPr>
              <w:t>33.1</w:t>
            </w:r>
          </w:p>
        </w:tc>
        <w:tc>
          <w:tcPr>
            <w:tcW w:w="7973" w:type="dxa"/>
            <w:tcBorders>
              <w:right w:val="single" w:color="000000" w:sz="10" w:space="0"/>
            </w:tcBorders>
            <w:vAlign w:val="top"/>
          </w:tcPr>
          <w:p w14:paraId="59579490">
            <w:pPr>
              <w:keepNext w:val="0"/>
              <w:keepLines w:val="0"/>
              <w:pageBreakBefore w:val="0"/>
              <w:widowControl/>
              <w:kinsoku/>
              <w:wordWrap w:val="0"/>
              <w:overflowPunct/>
              <w:topLinePunct w:val="0"/>
              <w:bidi w:val="0"/>
              <w:spacing w:before="60" w:line="500" w:lineRule="exact"/>
              <w:ind w:left="18" w:leftChars="0"/>
              <w:rPr>
                <w:rFonts w:hint="eastAsia" w:ascii="黑体" w:hAnsi="黑体" w:eastAsia="黑体" w:cs="黑体"/>
                <w:snapToGrid w:val="0"/>
                <w:color w:val="auto"/>
                <w:kern w:val="0"/>
                <w:sz w:val="25"/>
                <w:szCs w:val="25"/>
                <w:lang w:val="en-US" w:eastAsia="en-US" w:bidi="ar-SA"/>
              </w:rPr>
            </w:pPr>
            <w:r>
              <w:rPr>
                <w:rFonts w:hint="eastAsia" w:ascii="黑体" w:hAnsi="黑体" w:eastAsia="黑体" w:cs="黑体"/>
                <w:color w:val="auto"/>
                <w:spacing w:val="-1"/>
                <w:sz w:val="24"/>
                <w:szCs w:val="24"/>
              </w:rPr>
              <w:t>本项目是否属于信用担保试点范围：</w:t>
            </w:r>
            <w:r>
              <w:rPr>
                <w:rFonts w:hint="eastAsia" w:ascii="黑体" w:hAnsi="黑体" w:eastAsia="黑体" w:cs="黑体"/>
                <w:color w:val="auto"/>
                <w:spacing w:val="-1"/>
                <w:sz w:val="24"/>
                <w:szCs w:val="24"/>
                <w:u w:val="single"/>
                <w:lang w:val="en-US" w:eastAsia="zh-CN"/>
              </w:rPr>
              <w:t>是</w:t>
            </w:r>
            <w:r>
              <w:rPr>
                <w:rFonts w:hint="eastAsia" w:ascii="黑体" w:hAnsi="黑体" w:eastAsia="黑体" w:cs="黑体"/>
                <w:i/>
                <w:iCs/>
                <w:color w:val="auto"/>
                <w:spacing w:val="-1"/>
                <w:sz w:val="25"/>
                <w:szCs w:val="25"/>
              </w:rPr>
              <w:t>（是、否）</w:t>
            </w:r>
          </w:p>
        </w:tc>
      </w:tr>
      <w:tr w14:paraId="45A5A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040" w:type="dxa"/>
            <w:gridSpan w:val="2"/>
            <w:tcBorders>
              <w:left w:val="single" w:color="000000" w:sz="10" w:space="0"/>
              <w:bottom w:val="single" w:color="000000" w:sz="10" w:space="0"/>
              <w:right w:val="single" w:color="000000" w:sz="10" w:space="0"/>
            </w:tcBorders>
            <w:vAlign w:val="top"/>
          </w:tcPr>
          <w:p w14:paraId="4C065CA7">
            <w:pPr>
              <w:keepNext w:val="0"/>
              <w:keepLines w:val="0"/>
              <w:pageBreakBefore w:val="0"/>
              <w:widowControl/>
              <w:kinsoku/>
              <w:wordWrap w:val="0"/>
              <w:overflowPunct/>
              <w:topLinePunct w:val="0"/>
              <w:autoSpaceDE w:val="0"/>
              <w:autoSpaceDN w:val="0"/>
              <w:bidi w:val="0"/>
              <w:adjustRightInd w:val="0"/>
              <w:snapToGrid w:val="0"/>
              <w:spacing w:line="360" w:lineRule="auto"/>
              <w:ind w:left="0" w:leftChars="0"/>
              <w:textAlignment w:val="baseline"/>
              <w:rPr>
                <w:rFonts w:hint="eastAsia" w:ascii="黑体" w:hAnsi="黑体" w:eastAsia="黑体" w:cs="黑体"/>
                <w:b/>
                <w:bCs/>
                <w:i w:val="0"/>
                <w:iCs w:val="0"/>
                <w:color w:val="auto"/>
                <w:sz w:val="24"/>
                <w:szCs w:val="24"/>
              </w:rPr>
            </w:pPr>
            <w:r>
              <w:rPr>
                <w:rFonts w:hint="eastAsia" w:ascii="黑体" w:hAnsi="黑体" w:eastAsia="黑体" w:cs="黑体"/>
                <w:b/>
                <w:bCs/>
                <w:i w:val="0"/>
                <w:iCs w:val="0"/>
                <w:color w:val="auto"/>
                <w:sz w:val="24"/>
                <w:szCs w:val="24"/>
              </w:rPr>
              <w:t>备注：</w:t>
            </w:r>
          </w:p>
          <w:p w14:paraId="4112FCC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textAlignment w:val="baseline"/>
              <w:rPr>
                <w:rFonts w:hint="eastAsia" w:ascii="黑体" w:hAnsi="黑体" w:eastAsia="黑体" w:cs="黑体"/>
                <w:b/>
                <w:bCs/>
                <w:i w:val="0"/>
                <w:iCs w:val="0"/>
                <w:color w:val="auto"/>
                <w:sz w:val="24"/>
                <w:szCs w:val="24"/>
              </w:rPr>
            </w:pPr>
            <w:r>
              <w:rPr>
                <w:rFonts w:hint="eastAsia" w:ascii="黑体" w:hAnsi="黑体" w:eastAsia="黑体" w:cs="黑体"/>
                <w:b/>
                <w:bCs/>
                <w:i w:val="0"/>
                <w:iCs w:val="0"/>
                <w:snapToGrid w:val="0"/>
                <w:color w:val="auto"/>
                <w:kern w:val="0"/>
                <w:sz w:val="24"/>
                <w:szCs w:val="24"/>
                <w:lang w:val="en-US" w:eastAsia="en-US" w:bidi="ar-SA"/>
              </w:rPr>
              <w:t>1、</w:t>
            </w:r>
            <w:r>
              <w:rPr>
                <w:rFonts w:hint="eastAsia" w:ascii="黑体" w:hAnsi="黑体" w:eastAsia="黑体" w:cs="黑体"/>
                <w:b/>
                <w:bCs/>
                <w:i w:val="0"/>
                <w:iCs w:val="0"/>
                <w:color w:val="auto"/>
                <w:sz w:val="24"/>
                <w:szCs w:val="24"/>
              </w:rPr>
              <w:t>供应商认为采购过程和中标结果使自己的权益受到损害的，可以在知道或者应知其权益受到损害之日起七个工作日内，按照政府采购质疑和投诉办法（中华人民共和国财政部令94号）以书面形式向采购人和采购代理机构提出质疑，逾期不再接收。在法定质疑期内供应商针对同一采购程序环节的质疑应当一次性提出。</w:t>
            </w:r>
          </w:p>
          <w:p w14:paraId="19E8667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textAlignment w:val="baseline"/>
              <w:rPr>
                <w:rFonts w:hint="eastAsia" w:ascii="黑体" w:hAnsi="黑体" w:eastAsia="黑体" w:cs="黑体"/>
                <w:b/>
                <w:bCs/>
                <w:i w:val="0"/>
                <w:iCs w:val="0"/>
                <w:color w:val="auto"/>
                <w:sz w:val="24"/>
                <w:szCs w:val="24"/>
              </w:rPr>
            </w:pPr>
            <w:r>
              <w:rPr>
                <w:rFonts w:hint="eastAsia" w:ascii="黑体" w:hAnsi="黑体" w:eastAsia="黑体" w:cs="黑体"/>
                <w:b/>
                <w:bCs/>
                <w:i w:val="0"/>
                <w:iCs w:val="0"/>
                <w:snapToGrid w:val="0"/>
                <w:color w:val="auto"/>
                <w:kern w:val="0"/>
                <w:sz w:val="24"/>
                <w:szCs w:val="24"/>
                <w:lang w:val="en-US" w:eastAsia="en-US" w:bidi="ar-SA"/>
              </w:rPr>
              <w:t>2、</w:t>
            </w:r>
            <w:r>
              <w:rPr>
                <w:rFonts w:hint="eastAsia" w:ascii="黑体" w:hAnsi="黑体" w:eastAsia="黑体" w:cs="黑体"/>
                <w:b/>
                <w:bCs/>
                <w:i w:val="0"/>
                <w:iCs w:val="0"/>
                <w:color w:val="auto"/>
                <w:sz w:val="24"/>
                <w:szCs w:val="24"/>
              </w:rPr>
              <w:t>如</w:t>
            </w:r>
            <w:r>
              <w:rPr>
                <w:rFonts w:hint="eastAsia" w:ascii="黑体" w:hAnsi="黑体" w:eastAsia="黑体" w:cs="黑体"/>
                <w:b/>
                <w:bCs/>
                <w:i w:val="0"/>
                <w:iCs w:val="0"/>
                <w:color w:val="auto"/>
                <w:sz w:val="24"/>
                <w:szCs w:val="24"/>
                <w:lang w:val="en-US" w:eastAsia="zh-CN"/>
              </w:rPr>
              <w:t>供应</w:t>
            </w:r>
            <w:r>
              <w:rPr>
                <w:rFonts w:hint="eastAsia" w:ascii="黑体" w:hAnsi="黑体" w:eastAsia="黑体" w:cs="黑体"/>
                <w:b/>
                <w:bCs/>
                <w:i w:val="0"/>
                <w:iCs w:val="0"/>
                <w:color w:val="auto"/>
                <w:sz w:val="24"/>
                <w:szCs w:val="24"/>
              </w:rPr>
              <w:t>商对多个</w:t>
            </w:r>
            <w:r>
              <w:rPr>
                <w:rFonts w:hint="eastAsia" w:ascii="黑体" w:hAnsi="黑体" w:eastAsia="黑体" w:cs="黑体"/>
                <w:b/>
                <w:bCs/>
                <w:i w:val="0"/>
                <w:iCs w:val="0"/>
                <w:color w:val="auto"/>
                <w:sz w:val="24"/>
                <w:szCs w:val="24"/>
                <w:lang w:val="en-US" w:eastAsia="zh-CN"/>
              </w:rPr>
              <w:t>标项</w:t>
            </w:r>
            <w:r>
              <w:rPr>
                <w:rFonts w:hint="eastAsia" w:ascii="黑体" w:hAnsi="黑体" w:eastAsia="黑体" w:cs="黑体"/>
                <w:b/>
                <w:bCs/>
                <w:i w:val="0"/>
                <w:iCs w:val="0"/>
                <w:color w:val="auto"/>
                <w:sz w:val="24"/>
                <w:szCs w:val="24"/>
              </w:rPr>
              <w:t>进行投标，</w:t>
            </w:r>
            <w:r>
              <w:rPr>
                <w:rFonts w:hint="eastAsia" w:ascii="黑体" w:hAnsi="黑体" w:eastAsia="黑体" w:cs="黑体"/>
                <w:b/>
                <w:bCs/>
                <w:i w:val="0"/>
                <w:iCs w:val="0"/>
                <w:color w:val="auto"/>
                <w:sz w:val="24"/>
                <w:szCs w:val="24"/>
                <w:lang w:val="en-US" w:eastAsia="zh-CN"/>
              </w:rPr>
              <w:t>最多</w:t>
            </w:r>
            <w:r>
              <w:rPr>
                <w:rFonts w:hint="eastAsia" w:ascii="黑体" w:hAnsi="黑体" w:eastAsia="黑体" w:cs="黑体"/>
                <w:b/>
                <w:bCs/>
                <w:i w:val="0"/>
                <w:iCs w:val="0"/>
                <w:color w:val="auto"/>
                <w:sz w:val="24"/>
                <w:szCs w:val="24"/>
              </w:rPr>
              <w:t>中标</w:t>
            </w:r>
            <w:r>
              <w:rPr>
                <w:rFonts w:hint="eastAsia" w:ascii="黑体" w:hAnsi="黑体" w:eastAsia="黑体" w:cs="黑体"/>
                <w:b/>
                <w:bCs/>
                <w:i w:val="0"/>
                <w:iCs w:val="0"/>
                <w:color w:val="auto"/>
                <w:sz w:val="24"/>
                <w:szCs w:val="24"/>
                <w:lang w:val="en-US" w:eastAsia="zh-CN"/>
              </w:rPr>
              <w:t>1个标项。</w:t>
            </w:r>
          </w:p>
          <w:p w14:paraId="0513399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textAlignment w:val="baseline"/>
              <w:rPr>
                <w:rFonts w:hint="eastAsia" w:ascii="黑体" w:hAnsi="黑体" w:eastAsia="黑体" w:cs="黑体"/>
                <w:b/>
                <w:bCs/>
                <w:i w:val="0"/>
                <w:iCs w:val="0"/>
                <w:color w:val="auto"/>
                <w:sz w:val="24"/>
                <w:szCs w:val="24"/>
              </w:rPr>
            </w:pPr>
            <w:r>
              <w:rPr>
                <w:rFonts w:hint="eastAsia" w:ascii="黑体" w:hAnsi="黑体" w:eastAsia="黑体" w:cs="黑体"/>
                <w:b/>
                <w:bCs/>
                <w:i w:val="0"/>
                <w:iCs w:val="0"/>
                <w:snapToGrid w:val="0"/>
                <w:color w:val="auto"/>
                <w:kern w:val="0"/>
                <w:sz w:val="24"/>
                <w:szCs w:val="24"/>
                <w:lang w:val="en-US" w:eastAsia="en-US" w:bidi="ar-SA"/>
              </w:rPr>
              <w:t>3、</w:t>
            </w:r>
            <w:r>
              <w:rPr>
                <w:rFonts w:hint="eastAsia" w:ascii="黑体" w:hAnsi="黑体" w:eastAsia="黑体" w:cs="黑体"/>
                <w:b/>
                <w:bCs/>
                <w:i w:val="0"/>
                <w:iCs w:val="0"/>
                <w:color w:val="auto"/>
                <w:sz w:val="24"/>
                <w:szCs w:val="24"/>
              </w:rPr>
              <w:t>本招标文件中出现前后矛盾不一致的，以</w:t>
            </w:r>
            <w:r>
              <w:rPr>
                <w:rFonts w:hint="eastAsia" w:ascii="黑体" w:hAnsi="黑体" w:eastAsia="黑体" w:cs="黑体"/>
                <w:b/>
                <w:bCs/>
                <w:i w:val="0"/>
                <w:iCs w:val="0"/>
                <w:color w:val="auto"/>
                <w:sz w:val="24"/>
                <w:szCs w:val="24"/>
                <w:lang w:val="en-US" w:eastAsia="zh-CN"/>
              </w:rPr>
              <w:t>供应商</w:t>
            </w:r>
            <w:r>
              <w:rPr>
                <w:rFonts w:hint="eastAsia" w:ascii="黑体" w:hAnsi="黑体" w:eastAsia="黑体" w:cs="黑体"/>
                <w:b/>
                <w:bCs/>
                <w:i w:val="0"/>
                <w:iCs w:val="0"/>
                <w:color w:val="auto"/>
                <w:sz w:val="24"/>
                <w:szCs w:val="24"/>
              </w:rPr>
              <w:t>须知资料表为准。</w:t>
            </w:r>
          </w:p>
        </w:tc>
      </w:tr>
    </w:tbl>
    <w:p w14:paraId="7C0D5075">
      <w:pPr>
        <w:rPr>
          <w:rFonts w:hint="eastAsia" w:ascii="黑体" w:hAnsi="黑体" w:eastAsia="黑体" w:cs="黑体"/>
          <w:b/>
          <w:bCs/>
          <w:color w:val="auto"/>
          <w:spacing w:val="5"/>
        </w:rPr>
      </w:pPr>
      <w:r>
        <w:rPr>
          <w:rFonts w:hint="eastAsia" w:ascii="黑体" w:hAnsi="黑体" w:eastAsia="黑体" w:cs="黑体"/>
          <w:b/>
          <w:bCs/>
          <w:color w:val="auto"/>
          <w:spacing w:val="5"/>
        </w:rPr>
        <w:br w:type="page"/>
      </w:r>
    </w:p>
    <w:p w14:paraId="4CCD8A4E">
      <w:pPr>
        <w:pStyle w:val="6"/>
        <w:keepNext w:val="0"/>
        <w:keepLines w:val="0"/>
        <w:pageBreakBefore w:val="0"/>
        <w:widowControl/>
        <w:kinsoku/>
        <w:wordWrap w:val="0"/>
        <w:overflowPunct/>
        <w:topLinePunct w:val="0"/>
        <w:bidi w:val="0"/>
        <w:spacing w:before="80" w:line="500" w:lineRule="exact"/>
        <w:ind w:left="2481"/>
        <w:outlineLvl w:val="0"/>
        <w:rPr>
          <w:rFonts w:hint="eastAsia" w:ascii="黑体" w:hAnsi="黑体" w:eastAsia="黑体" w:cs="黑体"/>
          <w:color w:val="auto"/>
        </w:rPr>
      </w:pPr>
      <w:bookmarkStart w:id="93" w:name="_Toc17789"/>
      <w:r>
        <w:rPr>
          <w:rFonts w:hint="eastAsia" w:ascii="黑体" w:hAnsi="黑体" w:eastAsia="黑体" w:cs="黑体"/>
          <w:b/>
          <w:bCs/>
          <w:color w:val="auto"/>
          <w:spacing w:val="5"/>
        </w:rPr>
        <w:t>第5章货物内容及项目要求</w:t>
      </w:r>
      <w:bookmarkEnd w:id="93"/>
    </w:p>
    <w:p w14:paraId="47FDE1E0">
      <w:pPr>
        <w:pStyle w:val="6"/>
        <w:keepNext w:val="0"/>
        <w:keepLines w:val="0"/>
        <w:pageBreakBefore w:val="0"/>
        <w:widowControl/>
        <w:kinsoku/>
        <w:wordWrap w:val="0"/>
        <w:overflowPunct/>
        <w:topLinePunct w:val="0"/>
        <w:autoSpaceDE w:val="0"/>
        <w:autoSpaceDN w:val="0"/>
        <w:bidi w:val="0"/>
        <w:adjustRightInd w:val="0"/>
        <w:snapToGrid w:val="0"/>
        <w:spacing w:line="500" w:lineRule="exact"/>
        <w:textAlignment w:val="baseline"/>
        <w:outlineLvl w:val="1"/>
        <w:rPr>
          <w:rFonts w:hint="eastAsia" w:ascii="黑体" w:hAnsi="黑体" w:eastAsia="黑体" w:cs="黑体"/>
          <w:b/>
          <w:bCs/>
          <w:color w:val="auto"/>
          <w:spacing w:val="-3"/>
          <w:sz w:val="24"/>
          <w:szCs w:val="24"/>
          <w:lang w:val="en-US" w:eastAsia="zh-CN"/>
        </w:rPr>
      </w:pPr>
      <w:r>
        <w:rPr>
          <w:rFonts w:hint="eastAsia" w:ascii="黑体" w:hAnsi="黑体" w:eastAsia="黑体" w:cs="黑体"/>
          <w:b/>
          <w:bCs/>
          <w:color w:val="auto"/>
          <w:spacing w:val="-3"/>
          <w:sz w:val="24"/>
          <w:szCs w:val="24"/>
          <w:lang w:val="en-US" w:eastAsia="zh-CN"/>
        </w:rPr>
        <w:t>标项名称：2025年进口医疗设备购置项目（眼科进口医疗设备）</w:t>
      </w:r>
    </w:p>
    <w:p w14:paraId="7A6EB2F7">
      <w:pPr>
        <w:pStyle w:val="6"/>
        <w:keepNext w:val="0"/>
        <w:keepLines w:val="0"/>
        <w:pageBreakBefore w:val="0"/>
        <w:widowControl/>
        <w:numPr>
          <w:ilvl w:val="0"/>
          <w:numId w:val="2"/>
        </w:numPr>
        <w:kinsoku/>
        <w:wordWrap w:val="0"/>
        <w:overflowPunct/>
        <w:topLinePunct w:val="0"/>
        <w:autoSpaceDE w:val="0"/>
        <w:autoSpaceDN w:val="0"/>
        <w:bidi w:val="0"/>
        <w:adjustRightInd w:val="0"/>
        <w:snapToGrid w:val="0"/>
        <w:spacing w:line="500" w:lineRule="exact"/>
        <w:textAlignment w:val="baseline"/>
        <w:outlineLvl w:val="1"/>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t>货物需求：</w:t>
      </w:r>
    </w:p>
    <w:tbl>
      <w:tblPr>
        <w:tblStyle w:val="16"/>
        <w:tblW w:w="8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4342"/>
        <w:gridCol w:w="1635"/>
        <w:gridCol w:w="1440"/>
      </w:tblGrid>
      <w:tr w14:paraId="29C2C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4" w:type="dxa"/>
            <w:vAlign w:val="top"/>
          </w:tcPr>
          <w:p w14:paraId="51A577F4">
            <w:pPr>
              <w:keepNext w:val="0"/>
              <w:keepLines w:val="0"/>
              <w:pageBreakBefore w:val="0"/>
              <w:widowControl/>
              <w:kinsoku/>
              <w:wordWrap w:val="0"/>
              <w:overflowPunct/>
              <w:topLinePunct w:val="0"/>
              <w:bidi w:val="0"/>
              <w:spacing w:before="173"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1"/>
                <w:sz w:val="24"/>
                <w:szCs w:val="24"/>
              </w:rPr>
              <w:t>序号</w:t>
            </w:r>
          </w:p>
        </w:tc>
        <w:tc>
          <w:tcPr>
            <w:tcW w:w="4342" w:type="dxa"/>
            <w:vAlign w:val="top"/>
          </w:tcPr>
          <w:p w14:paraId="03530254">
            <w:pPr>
              <w:keepNext w:val="0"/>
              <w:keepLines w:val="0"/>
              <w:pageBreakBefore w:val="0"/>
              <w:widowControl/>
              <w:kinsoku/>
              <w:wordWrap w:val="0"/>
              <w:overflowPunct/>
              <w:topLinePunct w:val="0"/>
              <w:bidi w:val="0"/>
              <w:spacing w:before="171"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2"/>
                <w:sz w:val="24"/>
                <w:szCs w:val="24"/>
              </w:rPr>
              <w:t>设备名称</w:t>
            </w:r>
          </w:p>
        </w:tc>
        <w:tc>
          <w:tcPr>
            <w:tcW w:w="1635" w:type="dxa"/>
            <w:vAlign w:val="top"/>
          </w:tcPr>
          <w:p w14:paraId="788E418E">
            <w:pPr>
              <w:keepNext w:val="0"/>
              <w:keepLines w:val="0"/>
              <w:pageBreakBefore w:val="0"/>
              <w:widowControl/>
              <w:kinsoku/>
              <w:wordWrap w:val="0"/>
              <w:overflowPunct/>
              <w:topLinePunct w:val="0"/>
              <w:bidi w:val="0"/>
              <w:spacing w:before="173"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3"/>
                <w:sz w:val="24"/>
                <w:szCs w:val="24"/>
              </w:rPr>
              <w:t>单位</w:t>
            </w:r>
          </w:p>
        </w:tc>
        <w:tc>
          <w:tcPr>
            <w:tcW w:w="1440" w:type="dxa"/>
            <w:vAlign w:val="top"/>
          </w:tcPr>
          <w:p w14:paraId="55A52349">
            <w:pPr>
              <w:keepNext w:val="0"/>
              <w:keepLines w:val="0"/>
              <w:pageBreakBefore w:val="0"/>
              <w:widowControl/>
              <w:kinsoku/>
              <w:wordWrap w:val="0"/>
              <w:overflowPunct/>
              <w:topLinePunct w:val="0"/>
              <w:bidi w:val="0"/>
              <w:spacing w:before="175" w:line="500" w:lineRule="exact"/>
              <w:jc w:val="center"/>
              <w:rPr>
                <w:rFonts w:hint="eastAsia" w:ascii="黑体" w:hAnsi="黑体" w:eastAsia="黑体" w:cs="黑体"/>
                <w:color w:val="auto"/>
                <w:sz w:val="24"/>
                <w:szCs w:val="24"/>
              </w:rPr>
            </w:pPr>
            <w:r>
              <w:rPr>
                <w:rFonts w:hint="eastAsia" w:ascii="黑体" w:hAnsi="黑体" w:eastAsia="黑体" w:cs="黑体"/>
                <w:color w:val="auto"/>
                <w:spacing w:val="-2"/>
                <w:sz w:val="24"/>
                <w:szCs w:val="24"/>
              </w:rPr>
              <w:t>数量</w:t>
            </w:r>
          </w:p>
        </w:tc>
      </w:tr>
      <w:tr w14:paraId="34FF6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34" w:type="dxa"/>
            <w:vAlign w:val="top"/>
          </w:tcPr>
          <w:p w14:paraId="65C348CD">
            <w:pPr>
              <w:keepNext w:val="0"/>
              <w:keepLines w:val="0"/>
              <w:pageBreakBefore w:val="0"/>
              <w:widowControl/>
              <w:kinsoku/>
              <w:wordWrap w:val="0"/>
              <w:overflowPunct/>
              <w:topLinePunct w:val="0"/>
              <w:bidi w:val="0"/>
              <w:spacing w:before="252" w:line="500" w:lineRule="exact"/>
              <w:ind w:left="418"/>
              <w:rPr>
                <w:rFonts w:hint="eastAsia" w:ascii="黑体" w:hAnsi="黑体" w:eastAsia="黑体" w:cs="黑体"/>
                <w:color w:val="auto"/>
                <w:sz w:val="24"/>
                <w:szCs w:val="24"/>
              </w:rPr>
            </w:pPr>
            <w:r>
              <w:rPr>
                <w:rFonts w:hint="eastAsia" w:ascii="黑体" w:hAnsi="黑体" w:eastAsia="黑体" w:cs="黑体"/>
                <w:color w:val="auto"/>
                <w:sz w:val="24"/>
                <w:szCs w:val="24"/>
              </w:rPr>
              <w:t>1</w:t>
            </w:r>
          </w:p>
        </w:tc>
        <w:tc>
          <w:tcPr>
            <w:tcW w:w="4342" w:type="dxa"/>
            <w:vAlign w:val="center"/>
          </w:tcPr>
          <w:p w14:paraId="3F98AB7D">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干眼治疗仪</w:t>
            </w:r>
          </w:p>
        </w:tc>
        <w:tc>
          <w:tcPr>
            <w:tcW w:w="1635" w:type="dxa"/>
            <w:vAlign w:val="center"/>
          </w:tcPr>
          <w:p w14:paraId="469C34C0">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台</w:t>
            </w:r>
          </w:p>
        </w:tc>
        <w:tc>
          <w:tcPr>
            <w:tcW w:w="1440" w:type="dxa"/>
            <w:vAlign w:val="center"/>
          </w:tcPr>
          <w:p w14:paraId="0F071273">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1</w:t>
            </w:r>
          </w:p>
        </w:tc>
      </w:tr>
      <w:tr w14:paraId="6DC2C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34" w:type="dxa"/>
            <w:vAlign w:val="top"/>
          </w:tcPr>
          <w:p w14:paraId="41E4B3FE">
            <w:pPr>
              <w:keepNext w:val="0"/>
              <w:keepLines w:val="0"/>
              <w:pageBreakBefore w:val="0"/>
              <w:widowControl/>
              <w:kinsoku/>
              <w:wordWrap w:val="0"/>
              <w:overflowPunct/>
              <w:topLinePunct w:val="0"/>
              <w:bidi w:val="0"/>
              <w:spacing w:before="252" w:line="500" w:lineRule="exact"/>
              <w:ind w:left="418"/>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w:t>
            </w:r>
          </w:p>
        </w:tc>
        <w:tc>
          <w:tcPr>
            <w:tcW w:w="4342" w:type="dxa"/>
            <w:vAlign w:val="center"/>
          </w:tcPr>
          <w:p w14:paraId="201F9DC7">
            <w:pPr>
              <w:keepNext w:val="0"/>
              <w:keepLines w:val="0"/>
              <w:widowControl/>
              <w:suppressLineNumbers w:val="0"/>
              <w:jc w:val="center"/>
              <w:textAlignment w:val="center"/>
              <w:rPr>
                <w:rFonts w:hint="eastAsia" w:ascii="黑体" w:hAnsi="黑体" w:eastAsia="黑体" w:cs="黑体"/>
                <w:color w:val="auto"/>
                <w:spacing w:val="-1"/>
                <w:sz w:val="24"/>
                <w:szCs w:val="24"/>
              </w:rPr>
            </w:pPr>
            <w:r>
              <w:rPr>
                <w:rFonts w:hint="eastAsia" w:ascii="黑体" w:hAnsi="黑体" w:eastAsia="黑体" w:cs="黑体"/>
                <w:i w:val="0"/>
                <w:iCs w:val="0"/>
                <w:snapToGrid w:val="0"/>
                <w:color w:val="auto"/>
                <w:kern w:val="0"/>
                <w:sz w:val="24"/>
                <w:szCs w:val="24"/>
                <w:u w:val="none"/>
                <w:lang w:val="en-US" w:eastAsia="zh-CN" w:bidi="ar"/>
              </w:rPr>
              <w:t>干眼诊断仪</w:t>
            </w:r>
          </w:p>
        </w:tc>
        <w:tc>
          <w:tcPr>
            <w:tcW w:w="1635" w:type="dxa"/>
            <w:vAlign w:val="center"/>
          </w:tcPr>
          <w:p w14:paraId="1246C7A9">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台</w:t>
            </w:r>
          </w:p>
        </w:tc>
        <w:tc>
          <w:tcPr>
            <w:tcW w:w="1440" w:type="dxa"/>
            <w:vAlign w:val="center"/>
          </w:tcPr>
          <w:p w14:paraId="64EB8823">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1</w:t>
            </w:r>
          </w:p>
        </w:tc>
      </w:tr>
      <w:tr w14:paraId="47DC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34" w:type="dxa"/>
            <w:vAlign w:val="top"/>
          </w:tcPr>
          <w:p w14:paraId="58AFE519">
            <w:pPr>
              <w:keepNext w:val="0"/>
              <w:keepLines w:val="0"/>
              <w:pageBreakBefore w:val="0"/>
              <w:widowControl/>
              <w:kinsoku/>
              <w:wordWrap w:val="0"/>
              <w:overflowPunct/>
              <w:topLinePunct w:val="0"/>
              <w:bidi w:val="0"/>
              <w:spacing w:before="252" w:line="500" w:lineRule="exact"/>
              <w:ind w:left="418"/>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3</w:t>
            </w:r>
          </w:p>
        </w:tc>
        <w:tc>
          <w:tcPr>
            <w:tcW w:w="4342" w:type="dxa"/>
            <w:vAlign w:val="center"/>
          </w:tcPr>
          <w:p w14:paraId="034DB41E">
            <w:pPr>
              <w:keepNext w:val="0"/>
              <w:keepLines w:val="0"/>
              <w:widowControl/>
              <w:suppressLineNumbers w:val="0"/>
              <w:jc w:val="center"/>
              <w:textAlignment w:val="center"/>
              <w:rPr>
                <w:rFonts w:hint="eastAsia" w:ascii="黑体" w:hAnsi="黑体" w:eastAsia="黑体" w:cs="黑体"/>
                <w:color w:val="auto"/>
                <w:spacing w:val="-1"/>
                <w:sz w:val="24"/>
                <w:szCs w:val="24"/>
              </w:rPr>
            </w:pPr>
            <w:r>
              <w:rPr>
                <w:rFonts w:hint="eastAsia" w:ascii="黑体" w:hAnsi="黑体" w:eastAsia="黑体" w:cs="黑体"/>
                <w:i w:val="0"/>
                <w:iCs w:val="0"/>
                <w:snapToGrid w:val="0"/>
                <w:color w:val="auto"/>
                <w:kern w:val="0"/>
                <w:sz w:val="24"/>
                <w:szCs w:val="24"/>
                <w:u w:val="none"/>
                <w:lang w:val="en-US" w:eastAsia="zh-CN" w:bidi="ar"/>
              </w:rPr>
              <w:t>视野机</w:t>
            </w:r>
          </w:p>
        </w:tc>
        <w:tc>
          <w:tcPr>
            <w:tcW w:w="1635" w:type="dxa"/>
            <w:vAlign w:val="center"/>
          </w:tcPr>
          <w:p w14:paraId="41A89380">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台</w:t>
            </w:r>
          </w:p>
        </w:tc>
        <w:tc>
          <w:tcPr>
            <w:tcW w:w="1440" w:type="dxa"/>
            <w:vAlign w:val="center"/>
          </w:tcPr>
          <w:p w14:paraId="6E83FA2A">
            <w:pPr>
              <w:keepNext w:val="0"/>
              <w:keepLines w:val="0"/>
              <w:widowControl/>
              <w:suppressLineNumbers w:val="0"/>
              <w:jc w:val="center"/>
              <w:textAlignment w:val="center"/>
              <w:rPr>
                <w:rFonts w:hint="eastAsia" w:ascii="黑体" w:hAnsi="黑体" w:eastAsia="黑体" w:cs="黑体"/>
                <w:color w:val="auto"/>
                <w:sz w:val="24"/>
                <w:szCs w:val="24"/>
              </w:rPr>
            </w:pPr>
            <w:r>
              <w:rPr>
                <w:rFonts w:hint="eastAsia" w:ascii="黑体" w:hAnsi="黑体" w:eastAsia="黑体" w:cs="黑体"/>
                <w:i w:val="0"/>
                <w:iCs w:val="0"/>
                <w:snapToGrid w:val="0"/>
                <w:color w:val="auto"/>
                <w:kern w:val="0"/>
                <w:sz w:val="24"/>
                <w:szCs w:val="24"/>
                <w:u w:val="none"/>
                <w:lang w:val="en-US" w:eastAsia="zh-CN" w:bidi="ar"/>
              </w:rPr>
              <w:t>1</w:t>
            </w:r>
          </w:p>
        </w:tc>
      </w:tr>
    </w:tbl>
    <w:p w14:paraId="0C3653D6">
      <w:pPr>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br w:type="page"/>
      </w:r>
    </w:p>
    <w:p w14:paraId="3E079EDC">
      <w:pPr>
        <w:jc w:val="center"/>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干眼治疗仪</w:t>
      </w:r>
      <w:r>
        <w:rPr>
          <w:rFonts w:hint="eastAsia" w:ascii="微软雅黑" w:hAnsi="微软雅黑" w:eastAsia="微软雅黑" w:cs="微软雅黑"/>
          <w:b/>
          <w:bCs w:val="0"/>
          <w:color w:val="auto"/>
          <w:sz w:val="24"/>
          <w:szCs w:val="24"/>
          <w:lang w:val="en-US" w:eastAsia="zh-CN"/>
        </w:rPr>
        <w:t>技术</w:t>
      </w:r>
      <w:r>
        <w:rPr>
          <w:rFonts w:hint="eastAsia" w:ascii="微软雅黑" w:hAnsi="微软雅黑" w:eastAsia="微软雅黑" w:cs="微软雅黑"/>
          <w:b/>
          <w:bCs w:val="0"/>
          <w:color w:val="auto"/>
          <w:sz w:val="24"/>
          <w:szCs w:val="24"/>
        </w:rPr>
        <w:t>参数</w:t>
      </w:r>
    </w:p>
    <w:p w14:paraId="18F40030">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val="0"/>
          <w:bCs/>
          <w:color w:val="auto"/>
          <w:sz w:val="24"/>
          <w:szCs w:val="24"/>
        </w:rPr>
        <w:t>1</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rPr>
        <w:t>主机类型：三类产品注册证，产品注册证的适应症范围必须明确注明干眼症治疗</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主机无耗材产品</w:t>
      </w:r>
      <w:r>
        <w:rPr>
          <w:rFonts w:hint="eastAsia" w:ascii="微软雅黑" w:hAnsi="微软雅黑" w:eastAsia="微软雅黑" w:cs="微软雅黑"/>
          <w:b w:val="0"/>
          <w:bCs/>
          <w:color w:val="auto"/>
          <w:sz w:val="24"/>
          <w:szCs w:val="24"/>
          <w:lang w:eastAsia="zh-CN"/>
        </w:rPr>
        <w:t>；</w:t>
      </w:r>
    </w:p>
    <w:p w14:paraId="4FF1E04E">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val="0"/>
          <w:bCs/>
          <w:color w:val="auto"/>
          <w:sz w:val="24"/>
          <w:szCs w:val="24"/>
        </w:rPr>
        <w:t>2</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rPr>
        <w:t>脉冲技术：主机OPT优化脉冲光技术，三维设计：能量叠加+脉宽/间隔+脉冲波形</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使发出的脉冲能量全程输出呈多脉冲方形垛口状，可控输出的形态均一</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方形波</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脉冲波。（提供证明</w:t>
      </w:r>
      <w:r>
        <w:rPr>
          <w:rFonts w:hint="eastAsia" w:ascii="微软雅黑" w:hAnsi="微软雅黑" w:eastAsia="微软雅黑" w:cs="微软雅黑"/>
          <w:b w:val="0"/>
          <w:bCs/>
          <w:color w:val="auto"/>
          <w:sz w:val="24"/>
          <w:szCs w:val="24"/>
          <w:lang w:val="en-US" w:eastAsia="zh-CN"/>
        </w:rPr>
        <w:t>材料</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eastAsia="zh-CN"/>
        </w:rPr>
        <w:t>；</w:t>
      </w:r>
    </w:p>
    <w:p w14:paraId="474ED3C6">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3.</w:t>
      </w:r>
      <w:r>
        <w:rPr>
          <w:rFonts w:hint="eastAsia" w:ascii="微软雅黑" w:hAnsi="微软雅黑" w:eastAsia="微软雅黑" w:cs="微软雅黑"/>
          <w:b w:val="0"/>
          <w:bCs/>
          <w:color w:val="auto"/>
          <w:sz w:val="24"/>
          <w:szCs w:val="24"/>
        </w:rPr>
        <w:t>光源：强脉冲光</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lang w:val="en-US" w:eastAsia="zh-CN"/>
        </w:rPr>
        <w:t>光源寿命≥10万次</w:t>
      </w:r>
      <w:r>
        <w:rPr>
          <w:rFonts w:hint="eastAsia" w:ascii="微软雅黑" w:hAnsi="微软雅黑" w:eastAsia="微软雅黑" w:cs="微软雅黑"/>
          <w:b w:val="0"/>
          <w:bCs/>
          <w:color w:val="auto"/>
          <w:sz w:val="24"/>
          <w:szCs w:val="24"/>
        </w:rPr>
        <w:t>脉冲</w:t>
      </w:r>
      <w:r>
        <w:rPr>
          <w:rFonts w:hint="eastAsia" w:ascii="微软雅黑" w:hAnsi="微软雅黑" w:eastAsia="微软雅黑" w:cs="微软雅黑"/>
          <w:b w:val="0"/>
          <w:bCs/>
          <w:color w:val="auto"/>
          <w:sz w:val="24"/>
          <w:szCs w:val="24"/>
          <w:lang w:eastAsia="zh-CN"/>
        </w:rPr>
        <w:t>；</w:t>
      </w:r>
    </w:p>
    <w:p w14:paraId="70A3919E">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4.</w:t>
      </w:r>
      <w:r>
        <w:rPr>
          <w:rFonts w:hint="eastAsia" w:ascii="微软雅黑" w:hAnsi="微软雅黑" w:eastAsia="微软雅黑" w:cs="微软雅黑"/>
          <w:b w:val="0"/>
          <w:bCs/>
          <w:color w:val="auto"/>
          <w:sz w:val="24"/>
          <w:szCs w:val="24"/>
        </w:rPr>
        <w:t>治疗光波长：515-1200 nm</w:t>
      </w:r>
      <w:r>
        <w:rPr>
          <w:rFonts w:hint="eastAsia" w:ascii="微软雅黑" w:hAnsi="微软雅黑" w:eastAsia="微软雅黑" w:cs="微软雅黑"/>
          <w:b w:val="0"/>
          <w:bCs/>
          <w:color w:val="auto"/>
          <w:sz w:val="24"/>
          <w:szCs w:val="24"/>
          <w:lang w:eastAsia="zh-CN"/>
        </w:rPr>
        <w:t>；</w:t>
      </w:r>
    </w:p>
    <w:p w14:paraId="1389A3C4">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val="0"/>
          <w:bCs/>
          <w:color w:val="auto"/>
          <w:sz w:val="24"/>
          <w:szCs w:val="24"/>
          <w:lang w:val="en-US" w:eastAsia="zh-CN"/>
        </w:rPr>
        <w:t>5.</w:t>
      </w:r>
      <w:r>
        <w:rPr>
          <w:rFonts w:hint="eastAsia" w:ascii="微软雅黑" w:hAnsi="微软雅黑" w:eastAsia="微软雅黑" w:cs="微软雅黑"/>
          <w:b w:val="0"/>
          <w:bCs/>
          <w:color w:val="auto"/>
          <w:sz w:val="24"/>
          <w:szCs w:val="24"/>
        </w:rPr>
        <w:t>能量密度：10-35J/cm²，连续调节</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lang w:val="en-US" w:eastAsia="zh-CN"/>
        </w:rPr>
        <w:t>提供设备安全测试报告</w:t>
      </w:r>
      <w:r>
        <w:rPr>
          <w:rFonts w:hint="eastAsia" w:ascii="微软雅黑" w:hAnsi="微软雅黑" w:eastAsia="微软雅黑" w:cs="微软雅黑"/>
          <w:b w:val="0"/>
          <w:bCs/>
          <w:color w:val="auto"/>
          <w:sz w:val="24"/>
          <w:szCs w:val="24"/>
          <w:lang w:eastAsia="zh-CN"/>
        </w:rPr>
        <w:t>；</w:t>
      </w:r>
    </w:p>
    <w:p w14:paraId="1CBA7099">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6.</w:t>
      </w:r>
      <w:r>
        <w:rPr>
          <w:rFonts w:hint="eastAsia" w:ascii="微软雅黑" w:hAnsi="微软雅黑" w:eastAsia="微软雅黑" w:cs="微软雅黑"/>
          <w:b w:val="0"/>
          <w:bCs/>
          <w:color w:val="auto"/>
          <w:sz w:val="24"/>
          <w:szCs w:val="24"/>
        </w:rPr>
        <w:t>脉宽：4-20 ms</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lang w:val="en-US" w:eastAsia="zh-CN"/>
        </w:rPr>
        <w:t>可调；</w:t>
      </w:r>
    </w:p>
    <w:p w14:paraId="33D8B627">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脉冲延迟：范围在5-150ms之间，可调</w:t>
      </w:r>
      <w:r>
        <w:rPr>
          <w:rFonts w:hint="eastAsia" w:ascii="微软雅黑" w:hAnsi="微软雅黑" w:eastAsia="微软雅黑" w:cs="微软雅黑"/>
          <w:b w:val="0"/>
          <w:bCs/>
          <w:color w:val="auto"/>
          <w:sz w:val="24"/>
          <w:szCs w:val="24"/>
          <w:lang w:eastAsia="zh-CN"/>
        </w:rPr>
        <w:t>；</w:t>
      </w:r>
    </w:p>
    <w:p w14:paraId="56533FC9">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8.</w:t>
      </w:r>
      <w:r>
        <w:rPr>
          <w:rFonts w:hint="eastAsia" w:ascii="微软雅黑" w:hAnsi="微软雅黑" w:eastAsia="微软雅黑" w:cs="微软雅黑"/>
          <w:b w:val="0"/>
          <w:bCs/>
          <w:color w:val="auto"/>
          <w:sz w:val="24"/>
          <w:szCs w:val="24"/>
        </w:rPr>
        <w:t>脉冲方式</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单脉冲，双脉冲，三脉冲</w:t>
      </w:r>
      <w:r>
        <w:rPr>
          <w:rFonts w:hint="eastAsia" w:ascii="微软雅黑" w:hAnsi="微软雅黑" w:eastAsia="微软雅黑" w:cs="微软雅黑"/>
          <w:b w:val="0"/>
          <w:bCs/>
          <w:color w:val="auto"/>
          <w:sz w:val="24"/>
          <w:szCs w:val="24"/>
          <w:lang w:val="en-US" w:eastAsia="zh-CN"/>
        </w:rPr>
        <w:t>等</w:t>
      </w:r>
      <w:r>
        <w:rPr>
          <w:rFonts w:hint="eastAsia" w:ascii="微软雅黑" w:hAnsi="微软雅黑" w:eastAsia="微软雅黑" w:cs="微软雅黑"/>
          <w:b w:val="0"/>
          <w:bCs/>
          <w:color w:val="auto"/>
          <w:sz w:val="24"/>
          <w:szCs w:val="24"/>
        </w:rPr>
        <w:t>不同脉冲模式选择</w:t>
      </w:r>
      <w:r>
        <w:rPr>
          <w:rFonts w:hint="eastAsia" w:ascii="微软雅黑" w:hAnsi="微软雅黑" w:eastAsia="微软雅黑" w:cs="微软雅黑"/>
          <w:b w:val="0"/>
          <w:bCs/>
          <w:color w:val="auto"/>
          <w:sz w:val="24"/>
          <w:szCs w:val="24"/>
          <w:lang w:eastAsia="zh-CN"/>
        </w:rPr>
        <w:t>；</w:t>
      </w:r>
    </w:p>
    <w:p w14:paraId="3E6C511C">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9.</w:t>
      </w:r>
      <w:r>
        <w:rPr>
          <w:rFonts w:hint="eastAsia" w:ascii="微软雅黑" w:hAnsi="微软雅黑" w:eastAsia="微软雅黑" w:cs="微软雅黑"/>
          <w:b w:val="0"/>
          <w:bCs/>
          <w:color w:val="auto"/>
          <w:sz w:val="24"/>
          <w:szCs w:val="24"/>
        </w:rPr>
        <w:t>光斑：15mm*35mm，8mm*15mm</w:t>
      </w:r>
      <w:r>
        <w:rPr>
          <w:rFonts w:hint="eastAsia" w:ascii="微软雅黑" w:hAnsi="微软雅黑" w:eastAsia="微软雅黑" w:cs="微软雅黑"/>
          <w:b w:val="0"/>
          <w:bCs/>
          <w:color w:val="auto"/>
          <w:sz w:val="24"/>
          <w:szCs w:val="24"/>
          <w:lang w:val="en-US" w:eastAsia="zh-CN"/>
        </w:rPr>
        <w:t>等</w:t>
      </w:r>
      <w:r>
        <w:rPr>
          <w:rFonts w:hint="eastAsia" w:ascii="微软雅黑" w:hAnsi="微软雅黑" w:eastAsia="微软雅黑" w:cs="微软雅黑"/>
          <w:b w:val="0"/>
          <w:bCs/>
          <w:color w:val="auto"/>
          <w:sz w:val="24"/>
          <w:szCs w:val="24"/>
        </w:rPr>
        <w:t>，对上、下眼睑，面颊，额头进行治疗</w:t>
      </w:r>
      <w:r>
        <w:rPr>
          <w:rFonts w:hint="eastAsia" w:ascii="微软雅黑" w:hAnsi="微软雅黑" w:eastAsia="微软雅黑" w:cs="微软雅黑"/>
          <w:b w:val="0"/>
          <w:bCs/>
          <w:color w:val="auto"/>
          <w:sz w:val="24"/>
          <w:szCs w:val="24"/>
          <w:lang w:eastAsia="zh-CN"/>
        </w:rPr>
        <w:t>；</w:t>
      </w:r>
    </w:p>
    <w:p w14:paraId="2BE6BF93">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10.</w:t>
      </w:r>
      <w:r>
        <w:rPr>
          <w:rFonts w:hint="eastAsia" w:ascii="微软雅黑" w:hAnsi="微软雅黑" w:eastAsia="微软雅黑" w:cs="微软雅黑"/>
          <w:b w:val="0"/>
          <w:bCs/>
          <w:color w:val="auto"/>
          <w:sz w:val="24"/>
          <w:szCs w:val="24"/>
        </w:rPr>
        <w:t>冷却方式：蓝宝石同步冷却技术，蓝宝石水冷技术</w:t>
      </w:r>
      <w:r>
        <w:rPr>
          <w:rFonts w:hint="eastAsia" w:ascii="微软雅黑" w:hAnsi="微软雅黑" w:eastAsia="微软雅黑" w:cs="微软雅黑"/>
          <w:b w:val="0"/>
          <w:bCs/>
          <w:color w:val="auto"/>
          <w:sz w:val="24"/>
          <w:szCs w:val="24"/>
          <w:lang w:eastAsia="zh-CN"/>
        </w:rPr>
        <w:t>；</w:t>
      </w:r>
    </w:p>
    <w:p w14:paraId="0BE864BE">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11.</w:t>
      </w:r>
      <w:r>
        <w:rPr>
          <w:rFonts w:hint="eastAsia" w:ascii="微软雅黑" w:hAnsi="微软雅黑" w:eastAsia="微软雅黑" w:cs="微软雅黑"/>
          <w:b w:val="0"/>
          <w:bCs/>
          <w:color w:val="auto"/>
          <w:sz w:val="24"/>
          <w:szCs w:val="24"/>
        </w:rPr>
        <w:t>滤光片：515nm，560nm，590nm，615nm，640nm，690nm</w:t>
      </w:r>
      <w:r>
        <w:rPr>
          <w:rFonts w:hint="eastAsia" w:ascii="微软雅黑" w:hAnsi="微软雅黑" w:eastAsia="微软雅黑" w:cs="微软雅黑"/>
          <w:b w:val="0"/>
          <w:bCs/>
          <w:color w:val="auto"/>
          <w:sz w:val="24"/>
          <w:szCs w:val="24"/>
          <w:lang w:val="en-US" w:eastAsia="zh-CN"/>
        </w:rPr>
        <w:t>等</w:t>
      </w:r>
      <w:r>
        <w:rPr>
          <w:rFonts w:hint="eastAsia" w:ascii="微软雅黑" w:hAnsi="微软雅黑" w:eastAsia="微软雅黑" w:cs="微软雅黑"/>
          <w:b w:val="0"/>
          <w:bCs/>
          <w:color w:val="auto"/>
          <w:sz w:val="24"/>
          <w:szCs w:val="24"/>
        </w:rPr>
        <w:t>滤光片</w:t>
      </w:r>
      <w:r>
        <w:rPr>
          <w:rFonts w:hint="eastAsia" w:ascii="微软雅黑" w:hAnsi="微软雅黑" w:eastAsia="微软雅黑" w:cs="微软雅黑"/>
          <w:b w:val="0"/>
          <w:bCs/>
          <w:color w:val="auto"/>
          <w:sz w:val="24"/>
          <w:szCs w:val="24"/>
          <w:lang w:eastAsia="zh-CN"/>
        </w:rPr>
        <w:t>；</w:t>
      </w:r>
    </w:p>
    <w:p w14:paraId="7999C081">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val="0"/>
          <w:bCs/>
          <w:color w:val="auto"/>
          <w:sz w:val="24"/>
          <w:szCs w:val="24"/>
          <w:lang w:val="en-US" w:eastAsia="zh-CN"/>
        </w:rPr>
        <w:t>12.</w:t>
      </w:r>
      <w:r>
        <w:rPr>
          <w:rFonts w:hint="eastAsia" w:ascii="微软雅黑" w:hAnsi="微软雅黑" w:eastAsia="微软雅黑" w:cs="微软雅黑"/>
          <w:b w:val="0"/>
          <w:bCs/>
          <w:color w:val="auto"/>
          <w:sz w:val="24"/>
          <w:szCs w:val="24"/>
        </w:rPr>
        <w:t>MGD相关治疗技术：OPT优化脉冲光，最优化和安全的脉冲治疗。AOPT定制模式，三脉冲模式下可自定义每个脉冲的作用时间和能量</w:t>
      </w:r>
      <w:r>
        <w:rPr>
          <w:rFonts w:hint="eastAsia" w:ascii="微软雅黑" w:hAnsi="微软雅黑" w:eastAsia="微软雅黑" w:cs="微软雅黑"/>
          <w:b w:val="0"/>
          <w:bCs/>
          <w:color w:val="auto"/>
          <w:sz w:val="24"/>
          <w:szCs w:val="24"/>
          <w:lang w:eastAsia="zh-CN"/>
        </w:rPr>
        <w:t>；</w:t>
      </w:r>
    </w:p>
    <w:p w14:paraId="52616D86">
      <w:pPr>
        <w:keepNext w:val="0"/>
        <w:keepLines w:val="0"/>
        <w:pageBreakBefore w:val="0"/>
        <w:numPr>
          <w:ilvl w:val="0"/>
          <w:numId w:val="0"/>
        </w:numPr>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13.</w:t>
      </w:r>
      <w:r>
        <w:rPr>
          <w:rFonts w:hint="eastAsia" w:ascii="微软雅黑" w:hAnsi="微软雅黑" w:eastAsia="微软雅黑" w:cs="微软雅黑"/>
          <w:b w:val="0"/>
          <w:bCs/>
          <w:color w:val="auto"/>
          <w:sz w:val="24"/>
          <w:szCs w:val="24"/>
        </w:rPr>
        <w:t>激光安全防护镜：按照EN207要求的防护等级标准配置</w:t>
      </w:r>
      <w:r>
        <w:rPr>
          <w:rFonts w:hint="eastAsia" w:ascii="微软雅黑" w:hAnsi="微软雅黑" w:eastAsia="微软雅黑" w:cs="微软雅黑"/>
          <w:b w:val="0"/>
          <w:bCs/>
          <w:color w:val="auto"/>
          <w:sz w:val="24"/>
          <w:szCs w:val="24"/>
          <w:lang w:eastAsia="zh-CN"/>
        </w:rPr>
        <w:t>；</w:t>
      </w:r>
    </w:p>
    <w:p w14:paraId="49038052">
      <w:pPr>
        <w:keepNext w:val="0"/>
        <w:keepLines w:val="0"/>
        <w:pageBreakBefore w:val="0"/>
        <w:numPr>
          <w:ilvl w:val="0"/>
          <w:numId w:val="0"/>
        </w:numPr>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14.</w:t>
      </w:r>
      <w:r>
        <w:rPr>
          <w:rFonts w:hint="eastAsia" w:ascii="微软雅黑" w:hAnsi="微软雅黑" w:eastAsia="微软雅黑" w:cs="微软雅黑"/>
          <w:b w:val="0"/>
          <w:bCs w:val="0"/>
          <w:color w:val="auto"/>
          <w:sz w:val="24"/>
          <w:szCs w:val="24"/>
          <w:highlight w:val="none"/>
          <w:lang w:val="en-US" w:eastAsia="zh-CN"/>
        </w:rPr>
        <w:t>整机质保5年（含所供产品）</w:t>
      </w:r>
      <w:r>
        <w:rPr>
          <w:rFonts w:hint="eastAsia" w:ascii="微软雅黑" w:hAnsi="微软雅黑" w:eastAsia="微软雅黑" w:cs="微软雅黑"/>
          <w:color w:val="auto"/>
          <w:sz w:val="24"/>
          <w:szCs w:val="24"/>
          <w:highlight w:val="none"/>
          <w:lang w:val="en-US" w:eastAsia="zh-CN"/>
        </w:rPr>
        <w:t>，所有接口费、检测费由供应商承担，免费软件升级</w:t>
      </w:r>
      <w:r>
        <w:rPr>
          <w:rFonts w:hint="eastAsia" w:ascii="微软雅黑" w:hAnsi="微软雅黑" w:eastAsia="微软雅黑" w:cs="微软雅黑"/>
          <w:b w:val="0"/>
          <w:bCs/>
          <w:color w:val="auto"/>
          <w:sz w:val="24"/>
          <w:szCs w:val="24"/>
          <w:lang w:val="en-US" w:eastAsia="zh-CN"/>
        </w:rPr>
        <w:t>；</w:t>
      </w:r>
    </w:p>
    <w:p w14:paraId="5898FEF1">
      <w:pPr>
        <w:keepNext w:val="0"/>
        <w:keepLines w:val="0"/>
        <w:pageBreakBefore w:val="0"/>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rPr>
        <w:t>认证证明：国家食品药品监督管理总局NMPA</w:t>
      </w:r>
      <w:r>
        <w:rPr>
          <w:rFonts w:hint="eastAsia" w:ascii="微软雅黑" w:hAnsi="微软雅黑" w:eastAsia="微软雅黑" w:cs="微软雅黑"/>
          <w:b w:val="0"/>
          <w:bCs/>
          <w:color w:val="auto"/>
          <w:sz w:val="24"/>
          <w:szCs w:val="24"/>
          <w:lang w:eastAsia="zh-CN"/>
        </w:rPr>
        <w:t>；</w:t>
      </w:r>
    </w:p>
    <w:p w14:paraId="3F4CE426">
      <w:pPr>
        <w:keepNext w:val="0"/>
        <w:keepLines w:val="0"/>
        <w:pageBreakBefore w:val="0"/>
        <w:numPr>
          <w:ilvl w:val="0"/>
          <w:numId w:val="0"/>
        </w:numPr>
        <w:overflowPunct/>
        <w:topLinePunct w:val="0"/>
        <w:bidi w:val="0"/>
        <w:adjustRightInd w:val="0"/>
        <w:snapToGrid w:val="0"/>
        <w:spacing w:line="500" w:lineRule="exact"/>
        <w:jc w:val="left"/>
        <w:rPr>
          <w:rFonts w:hint="eastAsia" w:ascii="微软雅黑" w:hAnsi="微软雅黑" w:eastAsia="微软雅黑" w:cs="微软雅黑"/>
          <w:b w:val="0"/>
          <w:bCs/>
          <w:color w:val="auto"/>
          <w:sz w:val="24"/>
          <w:szCs w:val="24"/>
          <w:u w:val="none"/>
          <w:lang w:eastAsia="zh-CN"/>
        </w:rPr>
      </w:pPr>
      <w:r>
        <w:rPr>
          <w:rFonts w:hint="eastAsia" w:ascii="微软雅黑" w:hAnsi="微软雅黑" w:eastAsia="微软雅黑" w:cs="微软雅黑"/>
          <w:b w:val="0"/>
          <w:bCs/>
          <w:color w:val="auto"/>
          <w:sz w:val="24"/>
          <w:szCs w:val="24"/>
          <w:u w:val="none"/>
        </w:rPr>
        <w:t>配置</w:t>
      </w:r>
      <w:r>
        <w:rPr>
          <w:rFonts w:hint="eastAsia" w:ascii="微软雅黑" w:hAnsi="微软雅黑" w:eastAsia="微软雅黑" w:cs="微软雅黑"/>
          <w:b w:val="0"/>
          <w:bCs/>
          <w:color w:val="auto"/>
          <w:sz w:val="24"/>
          <w:szCs w:val="24"/>
          <w:u w:val="none"/>
          <w:lang w:eastAsia="zh-CN"/>
        </w:rPr>
        <w:t>：</w:t>
      </w:r>
    </w:p>
    <w:p w14:paraId="5951BBD5">
      <w:pPr>
        <w:keepNext w:val="0"/>
        <w:keepLines w:val="0"/>
        <w:pageBreakBefore w:val="0"/>
        <w:widowControl w:val="0"/>
        <w:kinsoku/>
        <w:wordWrap w:val="0"/>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1.(IPL)强脉冲光与激光系统：1套；</w:t>
      </w:r>
    </w:p>
    <w:p w14:paraId="3811200D">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2.主机：1台；</w:t>
      </w:r>
    </w:p>
    <w:p w14:paraId="79BED2E3">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3.OPT技术通用IPL治疗头(带表皮冷却系统)：1套；</w:t>
      </w:r>
    </w:p>
    <w:p w14:paraId="7AC8E0AA">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4.可更换滤光器（各一个）：1套（515nm滤光器、560nm滤光器、590nm滤光器、615nm滤光器、640nm滤光器、695nm滤光器等）；</w:t>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p>
    <w:p w14:paraId="50053992">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5.2个可更换蓝宝石冷却光导晶体（各一个）：1套（15x35mm光导晶体、15x8mm光导晶体）；</w:t>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r>
        <w:rPr>
          <w:rFonts w:hint="eastAsia" w:ascii="微软雅黑" w:hAnsi="微软雅黑" w:eastAsia="微软雅黑" w:cs="微软雅黑"/>
          <w:b w:val="0"/>
          <w:bCs/>
          <w:color w:val="auto"/>
          <w:sz w:val="24"/>
          <w:szCs w:val="24"/>
          <w:lang w:val="en-US" w:eastAsia="zh-CN"/>
        </w:rPr>
        <w:tab/>
      </w:r>
    </w:p>
    <w:p w14:paraId="5B0966F6">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6.互锁插件：1个；</w:t>
      </w:r>
    </w:p>
    <w:p w14:paraId="0390AAAA">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7.专用移动/存贮平台：1台；</w:t>
      </w:r>
    </w:p>
    <w:p w14:paraId="3CBFF4D7">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8.IPL医生防护眼镜：5副；</w:t>
      </w:r>
    </w:p>
    <w:p w14:paraId="28DA7DE0">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9.IPL患者防护眼镜：5副；</w:t>
      </w:r>
    </w:p>
    <w:p w14:paraId="008CDB2F">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10.强光警告牌：5个；</w:t>
      </w:r>
    </w:p>
    <w:p w14:paraId="1F8336F0">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11.电源线：1根；</w:t>
      </w:r>
    </w:p>
    <w:p w14:paraId="18BF7B93">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黑体" w:hAnsi="黑体" w:eastAsia="黑体" w:cs="黑体"/>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12.操作手册1份；</w:t>
      </w:r>
    </w:p>
    <w:p w14:paraId="6074FC86">
      <w:pPr>
        <w:keepNext w:val="0"/>
        <w:keepLines w:val="0"/>
        <w:pageBreakBefore w:val="0"/>
        <w:kinsoku/>
        <w:wordWrap w:val="0"/>
        <w:overflowPunct/>
        <w:bidi w:val="0"/>
        <w:spacing w:line="500" w:lineRule="exact"/>
        <w:jc w:val="center"/>
        <w:rPr>
          <w:rFonts w:hint="eastAsia" w:ascii="黑体" w:hAnsi="黑体" w:eastAsia="黑体" w:cs="黑体"/>
          <w:b/>
          <w:bCs/>
          <w:color w:val="auto"/>
          <w:kern w:val="2"/>
          <w:sz w:val="24"/>
          <w:szCs w:val="24"/>
          <w:lang w:val="en-US" w:eastAsia="zh-CN" w:bidi="ar-SA"/>
        </w:rPr>
      </w:pPr>
    </w:p>
    <w:p w14:paraId="53873BE6">
      <w:pPr>
        <w:rPr>
          <w:rFonts w:hint="eastAsia" w:ascii="黑体" w:hAnsi="黑体" w:eastAsia="黑体" w:cs="黑体"/>
          <w:b/>
          <w:color w:val="auto"/>
          <w:sz w:val="24"/>
          <w:szCs w:val="24"/>
          <w:lang w:val="en-US" w:eastAsia="zh-CN"/>
        </w:rPr>
      </w:pPr>
      <w:r>
        <w:rPr>
          <w:rFonts w:hint="eastAsia" w:ascii="黑体" w:hAnsi="黑体" w:eastAsia="黑体" w:cs="黑体"/>
          <w:b/>
          <w:color w:val="auto"/>
          <w:sz w:val="24"/>
          <w:szCs w:val="24"/>
          <w:lang w:val="en-US" w:eastAsia="zh-CN"/>
        </w:rPr>
        <w:br w:type="page"/>
      </w:r>
    </w:p>
    <w:p w14:paraId="4EE8EEAB">
      <w:pPr>
        <w:spacing w:line="360" w:lineRule="auto"/>
        <w:jc w:val="center"/>
        <w:rPr>
          <w:rFonts w:hint="eastAsia" w:ascii="微软雅黑" w:hAnsi="微软雅黑" w:eastAsia="微软雅黑" w:cs="微软雅黑"/>
          <w:b w:val="0"/>
          <w:bCs/>
          <w:color w:val="auto"/>
          <w:sz w:val="24"/>
          <w:szCs w:val="24"/>
        </w:rPr>
      </w:pPr>
      <w:r>
        <w:rPr>
          <w:rFonts w:hint="eastAsia" w:ascii="微软雅黑" w:hAnsi="微软雅黑" w:eastAsia="微软雅黑" w:cs="微软雅黑"/>
          <w:b/>
          <w:color w:val="auto"/>
          <w:sz w:val="24"/>
          <w:szCs w:val="24"/>
        </w:rPr>
        <w:t>干眼诊断仪</w:t>
      </w:r>
      <w:r>
        <w:rPr>
          <w:rFonts w:hint="eastAsia" w:ascii="微软雅黑" w:hAnsi="微软雅黑" w:eastAsia="微软雅黑" w:cs="微软雅黑"/>
          <w:b/>
          <w:color w:val="auto"/>
          <w:sz w:val="24"/>
          <w:szCs w:val="24"/>
          <w:lang w:val="en-US" w:eastAsia="zh-CN"/>
        </w:rPr>
        <w:t>技术</w:t>
      </w:r>
      <w:r>
        <w:rPr>
          <w:rFonts w:hint="eastAsia" w:ascii="微软雅黑" w:hAnsi="微软雅黑" w:eastAsia="微软雅黑" w:cs="微软雅黑"/>
          <w:b/>
          <w:color w:val="auto"/>
          <w:sz w:val="24"/>
          <w:szCs w:val="24"/>
        </w:rPr>
        <w:t>参数</w:t>
      </w:r>
    </w:p>
    <w:p w14:paraId="5004BA21">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分辨率</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140mm±10mm的工作距离的条件下，成像分辨率≤50um</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lang w:val="en-US" w:eastAsia="zh-CN"/>
        </w:rPr>
        <w:t>提供分辨率测试报告</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w:t>
      </w:r>
    </w:p>
    <w:p w14:paraId="61801572">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2.</w:t>
      </w:r>
      <w:r>
        <w:rPr>
          <w:rFonts w:hint="eastAsia" w:ascii="微软雅黑" w:hAnsi="微软雅黑" w:eastAsia="微软雅黑" w:cs="微软雅黑"/>
          <w:b w:val="0"/>
          <w:bCs/>
          <w:color w:val="auto"/>
          <w:sz w:val="24"/>
          <w:szCs w:val="24"/>
        </w:rPr>
        <w:t>近红外光源波长：845nm，允差±</w:t>
      </w: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0nm。</w:t>
      </w:r>
    </w:p>
    <w:p w14:paraId="687A4460">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3.</w:t>
      </w:r>
      <w:r>
        <w:rPr>
          <w:rFonts w:hint="eastAsia" w:ascii="微软雅黑" w:hAnsi="微软雅黑" w:eastAsia="微软雅黑" w:cs="微软雅黑"/>
          <w:b w:val="0"/>
          <w:bCs/>
          <w:color w:val="auto"/>
          <w:sz w:val="24"/>
          <w:szCs w:val="24"/>
        </w:rPr>
        <w:t>蓝光波长：455nm，允差±</w:t>
      </w:r>
      <w:r>
        <w:rPr>
          <w:rFonts w:hint="eastAsia" w:ascii="微软雅黑" w:hAnsi="微软雅黑" w:eastAsia="微软雅黑" w:cs="微软雅黑"/>
          <w:b w:val="0"/>
          <w:bCs/>
          <w:color w:val="auto"/>
          <w:sz w:val="24"/>
          <w:szCs w:val="24"/>
          <w:lang w:val="en-US" w:eastAsia="zh-CN"/>
        </w:rPr>
        <w:t>1</w:t>
      </w:r>
      <w:r>
        <w:rPr>
          <w:rFonts w:hint="eastAsia" w:ascii="微软雅黑" w:hAnsi="微软雅黑" w:eastAsia="微软雅黑" w:cs="微软雅黑"/>
          <w:b w:val="0"/>
          <w:bCs/>
          <w:color w:val="auto"/>
          <w:sz w:val="24"/>
          <w:szCs w:val="24"/>
        </w:rPr>
        <w:t>0nm。</w:t>
      </w:r>
    </w:p>
    <w:p w14:paraId="6E2619F3">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4.</w:t>
      </w:r>
      <w:r>
        <w:rPr>
          <w:rFonts w:hint="eastAsia" w:ascii="微软雅黑" w:hAnsi="微软雅黑" w:eastAsia="微软雅黑" w:cs="微软雅黑"/>
          <w:b w:val="0"/>
          <w:bCs/>
          <w:color w:val="auto"/>
          <w:sz w:val="24"/>
          <w:szCs w:val="24"/>
        </w:rPr>
        <w:t>测得首次破裂时间、平均破裂时间、显示分区域显示破裂时间。</w:t>
      </w:r>
    </w:p>
    <w:p w14:paraId="06C201AA">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5.</w:t>
      </w:r>
      <w:r>
        <w:rPr>
          <w:rFonts w:hint="eastAsia" w:ascii="微软雅黑" w:hAnsi="微软雅黑" w:eastAsia="微软雅黑" w:cs="微软雅黑"/>
          <w:b w:val="0"/>
          <w:bCs/>
          <w:color w:val="auto"/>
          <w:sz w:val="24"/>
          <w:szCs w:val="24"/>
        </w:rPr>
        <w:t>防误差功能。</w:t>
      </w:r>
    </w:p>
    <w:p w14:paraId="03F6D9ED">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6.</w:t>
      </w:r>
      <w:r>
        <w:rPr>
          <w:rFonts w:hint="eastAsia" w:ascii="微软雅黑" w:hAnsi="微软雅黑" w:eastAsia="微软雅黑" w:cs="微软雅黑"/>
          <w:b w:val="0"/>
          <w:bCs/>
          <w:color w:val="auto"/>
          <w:sz w:val="24"/>
          <w:szCs w:val="24"/>
        </w:rPr>
        <w:t>自动对焦完成测量。</w:t>
      </w:r>
    </w:p>
    <w:p w14:paraId="7E73CC8A">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7.</w:t>
      </w:r>
      <w:r>
        <w:rPr>
          <w:rFonts w:hint="eastAsia" w:ascii="微软雅黑" w:hAnsi="微软雅黑" w:eastAsia="微软雅黑" w:cs="微软雅黑"/>
          <w:b w:val="0"/>
          <w:bCs/>
          <w:color w:val="auto"/>
          <w:sz w:val="24"/>
          <w:szCs w:val="24"/>
        </w:rPr>
        <w:t>计算多次测量平均值。</w:t>
      </w:r>
    </w:p>
    <w:p w14:paraId="6DC0BD21">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8.</w:t>
      </w:r>
      <w:r>
        <w:rPr>
          <w:rFonts w:hint="eastAsia" w:ascii="微软雅黑" w:hAnsi="微软雅黑" w:eastAsia="微软雅黑" w:cs="微软雅黑"/>
          <w:b w:val="0"/>
          <w:bCs/>
          <w:color w:val="auto"/>
          <w:sz w:val="24"/>
          <w:szCs w:val="24"/>
        </w:rPr>
        <w:t>任意选取1-3处测量，输出平均值，精确到0.01mm。</w:t>
      </w:r>
    </w:p>
    <w:p w14:paraId="24C485EC">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9.</w:t>
      </w:r>
      <w:r>
        <w:rPr>
          <w:rFonts w:hint="eastAsia" w:ascii="微软雅黑" w:hAnsi="微软雅黑" w:eastAsia="微软雅黑" w:cs="微软雅黑"/>
          <w:b w:val="0"/>
          <w:bCs/>
          <w:color w:val="auto"/>
          <w:sz w:val="24"/>
          <w:szCs w:val="24"/>
        </w:rPr>
        <w:t>眼球放大功能</w:t>
      </w:r>
      <w:r>
        <w:rPr>
          <w:rFonts w:hint="eastAsia" w:ascii="微软雅黑" w:hAnsi="微软雅黑" w:eastAsia="微软雅黑" w:cs="微软雅黑"/>
          <w:b w:val="0"/>
          <w:bCs/>
          <w:color w:val="auto"/>
          <w:sz w:val="24"/>
          <w:szCs w:val="24"/>
          <w:lang w:eastAsia="zh-CN"/>
        </w:rPr>
        <w:t>。</w:t>
      </w:r>
    </w:p>
    <w:p w14:paraId="4CBC2211">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10.</w:t>
      </w:r>
      <w:r>
        <w:rPr>
          <w:rFonts w:hint="eastAsia" w:ascii="微软雅黑" w:hAnsi="微软雅黑" w:eastAsia="微软雅黑" w:cs="微软雅黑"/>
          <w:b w:val="0"/>
          <w:bCs/>
          <w:color w:val="auto"/>
          <w:sz w:val="24"/>
          <w:szCs w:val="24"/>
        </w:rPr>
        <w:t>高频率相机捕捉闭眼程度，自动作出分级</w:t>
      </w:r>
      <w:r>
        <w:rPr>
          <w:rFonts w:hint="eastAsia" w:ascii="微软雅黑" w:hAnsi="微软雅黑" w:eastAsia="微软雅黑" w:cs="微软雅黑"/>
          <w:b w:val="0"/>
          <w:bCs/>
          <w:color w:val="auto"/>
          <w:sz w:val="24"/>
          <w:szCs w:val="24"/>
          <w:lang w:eastAsia="zh-CN"/>
        </w:rPr>
        <w:t>。</w:t>
      </w:r>
    </w:p>
    <w:p w14:paraId="366A5759">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11.</w:t>
      </w:r>
      <w:r>
        <w:rPr>
          <w:rFonts w:hint="eastAsia" w:ascii="微软雅黑" w:hAnsi="微软雅黑" w:eastAsia="微软雅黑" w:cs="微软雅黑"/>
          <w:b w:val="0"/>
          <w:bCs/>
          <w:color w:val="auto"/>
          <w:sz w:val="24"/>
          <w:szCs w:val="24"/>
        </w:rPr>
        <w:t>脂质层厚度测量功能</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自动作出3种分级，给出厚度参考数值</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自动对焦</w:t>
      </w:r>
      <w:r>
        <w:rPr>
          <w:rFonts w:hint="eastAsia" w:ascii="微软雅黑" w:hAnsi="微软雅黑" w:eastAsia="微软雅黑" w:cs="微软雅黑"/>
          <w:b w:val="0"/>
          <w:bCs/>
          <w:color w:val="auto"/>
          <w:sz w:val="24"/>
          <w:szCs w:val="24"/>
          <w:lang w:eastAsia="zh-CN"/>
        </w:rPr>
        <w:t>。</w:t>
      </w:r>
    </w:p>
    <w:p w14:paraId="56F980FA">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12.</w:t>
      </w:r>
      <w:r>
        <w:rPr>
          <w:rFonts w:hint="eastAsia" w:ascii="微软雅黑" w:hAnsi="微软雅黑" w:eastAsia="微软雅黑" w:cs="微软雅黑"/>
          <w:b w:val="0"/>
          <w:bCs/>
          <w:color w:val="auto"/>
          <w:sz w:val="24"/>
          <w:szCs w:val="24"/>
        </w:rPr>
        <w:t>睑板腺拍摄功能</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增强对比功能，计算缺失面积，定量分析缺失比例</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荧光素染色分析功能</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ab/>
      </w:r>
    </w:p>
    <w:p w14:paraId="35158DD9">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13.</w:t>
      </w:r>
      <w:r>
        <w:rPr>
          <w:rFonts w:hint="eastAsia" w:ascii="微软雅黑" w:hAnsi="微软雅黑" w:eastAsia="微软雅黑" w:cs="微软雅黑"/>
          <w:b w:val="0"/>
          <w:bCs/>
          <w:color w:val="auto"/>
          <w:sz w:val="24"/>
          <w:szCs w:val="24"/>
        </w:rPr>
        <w:t>高效滤光技术</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分析采用荧光素染色12分法，拍摄后角膜图像分为4个象限</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自动对焦。</w:t>
      </w:r>
    </w:p>
    <w:p w14:paraId="495FBBAA">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14.</w:t>
      </w:r>
      <w:r>
        <w:rPr>
          <w:rFonts w:hint="eastAsia" w:ascii="微软雅黑" w:hAnsi="微软雅黑" w:eastAsia="微软雅黑" w:cs="微软雅黑"/>
          <w:b w:val="0"/>
          <w:bCs/>
          <w:color w:val="auto"/>
          <w:sz w:val="24"/>
          <w:szCs w:val="24"/>
        </w:rPr>
        <w:t>眼红分析功能</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计算球结膜充血比例，自动分级</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自动对焦完成测量。</w:t>
      </w:r>
    </w:p>
    <w:p w14:paraId="6B2B37EE">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15.</w:t>
      </w:r>
      <w:r>
        <w:rPr>
          <w:rFonts w:hint="eastAsia" w:ascii="微软雅黑" w:hAnsi="微软雅黑" w:eastAsia="微软雅黑" w:cs="微软雅黑"/>
          <w:b w:val="0"/>
          <w:bCs/>
          <w:color w:val="auto"/>
          <w:sz w:val="24"/>
          <w:szCs w:val="24"/>
        </w:rPr>
        <w:t>报告一键查看功能</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各检查项目完成即自动生成报告</w:t>
      </w:r>
      <w:r>
        <w:rPr>
          <w:rFonts w:hint="eastAsia" w:ascii="微软雅黑" w:hAnsi="微软雅黑" w:eastAsia="微软雅黑" w:cs="微软雅黑"/>
          <w:b w:val="0"/>
          <w:bCs/>
          <w:color w:val="auto"/>
          <w:sz w:val="24"/>
          <w:szCs w:val="24"/>
          <w:lang w:eastAsia="zh-CN"/>
        </w:rPr>
        <w:t>。</w:t>
      </w:r>
    </w:p>
    <w:p w14:paraId="3AB20C05">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16.</w:t>
      </w:r>
      <w:r>
        <w:rPr>
          <w:rFonts w:hint="eastAsia" w:ascii="微软雅黑" w:hAnsi="微软雅黑" w:eastAsia="微软雅黑" w:cs="微软雅黑"/>
          <w:b w:val="0"/>
          <w:bCs w:val="0"/>
          <w:color w:val="auto"/>
          <w:sz w:val="24"/>
          <w:szCs w:val="24"/>
          <w:highlight w:val="none"/>
          <w:lang w:val="en-US" w:eastAsia="zh-CN"/>
        </w:rPr>
        <w:t>整机质保5年（含所供产品）</w:t>
      </w:r>
      <w:r>
        <w:rPr>
          <w:rFonts w:hint="eastAsia" w:ascii="微软雅黑" w:hAnsi="微软雅黑" w:eastAsia="微软雅黑" w:cs="微软雅黑"/>
          <w:color w:val="auto"/>
          <w:sz w:val="24"/>
          <w:szCs w:val="24"/>
          <w:highlight w:val="none"/>
          <w:lang w:val="en-US" w:eastAsia="zh-CN"/>
        </w:rPr>
        <w:t>，所有接口费、检测费由供应商承担，免费软件升级。</w:t>
      </w:r>
    </w:p>
    <w:p w14:paraId="19ECB344">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rPr>
        <w:t>配置</w:t>
      </w:r>
      <w:r>
        <w:rPr>
          <w:rFonts w:hint="eastAsia" w:ascii="微软雅黑" w:hAnsi="微软雅黑" w:eastAsia="微软雅黑" w:cs="微软雅黑"/>
          <w:b w:val="0"/>
          <w:bCs/>
          <w:color w:val="auto"/>
          <w:sz w:val="24"/>
          <w:szCs w:val="24"/>
          <w:lang w:val="en-US" w:eastAsia="zh-CN"/>
        </w:rPr>
        <w:t>:</w:t>
      </w:r>
    </w:p>
    <w:p w14:paraId="19BB23B0">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rPr>
        <w:t>设备主机（含头托及下颌托支架）</w:t>
      </w:r>
      <w:r>
        <w:rPr>
          <w:rFonts w:hint="eastAsia" w:ascii="微软雅黑" w:hAnsi="微软雅黑" w:eastAsia="微软雅黑" w:cs="微软雅黑"/>
          <w:b w:val="0"/>
          <w:bCs/>
          <w:color w:val="auto"/>
          <w:sz w:val="24"/>
          <w:szCs w:val="24"/>
          <w:lang w:eastAsia="zh-CN"/>
        </w:rPr>
        <w:t>：</w:t>
      </w:r>
      <w:r>
        <w:rPr>
          <w:rFonts w:hint="eastAsia" w:ascii="微软雅黑" w:hAnsi="微软雅黑" w:eastAsia="微软雅黑" w:cs="微软雅黑"/>
          <w:b w:val="0"/>
          <w:bCs/>
          <w:color w:val="auto"/>
          <w:sz w:val="24"/>
          <w:szCs w:val="24"/>
        </w:rPr>
        <w:t>1台</w:t>
      </w:r>
      <w:r>
        <w:rPr>
          <w:rFonts w:hint="eastAsia" w:ascii="微软雅黑" w:hAnsi="微软雅黑" w:eastAsia="微软雅黑" w:cs="微软雅黑"/>
          <w:b w:val="0"/>
          <w:bCs/>
          <w:color w:val="auto"/>
          <w:sz w:val="24"/>
          <w:szCs w:val="24"/>
          <w:lang w:eastAsia="zh-CN"/>
        </w:rPr>
        <w:t>。</w:t>
      </w:r>
    </w:p>
    <w:p w14:paraId="33803472">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rPr>
        <w:t>电动升降台</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rPr>
        <w:t>1台</w:t>
      </w:r>
      <w:r>
        <w:rPr>
          <w:rFonts w:hint="eastAsia" w:ascii="微软雅黑" w:hAnsi="微软雅黑" w:eastAsia="微软雅黑" w:cs="微软雅黑"/>
          <w:b w:val="0"/>
          <w:bCs/>
          <w:color w:val="auto"/>
          <w:sz w:val="24"/>
          <w:szCs w:val="24"/>
          <w:lang w:eastAsia="zh-CN"/>
        </w:rPr>
        <w:t>。</w:t>
      </w:r>
    </w:p>
    <w:p w14:paraId="49FE8F84">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rPr>
        <w:t>专业电脑（</w:t>
      </w:r>
      <w:r>
        <w:rPr>
          <w:rFonts w:hint="eastAsia" w:ascii="微软雅黑" w:hAnsi="微软雅黑" w:eastAsia="微软雅黑" w:cs="微软雅黑"/>
          <w:b w:val="0"/>
          <w:bCs/>
          <w:color w:val="auto"/>
          <w:sz w:val="24"/>
          <w:szCs w:val="24"/>
          <w:lang w:val="en-US" w:eastAsia="zh-CN"/>
        </w:rPr>
        <w:t>显示器≥21寸，</w:t>
      </w:r>
      <w:r>
        <w:rPr>
          <w:rFonts w:hint="eastAsia" w:ascii="微软雅黑" w:hAnsi="微软雅黑" w:eastAsia="微软雅黑" w:cs="微软雅黑"/>
          <w:b w:val="0"/>
          <w:bCs/>
          <w:color w:val="auto"/>
          <w:sz w:val="24"/>
          <w:szCs w:val="24"/>
        </w:rPr>
        <w:t>i7以上处理器、16G内存、2T硬盘）</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rPr>
        <w:t>1套</w:t>
      </w:r>
      <w:r>
        <w:rPr>
          <w:rFonts w:hint="eastAsia" w:ascii="微软雅黑" w:hAnsi="微软雅黑" w:eastAsia="微软雅黑" w:cs="微软雅黑"/>
          <w:b w:val="0"/>
          <w:bCs/>
          <w:color w:val="auto"/>
          <w:sz w:val="24"/>
          <w:szCs w:val="24"/>
          <w:lang w:eastAsia="zh-CN"/>
        </w:rPr>
        <w:t>。</w:t>
      </w:r>
    </w:p>
    <w:p w14:paraId="7BFDC3C9">
      <w:pPr>
        <w:keepNext w:val="0"/>
        <w:keepLines w:val="0"/>
        <w:pageBreakBefore w:val="0"/>
        <w:overflowPunct/>
        <w:topLinePunct w:val="0"/>
        <w:bidi w:val="0"/>
        <w:adjustRightInd w:val="0"/>
        <w:snapToGrid w:val="0"/>
        <w:spacing w:line="500" w:lineRule="exact"/>
        <w:ind w:left="0" w:leftChars="0" w:firstLine="0" w:firstLineChars="0"/>
        <w:rPr>
          <w:rFonts w:hint="eastAsia" w:ascii="微软雅黑" w:hAnsi="微软雅黑" w:eastAsia="微软雅黑" w:cs="微软雅黑"/>
          <w:b w:val="0"/>
          <w:bCs/>
          <w:color w:val="auto"/>
          <w:sz w:val="24"/>
          <w:szCs w:val="24"/>
          <w:lang w:eastAsia="zh-CN"/>
        </w:rPr>
      </w:pPr>
      <w:r>
        <w:rPr>
          <w:rFonts w:hint="eastAsia" w:ascii="微软雅黑" w:hAnsi="微软雅黑" w:eastAsia="微软雅黑" w:cs="微软雅黑"/>
          <w:b w:val="0"/>
          <w:bCs/>
          <w:color w:val="auto"/>
          <w:sz w:val="24"/>
          <w:szCs w:val="24"/>
          <w:lang w:val="en-US" w:eastAsia="zh-CN"/>
        </w:rPr>
        <w:t>激光</w:t>
      </w:r>
      <w:r>
        <w:rPr>
          <w:rFonts w:hint="eastAsia" w:ascii="微软雅黑" w:hAnsi="微软雅黑" w:eastAsia="微软雅黑" w:cs="微软雅黑"/>
          <w:b w:val="0"/>
          <w:bCs/>
          <w:color w:val="auto"/>
          <w:sz w:val="24"/>
          <w:szCs w:val="24"/>
        </w:rPr>
        <w:t>打印机</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rPr>
        <w:t>1台</w:t>
      </w:r>
      <w:r>
        <w:rPr>
          <w:rFonts w:hint="eastAsia" w:ascii="微软雅黑" w:hAnsi="微软雅黑" w:eastAsia="微软雅黑" w:cs="微软雅黑"/>
          <w:b w:val="0"/>
          <w:bCs/>
          <w:color w:val="auto"/>
          <w:sz w:val="24"/>
          <w:szCs w:val="24"/>
          <w:lang w:eastAsia="zh-CN"/>
        </w:rPr>
        <w:t>。</w:t>
      </w:r>
    </w:p>
    <w:p w14:paraId="6C6097D0">
      <w:pPr>
        <w:keepNext w:val="0"/>
        <w:keepLines w:val="0"/>
        <w:pageBreakBefore w:val="0"/>
        <w:kinsoku/>
        <w:wordWrap w:val="0"/>
        <w:overflowPunct/>
        <w:bidi w:val="0"/>
        <w:spacing w:line="500" w:lineRule="exact"/>
        <w:jc w:val="both"/>
        <w:rPr>
          <w:rFonts w:hint="eastAsia" w:ascii="黑体" w:hAnsi="黑体" w:eastAsia="黑体" w:cs="黑体"/>
          <w:b/>
          <w:bCs/>
          <w:color w:val="auto"/>
          <w:kern w:val="2"/>
          <w:sz w:val="24"/>
          <w:szCs w:val="24"/>
          <w:lang w:val="en-US" w:eastAsia="zh-CN" w:bidi="ar-SA"/>
        </w:rPr>
      </w:pPr>
      <w:r>
        <w:rPr>
          <w:rFonts w:hint="eastAsia" w:ascii="微软雅黑" w:hAnsi="微软雅黑" w:eastAsia="微软雅黑" w:cs="微软雅黑"/>
          <w:b w:val="0"/>
          <w:bCs/>
          <w:color w:val="auto"/>
          <w:sz w:val="24"/>
          <w:szCs w:val="24"/>
        </w:rPr>
        <w:t>通讯线缆/防尘罩/操作手册/软件光盘</w:t>
      </w:r>
      <w:r>
        <w:rPr>
          <w:rFonts w:hint="eastAsia" w:ascii="微软雅黑" w:hAnsi="微软雅黑" w:eastAsia="微软雅黑" w:cs="微软雅黑"/>
          <w:b w:val="0"/>
          <w:bCs/>
          <w:color w:val="auto"/>
          <w:sz w:val="24"/>
          <w:szCs w:val="24"/>
          <w:lang w:eastAsia="zh-CN"/>
        </w:rPr>
        <w:t>。</w:t>
      </w:r>
    </w:p>
    <w:p w14:paraId="0690CC07">
      <w:pPr>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br w:type="page"/>
      </w:r>
    </w:p>
    <w:p w14:paraId="2A43BA81">
      <w:pPr>
        <w:keepNext w:val="0"/>
        <w:keepLines w:val="0"/>
        <w:pageBreakBefore w:val="0"/>
        <w:kinsoku/>
        <w:wordWrap w:val="0"/>
        <w:overflowPunct/>
        <w:bidi w:val="0"/>
        <w:spacing w:line="500" w:lineRule="exact"/>
        <w:jc w:val="center"/>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b/>
          <w:bCs/>
          <w:color w:val="auto"/>
          <w:kern w:val="2"/>
          <w:sz w:val="24"/>
          <w:szCs w:val="24"/>
          <w:lang w:val="en-US" w:eastAsia="zh-CN" w:bidi="ar-SA"/>
        </w:rPr>
        <w:t>视野机技术参数</w:t>
      </w:r>
    </w:p>
    <w:p w14:paraId="26979DEE">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1.检查范围：90°；</w:t>
      </w:r>
    </w:p>
    <w:p w14:paraId="6349B2CC">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2.检查距离：30cm；</w:t>
      </w:r>
    </w:p>
    <w:p w14:paraId="2024D78B">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3.背景光颜色亮度：白色315asb、黄色315asb；</w:t>
      </w:r>
    </w:p>
    <w:p w14:paraId="4EF41E42">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4.视标亮度：0.08asb—10000asb（0-51DB）；</w:t>
      </w:r>
    </w:p>
    <w:p w14:paraId="0B40EA4C">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▲5.视标尺寸：GoldmannⅠ、Ⅱ、Ⅲ、Ⅳ、Ⅴ；</w:t>
      </w:r>
    </w:p>
    <w:p w14:paraId="015DD830">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6.视标刺激时间：200ms；</w:t>
      </w:r>
    </w:p>
    <w:p w14:paraId="2716760C">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7.视标间隔时间：标准和根据患者自适应；</w:t>
      </w:r>
    </w:p>
    <w:p w14:paraId="217EA506">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8.阈值检查模式：黄斑，10-2，24-2，30-2，60-4，鼻侧；</w:t>
      </w:r>
    </w:p>
    <w:p w14:paraId="787BF927">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9.阈上值检查模式：C-40，C-64，C-76，FF-81，FF-120，FF-135等；</w:t>
      </w:r>
    </w:p>
    <w:p w14:paraId="59A2F2C9">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10.特殊检查模式：Esterman单眼，Esterman双眼，上方36°筛查，盲区测量；</w:t>
      </w:r>
    </w:p>
    <w:p w14:paraId="0CECA713">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11.驾驶员单眼150°水平视野标准检测、驾驶员单眼150°水平视野快速检测；</w:t>
      </w:r>
    </w:p>
    <w:p w14:paraId="62304DFB">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▲12.蓝-黄视野检测</w:t>
      </w:r>
      <w:r>
        <w:rPr>
          <w:rFonts w:hint="eastAsia" w:ascii="微软雅黑" w:hAnsi="微软雅黑" w:eastAsia="微软雅黑" w:cs="微软雅黑"/>
          <w:b w:val="0"/>
          <w:bCs w:val="0"/>
          <w:color w:val="auto"/>
          <w:kern w:val="2"/>
          <w:sz w:val="24"/>
          <w:szCs w:val="24"/>
          <w:lang w:val="en-US" w:eastAsia="zh-CN" w:bidi="ar-SA"/>
        </w:rPr>
        <w:tab/>
      </w:r>
      <w:r>
        <w:rPr>
          <w:rFonts w:hint="eastAsia" w:ascii="微软雅黑" w:hAnsi="微软雅黑" w:eastAsia="微软雅黑" w:cs="微软雅黑"/>
          <w:b w:val="0"/>
          <w:bCs w:val="0"/>
          <w:color w:val="auto"/>
          <w:kern w:val="2"/>
          <w:sz w:val="24"/>
          <w:szCs w:val="24"/>
          <w:lang w:val="en-US" w:eastAsia="zh-CN" w:bidi="ar-SA"/>
        </w:rPr>
        <w:t>标准440nm</w:t>
      </w:r>
      <w:r>
        <w:rPr>
          <w:rFonts w:hint="eastAsia" w:ascii="微软雅黑" w:hAnsi="微软雅黑" w:eastAsia="微软雅黑" w:cs="微软雅黑"/>
          <w:b w:val="0"/>
          <w:bCs/>
          <w:color w:val="auto"/>
          <w:sz w:val="24"/>
          <w:szCs w:val="24"/>
        </w:rPr>
        <w:t>±</w:t>
      </w:r>
      <w:r>
        <w:rPr>
          <w:rFonts w:hint="eastAsia" w:ascii="微软雅黑" w:hAnsi="微软雅黑" w:eastAsia="微软雅黑" w:cs="微软雅黑"/>
          <w:b w:val="0"/>
          <w:bCs/>
          <w:color w:val="auto"/>
          <w:sz w:val="24"/>
          <w:szCs w:val="24"/>
          <w:lang w:val="en-US" w:eastAsia="zh-CN"/>
        </w:rPr>
        <w:t>5nm</w:t>
      </w:r>
      <w:r>
        <w:rPr>
          <w:rFonts w:hint="eastAsia" w:ascii="微软雅黑" w:hAnsi="微软雅黑" w:eastAsia="微软雅黑" w:cs="微软雅黑"/>
          <w:b w:val="0"/>
          <w:bCs w:val="0"/>
          <w:color w:val="auto"/>
          <w:kern w:val="2"/>
          <w:sz w:val="24"/>
          <w:szCs w:val="24"/>
          <w:lang w:val="en-US" w:eastAsia="zh-CN" w:bidi="ar-SA"/>
        </w:rPr>
        <w:t>蓝色Ⅴ号视标+315asb亮度的OG530黄色背景；</w:t>
      </w:r>
    </w:p>
    <w:p w14:paraId="6E365C2F">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13.彩色视野：红、蓝；</w:t>
      </w:r>
    </w:p>
    <w:p w14:paraId="6604F003">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▲14.动态视野：标准动态、盲区动态、暗点动态、直线动态等；</w:t>
      </w:r>
    </w:p>
    <w:p w14:paraId="73628F62">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15.自定义程序：静态自定义、动态自定义；</w:t>
      </w:r>
    </w:p>
    <w:p w14:paraId="7A380459">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16.瞳孔测量：自动</w:t>
      </w:r>
    </w:p>
    <w:p w14:paraId="2833FC45">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17.固视检测；生理盲点监测，眼位视频监测，眼位偏移报警，眼位偏移屈线；</w:t>
      </w:r>
    </w:p>
    <w:p w14:paraId="71108BA0">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18.环境光检测：自动；</w:t>
      </w:r>
    </w:p>
    <w:p w14:paraId="718E85E1">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19.分析软件：可信性分析、单报告分析、多报告分析、青光眼半视野分析、青光眼进展性分析、VFI视野指数分析、蓝-黄视野分析；</w:t>
      </w:r>
    </w:p>
    <w:p w14:paraId="33A7E292">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20.外观：一体式；</w:t>
      </w:r>
    </w:p>
    <w:p w14:paraId="26CFA085">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21.操作系统：Win7以上；</w:t>
      </w:r>
    </w:p>
    <w:p w14:paraId="34E107A8">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22.显示屏：≥14寸液晶触摸屏；</w:t>
      </w:r>
    </w:p>
    <w:p w14:paraId="6E3DC9F1">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23.应答器：磁铁式应答器；</w:t>
      </w:r>
    </w:p>
    <w:p w14:paraId="4024086A">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24.附加配置可旋转式≥10寸全自动跟踪测量眼压系统，利用图像控制及特征识别实现三维自动定位利用气流非接触式测量眼球眼压，全自动测量左右眼数据；</w:t>
      </w:r>
    </w:p>
    <w:p w14:paraId="7EDDF561">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25.</w:t>
      </w:r>
      <w:r>
        <w:rPr>
          <w:rFonts w:hint="eastAsia" w:ascii="微软雅黑" w:hAnsi="微软雅黑" w:eastAsia="微软雅黑" w:cs="微软雅黑"/>
          <w:b w:val="0"/>
          <w:bCs w:val="0"/>
          <w:color w:val="auto"/>
          <w:sz w:val="24"/>
          <w:szCs w:val="24"/>
          <w:highlight w:val="none"/>
          <w:lang w:val="en-US" w:eastAsia="zh-CN"/>
        </w:rPr>
        <w:t>整机质保5年（含所供产品）</w:t>
      </w:r>
      <w:r>
        <w:rPr>
          <w:rFonts w:hint="eastAsia" w:ascii="微软雅黑" w:hAnsi="微软雅黑" w:eastAsia="微软雅黑" w:cs="微软雅黑"/>
          <w:color w:val="auto"/>
          <w:sz w:val="24"/>
          <w:szCs w:val="24"/>
          <w:highlight w:val="none"/>
          <w:lang w:val="en-US" w:eastAsia="zh-CN"/>
        </w:rPr>
        <w:t>，所有接口费、检测费由供应商承担，免费软件升级</w:t>
      </w:r>
      <w:r>
        <w:rPr>
          <w:rFonts w:hint="eastAsia" w:ascii="微软雅黑" w:hAnsi="微软雅黑" w:eastAsia="微软雅黑" w:cs="微软雅黑"/>
          <w:b w:val="0"/>
          <w:bCs w:val="0"/>
          <w:color w:val="auto"/>
          <w:kern w:val="2"/>
          <w:sz w:val="24"/>
          <w:szCs w:val="24"/>
          <w:lang w:val="en-US" w:eastAsia="zh-CN" w:bidi="ar-SA"/>
        </w:rPr>
        <w:t>；</w:t>
      </w:r>
    </w:p>
    <w:p w14:paraId="0C49357B">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配置:</w:t>
      </w:r>
    </w:p>
    <w:p w14:paraId="667DE6DA">
      <w:pPr>
        <w:keepNext w:val="0"/>
        <w:keepLines w:val="0"/>
        <w:pageBreakBefore w:val="0"/>
        <w:numPr>
          <w:ilvl w:val="0"/>
          <w:numId w:val="3"/>
        </w:numPr>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主机（</w:t>
      </w:r>
      <w:r>
        <w:rPr>
          <w:rFonts w:hint="eastAsia" w:ascii="微软雅黑" w:hAnsi="微软雅黑" w:eastAsia="微软雅黑" w:cs="微软雅黑"/>
          <w:b w:val="0"/>
          <w:bCs w:val="0"/>
          <w:color w:val="auto"/>
          <w:kern w:val="2"/>
          <w:sz w:val="24"/>
          <w:szCs w:val="24"/>
          <w:highlight w:val="none"/>
          <w:lang w:val="en-US" w:eastAsia="zh-CN" w:bidi="ar-SA"/>
        </w:rPr>
        <w:t>≥i7、</w:t>
      </w:r>
      <w:r>
        <w:rPr>
          <w:rFonts w:hint="eastAsia" w:ascii="微软雅黑" w:hAnsi="微软雅黑" w:eastAsia="微软雅黑" w:cs="微软雅黑"/>
          <w:b w:val="0"/>
          <w:bCs w:val="0"/>
          <w:color w:val="auto"/>
          <w:kern w:val="2"/>
          <w:sz w:val="24"/>
          <w:szCs w:val="24"/>
          <w:lang w:val="en-US" w:eastAsia="zh-CN" w:bidi="ar-SA"/>
        </w:rPr>
        <w:t>≥16G内存、SSD硬盘≥2TB、≥21寸触摸屏）：1台；</w:t>
      </w:r>
    </w:p>
    <w:p w14:paraId="45B4213C">
      <w:pPr>
        <w:keepNext w:val="0"/>
        <w:keepLines w:val="0"/>
        <w:pageBreakBefore w:val="0"/>
        <w:numPr>
          <w:ilvl w:val="0"/>
          <w:numId w:val="0"/>
        </w:numPr>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主机（</w:t>
      </w:r>
      <w:r>
        <w:rPr>
          <w:rFonts w:hint="eastAsia" w:ascii="微软雅黑" w:hAnsi="微软雅黑" w:eastAsia="微软雅黑" w:cs="微软雅黑"/>
          <w:b w:val="0"/>
          <w:bCs w:val="0"/>
          <w:color w:val="auto"/>
          <w:kern w:val="2"/>
          <w:sz w:val="24"/>
          <w:szCs w:val="24"/>
          <w:highlight w:val="none"/>
          <w:lang w:val="en-US" w:eastAsia="zh-CN" w:bidi="ar-SA"/>
        </w:rPr>
        <w:t>≥i7、≥</w:t>
      </w:r>
      <w:r>
        <w:rPr>
          <w:rFonts w:hint="eastAsia" w:ascii="微软雅黑" w:hAnsi="微软雅黑" w:eastAsia="微软雅黑" w:cs="微软雅黑"/>
          <w:b w:val="0"/>
          <w:bCs w:val="0"/>
          <w:color w:val="auto"/>
          <w:kern w:val="2"/>
          <w:sz w:val="24"/>
          <w:szCs w:val="24"/>
          <w:lang w:val="en-US" w:eastAsia="zh-CN" w:bidi="ar-SA"/>
        </w:rPr>
        <w:t>16G内存、SSD硬盘≥120G、≥17寸触摸屏）：1台</w:t>
      </w:r>
    </w:p>
    <w:p w14:paraId="186DA72C">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2.专业视野分析系统：1套；</w:t>
      </w:r>
    </w:p>
    <w:p w14:paraId="6B099D83">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3.标准背投式视野刺激器:1台；</w:t>
      </w:r>
    </w:p>
    <w:p w14:paraId="218F39B7">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4.无线键盘、鼠标:1套；</w:t>
      </w:r>
    </w:p>
    <w:p w14:paraId="118901DA">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5.专业电动升降平台:1台；</w:t>
      </w:r>
    </w:p>
    <w:p w14:paraId="0EA25E79">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6.专用应答器:1个；</w:t>
      </w:r>
    </w:p>
    <w:p w14:paraId="79EDC311">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 xml:space="preserve">7.彩色喷墨打印机:1台；      </w:t>
      </w:r>
    </w:p>
    <w:p w14:paraId="5C3ED190">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8.电源线:1根；</w:t>
      </w:r>
    </w:p>
    <w:p w14:paraId="7E1FCA94">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9.插线板:5个；</w:t>
      </w:r>
    </w:p>
    <w:p w14:paraId="0073BA67">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10.中文产品说明书:1份；</w:t>
      </w:r>
    </w:p>
    <w:p w14:paraId="11B955C5">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11.中文简要操作指南:1份；</w:t>
      </w:r>
    </w:p>
    <w:p w14:paraId="6BF186ED">
      <w:pPr>
        <w:keepNext w:val="0"/>
        <w:keepLines w:val="0"/>
        <w:pageBreakBefore w:val="0"/>
        <w:kinsoku/>
        <w:wordWrap w:val="0"/>
        <w:overflowPunct/>
        <w:bidi w:val="0"/>
        <w:spacing w:line="500" w:lineRule="exac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12.眼罩:5套；</w:t>
      </w:r>
    </w:p>
    <w:p w14:paraId="4E745EAC">
      <w:pPr>
        <w:rPr>
          <w:color w:val="auto"/>
        </w:rPr>
      </w:pPr>
      <w:r>
        <w:rPr>
          <w:rFonts w:hint="eastAsia" w:ascii="微软雅黑" w:hAnsi="微软雅黑" w:eastAsia="微软雅黑" w:cs="微软雅黑"/>
          <w:b w:val="0"/>
          <w:bCs w:val="0"/>
          <w:color w:val="auto"/>
          <w:kern w:val="2"/>
          <w:sz w:val="24"/>
          <w:szCs w:val="24"/>
          <w:lang w:val="en-US" w:eastAsia="zh-CN" w:bidi="ar-SA"/>
        </w:rPr>
        <w:t>13.眼压测量系统（含主机及触摸液晶屏和软件）。</w:t>
      </w:r>
    </w:p>
    <w:p w14:paraId="0CB7A247">
      <w:pPr>
        <w:rPr>
          <w:rFonts w:hint="eastAsia" w:ascii="黑体" w:hAnsi="黑体" w:eastAsia="黑体" w:cs="黑体"/>
          <w:b/>
          <w:bCs/>
          <w:color w:val="auto"/>
          <w:spacing w:val="-11"/>
          <w:sz w:val="24"/>
          <w:szCs w:val="24"/>
          <w:lang w:val="en-US" w:eastAsia="zh-CN"/>
        </w:rPr>
      </w:pPr>
      <w:r>
        <w:rPr>
          <w:rFonts w:hint="eastAsia" w:ascii="黑体" w:hAnsi="黑体" w:eastAsia="黑体" w:cs="黑体"/>
          <w:b/>
          <w:bCs/>
          <w:color w:val="auto"/>
          <w:spacing w:val="-11"/>
          <w:sz w:val="24"/>
          <w:szCs w:val="24"/>
          <w:lang w:val="en-US" w:eastAsia="zh-CN"/>
        </w:rPr>
        <w:br w:type="page"/>
      </w:r>
    </w:p>
    <w:p w14:paraId="79C32575">
      <w:pPr>
        <w:pStyle w:val="6"/>
        <w:keepNext w:val="0"/>
        <w:keepLines w:val="0"/>
        <w:pageBreakBefore w:val="0"/>
        <w:widowControl/>
        <w:numPr>
          <w:ilvl w:val="0"/>
          <w:numId w:val="0"/>
        </w:numPr>
        <w:kinsoku/>
        <w:wordWrap w:val="0"/>
        <w:overflowPunct/>
        <w:topLinePunct w:val="0"/>
        <w:bidi w:val="0"/>
        <w:spacing w:line="360" w:lineRule="auto"/>
        <w:ind w:leftChars="0" w:right="0" w:rightChars="0"/>
        <w:jc w:val="both"/>
        <w:rPr>
          <w:rFonts w:hint="eastAsia" w:ascii="黑体" w:hAnsi="黑体" w:eastAsia="黑体" w:cs="黑体"/>
          <w:b/>
          <w:bCs/>
          <w:color w:val="auto"/>
          <w:spacing w:val="-1"/>
          <w:sz w:val="24"/>
          <w:szCs w:val="24"/>
        </w:rPr>
      </w:pPr>
      <w:r>
        <w:rPr>
          <w:rFonts w:hint="eastAsia" w:ascii="黑体" w:hAnsi="黑体" w:eastAsia="黑体" w:cs="黑体"/>
          <w:b/>
          <w:bCs/>
          <w:color w:val="auto"/>
          <w:spacing w:val="-11"/>
          <w:sz w:val="24"/>
          <w:szCs w:val="24"/>
          <w:lang w:val="en-US" w:eastAsia="zh-CN"/>
        </w:rPr>
        <w:t>注：</w:t>
      </w:r>
      <w:r>
        <w:rPr>
          <w:rFonts w:hint="eastAsia" w:ascii="黑体" w:hAnsi="黑体" w:eastAsia="黑体" w:cs="黑体"/>
          <w:b/>
          <w:bCs/>
          <w:color w:val="auto"/>
          <w:spacing w:val="-11"/>
          <w:sz w:val="24"/>
          <w:szCs w:val="24"/>
        </w:rPr>
        <w:t>标注“▲”号的技术参数为“重要参数”，接受偏离。其余参数为“一</w:t>
      </w:r>
      <w:r>
        <w:rPr>
          <w:rFonts w:hint="eastAsia" w:ascii="黑体" w:hAnsi="黑体" w:eastAsia="黑体" w:cs="黑体"/>
          <w:b/>
          <w:bCs/>
          <w:color w:val="auto"/>
          <w:spacing w:val="-2"/>
          <w:sz w:val="24"/>
          <w:szCs w:val="24"/>
        </w:rPr>
        <w:t>般参数”，接受偏离。“重要参数”和“一般参数”出现偏离，则按照综合评</w:t>
      </w:r>
      <w:r>
        <w:rPr>
          <w:rFonts w:hint="eastAsia" w:ascii="黑体" w:hAnsi="黑体" w:eastAsia="黑体" w:cs="黑体"/>
          <w:b/>
          <w:bCs/>
          <w:color w:val="auto"/>
          <w:spacing w:val="-3"/>
          <w:sz w:val="24"/>
          <w:szCs w:val="24"/>
        </w:rPr>
        <w:t>分表相关要求，正偏离加分，负偏离扣分。正偏离须提供有效证明材料，否则</w:t>
      </w:r>
      <w:r>
        <w:rPr>
          <w:rFonts w:hint="eastAsia" w:ascii="黑体" w:hAnsi="黑体" w:eastAsia="黑体" w:cs="黑体"/>
          <w:b/>
          <w:bCs/>
          <w:color w:val="auto"/>
          <w:spacing w:val="-1"/>
          <w:sz w:val="24"/>
          <w:szCs w:val="24"/>
        </w:rPr>
        <w:t>视为无效正偏离。</w:t>
      </w:r>
    </w:p>
    <w:p w14:paraId="2871F59A">
      <w:pPr>
        <w:pStyle w:val="6"/>
        <w:keepNext w:val="0"/>
        <w:keepLines w:val="0"/>
        <w:pageBreakBefore w:val="0"/>
        <w:widowControl/>
        <w:numPr>
          <w:ilvl w:val="0"/>
          <w:numId w:val="0"/>
        </w:numPr>
        <w:kinsoku/>
        <w:wordWrap w:val="0"/>
        <w:overflowPunct/>
        <w:topLinePunct w:val="0"/>
        <w:bidi w:val="0"/>
        <w:spacing w:line="360" w:lineRule="auto"/>
        <w:ind w:leftChars="0" w:right="0" w:rightChars="0"/>
        <w:jc w:val="both"/>
        <w:rPr>
          <w:rFonts w:hint="eastAsia" w:ascii="黑体" w:hAnsi="黑体" w:eastAsia="黑体" w:cs="黑体"/>
          <w:color w:val="auto"/>
          <w:sz w:val="24"/>
          <w:szCs w:val="24"/>
        </w:rPr>
      </w:pPr>
      <w:r>
        <w:rPr>
          <w:rFonts w:hint="eastAsia" w:ascii="黑体" w:hAnsi="黑体" w:eastAsia="黑体" w:cs="黑体"/>
          <w:b/>
          <w:bCs/>
          <w:color w:val="auto"/>
          <w:spacing w:val="-2"/>
          <w:sz w:val="24"/>
          <w:szCs w:val="24"/>
        </w:rPr>
        <w:t>二、项目要求：</w:t>
      </w:r>
    </w:p>
    <w:p w14:paraId="1A38DA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（一）所招产品的质量要求</w:t>
      </w:r>
    </w:p>
    <w:p w14:paraId="1603468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5"/>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（1）本项目技术参数均为公共参数，无指向性，投标供应商认为该产品指向某</w:t>
      </w:r>
      <w:r>
        <w:rPr>
          <w:rFonts w:hint="eastAsia" w:ascii="黑体" w:hAnsi="黑体" w:eastAsia="黑体" w:cs="黑体"/>
          <w:color w:val="auto"/>
          <w:spacing w:val="1"/>
          <w:sz w:val="24"/>
          <w:szCs w:val="24"/>
        </w:rPr>
        <w:t>一品牌、某一型号，那么该参数均为参考参数，可以根据技术要求及商务要求</w:t>
      </w:r>
      <w:r>
        <w:rPr>
          <w:rFonts w:hint="eastAsia" w:ascii="黑体" w:hAnsi="黑体" w:eastAsia="黑体" w:cs="黑体"/>
          <w:color w:val="auto"/>
          <w:spacing w:val="-3"/>
          <w:sz w:val="24"/>
          <w:szCs w:val="24"/>
        </w:rPr>
        <w:t>自行去选择产品品牌和型号。</w:t>
      </w:r>
    </w:p>
    <w:p w14:paraId="6D78F86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460" w:lineRule="exact"/>
        <w:ind w:left="0" w:leftChars="0" w:right="0" w:rightChars="0" w:firstLine="389" w:firstLineChars="165"/>
        <w:jc w:val="both"/>
        <w:textAlignment w:val="baseline"/>
        <w:rPr>
          <w:rFonts w:hint="eastAsia" w:ascii="黑体" w:hAnsi="黑体" w:eastAsia="黑体" w:cs="黑体"/>
          <w:color w:val="auto"/>
          <w:spacing w:val="-2"/>
          <w:sz w:val="24"/>
          <w:szCs w:val="24"/>
        </w:rPr>
      </w:pPr>
      <w:r>
        <w:rPr>
          <w:rFonts w:hint="eastAsia" w:ascii="黑体" w:hAnsi="黑体" w:eastAsia="黑体" w:cs="黑体"/>
          <w:snapToGrid w:val="0"/>
          <w:color w:val="auto"/>
          <w:spacing w:val="-2"/>
          <w:kern w:val="0"/>
          <w:sz w:val="24"/>
          <w:szCs w:val="24"/>
          <w:lang w:val="en-US" w:eastAsia="en-US" w:bidi="ar-SA"/>
        </w:rPr>
        <w:t>（2）</w:t>
      </w:r>
      <w:r>
        <w:rPr>
          <w:rFonts w:hint="eastAsia" w:ascii="黑体" w:hAnsi="黑体" w:eastAsia="黑体" w:cs="黑体"/>
          <w:color w:val="auto"/>
          <w:spacing w:val="-6"/>
          <w:sz w:val="24"/>
          <w:szCs w:val="24"/>
        </w:rPr>
        <w:t>凡技术参数指标执行的国家相关标准</w:t>
      </w:r>
      <w:r>
        <w:rPr>
          <w:rFonts w:hint="eastAsia" w:ascii="黑体" w:hAnsi="黑体" w:eastAsia="黑体" w:cs="黑体"/>
          <w:color w:val="auto"/>
          <w:spacing w:val="-7"/>
          <w:sz w:val="24"/>
          <w:szCs w:val="24"/>
        </w:rPr>
        <w:t>、行业标准、地方标准或者其他标准、</w:t>
      </w:r>
      <w:r>
        <w:rPr>
          <w:rFonts w:hint="eastAsia" w:ascii="黑体" w:hAnsi="黑体" w:eastAsia="黑体" w:cs="黑体"/>
          <w:color w:val="auto"/>
          <w:spacing w:val="3"/>
          <w:sz w:val="24"/>
          <w:szCs w:val="24"/>
        </w:rPr>
        <w:t>规范。供应商需要提供投标产品技术支持资料（或证明材料</w:t>
      </w:r>
      <w:r>
        <w:rPr>
          <w:rFonts w:hint="eastAsia" w:ascii="黑体" w:hAnsi="黑体" w:eastAsia="黑体" w:cs="黑体"/>
          <w:color w:val="auto"/>
          <w:spacing w:val="-12"/>
          <w:sz w:val="24"/>
          <w:szCs w:val="24"/>
        </w:rPr>
        <w:t>），</w:t>
      </w:r>
      <w:r>
        <w:rPr>
          <w:rFonts w:hint="eastAsia" w:ascii="黑体" w:hAnsi="黑体" w:eastAsia="黑体" w:cs="黑体"/>
          <w:color w:val="auto"/>
          <w:spacing w:val="3"/>
          <w:sz w:val="24"/>
          <w:szCs w:val="24"/>
        </w:rPr>
        <w:t>其中技术支持</w:t>
      </w:r>
      <w:r>
        <w:rPr>
          <w:rFonts w:hint="eastAsia" w:ascii="黑体" w:hAnsi="黑体" w:eastAsia="黑体" w:cs="黑体"/>
          <w:color w:val="auto"/>
          <w:spacing w:val="2"/>
          <w:sz w:val="24"/>
          <w:szCs w:val="24"/>
        </w:rPr>
        <w:t>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w:t>
      </w:r>
      <w:r>
        <w:rPr>
          <w:rFonts w:hint="eastAsia" w:ascii="黑体" w:hAnsi="黑体" w:eastAsia="黑体" w:cs="黑体"/>
          <w:color w:val="auto"/>
          <w:spacing w:val="-2"/>
          <w:sz w:val="24"/>
          <w:szCs w:val="24"/>
        </w:rPr>
        <w:t>技术支持资料（或证明材料）为准。</w:t>
      </w:r>
    </w:p>
    <w:p w14:paraId="7E8F4C1A">
      <w:pPr>
        <w:pStyle w:val="6"/>
        <w:keepNext w:val="0"/>
        <w:keepLines w:val="0"/>
        <w:pageBreakBefore w:val="0"/>
        <w:widowControl/>
        <w:numPr>
          <w:ilvl w:val="0"/>
          <w:numId w:val="0"/>
        </w:numPr>
        <w:kinsoku/>
        <w:wordWrap w:val="0"/>
        <w:overflowPunct/>
        <w:topLinePunct w:val="0"/>
        <w:bidi w:val="0"/>
        <w:spacing w:line="240" w:lineRule="auto"/>
        <w:ind w:leftChars="0" w:right="0" w:rightChars="0"/>
        <w:jc w:val="both"/>
        <w:rPr>
          <w:rFonts w:hint="eastAsia" w:ascii="黑体" w:hAnsi="黑体" w:eastAsia="黑体" w:cs="黑体"/>
          <w:color w:val="auto"/>
          <w:sz w:val="24"/>
          <w:szCs w:val="24"/>
        </w:rPr>
      </w:pPr>
      <w:r>
        <w:rPr>
          <w:rFonts w:hint="eastAsia" w:ascii="黑体" w:hAnsi="黑体" w:eastAsia="黑体" w:cs="黑体"/>
          <w:snapToGrid w:val="0"/>
          <w:color w:val="auto"/>
          <w:kern w:val="0"/>
          <w:sz w:val="24"/>
          <w:szCs w:val="24"/>
          <w:lang w:val="en-US" w:eastAsia="en-US" w:bidi="ar-SA"/>
        </w:rPr>
        <w:t>（3）</w:t>
      </w:r>
      <w:r>
        <w:rPr>
          <w:rFonts w:hint="eastAsia" w:ascii="黑体" w:hAnsi="黑体" w:eastAsia="黑体" w:cs="黑体"/>
          <w:b/>
          <w:bCs/>
          <w:color w:val="auto"/>
          <w:spacing w:val="-11"/>
          <w:sz w:val="24"/>
          <w:szCs w:val="24"/>
        </w:rPr>
        <w:t>标注“▲”号的技术参数为“重要参数”，接受偏离。其余参数为“一</w:t>
      </w:r>
      <w:r>
        <w:rPr>
          <w:rFonts w:hint="eastAsia" w:ascii="黑体" w:hAnsi="黑体" w:eastAsia="黑体" w:cs="黑体"/>
          <w:b/>
          <w:bCs/>
          <w:color w:val="auto"/>
          <w:spacing w:val="-2"/>
          <w:sz w:val="24"/>
          <w:szCs w:val="24"/>
        </w:rPr>
        <w:t>般参数”，接受偏离。“重要参数”和“一般参数”出现偏离，则按照综合评</w:t>
      </w:r>
      <w:r>
        <w:rPr>
          <w:rFonts w:hint="eastAsia" w:ascii="黑体" w:hAnsi="黑体" w:eastAsia="黑体" w:cs="黑体"/>
          <w:b/>
          <w:bCs/>
          <w:color w:val="auto"/>
          <w:spacing w:val="-3"/>
          <w:sz w:val="24"/>
          <w:szCs w:val="24"/>
        </w:rPr>
        <w:t>分表相关要求，正偏离加分，负偏离扣分。正偏离须提供有效证明材料，否则</w:t>
      </w:r>
      <w:r>
        <w:rPr>
          <w:rFonts w:hint="eastAsia" w:ascii="黑体" w:hAnsi="黑体" w:eastAsia="黑体" w:cs="黑体"/>
          <w:b/>
          <w:bCs/>
          <w:color w:val="auto"/>
          <w:spacing w:val="-1"/>
          <w:sz w:val="24"/>
          <w:szCs w:val="24"/>
        </w:rPr>
        <w:t>视为无效正偏离。</w:t>
      </w:r>
    </w:p>
    <w:p w14:paraId="2665B452">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（二）项目的交货期和质保期。</w:t>
      </w:r>
    </w:p>
    <w:p w14:paraId="0E98503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b w:val="0"/>
          <w:bCs w:val="0"/>
          <w:color w:val="auto"/>
          <w:sz w:val="24"/>
          <w:szCs w:val="24"/>
        </w:rPr>
      </w:pPr>
      <w:r>
        <w:rPr>
          <w:rFonts w:hint="eastAsia" w:ascii="黑体" w:hAnsi="黑体" w:eastAsia="黑体" w:cs="黑体"/>
          <w:color w:val="auto"/>
          <w:spacing w:val="-3"/>
          <w:sz w:val="24"/>
          <w:szCs w:val="24"/>
        </w:rPr>
        <w:t>1、交货期：</w:t>
      </w:r>
      <w:r>
        <w:rPr>
          <w:rFonts w:hint="eastAsia" w:ascii="黑体" w:hAnsi="黑体" w:eastAsia="黑体" w:cs="黑体"/>
          <w:b w:val="0"/>
          <w:bCs w:val="0"/>
          <w:color w:val="auto"/>
          <w:spacing w:val="-3"/>
          <w:sz w:val="24"/>
          <w:szCs w:val="24"/>
          <w:lang w:eastAsia="zh-CN"/>
        </w:rPr>
        <w:t>签订合同后90日历天内完成供货安装及调试验收。（具体以签订合同为准）</w:t>
      </w:r>
    </w:p>
    <w:p w14:paraId="24773A62">
      <w:pPr>
        <w:pStyle w:val="6"/>
        <w:keepNext w:val="0"/>
        <w:keepLines w:val="0"/>
        <w:pageBreakBefore w:val="0"/>
        <w:widowControl/>
        <w:kinsoku w:val="0"/>
        <w:wordWrap w:val="0"/>
        <w:overflowPunct/>
        <w:topLinePunct w:val="0"/>
        <w:autoSpaceDE/>
        <w:autoSpaceDN/>
        <w:bidi w:val="0"/>
        <w:adjustRightInd w:val="0"/>
        <w:snapToGrid w:val="0"/>
        <w:spacing w:line="460" w:lineRule="exact"/>
        <w:ind w:left="0" w:leftChars="0" w:right="0"/>
        <w:textAlignment w:val="baseline"/>
        <w:rPr>
          <w:rFonts w:hint="eastAsia" w:ascii="黑体" w:hAnsi="黑体" w:eastAsia="黑体" w:cs="黑体"/>
          <w:color w:val="auto"/>
          <w:spacing w:val="-4"/>
          <w:sz w:val="24"/>
          <w:szCs w:val="24"/>
        </w:rPr>
      </w:pPr>
      <w:r>
        <w:rPr>
          <w:rFonts w:hint="eastAsia" w:ascii="黑体" w:hAnsi="黑体" w:eastAsia="黑体" w:cs="黑体"/>
          <w:color w:val="auto"/>
          <w:spacing w:val="-4"/>
          <w:sz w:val="24"/>
          <w:szCs w:val="24"/>
        </w:rPr>
        <w:t>2、质保期：以每个设备质保期为准。</w:t>
      </w:r>
    </w:p>
    <w:p w14:paraId="3CE56657">
      <w:pPr>
        <w:pStyle w:val="6"/>
        <w:keepNext w:val="0"/>
        <w:keepLines w:val="0"/>
        <w:pageBreakBefore w:val="0"/>
        <w:widowControl/>
        <w:kinsoku w:val="0"/>
        <w:wordWrap w:val="0"/>
        <w:overflowPunct/>
        <w:topLinePunct w:val="0"/>
        <w:autoSpaceDE/>
        <w:autoSpaceDN/>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b w:val="0"/>
          <w:bCs w:val="0"/>
          <w:color w:val="auto"/>
          <w:spacing w:val="-4"/>
          <w:sz w:val="24"/>
          <w:szCs w:val="24"/>
          <w:lang w:val="en-US" w:eastAsia="zh-CN"/>
        </w:rPr>
        <w:t>3、所有接口费、首检费有供应商承担。</w:t>
      </w:r>
    </w:p>
    <w:p w14:paraId="69D5DA7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（三）付款方式和交货地点</w:t>
      </w:r>
    </w:p>
    <w:p w14:paraId="57DB3616">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1、付款方式：</w:t>
      </w:r>
      <w:r>
        <w:rPr>
          <w:rFonts w:hint="eastAsia" w:ascii="黑体" w:hAnsi="黑体" w:eastAsia="黑体" w:cs="黑体"/>
          <w:color w:val="auto"/>
          <w:spacing w:val="-1"/>
          <w:sz w:val="24"/>
          <w:szCs w:val="24"/>
          <w:lang w:val="en-US" w:eastAsia="zh-CN"/>
        </w:rPr>
        <w:t>项目分两次付款：设备验收合格后30个工作日内付50%，设备正常运行3个月后付50%。</w:t>
      </w:r>
      <w:r>
        <w:rPr>
          <w:rFonts w:hint="eastAsia" w:ascii="黑体" w:hAnsi="黑体" w:eastAsia="黑体" w:cs="黑体"/>
          <w:color w:val="auto"/>
          <w:spacing w:val="-1"/>
          <w:sz w:val="24"/>
          <w:szCs w:val="24"/>
        </w:rPr>
        <w:t>（具体</w:t>
      </w:r>
      <w:r>
        <w:rPr>
          <w:rFonts w:hint="eastAsia" w:ascii="黑体" w:hAnsi="黑体" w:eastAsia="黑体" w:cs="黑体"/>
          <w:color w:val="auto"/>
          <w:spacing w:val="-1"/>
          <w:sz w:val="24"/>
          <w:szCs w:val="24"/>
          <w:lang w:val="en-US" w:eastAsia="zh-CN"/>
        </w:rPr>
        <w:t>以</w:t>
      </w:r>
      <w:r>
        <w:rPr>
          <w:rFonts w:hint="eastAsia" w:ascii="黑体" w:hAnsi="黑体" w:eastAsia="黑体" w:cs="黑体"/>
          <w:color w:val="auto"/>
          <w:spacing w:val="-1"/>
          <w:sz w:val="24"/>
          <w:szCs w:val="24"/>
        </w:rPr>
        <w:t>签订合同时为准）</w:t>
      </w:r>
    </w:p>
    <w:p w14:paraId="0E1F264E">
      <w:pPr>
        <w:pStyle w:val="6"/>
        <w:keepNext w:val="0"/>
        <w:keepLines w:val="0"/>
        <w:pageBreakBefore w:val="0"/>
        <w:widowControl/>
        <w:kinsoku w:val="0"/>
        <w:wordWrap w:val="0"/>
        <w:overflowPunct/>
        <w:topLinePunct w:val="0"/>
        <w:autoSpaceDE/>
        <w:autoSpaceDN/>
        <w:bidi w:val="0"/>
        <w:adjustRightInd w:val="0"/>
        <w:snapToGrid w:val="0"/>
        <w:spacing w:line="460" w:lineRule="exact"/>
        <w:ind w:left="0" w:leftChars="0" w:right="0"/>
        <w:textAlignment w:val="baseline"/>
        <w:rPr>
          <w:rFonts w:hint="eastAsia" w:ascii="黑体" w:hAnsi="黑体" w:eastAsia="黑体" w:cs="黑体"/>
          <w:color w:val="auto"/>
          <w:spacing w:val="-2"/>
          <w:sz w:val="24"/>
          <w:szCs w:val="24"/>
        </w:rPr>
      </w:pPr>
      <w:r>
        <w:rPr>
          <w:rFonts w:hint="eastAsia" w:ascii="黑体" w:hAnsi="黑体" w:eastAsia="黑体" w:cs="黑体"/>
          <w:color w:val="auto"/>
          <w:spacing w:val="-2"/>
          <w:sz w:val="24"/>
          <w:szCs w:val="24"/>
        </w:rPr>
        <w:t>2、交货地点：</w:t>
      </w:r>
      <w:r>
        <w:rPr>
          <w:rFonts w:hint="eastAsia" w:ascii="黑体" w:hAnsi="黑体" w:eastAsia="黑体" w:cs="黑体"/>
          <w:color w:val="auto"/>
          <w:spacing w:val="-2"/>
          <w:sz w:val="24"/>
          <w:szCs w:val="24"/>
          <w:lang w:eastAsia="zh-CN"/>
        </w:rPr>
        <w:t>喀什地区第二人民医院</w:t>
      </w:r>
      <w:r>
        <w:rPr>
          <w:rFonts w:hint="eastAsia" w:ascii="黑体" w:hAnsi="黑体" w:eastAsia="黑体" w:cs="黑体"/>
          <w:color w:val="auto"/>
          <w:spacing w:val="-2"/>
          <w:sz w:val="24"/>
          <w:szCs w:val="24"/>
        </w:rPr>
        <w:t>。</w:t>
      </w:r>
    </w:p>
    <w:p w14:paraId="4863606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b/>
          <w:bCs/>
          <w:color w:val="auto"/>
          <w:spacing w:val="-6"/>
          <w:sz w:val="24"/>
          <w:szCs w:val="24"/>
        </w:rPr>
      </w:pPr>
      <w:r>
        <w:rPr>
          <w:rFonts w:hint="eastAsia" w:ascii="黑体" w:hAnsi="黑体" w:eastAsia="黑体" w:cs="黑体"/>
          <w:b/>
          <w:bCs/>
          <w:color w:val="auto"/>
          <w:spacing w:val="-6"/>
          <w:sz w:val="24"/>
          <w:szCs w:val="24"/>
        </w:rPr>
        <w:t>（四）售后服务</w:t>
      </w:r>
    </w:p>
    <w:p w14:paraId="5820A65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供应商须到采购人指定的现场免费安装、调试设备，进行操作试验，直至运行正常，为仪器操作人员终身免费提供技术服务、技术支持及咨询服务，在任何时候、任何地点均可享受到终生的免费咨询服务。按照项目采购需求中要求进行维修响应。在保修期内不定期免费进行状态检测。</w:t>
      </w:r>
    </w:p>
    <w:p w14:paraId="37A2910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2、在质保期内，派遣维修或技术人员巡访设备使用单位，协助并指导运维人员进行日常维护保养工作，并与直接使用人交流设备使用相关事宜。</w:t>
      </w:r>
    </w:p>
    <w:p w14:paraId="39F0566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3、供应商必须积极配合采购人共同参与项目验收。主动向采购方有关技术人员在使用现场提供全套技术指导及培训。</w:t>
      </w:r>
    </w:p>
    <w:p w14:paraId="437B373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4、供应商应派相关技术人员到现场免费进行指导安装，解决安装过程中的相关问题。</w:t>
      </w:r>
    </w:p>
    <w:p w14:paraId="4E8BCE0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lang w:val="en-US" w:eastAsia="zh-CN"/>
        </w:rPr>
        <w:t>5</w:t>
      </w:r>
      <w:r>
        <w:rPr>
          <w:rFonts w:hint="eastAsia" w:ascii="黑体" w:hAnsi="黑体" w:eastAsia="黑体" w:cs="黑体"/>
          <w:b w:val="0"/>
          <w:bCs w:val="0"/>
          <w:color w:val="auto"/>
          <w:spacing w:val="-6"/>
          <w:sz w:val="24"/>
          <w:szCs w:val="24"/>
        </w:rPr>
        <w:t>、投标人应对所提供的货物提供12个月的免费维修服务。24小时形成解决方案；投标人（制造商或销售商）需在中国大陆地区设有售后服务机构和设施，并配备受过专业培训的售后服务人员；为保证设备正常运行，卖方应在中国境内方便的地方设置备件库，存入所有必须的备件。</w:t>
      </w:r>
    </w:p>
    <w:p w14:paraId="6C8CF9E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lang w:eastAsia="zh-CN"/>
        </w:rPr>
      </w:pPr>
      <w:r>
        <w:rPr>
          <w:rFonts w:hint="eastAsia" w:ascii="黑体" w:hAnsi="黑体" w:eastAsia="黑体" w:cs="黑体"/>
          <w:b w:val="0"/>
          <w:bCs w:val="0"/>
          <w:color w:val="auto"/>
          <w:spacing w:val="-6"/>
          <w:sz w:val="24"/>
          <w:szCs w:val="24"/>
          <w:lang w:val="en-US" w:eastAsia="zh-CN"/>
        </w:rPr>
        <w:t>6</w:t>
      </w:r>
      <w:r>
        <w:rPr>
          <w:rFonts w:hint="eastAsia" w:ascii="黑体" w:hAnsi="黑体" w:eastAsia="黑体" w:cs="黑体"/>
          <w:b w:val="0"/>
          <w:bCs w:val="0"/>
          <w:color w:val="auto"/>
          <w:spacing w:val="-6"/>
          <w:sz w:val="24"/>
          <w:szCs w:val="24"/>
        </w:rPr>
        <w:t>、投标人或厂家1小时内响应，12小时内到位，</w:t>
      </w:r>
      <w:r>
        <w:rPr>
          <w:rFonts w:hint="eastAsia" w:ascii="黑体" w:hAnsi="黑体" w:eastAsia="黑体" w:cs="黑体"/>
          <w:b w:val="0"/>
          <w:bCs w:val="0"/>
          <w:color w:val="auto"/>
          <w:spacing w:val="-6"/>
          <w:sz w:val="24"/>
          <w:szCs w:val="24"/>
          <w:lang w:val="en-US" w:eastAsia="zh-CN"/>
        </w:rPr>
        <w:t>72</w:t>
      </w:r>
      <w:r>
        <w:rPr>
          <w:rFonts w:hint="eastAsia" w:ascii="黑体" w:hAnsi="黑体" w:eastAsia="黑体" w:cs="黑体"/>
          <w:b w:val="0"/>
          <w:bCs w:val="0"/>
          <w:color w:val="auto"/>
          <w:spacing w:val="-6"/>
          <w:sz w:val="24"/>
          <w:szCs w:val="24"/>
        </w:rPr>
        <w:t>小时排除设备故障</w:t>
      </w:r>
      <w:r>
        <w:rPr>
          <w:rFonts w:hint="eastAsia" w:ascii="黑体" w:hAnsi="黑体" w:eastAsia="黑体" w:cs="黑体"/>
          <w:b w:val="0"/>
          <w:bCs w:val="0"/>
          <w:color w:val="auto"/>
          <w:spacing w:val="-6"/>
          <w:sz w:val="24"/>
          <w:szCs w:val="24"/>
          <w:lang w:eastAsia="zh-CN"/>
        </w:rPr>
        <w:t>。</w:t>
      </w:r>
    </w:p>
    <w:p w14:paraId="2D75231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lang w:val="en-US" w:eastAsia="zh-CN"/>
        </w:rPr>
        <w:t>7</w:t>
      </w:r>
      <w:r>
        <w:rPr>
          <w:rFonts w:hint="eastAsia" w:ascii="黑体" w:hAnsi="黑体" w:eastAsia="黑体" w:cs="黑体"/>
          <w:b w:val="0"/>
          <w:bCs w:val="0"/>
          <w:color w:val="auto"/>
          <w:spacing w:val="-6"/>
          <w:sz w:val="24"/>
          <w:szCs w:val="24"/>
        </w:rPr>
        <w:t>、如收到服务需求不合要求情况，可双方协商决定，但决定权在购买方，购买方有权利退回所购买产品。</w:t>
      </w:r>
    </w:p>
    <w:p w14:paraId="5BFB030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lang w:val="en-US" w:eastAsia="zh-CN"/>
        </w:rPr>
        <w:t>8</w:t>
      </w:r>
      <w:r>
        <w:rPr>
          <w:rFonts w:hint="eastAsia" w:ascii="黑体" w:hAnsi="黑体" w:eastAsia="黑体" w:cs="黑体"/>
          <w:b w:val="0"/>
          <w:bCs w:val="0"/>
          <w:color w:val="auto"/>
          <w:spacing w:val="-6"/>
          <w:sz w:val="24"/>
          <w:szCs w:val="24"/>
        </w:rPr>
        <w:t>、中标后，中标人同意提供样机校验以上所有性能和参数，校验功能，如虚假应标或者与实际不一致，取消中标资格，且承担相应的责任。</w:t>
      </w:r>
    </w:p>
    <w:p w14:paraId="01802FD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lang w:val="en-US" w:eastAsia="zh-CN"/>
        </w:rPr>
        <w:t>9</w:t>
      </w:r>
      <w:r>
        <w:rPr>
          <w:rFonts w:hint="eastAsia" w:ascii="黑体" w:hAnsi="黑体" w:eastAsia="黑体" w:cs="黑体"/>
          <w:b w:val="0"/>
          <w:bCs w:val="0"/>
          <w:color w:val="auto"/>
          <w:spacing w:val="-6"/>
          <w:sz w:val="24"/>
          <w:szCs w:val="24"/>
        </w:rPr>
        <w:t>、为保证设备正常运行，供货方应在中国境内方便的地点设置备件库，存入所有必须的备件，并保证10年以上的供应期，提供承诺书，加盖公章。</w:t>
      </w:r>
    </w:p>
    <w:p w14:paraId="7EE8476B">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0</w:t>
      </w:r>
      <w:r>
        <w:rPr>
          <w:rFonts w:hint="eastAsia" w:ascii="黑体" w:hAnsi="黑体" w:eastAsia="黑体" w:cs="黑体"/>
          <w:b w:val="0"/>
          <w:bCs w:val="0"/>
          <w:color w:val="auto"/>
          <w:spacing w:val="-6"/>
          <w:sz w:val="24"/>
          <w:szCs w:val="24"/>
        </w:rPr>
        <w:t>、专用工具：如有专用工具，供货方应向买方提供设备维护的专用工具。</w:t>
      </w:r>
    </w:p>
    <w:p w14:paraId="017A7BF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1</w:t>
      </w:r>
      <w:r>
        <w:rPr>
          <w:rFonts w:hint="eastAsia" w:ascii="黑体" w:hAnsi="黑体" w:eastAsia="黑体" w:cs="黑体"/>
          <w:b w:val="0"/>
          <w:bCs w:val="0"/>
          <w:color w:val="auto"/>
          <w:spacing w:val="-6"/>
          <w:sz w:val="24"/>
          <w:szCs w:val="24"/>
        </w:rPr>
        <w:t>、供货方须向买方提供操作手册一套。</w:t>
      </w:r>
    </w:p>
    <w:p w14:paraId="41310CD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2</w:t>
      </w:r>
      <w:r>
        <w:rPr>
          <w:rFonts w:hint="eastAsia" w:ascii="黑体" w:hAnsi="黑体" w:eastAsia="黑体" w:cs="黑体"/>
          <w:b w:val="0"/>
          <w:bCs w:val="0"/>
          <w:color w:val="auto"/>
          <w:spacing w:val="-6"/>
          <w:sz w:val="24"/>
          <w:szCs w:val="24"/>
        </w:rPr>
        <w:t>、供货方须向买方提供设备的运行、安装、使用环境要求。</w:t>
      </w:r>
    </w:p>
    <w:p w14:paraId="4EE7DD4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3</w:t>
      </w:r>
      <w:r>
        <w:rPr>
          <w:rFonts w:hint="eastAsia" w:ascii="黑体" w:hAnsi="黑体" w:eastAsia="黑体" w:cs="黑体"/>
          <w:b w:val="0"/>
          <w:bCs w:val="0"/>
          <w:color w:val="auto"/>
          <w:spacing w:val="-6"/>
          <w:sz w:val="24"/>
          <w:szCs w:val="24"/>
        </w:rPr>
        <w:t>、在货物到达使用单位后，供货方应在7天内派工程技术人员到达现场，在买方技术人员在场的情况下开箱清点货物，组织安装调试，并承担因此发生的一切费用。</w:t>
      </w:r>
    </w:p>
    <w:p w14:paraId="368ABE9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4</w:t>
      </w:r>
      <w:r>
        <w:rPr>
          <w:rFonts w:hint="eastAsia" w:ascii="黑体" w:hAnsi="黑体" w:eastAsia="黑体" w:cs="黑体"/>
          <w:b w:val="0"/>
          <w:bCs w:val="0"/>
          <w:color w:val="auto"/>
          <w:spacing w:val="-6"/>
          <w:sz w:val="24"/>
          <w:szCs w:val="24"/>
        </w:rPr>
        <w:t>、设备安装后，医院按国际和国家标准及厂方标准进行质量验收。</w:t>
      </w:r>
    </w:p>
    <w:p w14:paraId="7BB80CF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5</w:t>
      </w:r>
      <w:r>
        <w:rPr>
          <w:rFonts w:hint="eastAsia" w:ascii="黑体" w:hAnsi="黑体" w:eastAsia="黑体" w:cs="黑体"/>
          <w:b w:val="0"/>
          <w:bCs w:val="0"/>
          <w:color w:val="auto"/>
          <w:spacing w:val="-6"/>
          <w:sz w:val="24"/>
          <w:szCs w:val="24"/>
        </w:rPr>
        <w:t>、在中国境内有相应的零配件保税库和维修机构。</w:t>
      </w:r>
    </w:p>
    <w:p w14:paraId="183540BF">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w:t>
      </w:r>
      <w:r>
        <w:rPr>
          <w:rFonts w:hint="eastAsia" w:ascii="黑体" w:hAnsi="黑体" w:eastAsia="黑体" w:cs="黑体"/>
          <w:b w:val="0"/>
          <w:bCs w:val="0"/>
          <w:color w:val="auto"/>
          <w:spacing w:val="-6"/>
          <w:sz w:val="24"/>
          <w:szCs w:val="24"/>
          <w:lang w:val="en-US" w:eastAsia="zh-CN"/>
        </w:rPr>
        <w:t>6</w:t>
      </w:r>
      <w:r>
        <w:rPr>
          <w:rFonts w:hint="eastAsia" w:ascii="黑体" w:hAnsi="黑体" w:eastAsia="黑体" w:cs="黑体"/>
          <w:b w:val="0"/>
          <w:bCs w:val="0"/>
          <w:color w:val="auto"/>
          <w:spacing w:val="-6"/>
          <w:sz w:val="24"/>
          <w:szCs w:val="24"/>
        </w:rPr>
        <w:t>、软件终身免费升级。</w:t>
      </w:r>
    </w:p>
    <w:p w14:paraId="2C3EAD7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right="0"/>
        <w:textAlignment w:val="baseline"/>
        <w:rPr>
          <w:rFonts w:hint="eastAsia" w:ascii="黑体" w:hAnsi="黑体" w:eastAsia="黑体" w:cs="黑体"/>
          <w:b/>
          <w:bCs/>
          <w:color w:val="auto"/>
          <w:spacing w:val="-6"/>
          <w:sz w:val="24"/>
          <w:szCs w:val="24"/>
        </w:rPr>
      </w:pPr>
      <w:r>
        <w:rPr>
          <w:rFonts w:hint="eastAsia" w:ascii="黑体" w:hAnsi="黑体" w:eastAsia="黑体" w:cs="黑体"/>
          <w:b/>
          <w:bCs/>
          <w:color w:val="auto"/>
          <w:spacing w:val="-6"/>
          <w:sz w:val="24"/>
          <w:szCs w:val="24"/>
        </w:rPr>
        <w:t>（五）实施方案及培训方案</w:t>
      </w:r>
    </w:p>
    <w:p w14:paraId="297D786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5" w:firstLineChars="155"/>
        <w:textAlignment w:val="baseline"/>
        <w:rPr>
          <w:rFonts w:hint="eastAsia" w:ascii="黑体" w:hAnsi="黑体" w:eastAsia="黑体" w:cs="黑体"/>
          <w:b/>
          <w:bCs/>
          <w:color w:val="auto"/>
          <w:spacing w:val="-6"/>
          <w:sz w:val="24"/>
          <w:szCs w:val="24"/>
        </w:rPr>
      </w:pPr>
      <w:r>
        <w:rPr>
          <w:rFonts w:hint="eastAsia" w:ascii="黑体" w:hAnsi="黑体" w:eastAsia="黑体" w:cs="黑体"/>
          <w:b/>
          <w:bCs/>
          <w:color w:val="auto"/>
          <w:spacing w:val="-6"/>
          <w:sz w:val="24"/>
          <w:szCs w:val="24"/>
        </w:rPr>
        <w:t>实施方案：</w:t>
      </w:r>
    </w:p>
    <w:p w14:paraId="1E5560E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（1）项目详细工作内容，说明项目的工作范围、具体内容和技术要求等，这一部分内容能量化的指标尽可能量化；</w:t>
      </w:r>
    </w:p>
    <w:p w14:paraId="63E6B23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53" w:firstLineChars="155"/>
        <w:textAlignment w:val="baseline"/>
        <w:rPr>
          <w:rFonts w:hint="eastAsia" w:ascii="黑体" w:hAnsi="黑体" w:eastAsia="黑体" w:cs="黑体"/>
          <w:b w:val="0"/>
          <w:bCs w:val="0"/>
          <w:color w:val="auto"/>
          <w:spacing w:val="-6"/>
          <w:sz w:val="24"/>
          <w:szCs w:val="24"/>
        </w:rPr>
      </w:pPr>
      <w:r>
        <w:rPr>
          <w:rFonts w:hint="eastAsia" w:ascii="黑体" w:hAnsi="黑体" w:eastAsia="黑体" w:cs="黑体"/>
          <w:b w:val="0"/>
          <w:bCs w:val="0"/>
          <w:color w:val="auto"/>
          <w:spacing w:val="-6"/>
          <w:sz w:val="24"/>
          <w:szCs w:val="24"/>
        </w:rPr>
        <w:t>（2）项目实施所采取的方法手段；</w:t>
      </w:r>
    </w:p>
    <w:p w14:paraId="21668E2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7"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（3）预期效果，说明项目完成时所达到的效果；说明承担单位、协作单位和各自分工的主要内容。</w:t>
      </w:r>
    </w:p>
    <w:p w14:paraId="2ADB807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t>设备管理及维护：</w:t>
      </w:r>
    </w:p>
    <w:p w14:paraId="0A1D7A55">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7"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（1）设备管理方案；（2）设备维护及保养方案。</w:t>
      </w:r>
    </w:p>
    <w:p w14:paraId="3F72DF44">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进度安排：</w:t>
      </w:r>
      <w:r>
        <w:rPr>
          <w:rFonts w:hint="eastAsia" w:ascii="黑体" w:hAnsi="黑体" w:eastAsia="黑体" w:cs="黑体"/>
          <w:b w:val="0"/>
          <w:bCs w:val="0"/>
          <w:color w:val="auto"/>
          <w:spacing w:val="-1"/>
          <w:sz w:val="24"/>
          <w:szCs w:val="24"/>
        </w:rPr>
        <w:t>项目工作进度安排，详细说明各阶段工作安排的时间和项目工作内容完成的时间，尽力让项目实施的时间进度与方案所计划的时间吻合；</w:t>
      </w:r>
    </w:p>
    <w:p w14:paraId="0264BC4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供货安装：</w:t>
      </w:r>
      <w:r>
        <w:rPr>
          <w:rFonts w:hint="eastAsia" w:ascii="黑体" w:hAnsi="黑体" w:eastAsia="黑体" w:cs="黑体"/>
          <w:b w:val="0"/>
          <w:bCs w:val="0"/>
          <w:color w:val="auto"/>
          <w:spacing w:val="-1"/>
          <w:sz w:val="24"/>
          <w:szCs w:val="24"/>
        </w:rPr>
        <w:t>供货的流程、安装流程应在方案中写明。（注：可提供流程图）。</w:t>
      </w:r>
    </w:p>
    <w:p w14:paraId="7E8FBEA8">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项目安全措施：</w:t>
      </w:r>
      <w:r>
        <w:rPr>
          <w:rFonts w:hint="eastAsia" w:ascii="黑体" w:hAnsi="黑体" w:eastAsia="黑体" w:cs="黑体"/>
          <w:b w:val="0"/>
          <w:bCs w:val="0"/>
          <w:color w:val="auto"/>
          <w:spacing w:val="-1"/>
          <w:sz w:val="24"/>
          <w:szCs w:val="24"/>
        </w:rPr>
        <w:t>（1）方针、目标；（2）安全管理机构；（3）安全措施；（4）安全教育等。</w:t>
      </w:r>
    </w:p>
    <w:p w14:paraId="0091FDB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应急处理：</w:t>
      </w:r>
      <w:r>
        <w:rPr>
          <w:rFonts w:hint="eastAsia" w:ascii="黑体" w:hAnsi="黑体" w:eastAsia="黑体" w:cs="黑体"/>
          <w:b w:val="0"/>
          <w:bCs w:val="0"/>
          <w:color w:val="auto"/>
          <w:spacing w:val="-1"/>
          <w:sz w:val="24"/>
          <w:szCs w:val="24"/>
          <w:lang w:val="en-US" w:eastAsia="zh-CN"/>
        </w:rPr>
        <w:t>1、</w:t>
      </w:r>
      <w:r>
        <w:rPr>
          <w:rFonts w:hint="eastAsia" w:ascii="黑体" w:hAnsi="黑体" w:eastAsia="黑体" w:cs="黑体"/>
          <w:b w:val="0"/>
          <w:bCs w:val="0"/>
          <w:color w:val="auto"/>
          <w:spacing w:val="-1"/>
          <w:sz w:val="24"/>
          <w:szCs w:val="24"/>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等五方面进行拓展，本包属于医疗设备，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3BD1A2B1">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7"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2.针对本院实际情况指定培训计划，卖方应提供技术培训，保证使用人员正常操作设备的各种功能（工程师驻场培训、网路在线培训、内地交流培训）。在质保期内为采购人提供两人以上的培训服务，确保用户方至少两名操作人员可熟悉使用，供应商应保证在采购人指定交货地点对设备操作人员提供不少于1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随时排除所有设备故障进行明确的计划阐述，并对所有设备保修期过后维保进行阐述。</w:t>
      </w:r>
    </w:p>
    <w:p w14:paraId="4845816A">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t>（六）验收</w:t>
      </w:r>
    </w:p>
    <w:p w14:paraId="3F7B6F87">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1.验收程序：</w:t>
      </w:r>
      <w:r>
        <w:rPr>
          <w:rFonts w:hint="eastAsia" w:ascii="黑体" w:hAnsi="黑体" w:eastAsia="黑体" w:cs="黑体"/>
          <w:b w:val="0"/>
          <w:bCs w:val="0"/>
          <w:color w:val="auto"/>
          <w:spacing w:val="-1"/>
          <w:sz w:val="24"/>
          <w:szCs w:val="24"/>
        </w:rPr>
        <w:t>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w:t>
      </w:r>
      <w:r>
        <w:rPr>
          <w:rFonts w:hint="eastAsia" w:ascii="黑体" w:hAnsi="黑体" w:eastAsia="黑体" w:cs="黑体"/>
          <w:b w:val="0"/>
          <w:bCs w:val="0"/>
          <w:color w:val="auto"/>
          <w:spacing w:val="-1"/>
          <w:sz w:val="24"/>
          <w:szCs w:val="24"/>
          <w:lang w:eastAsia="zh-CN"/>
        </w:rPr>
        <w:t>，</w:t>
      </w:r>
      <w:bookmarkStart w:id="381" w:name="_GoBack"/>
      <w:bookmarkEnd w:id="381"/>
      <w:r>
        <w:rPr>
          <w:rFonts w:hint="eastAsia" w:ascii="黑体" w:hAnsi="黑体" w:eastAsia="黑体" w:cs="黑体"/>
          <w:b w:val="0"/>
          <w:bCs w:val="0"/>
          <w:color w:val="auto"/>
          <w:spacing w:val="-1"/>
          <w:sz w:val="24"/>
          <w:szCs w:val="24"/>
        </w:rPr>
        <w:t>如验收不合格，一切损失由乙方自行承担。</w:t>
      </w:r>
    </w:p>
    <w:p w14:paraId="398E789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2.验收内容：</w:t>
      </w:r>
      <w:r>
        <w:rPr>
          <w:rFonts w:hint="eastAsia" w:ascii="黑体" w:hAnsi="黑体" w:eastAsia="黑体" w:cs="黑体"/>
          <w:b w:val="0"/>
          <w:bCs w:val="0"/>
          <w:color w:val="auto"/>
          <w:spacing w:val="-1"/>
          <w:sz w:val="24"/>
          <w:szCs w:val="24"/>
        </w:rPr>
        <w:t>采购清单内设备、装备数量进行验收。</w:t>
      </w:r>
    </w:p>
    <w:p w14:paraId="154726D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9"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bCs/>
          <w:color w:val="auto"/>
          <w:spacing w:val="-1"/>
          <w:sz w:val="24"/>
          <w:szCs w:val="24"/>
        </w:rPr>
        <w:t>3.验收标准：</w:t>
      </w:r>
      <w:r>
        <w:rPr>
          <w:rFonts w:hint="eastAsia" w:ascii="黑体" w:hAnsi="黑体" w:eastAsia="黑体" w:cs="黑体"/>
          <w:b w:val="0"/>
          <w:bCs w:val="0"/>
          <w:color w:val="auto"/>
          <w:spacing w:val="-1"/>
          <w:sz w:val="24"/>
          <w:szCs w:val="24"/>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630327CD">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t>（七）培训</w:t>
      </w:r>
    </w:p>
    <w:p w14:paraId="31556F8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7"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供货方应提供现场技术培训，保证使用人员正常操作设备各种功能。</w:t>
      </w:r>
    </w:p>
    <w:p w14:paraId="1D996B3C">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textAlignment w:val="baseline"/>
        <w:rPr>
          <w:rFonts w:hint="eastAsia" w:ascii="黑体" w:hAnsi="黑体" w:eastAsia="黑体" w:cs="黑体"/>
          <w:b/>
          <w:bCs/>
          <w:color w:val="auto"/>
          <w:spacing w:val="-1"/>
          <w:sz w:val="24"/>
          <w:szCs w:val="24"/>
        </w:rPr>
      </w:pPr>
      <w:r>
        <w:rPr>
          <w:rFonts w:hint="eastAsia" w:ascii="黑体" w:hAnsi="黑体" w:eastAsia="黑体" w:cs="黑体"/>
          <w:b/>
          <w:bCs/>
          <w:color w:val="auto"/>
          <w:spacing w:val="-1"/>
          <w:sz w:val="24"/>
          <w:szCs w:val="24"/>
        </w:rPr>
        <w:t>（八）其他要求</w:t>
      </w:r>
    </w:p>
    <w:p w14:paraId="658AB5FE">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387" w:firstLineChars="163"/>
        <w:textAlignment w:val="baseline"/>
        <w:rPr>
          <w:rFonts w:hint="eastAsia" w:ascii="黑体" w:hAnsi="黑体" w:eastAsia="黑体" w:cs="黑体"/>
          <w:b w:val="0"/>
          <w:bCs w:val="0"/>
          <w:color w:val="auto"/>
          <w:spacing w:val="-1"/>
          <w:sz w:val="24"/>
          <w:szCs w:val="24"/>
        </w:rPr>
      </w:pPr>
      <w:r>
        <w:rPr>
          <w:rFonts w:hint="eastAsia" w:ascii="黑体" w:hAnsi="黑体" w:eastAsia="黑体" w:cs="黑体"/>
          <w:b w:val="0"/>
          <w:bCs w:val="0"/>
          <w:color w:val="auto"/>
          <w:spacing w:val="-1"/>
          <w:sz w:val="24"/>
          <w:szCs w:val="24"/>
        </w:rPr>
        <w:t>1.投标供应商提供近三年内类似业绩证明材料</w:t>
      </w:r>
      <w:r>
        <w:rPr>
          <w:rFonts w:hint="eastAsia" w:ascii="黑体" w:hAnsi="黑体" w:eastAsia="黑体" w:cs="黑体"/>
          <w:b w:val="0"/>
          <w:bCs w:val="0"/>
          <w:color w:val="auto"/>
          <w:spacing w:val="8"/>
          <w:sz w:val="24"/>
          <w:szCs w:val="24"/>
        </w:rPr>
        <w:t>中标</w:t>
      </w:r>
      <w:r>
        <w:rPr>
          <w:rFonts w:hint="eastAsia" w:ascii="黑体" w:hAnsi="黑体" w:eastAsia="黑体" w:cs="黑体"/>
          <w:b w:val="0"/>
          <w:bCs w:val="0"/>
          <w:color w:val="auto"/>
          <w:spacing w:val="8"/>
          <w:sz w:val="24"/>
          <w:szCs w:val="24"/>
          <w:lang w:eastAsia="zh-CN"/>
        </w:rPr>
        <w:t>（</w:t>
      </w:r>
      <w:r>
        <w:rPr>
          <w:rFonts w:hint="eastAsia" w:ascii="黑体" w:hAnsi="黑体" w:eastAsia="黑体" w:cs="黑体"/>
          <w:b w:val="0"/>
          <w:bCs w:val="0"/>
          <w:color w:val="auto"/>
          <w:spacing w:val="8"/>
          <w:sz w:val="24"/>
          <w:szCs w:val="24"/>
        </w:rPr>
        <w:t>成交</w:t>
      </w:r>
      <w:r>
        <w:rPr>
          <w:rFonts w:hint="eastAsia" w:ascii="黑体" w:hAnsi="黑体" w:eastAsia="黑体" w:cs="黑体"/>
          <w:b w:val="0"/>
          <w:bCs w:val="0"/>
          <w:color w:val="auto"/>
          <w:spacing w:val="8"/>
          <w:sz w:val="24"/>
          <w:szCs w:val="24"/>
          <w:lang w:eastAsia="zh-CN"/>
        </w:rPr>
        <w:t>）</w:t>
      </w:r>
      <w:r>
        <w:rPr>
          <w:rFonts w:hint="eastAsia" w:ascii="黑体" w:hAnsi="黑体" w:eastAsia="黑体" w:cs="黑体"/>
          <w:b w:val="0"/>
          <w:bCs w:val="0"/>
          <w:color w:val="auto"/>
          <w:spacing w:val="8"/>
          <w:sz w:val="24"/>
          <w:szCs w:val="24"/>
        </w:rPr>
        <w:t>通知书</w:t>
      </w:r>
      <w:r>
        <w:rPr>
          <w:rFonts w:hint="eastAsia" w:ascii="黑体" w:hAnsi="黑体" w:eastAsia="黑体" w:cs="黑体"/>
          <w:b w:val="0"/>
          <w:bCs w:val="0"/>
          <w:color w:val="auto"/>
          <w:spacing w:val="-1"/>
          <w:sz w:val="24"/>
          <w:szCs w:val="24"/>
        </w:rPr>
        <w:t>及合同</w:t>
      </w:r>
      <w:r>
        <w:rPr>
          <w:rFonts w:hint="eastAsia" w:ascii="黑体" w:hAnsi="黑体" w:eastAsia="黑体" w:cs="黑体"/>
          <w:b w:val="0"/>
          <w:bCs w:val="0"/>
          <w:color w:val="auto"/>
          <w:spacing w:val="-1"/>
          <w:sz w:val="24"/>
          <w:szCs w:val="24"/>
          <w:lang w:val="en-US" w:eastAsia="zh-CN"/>
        </w:rPr>
        <w:t>协议书</w:t>
      </w:r>
      <w:r>
        <w:rPr>
          <w:rFonts w:hint="eastAsia" w:ascii="黑体" w:hAnsi="黑体" w:eastAsia="黑体" w:cs="黑体"/>
          <w:b w:val="0"/>
          <w:bCs w:val="0"/>
          <w:color w:val="auto"/>
          <w:spacing w:val="-1"/>
          <w:sz w:val="24"/>
          <w:szCs w:val="24"/>
        </w:rPr>
        <w:t>。</w:t>
      </w:r>
    </w:p>
    <w:p w14:paraId="05BC6D70">
      <w:pPr>
        <w:pStyle w:val="6"/>
        <w:keepNext w:val="0"/>
        <w:keepLines w:val="0"/>
        <w:pageBreakBefore w:val="0"/>
        <w:widowControl/>
        <w:kinsoku/>
        <w:wordWrap w:val="0"/>
        <w:overflowPunct/>
        <w:topLinePunct w:val="0"/>
        <w:bidi w:val="0"/>
        <w:spacing w:before="168" w:line="460" w:lineRule="exact"/>
        <w:jc w:val="center"/>
        <w:outlineLvl w:val="0"/>
        <w:rPr>
          <w:rFonts w:hint="eastAsia" w:ascii="黑体" w:hAnsi="黑体" w:eastAsia="黑体" w:cs="黑体"/>
          <w:b/>
          <w:bCs/>
          <w:color w:val="auto"/>
          <w:spacing w:val="5"/>
          <w:lang w:eastAsia="zh-CN"/>
        </w:rPr>
      </w:pPr>
    </w:p>
    <w:p w14:paraId="6B24E5DD">
      <w:pPr>
        <w:pStyle w:val="6"/>
        <w:keepNext w:val="0"/>
        <w:keepLines w:val="0"/>
        <w:pageBreakBefore w:val="0"/>
        <w:widowControl/>
        <w:kinsoku/>
        <w:wordWrap w:val="0"/>
        <w:overflowPunct/>
        <w:topLinePunct w:val="0"/>
        <w:bidi w:val="0"/>
        <w:spacing w:before="168" w:line="460" w:lineRule="exact"/>
        <w:jc w:val="center"/>
        <w:outlineLvl w:val="0"/>
        <w:rPr>
          <w:rFonts w:hint="eastAsia" w:ascii="黑体" w:hAnsi="黑体" w:eastAsia="黑体" w:cs="黑体"/>
          <w:b/>
          <w:bCs/>
          <w:color w:val="auto"/>
          <w:spacing w:val="5"/>
          <w:lang w:eastAsia="zh-CN"/>
        </w:rPr>
      </w:pPr>
    </w:p>
    <w:p w14:paraId="09D6EB54">
      <w:pPr>
        <w:rPr>
          <w:rFonts w:hint="eastAsia" w:ascii="黑体" w:hAnsi="黑体" w:eastAsia="黑体" w:cs="黑体"/>
          <w:b/>
          <w:bCs/>
          <w:color w:val="auto"/>
          <w:spacing w:val="5"/>
        </w:rPr>
      </w:pPr>
      <w:r>
        <w:rPr>
          <w:rFonts w:hint="eastAsia" w:ascii="黑体" w:hAnsi="黑体" w:eastAsia="黑体" w:cs="黑体"/>
          <w:b/>
          <w:bCs/>
          <w:color w:val="auto"/>
          <w:spacing w:val="5"/>
        </w:rPr>
        <w:br w:type="page"/>
      </w:r>
    </w:p>
    <w:p w14:paraId="5160B583">
      <w:pPr>
        <w:pStyle w:val="6"/>
        <w:keepNext w:val="0"/>
        <w:keepLines w:val="0"/>
        <w:pageBreakBefore w:val="0"/>
        <w:widowControl/>
        <w:kinsoku/>
        <w:wordWrap w:val="0"/>
        <w:overflowPunct/>
        <w:topLinePunct w:val="0"/>
        <w:bidi w:val="0"/>
        <w:spacing w:before="168" w:line="460" w:lineRule="exact"/>
        <w:jc w:val="center"/>
        <w:outlineLvl w:val="0"/>
        <w:rPr>
          <w:rFonts w:hint="eastAsia" w:ascii="黑体" w:hAnsi="黑体" w:eastAsia="黑体" w:cs="黑体"/>
          <w:color w:val="auto"/>
        </w:rPr>
      </w:pPr>
      <w:bookmarkStart w:id="94" w:name="_Toc23522"/>
      <w:r>
        <w:rPr>
          <w:rFonts w:hint="eastAsia" w:ascii="黑体" w:hAnsi="黑体" w:eastAsia="黑体" w:cs="黑体"/>
          <w:b/>
          <w:bCs/>
          <w:color w:val="auto"/>
          <w:spacing w:val="5"/>
        </w:rPr>
        <w:t>第6章评标方法和标准</w:t>
      </w:r>
      <w:bookmarkEnd w:id="94"/>
    </w:p>
    <w:p w14:paraId="3965475F">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本项目将按照招标文件第一章供应商须知中“五开标及评</w:t>
      </w:r>
      <w:r>
        <w:rPr>
          <w:rFonts w:hint="eastAsia" w:ascii="黑体" w:hAnsi="黑体" w:eastAsia="黑体" w:cs="黑体"/>
          <w:color w:val="auto"/>
          <w:sz w:val="24"/>
          <w:szCs w:val="24"/>
        </w:rPr>
        <w:t>标”、“六确</w:t>
      </w:r>
      <w:r>
        <w:rPr>
          <w:rFonts w:hint="eastAsia" w:ascii="黑体" w:hAnsi="黑体" w:eastAsia="黑体" w:cs="黑体"/>
          <w:color w:val="auto"/>
          <w:spacing w:val="-1"/>
          <w:sz w:val="24"/>
          <w:szCs w:val="24"/>
        </w:rPr>
        <w:t>定中标”及本章的规定评标。</w:t>
      </w:r>
    </w:p>
    <w:p w14:paraId="5684697B">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1.投标无效的情形：</w:t>
      </w:r>
    </w:p>
    <w:p w14:paraId="10AE2B66">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（1）单位负责人为同一人或者存在直接控股、管理关系的不同供应商，其相关</w:t>
      </w:r>
      <w:r>
        <w:rPr>
          <w:rFonts w:hint="eastAsia" w:ascii="黑体" w:hAnsi="黑体" w:eastAsia="黑体" w:cs="黑体"/>
          <w:color w:val="auto"/>
          <w:spacing w:val="-1"/>
          <w:sz w:val="24"/>
          <w:szCs w:val="24"/>
        </w:rPr>
        <w:t>投标将被认定为投标无效。</w:t>
      </w:r>
    </w:p>
    <w:p w14:paraId="5AB415B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（2）供应商报价超过招标文件规定的预算金额或者分项、分包最高限价的，其</w:t>
      </w:r>
      <w:r>
        <w:rPr>
          <w:rFonts w:hint="eastAsia" w:ascii="黑体" w:hAnsi="黑体" w:eastAsia="黑体" w:cs="黑体"/>
          <w:color w:val="auto"/>
          <w:spacing w:val="-1"/>
          <w:sz w:val="24"/>
          <w:szCs w:val="24"/>
        </w:rPr>
        <w:t>投标将被认定为投标无效。</w:t>
      </w:r>
    </w:p>
    <w:p w14:paraId="75BD45B4">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（3）供应商应认真阅读招标文件所有的事项、格式、条款和技术规范等。如供</w:t>
      </w:r>
      <w:r>
        <w:rPr>
          <w:rFonts w:hint="eastAsia" w:ascii="黑体" w:hAnsi="黑体" w:eastAsia="黑体" w:cs="黑体"/>
          <w:color w:val="auto"/>
          <w:spacing w:val="2"/>
          <w:sz w:val="24"/>
          <w:szCs w:val="24"/>
        </w:rPr>
        <w:t>应商没有按照招标文件要求提交全部资料，或者投标文件没有对投标文件在各</w:t>
      </w:r>
      <w:r>
        <w:rPr>
          <w:rFonts w:hint="eastAsia" w:ascii="黑体" w:hAnsi="黑体" w:eastAsia="黑体" w:cs="黑体"/>
          <w:color w:val="auto"/>
          <w:spacing w:val="-2"/>
          <w:sz w:val="24"/>
          <w:szCs w:val="24"/>
        </w:rPr>
        <w:t>方面都做出实质性响应，可能导致其投标将被认定为投标无效。</w:t>
      </w:r>
    </w:p>
    <w:p w14:paraId="40D773A0">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（4）供应商应当对所投分包投标文件中“货物内容”所列的所有内容进行投</w:t>
      </w:r>
      <w:r>
        <w:rPr>
          <w:rFonts w:hint="eastAsia" w:ascii="黑体" w:hAnsi="黑体" w:eastAsia="黑体" w:cs="黑体"/>
          <w:color w:val="auto"/>
          <w:spacing w:val="-3"/>
          <w:sz w:val="24"/>
          <w:szCs w:val="24"/>
        </w:rPr>
        <w:t>标，如仅响应某一包中的部分内容，其该包投标将被认定为投标无效。</w:t>
      </w:r>
    </w:p>
    <w:p w14:paraId="570F39F1">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（5）供应商未按本须知第12.1和12.3条规定提交投标保证金的，其投标资格</w:t>
      </w:r>
      <w:r>
        <w:rPr>
          <w:rFonts w:hint="eastAsia" w:ascii="黑体" w:hAnsi="黑体" w:eastAsia="黑体" w:cs="黑体"/>
          <w:color w:val="auto"/>
          <w:spacing w:val="-1"/>
          <w:sz w:val="24"/>
          <w:szCs w:val="24"/>
        </w:rPr>
        <w:t>将被认定为投标无效。</w:t>
      </w:r>
    </w:p>
    <w:p w14:paraId="37B2A3EB">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（6）所有投标均以人民币报价。供应商的投标报价应遵守《中华人民共和国价</w:t>
      </w:r>
      <w:r>
        <w:rPr>
          <w:rFonts w:hint="eastAsia" w:ascii="黑体" w:hAnsi="黑体" w:eastAsia="黑体" w:cs="黑体"/>
          <w:color w:val="auto"/>
          <w:sz w:val="24"/>
          <w:szCs w:val="24"/>
        </w:rPr>
        <w:t>格法》。同时，根据《中华人民共和国政府采购法》第二条的规定，为保证公</w:t>
      </w:r>
      <w:r>
        <w:rPr>
          <w:rFonts w:hint="eastAsia" w:ascii="黑体" w:hAnsi="黑体" w:eastAsia="黑体" w:cs="黑体"/>
          <w:color w:val="auto"/>
          <w:spacing w:val="-3"/>
          <w:sz w:val="24"/>
          <w:szCs w:val="24"/>
        </w:rPr>
        <w:t>平竞争，如有货物主体部分的赠与行为，其投标将被认定为投标无效。</w:t>
      </w:r>
    </w:p>
    <w:p w14:paraId="2135AF19">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pacing w:val="-3"/>
          <w:sz w:val="24"/>
          <w:szCs w:val="24"/>
        </w:rPr>
      </w:pPr>
      <w:r>
        <w:rPr>
          <w:rFonts w:hint="eastAsia" w:ascii="黑体" w:hAnsi="黑体" w:eastAsia="黑体" w:cs="黑体"/>
          <w:color w:val="auto"/>
          <w:spacing w:val="-2"/>
          <w:sz w:val="24"/>
          <w:szCs w:val="24"/>
        </w:rPr>
        <w:t>（7）供应商所报的各分项投标单价在合同履行过程中是固定不变的，不得以任</w:t>
      </w:r>
      <w:r>
        <w:rPr>
          <w:rFonts w:hint="eastAsia" w:ascii="黑体" w:hAnsi="黑体" w:eastAsia="黑体" w:cs="黑体"/>
          <w:color w:val="auto"/>
          <w:spacing w:val="-3"/>
          <w:sz w:val="24"/>
          <w:szCs w:val="24"/>
        </w:rPr>
        <w:t>何理由予以变更。任何包含价格调整要求的投标，其投标将被认定为投标无效。</w:t>
      </w:r>
    </w:p>
    <w:p w14:paraId="383DFFFE">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（8）投标应在供应商须知资料表中规定时间内保持有效。投标有效期不满足要</w:t>
      </w:r>
      <w:r>
        <w:rPr>
          <w:rFonts w:hint="eastAsia" w:ascii="黑体" w:hAnsi="黑体" w:eastAsia="黑体" w:cs="黑体"/>
          <w:color w:val="auto"/>
          <w:spacing w:val="-3"/>
          <w:sz w:val="24"/>
          <w:szCs w:val="24"/>
        </w:rPr>
        <w:t>求的投标，其投标将被认定为投标无效。</w:t>
      </w:r>
    </w:p>
    <w:p w14:paraId="2ED47042">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（9）采购人或采购代理机构将在开标前1个工作日至投标截止后1小时的期间</w:t>
      </w:r>
      <w:r>
        <w:rPr>
          <w:rFonts w:hint="eastAsia" w:ascii="黑体" w:hAnsi="黑体" w:eastAsia="黑体" w:cs="黑体"/>
          <w:color w:val="auto"/>
          <w:spacing w:val="2"/>
          <w:sz w:val="24"/>
          <w:szCs w:val="24"/>
        </w:rPr>
        <w:t>内查询供应商的信用记录。供应商存在不良信用记录的，其投标将被认定为投</w:t>
      </w:r>
      <w:r>
        <w:rPr>
          <w:rFonts w:hint="eastAsia" w:ascii="黑体" w:hAnsi="黑体" w:eastAsia="黑体" w:cs="黑体"/>
          <w:color w:val="auto"/>
          <w:spacing w:val="-1"/>
          <w:sz w:val="24"/>
          <w:szCs w:val="24"/>
        </w:rPr>
        <w:t>标无效。</w:t>
      </w:r>
    </w:p>
    <w:p w14:paraId="792067A4">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（10）总价金额与按单价汇总金额不一致的，以单价金额计算结果为准。同时出现两种以上不一致的，按照前款规定的顺序修</w:t>
      </w:r>
      <w:r>
        <w:rPr>
          <w:rFonts w:hint="eastAsia" w:ascii="黑体" w:hAnsi="黑体" w:eastAsia="黑体" w:cs="黑体"/>
          <w:color w:val="auto"/>
          <w:spacing w:val="-2"/>
          <w:sz w:val="24"/>
          <w:szCs w:val="24"/>
        </w:rPr>
        <w:t>正。修正后的报价按照第20.2</w:t>
      </w:r>
      <w:r>
        <w:rPr>
          <w:rFonts w:hint="eastAsia" w:ascii="黑体" w:hAnsi="黑体" w:eastAsia="黑体" w:cs="黑体"/>
          <w:color w:val="auto"/>
          <w:spacing w:val="1"/>
          <w:sz w:val="24"/>
          <w:szCs w:val="24"/>
        </w:rPr>
        <w:t>条的规定经供应商确认后产生约束力，供应商不确认的，其投标将被认定为投</w:t>
      </w:r>
      <w:r>
        <w:rPr>
          <w:rFonts w:hint="eastAsia" w:ascii="黑体" w:hAnsi="黑体" w:eastAsia="黑体" w:cs="黑体"/>
          <w:color w:val="auto"/>
          <w:spacing w:val="-1"/>
          <w:sz w:val="24"/>
          <w:szCs w:val="24"/>
        </w:rPr>
        <w:t>标无效。</w:t>
      </w:r>
    </w:p>
    <w:p w14:paraId="1F26BF2F">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（11）在比较与评价之前，根据本须知的规定，评标委员会要</w:t>
      </w:r>
      <w:r>
        <w:rPr>
          <w:rFonts w:hint="eastAsia" w:ascii="黑体" w:hAnsi="黑体" w:eastAsia="黑体" w:cs="黑体"/>
          <w:color w:val="auto"/>
          <w:spacing w:val="-2"/>
          <w:sz w:val="24"/>
          <w:szCs w:val="24"/>
        </w:rPr>
        <w:t>审查每份投标文</w:t>
      </w:r>
      <w:r>
        <w:rPr>
          <w:rFonts w:hint="eastAsia" w:ascii="黑体" w:hAnsi="黑体" w:eastAsia="黑体" w:cs="黑体"/>
          <w:color w:val="auto"/>
          <w:spacing w:val="3"/>
          <w:sz w:val="24"/>
          <w:szCs w:val="24"/>
        </w:rPr>
        <w:t>件是否实质上响应了投标文件的要求。实质上响应的投标应该是与投标文件要</w:t>
      </w:r>
      <w:r>
        <w:rPr>
          <w:rFonts w:hint="eastAsia" w:ascii="黑体" w:hAnsi="黑体" w:eastAsia="黑体" w:cs="黑体"/>
          <w:color w:val="auto"/>
          <w:spacing w:val="-2"/>
          <w:sz w:val="24"/>
          <w:szCs w:val="24"/>
        </w:rPr>
        <w:t>求的全部条款、条件和规格相符，没有重大偏离的投标。</w:t>
      </w:r>
    </w:p>
    <w:p w14:paraId="11416559">
      <w:pPr>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（12）如发现下列情况之一的，其投标将被认定为投标无效：未按招标</w:t>
      </w:r>
      <w:r>
        <w:rPr>
          <w:rFonts w:hint="eastAsia" w:ascii="黑体" w:hAnsi="黑体" w:eastAsia="黑体" w:cs="黑体"/>
          <w:color w:val="auto"/>
          <w:spacing w:val="-1"/>
          <w:sz w:val="24"/>
          <w:szCs w:val="24"/>
        </w:rPr>
        <w:t>文件规</w:t>
      </w:r>
      <w:r>
        <w:rPr>
          <w:rFonts w:hint="eastAsia" w:ascii="黑体" w:hAnsi="黑体" w:eastAsia="黑体" w:cs="黑体"/>
          <w:color w:val="auto"/>
          <w:spacing w:val="3"/>
          <w:sz w:val="24"/>
          <w:szCs w:val="24"/>
        </w:rPr>
        <w:t>定的形式和金额提交投标保证金的；未按照招标文件规定要求签署、盖章的；</w:t>
      </w:r>
      <w:r>
        <w:rPr>
          <w:rFonts w:hint="eastAsia" w:ascii="黑体" w:hAnsi="黑体" w:eastAsia="黑体" w:cs="黑体"/>
          <w:color w:val="auto"/>
          <w:spacing w:val="2"/>
          <w:sz w:val="24"/>
          <w:szCs w:val="24"/>
        </w:rPr>
        <w:t>未满足招标文件中技术条款的实质性要求；与其他供应商串通投标，或者与采</w:t>
      </w:r>
      <w:r>
        <w:rPr>
          <w:rFonts w:hint="eastAsia" w:ascii="黑体" w:hAnsi="黑体" w:eastAsia="黑体" w:cs="黑体"/>
          <w:color w:val="auto"/>
          <w:spacing w:val="3"/>
          <w:sz w:val="24"/>
          <w:szCs w:val="24"/>
        </w:rPr>
        <w:t>购人串通投标；属于招标文件规定的其他投标无效情形；评标委员会认为供应</w:t>
      </w:r>
      <w:r>
        <w:rPr>
          <w:rFonts w:hint="eastAsia" w:ascii="黑体" w:hAnsi="黑体" w:eastAsia="黑体" w:cs="黑体"/>
          <w:color w:val="auto"/>
          <w:spacing w:val="1"/>
          <w:sz w:val="24"/>
          <w:szCs w:val="24"/>
        </w:rPr>
        <w:t>商的报价明显低于其他通过符合性检查供应商的报价，有可能影响履约的，且</w:t>
      </w:r>
      <w:r>
        <w:rPr>
          <w:rFonts w:hint="eastAsia" w:ascii="黑体" w:hAnsi="黑体" w:eastAsia="黑体" w:cs="黑体"/>
          <w:color w:val="auto"/>
          <w:spacing w:val="3"/>
          <w:sz w:val="24"/>
          <w:szCs w:val="24"/>
        </w:rPr>
        <w:t>供应商未按照规定证明其报价合理性的；招标文件含有采购人不能接受的附加</w:t>
      </w:r>
      <w:r>
        <w:rPr>
          <w:rFonts w:hint="eastAsia" w:ascii="黑体" w:hAnsi="黑体" w:eastAsia="黑体" w:cs="黑体"/>
          <w:color w:val="auto"/>
          <w:sz w:val="24"/>
          <w:szCs w:val="24"/>
        </w:rPr>
        <w:t>条件的；不符合法规和招标文件中规定的其他实质</w:t>
      </w:r>
      <w:r>
        <w:rPr>
          <w:rFonts w:hint="eastAsia" w:ascii="黑体" w:hAnsi="黑体" w:eastAsia="黑体" w:cs="黑体"/>
          <w:color w:val="auto"/>
          <w:spacing w:val="-1"/>
          <w:sz w:val="24"/>
          <w:szCs w:val="24"/>
        </w:rPr>
        <w:t>性要求的。</w:t>
      </w:r>
    </w:p>
    <w:p w14:paraId="7D2F84B3">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2、本项目不专门面向中小企业采购。根据《政府采购促进</w:t>
      </w:r>
      <w:r>
        <w:rPr>
          <w:rFonts w:hint="eastAsia" w:ascii="黑体" w:hAnsi="黑体" w:eastAsia="黑体" w:cs="黑体"/>
          <w:b/>
          <w:bCs/>
          <w:color w:val="auto"/>
          <w:spacing w:val="-2"/>
          <w:sz w:val="24"/>
          <w:szCs w:val="24"/>
        </w:rPr>
        <w:t>中小企业发展管理办法》（财库[2020]46号）、《财政部司法部关于政府采购支持监狱企业发展有</w:t>
      </w:r>
      <w:r>
        <w:rPr>
          <w:rFonts w:hint="eastAsia" w:ascii="黑体" w:hAnsi="黑体" w:eastAsia="黑体" w:cs="黑体"/>
          <w:b/>
          <w:bCs/>
          <w:color w:val="auto"/>
          <w:spacing w:val="-4"/>
          <w:sz w:val="24"/>
          <w:szCs w:val="24"/>
        </w:rPr>
        <w:t>关问题的通知》（财库〔2014〕68号）、《三部门联合发布关于促进残疾人</w:t>
      </w:r>
      <w:r>
        <w:rPr>
          <w:rFonts w:hint="eastAsia" w:ascii="黑体" w:hAnsi="黑体" w:eastAsia="黑体" w:cs="黑体"/>
          <w:b/>
          <w:bCs/>
          <w:color w:val="auto"/>
          <w:spacing w:val="-1"/>
          <w:sz w:val="24"/>
          <w:szCs w:val="24"/>
        </w:rPr>
        <w:t>就业政府采购政策的通知》（财库〔2017〕141号）和财政部关于进一步加大</w:t>
      </w:r>
      <w:r>
        <w:rPr>
          <w:rFonts w:hint="eastAsia" w:ascii="黑体" w:hAnsi="黑体" w:eastAsia="黑体" w:cs="黑体"/>
          <w:b/>
          <w:bCs/>
          <w:color w:val="auto"/>
          <w:spacing w:val="-3"/>
          <w:sz w:val="24"/>
          <w:szCs w:val="24"/>
        </w:rPr>
        <w:t>政府采购支持中小企业力度的通知》财库〔2022〕19</w:t>
      </w:r>
      <w:r>
        <w:rPr>
          <w:rFonts w:hint="eastAsia" w:ascii="黑体" w:hAnsi="黑体" w:eastAsia="黑体" w:cs="黑体"/>
          <w:b/>
          <w:bCs/>
          <w:color w:val="auto"/>
          <w:spacing w:val="-4"/>
          <w:sz w:val="24"/>
          <w:szCs w:val="24"/>
        </w:rPr>
        <w:t>号的规定，其中小型、微</w:t>
      </w:r>
      <w:r>
        <w:rPr>
          <w:rFonts w:hint="eastAsia" w:ascii="黑体" w:hAnsi="黑体" w:eastAsia="黑体" w:cs="黑体"/>
          <w:b/>
          <w:bCs/>
          <w:color w:val="auto"/>
          <w:sz w:val="24"/>
          <w:szCs w:val="24"/>
        </w:rPr>
        <w:t>型及小微企业在投标文件中提交了《中小企业声明函》、《残</w:t>
      </w:r>
      <w:r>
        <w:rPr>
          <w:rFonts w:hint="eastAsia" w:ascii="黑体" w:hAnsi="黑体" w:eastAsia="黑体" w:cs="黑体"/>
          <w:b/>
          <w:bCs/>
          <w:color w:val="auto"/>
          <w:spacing w:val="-1"/>
          <w:sz w:val="24"/>
          <w:szCs w:val="24"/>
        </w:rPr>
        <w:t>疾人福利性单位</w:t>
      </w:r>
      <w:r>
        <w:rPr>
          <w:rFonts w:hint="eastAsia" w:ascii="黑体" w:hAnsi="黑体" w:eastAsia="黑体" w:cs="黑体"/>
          <w:b/>
          <w:bCs/>
          <w:color w:val="auto"/>
          <w:sz w:val="24"/>
          <w:szCs w:val="24"/>
        </w:rPr>
        <w:t>声明函》或省级以上监狱管理局、戒毒管理局（含新疆生产建设兵团</w:t>
      </w:r>
      <w:r>
        <w:rPr>
          <w:rFonts w:hint="eastAsia" w:ascii="黑体" w:hAnsi="黑体" w:eastAsia="黑体" w:cs="黑体"/>
          <w:b/>
          <w:bCs/>
          <w:color w:val="auto"/>
          <w:spacing w:val="-1"/>
          <w:sz w:val="24"/>
          <w:szCs w:val="24"/>
        </w:rPr>
        <w:t>）出具的</w:t>
      </w:r>
      <w:r>
        <w:rPr>
          <w:rFonts w:hint="eastAsia" w:ascii="黑体" w:hAnsi="黑体" w:eastAsia="黑体" w:cs="黑体"/>
          <w:b/>
          <w:bCs/>
          <w:color w:val="auto"/>
          <w:sz w:val="24"/>
          <w:szCs w:val="24"/>
        </w:rPr>
        <w:t>属于监狱企业的证明文件供应商，其报价扣除</w:t>
      </w:r>
      <w:r>
        <w:rPr>
          <w:rFonts w:hint="eastAsia" w:ascii="黑体" w:hAnsi="黑体" w:eastAsia="黑体" w:cs="黑体"/>
          <w:b/>
          <w:bCs/>
          <w:color w:val="auto"/>
          <w:sz w:val="24"/>
          <w:szCs w:val="24"/>
          <w:u w:val="single" w:color="auto"/>
        </w:rPr>
        <w:t>10</w:t>
      </w:r>
      <w:r>
        <w:rPr>
          <w:rFonts w:hint="eastAsia" w:ascii="黑体" w:hAnsi="黑体" w:eastAsia="黑体" w:cs="黑体"/>
          <w:b/>
          <w:bCs/>
          <w:color w:val="auto"/>
          <w:spacing w:val="-1"/>
          <w:sz w:val="24"/>
          <w:szCs w:val="24"/>
          <w:u w:val="single" w:color="auto"/>
        </w:rPr>
        <w:t>%</w:t>
      </w:r>
      <w:r>
        <w:rPr>
          <w:rFonts w:hint="eastAsia" w:ascii="黑体" w:hAnsi="黑体" w:eastAsia="黑体" w:cs="黑体"/>
          <w:b/>
          <w:bCs/>
          <w:color w:val="auto"/>
          <w:spacing w:val="-1"/>
          <w:sz w:val="24"/>
          <w:szCs w:val="24"/>
        </w:rPr>
        <w:t>后参与评审。对于同时属于小型、微型及小微企业、监狱企业或残疾人福利性单位的，不重复进行</w:t>
      </w:r>
      <w:r>
        <w:rPr>
          <w:rFonts w:hint="eastAsia" w:ascii="黑体" w:hAnsi="黑体" w:eastAsia="黑体" w:cs="黑体"/>
          <w:b/>
          <w:bCs/>
          <w:color w:val="auto"/>
          <w:spacing w:val="-2"/>
          <w:sz w:val="24"/>
          <w:szCs w:val="24"/>
        </w:rPr>
        <w:t>报价扣除。</w:t>
      </w:r>
    </w:p>
    <w:p w14:paraId="79828BE6">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3"/>
          <w:sz w:val="24"/>
          <w:szCs w:val="24"/>
        </w:rPr>
        <w:t>3.联合协议中约定</w:t>
      </w:r>
      <w:r>
        <w:rPr>
          <w:rFonts w:hint="eastAsia" w:ascii="黑体" w:hAnsi="黑体" w:eastAsia="黑体" w:cs="黑体"/>
          <w:color w:val="auto"/>
          <w:spacing w:val="-3"/>
          <w:sz w:val="24"/>
          <w:szCs w:val="24"/>
        </w:rPr>
        <w:t>，小型、微型企业和监狱企业的协议</w:t>
      </w:r>
      <w:r>
        <w:rPr>
          <w:rFonts w:hint="eastAsia" w:ascii="黑体" w:hAnsi="黑体" w:eastAsia="黑体" w:cs="黑体"/>
          <w:color w:val="auto"/>
          <w:spacing w:val="-4"/>
          <w:sz w:val="24"/>
          <w:szCs w:val="24"/>
        </w:rPr>
        <w:t>合同金额占到联合体协议</w:t>
      </w:r>
      <w:r>
        <w:rPr>
          <w:rFonts w:hint="eastAsia" w:ascii="黑体" w:hAnsi="黑体" w:eastAsia="黑体" w:cs="黑体"/>
          <w:color w:val="auto"/>
          <w:spacing w:val="-3"/>
          <w:sz w:val="24"/>
          <w:szCs w:val="24"/>
        </w:rPr>
        <w:t>合同总金额30%以上的，可给予联合体</w:t>
      </w:r>
      <w:r>
        <w:rPr>
          <w:rFonts w:hint="eastAsia" w:ascii="黑体" w:hAnsi="黑体" w:eastAsia="黑体" w:cs="黑体"/>
          <w:color w:val="auto"/>
          <w:spacing w:val="-3"/>
          <w:sz w:val="24"/>
          <w:szCs w:val="24"/>
          <w:u w:val="single" w:color="auto"/>
        </w:rPr>
        <w:t>2%-3%</w:t>
      </w:r>
      <w:r>
        <w:rPr>
          <w:rFonts w:hint="eastAsia" w:ascii="黑体" w:hAnsi="黑体" w:eastAsia="黑体" w:cs="黑体"/>
          <w:color w:val="auto"/>
          <w:spacing w:val="-3"/>
          <w:sz w:val="24"/>
          <w:szCs w:val="24"/>
        </w:rPr>
        <w:t>的价格扣除。</w:t>
      </w:r>
      <w:r>
        <w:rPr>
          <w:rFonts w:hint="eastAsia" w:ascii="黑体" w:hAnsi="黑体" w:eastAsia="黑体" w:cs="黑体"/>
          <w:b/>
          <w:bCs/>
          <w:color w:val="auto"/>
          <w:spacing w:val="-3"/>
          <w:sz w:val="24"/>
          <w:szCs w:val="24"/>
        </w:rPr>
        <w:t>（本项</w:t>
      </w:r>
      <w:r>
        <w:rPr>
          <w:rFonts w:hint="eastAsia" w:ascii="黑体" w:hAnsi="黑体" w:eastAsia="黑体" w:cs="黑体"/>
          <w:b/>
          <w:bCs/>
          <w:color w:val="auto"/>
          <w:spacing w:val="-4"/>
          <w:sz w:val="24"/>
          <w:szCs w:val="24"/>
        </w:rPr>
        <w:t>目不适用）</w:t>
      </w:r>
    </w:p>
    <w:p w14:paraId="17BC7CB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20" w:firstLineChars="0"/>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联合体各方均为小型、微型企业和监狱企业的，联合</w:t>
      </w:r>
      <w:r>
        <w:rPr>
          <w:rFonts w:hint="eastAsia" w:ascii="黑体" w:hAnsi="黑体" w:eastAsia="黑体" w:cs="黑体"/>
          <w:color w:val="auto"/>
          <w:spacing w:val="-2"/>
          <w:sz w:val="24"/>
          <w:szCs w:val="24"/>
        </w:rPr>
        <w:t>体视同为小型、微型</w:t>
      </w:r>
      <w:r>
        <w:rPr>
          <w:rFonts w:hint="eastAsia" w:ascii="黑体" w:hAnsi="黑体" w:eastAsia="黑体" w:cs="黑体"/>
          <w:color w:val="auto"/>
          <w:spacing w:val="-1"/>
          <w:sz w:val="24"/>
          <w:szCs w:val="24"/>
        </w:rPr>
        <w:t>企业和监狱企业。</w:t>
      </w:r>
    </w:p>
    <w:p w14:paraId="3E023AD7">
      <w:pPr>
        <w:pStyle w:val="6"/>
        <w:keepNext w:val="0"/>
        <w:keepLines w:val="0"/>
        <w:pageBreakBefore w:val="0"/>
        <w:widowControl/>
        <w:tabs>
          <w:tab w:val="left" w:pos="183"/>
        </w:tabs>
        <w:kinsoku/>
        <w:wordWrap w:val="0"/>
        <w:overflowPunct/>
        <w:topLinePunct w:val="0"/>
        <w:autoSpaceDE w:val="0"/>
        <w:autoSpaceDN w:val="0"/>
        <w:bidi w:val="0"/>
        <w:adjustRightInd w:val="0"/>
        <w:snapToGrid w:val="0"/>
        <w:spacing w:line="480" w:lineRule="exact"/>
        <w:ind w:right="0"/>
        <w:jc w:val="both"/>
        <w:textAlignment w:val="baseline"/>
        <w:rPr>
          <w:rFonts w:hint="eastAsia" w:ascii="黑体" w:hAnsi="黑体" w:eastAsia="黑体" w:cs="黑体"/>
          <w:color w:val="auto"/>
          <w:sz w:val="24"/>
          <w:szCs w:val="24"/>
        </w:rPr>
      </w:pPr>
      <w:r>
        <w:rPr>
          <w:rFonts w:hint="eastAsia" w:ascii="黑体" w:hAnsi="黑体" w:eastAsia="黑体" w:cs="黑体"/>
          <w:b/>
          <w:bCs/>
          <w:color w:val="auto"/>
          <w:spacing w:val="4"/>
          <w:sz w:val="24"/>
          <w:szCs w:val="24"/>
        </w:rPr>
        <w:t>4.供应商</w:t>
      </w:r>
      <w:r>
        <w:rPr>
          <w:rFonts w:hint="eastAsia" w:ascii="黑体" w:hAnsi="黑体" w:eastAsia="黑体" w:cs="黑体"/>
          <w:color w:val="auto"/>
          <w:spacing w:val="4"/>
          <w:sz w:val="24"/>
          <w:szCs w:val="24"/>
        </w:rPr>
        <w:t>为提供服务需求在投标中伴随投标的产品如被列入财政部与</w:t>
      </w:r>
      <w:r>
        <w:rPr>
          <w:rFonts w:hint="eastAsia" w:ascii="黑体" w:hAnsi="黑体" w:eastAsia="黑体" w:cs="黑体"/>
          <w:color w:val="auto"/>
          <w:spacing w:val="3"/>
          <w:sz w:val="24"/>
          <w:szCs w:val="24"/>
        </w:rPr>
        <w:t>国家主管</w:t>
      </w:r>
      <w:r>
        <w:rPr>
          <w:rFonts w:hint="eastAsia" w:ascii="黑体" w:hAnsi="黑体" w:eastAsia="黑体" w:cs="黑体"/>
          <w:color w:val="auto"/>
          <w:spacing w:val="2"/>
          <w:sz w:val="24"/>
          <w:szCs w:val="24"/>
        </w:rPr>
        <w:t>部门颁发的节能产品目录或环境标志产品目录或无线局域网产品目录，应提供</w:t>
      </w:r>
      <w:r>
        <w:rPr>
          <w:rFonts w:hint="eastAsia" w:ascii="黑体" w:hAnsi="黑体" w:eastAsia="黑体" w:cs="黑体"/>
          <w:color w:val="auto"/>
          <w:spacing w:val="1"/>
          <w:sz w:val="24"/>
          <w:szCs w:val="24"/>
        </w:rPr>
        <w:t>相关证明，在评标时予以优先采购，具体优惠措施为：</w:t>
      </w:r>
      <w:r>
        <w:rPr>
          <w:rFonts w:hint="eastAsia" w:ascii="黑体" w:hAnsi="黑体" w:eastAsia="黑体" w:cs="黑体"/>
          <w:color w:val="auto"/>
          <w:spacing w:val="1"/>
          <w:sz w:val="24"/>
          <w:szCs w:val="24"/>
          <w:u w:val="single" w:color="auto"/>
        </w:rPr>
        <w:t>投标商所投产品应优先</w:t>
      </w:r>
      <w:r>
        <w:rPr>
          <w:rFonts w:hint="eastAsia" w:ascii="黑体" w:hAnsi="黑体" w:eastAsia="黑体" w:cs="黑体"/>
          <w:color w:val="auto"/>
          <w:spacing w:val="-1"/>
          <w:sz w:val="24"/>
          <w:szCs w:val="24"/>
          <w:u w:val="single" w:color="auto"/>
        </w:rPr>
        <w:t>选择《财政部国家发展改革委关于调整公布第二十四期节能产品政府采购清单</w:t>
      </w:r>
      <w:r>
        <w:rPr>
          <w:rFonts w:hint="eastAsia" w:ascii="黑体" w:hAnsi="黑体" w:eastAsia="黑体" w:cs="黑体"/>
          <w:color w:val="auto"/>
          <w:spacing w:val="1"/>
          <w:sz w:val="24"/>
          <w:szCs w:val="24"/>
          <w:u w:val="single" w:color="auto"/>
        </w:rPr>
        <w:t>的通知》（财库〔2018〕73号）、《财政部环境保护部关于调整公</w:t>
      </w:r>
      <w:r>
        <w:rPr>
          <w:rFonts w:hint="eastAsia" w:ascii="黑体" w:hAnsi="黑体" w:eastAsia="黑体" w:cs="黑体"/>
          <w:color w:val="auto"/>
          <w:sz w:val="24"/>
          <w:szCs w:val="24"/>
          <w:u w:val="single" w:color="auto"/>
        </w:rPr>
        <w:t>布第二十</w:t>
      </w:r>
      <w:r>
        <w:rPr>
          <w:rFonts w:hint="eastAsia" w:ascii="黑体" w:hAnsi="黑体" w:eastAsia="黑体" w:cs="黑体"/>
          <w:color w:val="auto"/>
          <w:spacing w:val="-3"/>
          <w:sz w:val="24"/>
          <w:szCs w:val="24"/>
          <w:u w:val="single" w:color="auto"/>
        </w:rPr>
        <w:t>二期环境标志产品政府采购清单的通知》（财库〔2018〕70号）目录内的产品</w:t>
      </w:r>
      <w:r>
        <w:rPr>
          <w:rFonts w:hint="eastAsia" w:ascii="黑体" w:hAnsi="黑体" w:eastAsia="黑体" w:cs="黑体"/>
          <w:color w:val="auto"/>
          <w:sz w:val="24"/>
          <w:szCs w:val="24"/>
          <w:u w:val="single" w:color="auto"/>
        </w:rPr>
        <w:tab/>
      </w:r>
      <w:r>
        <w:rPr>
          <w:rFonts w:hint="eastAsia" w:ascii="黑体" w:hAnsi="黑体" w:eastAsia="黑体" w:cs="黑体"/>
          <w:color w:val="auto"/>
          <w:spacing w:val="-7"/>
          <w:sz w:val="24"/>
          <w:szCs w:val="24"/>
          <w:u w:val="single" w:color="auto"/>
        </w:rPr>
        <w:t>（须提供节能、环保认证证书复印件加盖公章）</w:t>
      </w:r>
      <w:r>
        <w:rPr>
          <w:rFonts w:hint="eastAsia" w:ascii="黑体" w:hAnsi="黑体" w:eastAsia="黑体" w:cs="黑体"/>
          <w:color w:val="auto"/>
          <w:spacing w:val="-7"/>
          <w:sz w:val="24"/>
          <w:szCs w:val="24"/>
        </w:rPr>
        <w:t>。</w:t>
      </w:r>
    </w:p>
    <w:p w14:paraId="6105185D">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5.对创新产</w:t>
      </w:r>
      <w:r>
        <w:rPr>
          <w:rFonts w:hint="eastAsia" w:ascii="黑体" w:hAnsi="黑体" w:eastAsia="黑体" w:cs="黑体"/>
          <w:color w:val="auto"/>
          <w:spacing w:val="-1"/>
          <w:sz w:val="24"/>
          <w:szCs w:val="24"/>
        </w:rPr>
        <w:t>品或创新性企业的优惠措施为：</w:t>
      </w:r>
      <w:r>
        <w:rPr>
          <w:rFonts w:hint="eastAsia" w:ascii="黑体" w:hAnsi="黑体" w:eastAsia="黑体" w:cs="黑体"/>
          <w:color w:val="auto"/>
          <w:spacing w:val="-1"/>
          <w:sz w:val="24"/>
          <w:szCs w:val="24"/>
          <w:u w:val="single" w:color="auto"/>
        </w:rPr>
        <w:t>/</w:t>
      </w:r>
    </w:p>
    <w:p w14:paraId="5F8D404D">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6.开标：</w:t>
      </w:r>
    </w:p>
    <w:p w14:paraId="3E2026D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0" w:firstLineChars="0"/>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（1）供应商按照须知资料表中规定的开标时间和地点，在规定时间内上传投标文件。</w:t>
      </w:r>
    </w:p>
    <w:p w14:paraId="3FBE3598">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0" w:firstLineChars="0"/>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（2）在开标前，工作人员收取所有参会人员的手机，主持人宣读开标纪律。</w:t>
      </w:r>
    </w:p>
    <w:p w14:paraId="2EE54E26">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0" w:firstLineChars="0"/>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（3）开标时，由代理机构对供应商的投标文件进行解密，解密时间为30分钟。</w:t>
      </w:r>
    </w:p>
    <w:p w14:paraId="1E37C72B">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0" w:firstLineChars="0"/>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（4）由代理机构开启报价，所有投标供应商签字确认。</w:t>
      </w:r>
    </w:p>
    <w:p w14:paraId="5E38FFB4">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0" w:firstLineChars="0"/>
        <w:textAlignment w:val="baseline"/>
        <w:rPr>
          <w:rFonts w:hint="eastAsia" w:ascii="黑体" w:hAnsi="黑体" w:eastAsia="黑体" w:cs="黑体"/>
          <w:b/>
          <w:bCs/>
          <w:color w:val="auto"/>
          <w:spacing w:val="-3"/>
          <w:sz w:val="24"/>
          <w:szCs w:val="24"/>
        </w:rPr>
      </w:pPr>
      <w:r>
        <w:rPr>
          <w:rFonts w:hint="eastAsia" w:ascii="黑体" w:hAnsi="黑体" w:eastAsia="黑体" w:cs="黑体"/>
          <w:b w:val="0"/>
          <w:bCs w:val="0"/>
          <w:color w:val="auto"/>
          <w:spacing w:val="-3"/>
          <w:sz w:val="24"/>
          <w:szCs w:val="24"/>
        </w:rPr>
        <w:t>（5）采购人或采购代理机构登录政采云平台对投标供应商的资格证明材料进行审查。</w:t>
      </w:r>
    </w:p>
    <w:p w14:paraId="44BE31FB">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jc w:val="both"/>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7.评标：</w:t>
      </w:r>
    </w:p>
    <w:p w14:paraId="2BC9E8A0">
      <w:pPr>
        <w:pStyle w:val="6"/>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414" w:firstLineChars="177"/>
        <w:textAlignment w:val="baseline"/>
        <w:rPr>
          <w:rFonts w:hint="eastAsia" w:ascii="黑体" w:hAnsi="黑体" w:eastAsia="黑体" w:cs="黑体"/>
          <w:b/>
          <w:bCs/>
          <w:color w:val="auto"/>
          <w:spacing w:val="-1"/>
          <w:sz w:val="24"/>
          <w:szCs w:val="24"/>
        </w:rPr>
      </w:pPr>
      <w:r>
        <w:rPr>
          <w:rFonts w:hint="eastAsia" w:ascii="黑体" w:hAnsi="黑体" w:eastAsia="黑体" w:cs="黑体"/>
          <w:b w:val="0"/>
          <w:bCs w:val="0"/>
          <w:color w:val="auto"/>
          <w:spacing w:val="-3"/>
          <w:sz w:val="24"/>
          <w:szCs w:val="24"/>
        </w:rPr>
        <w:t>（1）按照《中华人民共和国政府采购法》、《中华人民共和国政府采购法实施条例》、《政府采购货物和服务招标投标管理办法》</w:t>
      </w:r>
      <w:r>
        <w:rPr>
          <w:rFonts w:hint="eastAsia" w:ascii="黑体" w:hAnsi="黑体" w:eastAsia="黑体" w:cs="黑体"/>
          <w:b/>
          <w:bCs/>
          <w:color w:val="auto"/>
          <w:spacing w:val="-3"/>
          <w:sz w:val="24"/>
          <w:szCs w:val="24"/>
        </w:rPr>
        <w:t>财政部令第87号及本项目本级和上级财政部门的有关规定依法组建</w:t>
      </w:r>
      <w:r>
        <w:rPr>
          <w:rFonts w:hint="eastAsia" w:ascii="黑体" w:hAnsi="黑体" w:eastAsia="黑体" w:cs="黑体"/>
          <w:b/>
          <w:bCs/>
          <w:color w:val="auto"/>
          <w:spacing w:val="-2"/>
          <w:sz w:val="24"/>
          <w:szCs w:val="24"/>
          <w:lang w:val="en-US" w:eastAsia="zh-CN"/>
        </w:rPr>
        <w:t>本次项目评标专家共5名，其中采购人代表1名，</w:t>
      </w:r>
      <w:r>
        <w:rPr>
          <w:rFonts w:hint="eastAsia" w:ascii="黑体" w:hAnsi="黑体" w:eastAsia="黑体" w:cs="黑体"/>
          <w:b/>
          <w:bCs/>
          <w:color w:val="auto"/>
          <w:spacing w:val="-2"/>
          <w:sz w:val="24"/>
          <w:szCs w:val="24"/>
        </w:rPr>
        <w:t>依法</w:t>
      </w:r>
      <w:r>
        <w:rPr>
          <w:rFonts w:hint="eastAsia" w:ascii="黑体" w:hAnsi="黑体" w:eastAsia="黑体" w:cs="黑体"/>
          <w:b/>
          <w:bCs/>
          <w:color w:val="auto"/>
          <w:spacing w:val="-2"/>
          <w:sz w:val="24"/>
          <w:szCs w:val="24"/>
          <w:lang w:val="en-US" w:eastAsia="zh-CN"/>
        </w:rPr>
        <w:t>从政采云平台专家库中，采用随机抽取的方式，抽取4</w:t>
      </w:r>
      <w:r>
        <w:rPr>
          <w:rFonts w:hint="eastAsia" w:ascii="黑体" w:hAnsi="黑体" w:eastAsia="黑体" w:cs="黑体"/>
          <w:b/>
          <w:bCs/>
          <w:color w:val="auto"/>
          <w:spacing w:val="-2"/>
          <w:sz w:val="24"/>
          <w:szCs w:val="24"/>
        </w:rPr>
        <w:t>名评标委员，负</w:t>
      </w:r>
      <w:r>
        <w:rPr>
          <w:rFonts w:hint="eastAsia" w:ascii="黑体" w:hAnsi="黑体" w:eastAsia="黑体" w:cs="黑体"/>
          <w:b/>
          <w:bCs/>
          <w:color w:val="auto"/>
          <w:spacing w:val="-1"/>
          <w:sz w:val="24"/>
          <w:szCs w:val="24"/>
        </w:rPr>
        <w:t>责评标工作。</w:t>
      </w:r>
    </w:p>
    <w:p w14:paraId="3B3EBB05">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2）评标前，工作人员收取所有参会人员的手机，主持人宣读评标纪律。对采购单位的纪律要求：采购单位不得泄露招投标活动中应当保密的情况和资料，不得与供应商串通损害国家利益、社会公共利益或者他人合法权益对与开标大会活动有关的工作人员的纪律要求：与开标大会活动有关的工作人员不得收受他人的财物或者其他好处，不得向他人透露对中标候选人的推荐情况以及评标有关的其他情况。</w:t>
      </w:r>
    </w:p>
    <w:p w14:paraId="6DEA8ECD">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对评标专家的评标纪律及注意事项：</w:t>
      </w:r>
    </w:p>
    <w:p w14:paraId="0F1DBD34">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①与本次评标工作无关的人员不得进入评标现场；</w:t>
      </w:r>
    </w:p>
    <w:p w14:paraId="4FE62D4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②在评标过程中评标委员会以外人员不得干预或影响正常评标工作，不得明示或暗示其倾向性、引导性言论；</w:t>
      </w:r>
    </w:p>
    <w:p w14:paraId="6189A277">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③评标委员会成员要严格遵守政府采购法、政府采购法实施条例、政府采购货物和服务招标投标管理办法及评标专家管理办法，要求公正、公平的参与评标工作；</w:t>
      </w:r>
    </w:p>
    <w:p w14:paraId="2C7965C2">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4EE2628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7323E52F">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26D142E1">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⑦评标专家与供应商有下列利害关系之一的人员，应当回避：参加采购活动前3年内与供应商存在劳动关系；参加采购活动前3年内担任供应商的董事、监事；参加采购活动前3年内是供应商的控股股东或者实际控制人；与供应商的法定代表人或者负责人有夫妻、直系血亲、三代以内旁系血亲或者近姻亲关系。</w:t>
      </w:r>
    </w:p>
    <w:p w14:paraId="367360AE">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（3）评标委员会应当按照招标文件中规定的评标方法和标准，对所有通过资格审查要求的投标供应商的投标文件，进行符合性审查，以确定是否满足招标文件的实质性要求。</w:t>
      </w:r>
    </w:p>
    <w:p w14:paraId="26F066A5">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21B0F0DB">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0C82F61D">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（6）评标委员会成员对需要共同认定的事项存在争议的，应当按照少数服从多数的原则作出结论。持不同意见的评标委员会成员应当在评标报告上签署不同意见及理由，否则视为同意评标报告。</w:t>
      </w:r>
    </w:p>
    <w:p w14:paraId="520C8B74">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1" w:firstLineChars="94"/>
        <w:jc w:val="both"/>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注：现场所有参会人员均要对开标内容进行保密。</w:t>
      </w:r>
    </w:p>
    <w:p w14:paraId="43E61E68">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jc w:val="both"/>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8.答疑澄清：</w:t>
      </w:r>
    </w:p>
    <w:p w14:paraId="5CB0244F">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（1）评标委员会对于投标文件中含义不明确、同类问题表述不一致或者有明显文字和计算错误的内容，要求投标人以书面形式现场作出必要的澄清、说明或者补正。</w:t>
      </w:r>
    </w:p>
    <w:p w14:paraId="36CEA19A">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19" w:firstLineChars="94"/>
        <w:jc w:val="both"/>
        <w:textAlignment w:val="baseline"/>
        <w:rPr>
          <w:rFonts w:hint="eastAsia" w:ascii="黑体" w:hAnsi="黑体" w:eastAsia="黑体" w:cs="黑体"/>
          <w:b w:val="0"/>
          <w:bCs w:val="0"/>
          <w:color w:val="auto"/>
          <w:spacing w:val="-3"/>
          <w:sz w:val="24"/>
          <w:szCs w:val="24"/>
        </w:rPr>
      </w:pPr>
      <w:r>
        <w:rPr>
          <w:rFonts w:hint="eastAsia" w:ascii="黑体" w:hAnsi="黑体" w:eastAsia="黑体" w:cs="黑体"/>
          <w:b w:val="0"/>
          <w:bCs w:val="0"/>
          <w:color w:val="auto"/>
          <w:spacing w:val="-3"/>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14:paraId="23DDBB00">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b/>
          <w:bCs/>
          <w:color w:val="auto"/>
          <w:spacing w:val="-3"/>
          <w:sz w:val="24"/>
          <w:szCs w:val="24"/>
        </w:rPr>
      </w:pPr>
      <w:r>
        <w:rPr>
          <w:rFonts w:hint="eastAsia" w:ascii="黑体" w:hAnsi="黑体" w:eastAsia="黑体" w:cs="黑体"/>
          <w:b/>
          <w:bCs/>
          <w:color w:val="auto"/>
          <w:spacing w:val="-3"/>
          <w:sz w:val="24"/>
          <w:szCs w:val="24"/>
        </w:rPr>
        <w:t>9.定标：</w:t>
      </w:r>
    </w:p>
    <w:p w14:paraId="3DBA7A86">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（1）采购代理机构应当在评标结束后2个工作日内将评标报告送采购人。</w:t>
      </w:r>
    </w:p>
    <w:p w14:paraId="6B8C6CFD">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（2）采购人应当自收到评标报告之日起5个工作日内，在评标报告确定的中标候选人名单中按顺序确定中标人。中标候选人并列的，由采购人按照招标文件规定的方式确定中标人。</w:t>
      </w:r>
    </w:p>
    <w:p w14:paraId="2C8F4E59">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（3）采购人在收到评标报告5个工作日内未按评标报告推荐的中标候选人顺序确定中标人，又不能说明合法理由的，视同按评标报告推荐的顺序确定排名第一的中标候选人为中标人。</w:t>
      </w:r>
    </w:p>
    <w:p w14:paraId="7CCBA895">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62BFADE">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220" w:firstLineChars="0"/>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612F7B78">
      <w:pPr>
        <w:pStyle w:val="6"/>
        <w:keepNext w:val="0"/>
        <w:keepLines w:val="0"/>
        <w:pageBreakBefore w:val="0"/>
        <w:widowControl/>
        <w:kinsoku/>
        <w:wordWrap w:val="0"/>
        <w:overflowPunct/>
        <w:topLinePunct w:val="0"/>
        <w:autoSpaceDE w:val="0"/>
        <w:autoSpaceDN w:val="0"/>
        <w:bidi w:val="0"/>
        <w:adjustRightInd w:val="0"/>
        <w:snapToGrid w:val="0"/>
        <w:spacing w:line="480" w:lineRule="exact"/>
        <w:ind w:right="0"/>
        <w:textAlignment w:val="baseline"/>
        <w:rPr>
          <w:rFonts w:hint="eastAsia" w:ascii="黑体" w:hAnsi="黑体" w:eastAsia="黑体" w:cs="黑体"/>
          <w:b/>
          <w:bCs/>
          <w:color w:val="auto"/>
          <w:spacing w:val="2"/>
          <w:sz w:val="24"/>
          <w:szCs w:val="24"/>
        </w:rPr>
      </w:pPr>
      <w:r>
        <w:rPr>
          <w:rFonts w:hint="eastAsia" w:ascii="黑体" w:hAnsi="黑体" w:eastAsia="黑体" w:cs="黑体"/>
          <w:b/>
          <w:bCs/>
          <w:color w:val="auto"/>
          <w:spacing w:val="-3"/>
          <w:sz w:val="24"/>
          <w:szCs w:val="24"/>
        </w:rPr>
        <w:t>10.评标标准</w:t>
      </w:r>
      <w:r>
        <w:rPr>
          <w:rFonts w:hint="eastAsia" w:ascii="黑体" w:hAnsi="黑体" w:eastAsia="黑体" w:cs="黑体"/>
          <w:b/>
          <w:bCs/>
          <w:color w:val="auto"/>
          <w:spacing w:val="2"/>
          <w:sz w:val="24"/>
          <w:szCs w:val="24"/>
        </w:rPr>
        <w:t>：</w:t>
      </w:r>
    </w:p>
    <w:p w14:paraId="7DF26767">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19" w:firstLineChars="172"/>
        <w:textAlignment w:val="baseline"/>
        <w:rPr>
          <w:rFonts w:hint="eastAsia" w:ascii="黑体" w:hAnsi="黑体" w:eastAsia="黑体" w:cs="黑体"/>
          <w:b w:val="0"/>
          <w:bCs w:val="0"/>
          <w:color w:val="auto"/>
          <w:spacing w:val="2"/>
          <w:sz w:val="24"/>
          <w:szCs w:val="24"/>
        </w:rPr>
      </w:pPr>
      <w:r>
        <w:rPr>
          <w:rFonts w:hint="eastAsia" w:ascii="黑体" w:hAnsi="黑体" w:eastAsia="黑体" w:cs="黑体"/>
          <w:b w:val="0"/>
          <w:bCs w:val="0"/>
          <w:color w:val="auto"/>
          <w:spacing w:val="2"/>
          <w:sz w:val="24"/>
          <w:szCs w:val="24"/>
        </w:rPr>
        <w:t>（1）价格评分占30%，完全满足招标文件参数的投标报价中的最低价为评标基准价，按照下列公式计算每个供应商的投标价格得分。投标报价得分＝（基准价/投标报价）×价格权重×100。</w:t>
      </w:r>
    </w:p>
    <w:p w14:paraId="25E35993">
      <w:pPr>
        <w:pStyle w:val="6"/>
        <w:keepNext w:val="0"/>
        <w:keepLines w:val="0"/>
        <w:pageBreakBefore w:val="0"/>
        <w:widowControl/>
        <w:kinsoku/>
        <w:wordWrap w:val="0"/>
        <w:overflowPunct/>
        <w:topLinePunct w:val="0"/>
        <w:autoSpaceDE w:val="0"/>
        <w:autoSpaceDN w:val="0"/>
        <w:bidi w:val="0"/>
        <w:adjustRightInd w:val="0"/>
        <w:snapToGrid w:val="0"/>
        <w:spacing w:line="480" w:lineRule="exact"/>
        <w:ind w:left="0" w:leftChars="0" w:right="0" w:firstLine="419" w:firstLineChars="172"/>
        <w:textAlignment w:val="baseline"/>
        <w:rPr>
          <w:rFonts w:hint="eastAsia" w:ascii="黑体" w:hAnsi="黑体" w:eastAsia="黑体" w:cs="黑体"/>
          <w:b w:val="0"/>
          <w:bCs w:val="0"/>
          <w:color w:val="auto"/>
          <w:spacing w:val="2"/>
          <w:sz w:val="24"/>
          <w:szCs w:val="24"/>
        </w:rPr>
      </w:pPr>
      <w:r>
        <w:rPr>
          <w:rFonts w:hint="eastAsia" w:ascii="黑体" w:hAnsi="黑体" w:eastAsia="黑体" w:cs="黑体"/>
          <w:b w:val="0"/>
          <w:bCs w:val="0"/>
          <w:color w:val="auto"/>
          <w:spacing w:val="2"/>
          <w:sz w:val="24"/>
          <w:szCs w:val="24"/>
        </w:rPr>
        <w:t>（2）商务评分占</w:t>
      </w:r>
      <w:r>
        <w:rPr>
          <w:rFonts w:hint="eastAsia" w:ascii="黑体" w:hAnsi="黑体" w:eastAsia="黑体" w:cs="黑体"/>
          <w:b w:val="0"/>
          <w:bCs w:val="0"/>
          <w:color w:val="auto"/>
          <w:spacing w:val="2"/>
          <w:sz w:val="24"/>
          <w:szCs w:val="24"/>
          <w:lang w:val="en-US" w:eastAsia="zh-CN"/>
        </w:rPr>
        <w:t>5</w:t>
      </w:r>
      <w:r>
        <w:rPr>
          <w:rFonts w:hint="eastAsia" w:ascii="黑体" w:hAnsi="黑体" w:eastAsia="黑体" w:cs="黑体"/>
          <w:b w:val="0"/>
          <w:bCs w:val="0"/>
          <w:color w:val="auto"/>
          <w:spacing w:val="2"/>
          <w:sz w:val="24"/>
          <w:szCs w:val="24"/>
        </w:rPr>
        <w:t>%，包含业绩。</w:t>
      </w:r>
    </w:p>
    <w:p w14:paraId="70FA5975">
      <w:pPr>
        <w:pStyle w:val="6"/>
        <w:keepNext w:val="0"/>
        <w:keepLines w:val="0"/>
        <w:pageBreakBefore w:val="0"/>
        <w:widowControl/>
        <w:kinsoku w:val="0"/>
        <w:wordWrap w:val="0"/>
        <w:overflowPunct/>
        <w:topLinePunct w:val="0"/>
        <w:autoSpaceDE w:val="0"/>
        <w:autoSpaceDN w:val="0"/>
        <w:bidi w:val="0"/>
        <w:adjustRightInd w:val="0"/>
        <w:snapToGrid w:val="0"/>
        <w:spacing w:line="480" w:lineRule="exact"/>
        <w:ind w:left="0" w:leftChars="0" w:right="0" w:firstLine="419" w:firstLineChars="172"/>
        <w:textAlignment w:val="baseline"/>
        <w:rPr>
          <w:rFonts w:hint="eastAsia" w:ascii="黑体" w:hAnsi="黑体" w:eastAsia="黑体" w:cs="黑体"/>
          <w:b w:val="0"/>
          <w:bCs w:val="0"/>
          <w:color w:val="auto"/>
          <w:spacing w:val="2"/>
          <w:sz w:val="24"/>
          <w:szCs w:val="24"/>
        </w:rPr>
      </w:pPr>
      <w:r>
        <w:rPr>
          <w:rFonts w:hint="eastAsia" w:ascii="黑体" w:hAnsi="黑体" w:eastAsia="黑体" w:cs="黑体"/>
          <w:b w:val="0"/>
          <w:bCs w:val="0"/>
          <w:color w:val="auto"/>
          <w:spacing w:val="2"/>
          <w:sz w:val="24"/>
          <w:szCs w:val="24"/>
        </w:rPr>
        <w:t>（3）技术评分占6</w:t>
      </w:r>
      <w:r>
        <w:rPr>
          <w:rFonts w:hint="eastAsia" w:ascii="黑体" w:hAnsi="黑体" w:eastAsia="黑体" w:cs="黑体"/>
          <w:b w:val="0"/>
          <w:bCs w:val="0"/>
          <w:color w:val="auto"/>
          <w:spacing w:val="2"/>
          <w:sz w:val="24"/>
          <w:szCs w:val="24"/>
          <w:lang w:val="en-US" w:eastAsia="zh-CN"/>
        </w:rPr>
        <w:t>5</w:t>
      </w:r>
      <w:r>
        <w:rPr>
          <w:rFonts w:hint="eastAsia" w:ascii="黑体" w:hAnsi="黑体" w:eastAsia="黑体" w:cs="黑体"/>
          <w:b w:val="0"/>
          <w:bCs w:val="0"/>
          <w:color w:val="auto"/>
          <w:spacing w:val="2"/>
          <w:sz w:val="24"/>
          <w:szCs w:val="24"/>
        </w:rPr>
        <w:t>%，包含技术参数、检测报告、实施方案、培训方案、售后服务。</w:t>
      </w:r>
    </w:p>
    <w:p w14:paraId="28211467">
      <w:pPr>
        <w:rPr>
          <w:rFonts w:hint="eastAsia" w:ascii="黑体" w:hAnsi="黑体" w:eastAsia="黑体" w:cs="黑体"/>
          <w:b w:val="0"/>
          <w:bCs w:val="0"/>
          <w:color w:val="auto"/>
          <w:spacing w:val="2"/>
          <w:sz w:val="24"/>
          <w:szCs w:val="24"/>
          <w:lang w:val="en-US" w:eastAsia="zh-CN"/>
        </w:rPr>
      </w:pPr>
      <w:r>
        <w:rPr>
          <w:rFonts w:hint="eastAsia" w:ascii="黑体" w:hAnsi="黑体" w:eastAsia="黑体" w:cs="黑体"/>
          <w:b w:val="0"/>
          <w:bCs w:val="0"/>
          <w:color w:val="auto"/>
          <w:spacing w:val="2"/>
          <w:sz w:val="24"/>
          <w:szCs w:val="24"/>
        </w:rPr>
        <w:br w:type="page"/>
      </w:r>
    </w:p>
    <w:p w14:paraId="6C22D3CB">
      <w:pPr>
        <w:pStyle w:val="6"/>
        <w:keepNext w:val="0"/>
        <w:keepLines w:val="0"/>
        <w:pageBreakBefore w:val="0"/>
        <w:widowControl/>
        <w:kinsoku/>
        <w:wordWrap w:val="0"/>
        <w:overflowPunct/>
        <w:topLinePunct w:val="0"/>
        <w:bidi w:val="0"/>
        <w:spacing w:before="122" w:line="460" w:lineRule="exact"/>
        <w:jc w:val="center"/>
        <w:outlineLvl w:val="1"/>
        <w:rPr>
          <w:rFonts w:hint="eastAsia" w:ascii="黑体" w:hAnsi="黑体" w:eastAsia="黑体" w:cs="黑体"/>
          <w:color w:val="auto"/>
          <w:sz w:val="30"/>
          <w:szCs w:val="30"/>
        </w:rPr>
      </w:pPr>
      <w:r>
        <w:rPr>
          <w:rFonts w:hint="eastAsia" w:ascii="黑体" w:hAnsi="黑体" w:eastAsia="黑体" w:cs="黑体"/>
          <w:b/>
          <w:bCs/>
          <w:color w:val="auto"/>
          <w:spacing w:val="-1"/>
          <w:sz w:val="30"/>
          <w:szCs w:val="30"/>
        </w:rPr>
        <w:t>初步评审—资格性审查表</w:t>
      </w:r>
    </w:p>
    <w:tbl>
      <w:tblPr>
        <w:tblStyle w:val="16"/>
        <w:tblW w:w="8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6132"/>
        <w:gridCol w:w="715"/>
        <w:gridCol w:w="612"/>
        <w:gridCol w:w="656"/>
      </w:tblGrid>
      <w:tr w14:paraId="27D8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83" w:type="dxa"/>
            <w:vMerge w:val="restart"/>
            <w:tcBorders>
              <w:bottom w:val="nil"/>
            </w:tcBorders>
            <w:vAlign w:val="top"/>
          </w:tcPr>
          <w:p w14:paraId="7C446661">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p w14:paraId="3741BEBA">
            <w:pPr>
              <w:keepNext w:val="0"/>
              <w:keepLines w:val="0"/>
              <w:pageBreakBefore w:val="0"/>
              <w:widowControl/>
              <w:kinsoku/>
              <w:wordWrap w:val="0"/>
              <w:overflowPunct/>
              <w:topLinePunct w:val="0"/>
              <w:autoSpaceDE w:val="0"/>
              <w:autoSpaceDN w:val="0"/>
              <w:bidi w:val="0"/>
              <w:adjustRightInd w:val="0"/>
              <w:snapToGrid w:val="0"/>
              <w:spacing w:before="94" w:line="340" w:lineRule="exact"/>
              <w:ind w:left="165"/>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序号</w:t>
            </w:r>
          </w:p>
        </w:tc>
        <w:tc>
          <w:tcPr>
            <w:tcW w:w="6132" w:type="dxa"/>
            <w:vMerge w:val="restart"/>
            <w:tcBorders>
              <w:bottom w:val="nil"/>
            </w:tcBorders>
            <w:vAlign w:val="top"/>
          </w:tcPr>
          <w:p w14:paraId="1C0696A3">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p w14:paraId="40DB52DA">
            <w:pPr>
              <w:keepNext w:val="0"/>
              <w:keepLines w:val="0"/>
              <w:pageBreakBefore w:val="0"/>
              <w:widowControl/>
              <w:kinsoku/>
              <w:wordWrap w:val="0"/>
              <w:overflowPunct/>
              <w:topLinePunct w:val="0"/>
              <w:autoSpaceDE w:val="0"/>
              <w:autoSpaceDN w:val="0"/>
              <w:bidi w:val="0"/>
              <w:adjustRightInd w:val="0"/>
              <w:snapToGrid w:val="0"/>
              <w:spacing w:before="94" w:line="340" w:lineRule="exact"/>
              <w:ind w:left="3302"/>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评审内容</w:t>
            </w:r>
          </w:p>
        </w:tc>
        <w:tc>
          <w:tcPr>
            <w:tcW w:w="1983" w:type="dxa"/>
            <w:gridSpan w:val="3"/>
            <w:vAlign w:val="top"/>
          </w:tcPr>
          <w:p w14:paraId="754C8D40">
            <w:pPr>
              <w:keepNext w:val="0"/>
              <w:keepLines w:val="0"/>
              <w:pageBreakBefore w:val="0"/>
              <w:widowControl/>
              <w:kinsoku/>
              <w:wordWrap w:val="0"/>
              <w:overflowPunct/>
              <w:topLinePunct w:val="0"/>
              <w:autoSpaceDE w:val="0"/>
              <w:autoSpaceDN w:val="0"/>
              <w:bidi w:val="0"/>
              <w:adjustRightInd w:val="0"/>
              <w:snapToGrid w:val="0"/>
              <w:spacing w:before="73" w:line="340" w:lineRule="exact"/>
              <w:ind w:left="812"/>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供应商</w:t>
            </w:r>
          </w:p>
        </w:tc>
      </w:tr>
      <w:tr w14:paraId="0E62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683" w:type="dxa"/>
            <w:vMerge w:val="continue"/>
            <w:tcBorders>
              <w:top w:val="nil"/>
            </w:tcBorders>
            <w:vAlign w:val="top"/>
          </w:tcPr>
          <w:p w14:paraId="7D2DEB9A">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32" w:type="dxa"/>
            <w:vMerge w:val="continue"/>
            <w:tcBorders>
              <w:top w:val="nil"/>
            </w:tcBorders>
            <w:vAlign w:val="top"/>
          </w:tcPr>
          <w:p w14:paraId="7F0F95A3">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715" w:type="dxa"/>
            <w:vAlign w:val="top"/>
          </w:tcPr>
          <w:p w14:paraId="621A09DC">
            <w:pPr>
              <w:keepNext w:val="0"/>
              <w:keepLines w:val="0"/>
              <w:pageBreakBefore w:val="0"/>
              <w:widowControl/>
              <w:kinsoku/>
              <w:wordWrap w:val="0"/>
              <w:overflowPunct/>
              <w:topLinePunct w:val="0"/>
              <w:autoSpaceDE w:val="0"/>
              <w:autoSpaceDN w:val="0"/>
              <w:bidi w:val="0"/>
              <w:adjustRightInd w:val="0"/>
              <w:snapToGrid w:val="0"/>
              <w:spacing w:before="75" w:line="340" w:lineRule="exact"/>
              <w:jc w:val="center"/>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是否</w:t>
            </w:r>
          </w:p>
          <w:p w14:paraId="260EB8DC">
            <w:pPr>
              <w:keepNext w:val="0"/>
              <w:keepLines w:val="0"/>
              <w:pageBreakBefore w:val="0"/>
              <w:widowControl/>
              <w:kinsoku/>
              <w:wordWrap w:val="0"/>
              <w:overflowPunct/>
              <w:topLinePunct w:val="0"/>
              <w:autoSpaceDE w:val="0"/>
              <w:autoSpaceDN w:val="0"/>
              <w:bidi w:val="0"/>
              <w:adjustRightInd w:val="0"/>
              <w:snapToGrid w:val="0"/>
              <w:spacing w:line="340" w:lineRule="exact"/>
              <w:jc w:val="center"/>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合格</w:t>
            </w:r>
          </w:p>
        </w:tc>
        <w:tc>
          <w:tcPr>
            <w:tcW w:w="612" w:type="dxa"/>
            <w:vAlign w:val="top"/>
          </w:tcPr>
          <w:p w14:paraId="21557932">
            <w:pPr>
              <w:keepNext w:val="0"/>
              <w:keepLines w:val="0"/>
              <w:pageBreakBefore w:val="0"/>
              <w:widowControl/>
              <w:kinsoku/>
              <w:wordWrap w:val="0"/>
              <w:overflowPunct/>
              <w:topLinePunct w:val="0"/>
              <w:autoSpaceDE w:val="0"/>
              <w:autoSpaceDN w:val="0"/>
              <w:bidi w:val="0"/>
              <w:adjustRightInd w:val="0"/>
              <w:snapToGrid w:val="0"/>
              <w:spacing w:before="74" w:line="340" w:lineRule="exact"/>
              <w:ind w:right="126"/>
              <w:jc w:val="center"/>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是否合格</w:t>
            </w:r>
          </w:p>
        </w:tc>
        <w:tc>
          <w:tcPr>
            <w:tcW w:w="656" w:type="dxa"/>
            <w:vAlign w:val="top"/>
          </w:tcPr>
          <w:p w14:paraId="2DBEE4C9">
            <w:pPr>
              <w:keepNext w:val="0"/>
              <w:keepLines w:val="0"/>
              <w:pageBreakBefore w:val="0"/>
              <w:widowControl/>
              <w:kinsoku/>
              <w:wordWrap w:val="0"/>
              <w:overflowPunct/>
              <w:topLinePunct w:val="0"/>
              <w:autoSpaceDE w:val="0"/>
              <w:autoSpaceDN w:val="0"/>
              <w:bidi w:val="0"/>
              <w:adjustRightInd w:val="0"/>
              <w:snapToGrid w:val="0"/>
              <w:spacing w:before="74" w:line="340" w:lineRule="exact"/>
              <w:ind w:right="139"/>
              <w:jc w:val="center"/>
              <w:textAlignment w:val="baseline"/>
              <w:rPr>
                <w:rFonts w:hint="eastAsia" w:ascii="黑体" w:hAnsi="黑体" w:eastAsia="黑体" w:cs="黑体"/>
                <w:color w:val="auto"/>
                <w:sz w:val="24"/>
                <w:szCs w:val="24"/>
              </w:rPr>
            </w:pPr>
            <w:r>
              <w:rPr>
                <w:rFonts w:hint="eastAsia" w:ascii="黑体" w:hAnsi="黑体" w:eastAsia="黑体" w:cs="黑体"/>
                <w:b/>
                <w:bCs/>
                <w:color w:val="auto"/>
                <w:spacing w:val="-1"/>
                <w:sz w:val="24"/>
                <w:szCs w:val="24"/>
              </w:rPr>
              <w:t>是否合格</w:t>
            </w:r>
          </w:p>
        </w:tc>
      </w:tr>
      <w:tr w14:paraId="28B9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683" w:type="dxa"/>
            <w:vAlign w:val="top"/>
          </w:tcPr>
          <w:p w14:paraId="3C321E8D">
            <w:pPr>
              <w:keepNext w:val="0"/>
              <w:keepLines w:val="0"/>
              <w:pageBreakBefore w:val="0"/>
              <w:widowControl/>
              <w:kinsoku/>
              <w:wordWrap w:val="0"/>
              <w:overflowPunct/>
              <w:topLinePunct w:val="0"/>
              <w:autoSpaceDE w:val="0"/>
              <w:autoSpaceDN w:val="0"/>
              <w:bidi w:val="0"/>
              <w:adjustRightInd w:val="0"/>
              <w:snapToGrid w:val="0"/>
              <w:spacing w:before="82" w:line="340" w:lineRule="exact"/>
              <w:ind w:left="343"/>
              <w:textAlignment w:val="baseline"/>
              <w:rPr>
                <w:rFonts w:hint="eastAsia" w:ascii="黑体" w:hAnsi="黑体" w:eastAsia="黑体" w:cs="黑体"/>
                <w:color w:val="auto"/>
                <w:sz w:val="24"/>
                <w:szCs w:val="24"/>
              </w:rPr>
            </w:pPr>
            <w:r>
              <w:rPr>
                <w:rFonts w:hint="eastAsia" w:ascii="黑体" w:hAnsi="黑体" w:eastAsia="黑体" w:cs="黑体"/>
                <w:color w:val="auto"/>
                <w:position w:val="-2"/>
                <w:sz w:val="24"/>
                <w:szCs w:val="24"/>
              </w:rPr>
              <w:t>1</w:t>
            </w:r>
          </w:p>
        </w:tc>
        <w:tc>
          <w:tcPr>
            <w:tcW w:w="6132" w:type="dxa"/>
            <w:vAlign w:val="top"/>
          </w:tcPr>
          <w:p w14:paraId="062CAAD6">
            <w:pPr>
              <w:keepNext w:val="0"/>
              <w:keepLines w:val="0"/>
              <w:pageBreakBefore w:val="0"/>
              <w:widowControl/>
              <w:kinsoku/>
              <w:wordWrap w:val="0"/>
              <w:overflowPunct/>
              <w:topLinePunct w:val="0"/>
              <w:autoSpaceDE w:val="0"/>
              <w:autoSpaceDN w:val="0"/>
              <w:bidi w:val="0"/>
              <w:adjustRightInd w:val="0"/>
              <w:snapToGrid w:val="0"/>
              <w:spacing w:before="68" w:line="340" w:lineRule="exact"/>
              <w:ind w:left="107"/>
              <w:jc w:val="left"/>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具有有效的营业执照；</w:t>
            </w:r>
          </w:p>
        </w:tc>
        <w:tc>
          <w:tcPr>
            <w:tcW w:w="715" w:type="dxa"/>
            <w:vAlign w:val="top"/>
          </w:tcPr>
          <w:p w14:paraId="2F6E9B19">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66453797">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2105A140">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37B7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683" w:type="dxa"/>
            <w:vAlign w:val="top"/>
          </w:tcPr>
          <w:p w14:paraId="599A56AD">
            <w:pPr>
              <w:keepNext w:val="0"/>
              <w:keepLines w:val="0"/>
              <w:pageBreakBefore w:val="0"/>
              <w:widowControl/>
              <w:kinsoku/>
              <w:wordWrap w:val="0"/>
              <w:overflowPunct/>
              <w:topLinePunct w:val="0"/>
              <w:autoSpaceDE w:val="0"/>
              <w:autoSpaceDN w:val="0"/>
              <w:bidi w:val="0"/>
              <w:adjustRightInd w:val="0"/>
              <w:snapToGrid w:val="0"/>
              <w:spacing w:before="123" w:line="340" w:lineRule="exact"/>
              <w:ind w:left="333"/>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w:t>
            </w:r>
          </w:p>
        </w:tc>
        <w:tc>
          <w:tcPr>
            <w:tcW w:w="6132" w:type="dxa"/>
            <w:vAlign w:val="top"/>
          </w:tcPr>
          <w:p w14:paraId="6F35B7DA">
            <w:pPr>
              <w:keepNext w:val="0"/>
              <w:keepLines w:val="0"/>
              <w:pageBreakBefore w:val="0"/>
              <w:widowControl/>
              <w:kinsoku/>
              <w:wordWrap w:val="0"/>
              <w:overflowPunct/>
              <w:topLinePunct w:val="0"/>
              <w:autoSpaceDE w:val="0"/>
              <w:autoSpaceDN w:val="0"/>
              <w:bidi w:val="0"/>
              <w:adjustRightInd w:val="0"/>
              <w:snapToGrid w:val="0"/>
              <w:spacing w:before="66" w:line="340" w:lineRule="exact"/>
              <w:ind w:left="107"/>
              <w:jc w:val="left"/>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4"/>
                <w:sz w:val="24"/>
                <w:szCs w:val="24"/>
                <w:lang w:eastAsia="zh-CN"/>
              </w:rPr>
              <w:t>法定代表人授权书及被委托人身份证（法定代表人投标提供法定代表人身份证明及身份证）；</w:t>
            </w:r>
          </w:p>
        </w:tc>
        <w:tc>
          <w:tcPr>
            <w:tcW w:w="715" w:type="dxa"/>
            <w:vAlign w:val="top"/>
          </w:tcPr>
          <w:p w14:paraId="547E5AEE">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5E3AB5FC">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1CB5EC7B">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6AE57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683" w:type="dxa"/>
            <w:vAlign w:val="top"/>
          </w:tcPr>
          <w:p w14:paraId="12A39515">
            <w:pPr>
              <w:keepNext w:val="0"/>
              <w:keepLines w:val="0"/>
              <w:pageBreakBefore w:val="0"/>
              <w:widowControl/>
              <w:kinsoku/>
              <w:wordWrap w:val="0"/>
              <w:overflowPunct/>
              <w:topLinePunct w:val="0"/>
              <w:autoSpaceDE w:val="0"/>
              <w:autoSpaceDN w:val="0"/>
              <w:bidi w:val="0"/>
              <w:adjustRightInd w:val="0"/>
              <w:snapToGrid w:val="0"/>
              <w:spacing w:before="244" w:line="340" w:lineRule="exact"/>
              <w:ind w:left="336"/>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w:t>
            </w:r>
          </w:p>
        </w:tc>
        <w:tc>
          <w:tcPr>
            <w:tcW w:w="6132" w:type="dxa"/>
            <w:vAlign w:val="top"/>
          </w:tcPr>
          <w:p w14:paraId="741E55B0">
            <w:pPr>
              <w:keepNext w:val="0"/>
              <w:keepLines w:val="0"/>
              <w:pageBreakBefore w:val="0"/>
              <w:widowControl/>
              <w:kinsoku/>
              <w:wordWrap w:val="0"/>
              <w:overflowPunct/>
              <w:topLinePunct w:val="0"/>
              <w:autoSpaceDE w:val="0"/>
              <w:autoSpaceDN w:val="0"/>
              <w:bidi w:val="0"/>
              <w:adjustRightInd w:val="0"/>
              <w:snapToGrid w:val="0"/>
              <w:spacing w:before="26" w:line="340" w:lineRule="exact"/>
              <w:ind w:left="102" w:right="103" w:firstLine="3"/>
              <w:jc w:val="left"/>
              <w:textAlignment w:val="baseline"/>
              <w:rPr>
                <w:rFonts w:hint="eastAsia" w:ascii="黑体" w:hAnsi="黑体" w:eastAsia="黑体" w:cs="黑体"/>
                <w:color w:val="auto"/>
                <w:sz w:val="24"/>
                <w:szCs w:val="24"/>
                <w:lang w:eastAsia="zh-CN"/>
              </w:rPr>
            </w:pPr>
            <w:r>
              <w:rPr>
                <w:rFonts w:hint="eastAsia" w:ascii="黑体" w:hAnsi="黑体" w:eastAsia="黑体" w:cs="黑体"/>
                <w:b w:val="0"/>
                <w:bCs w:val="0"/>
                <w:color w:val="auto"/>
                <w:sz w:val="24"/>
                <w:szCs w:val="24"/>
                <w:lang w:eastAsia="zh-CN"/>
              </w:rPr>
              <w:t>供应商须提供有效的《医疗器械生产许可证》或《医疗器械经营许可证》及《中华人民共和国医疗器械注册证》；投标产品为进口产品的应提供授权证明、进口医疗器械产品注册证(含注册登记表)；</w:t>
            </w:r>
          </w:p>
        </w:tc>
        <w:tc>
          <w:tcPr>
            <w:tcW w:w="715" w:type="dxa"/>
            <w:vAlign w:val="top"/>
          </w:tcPr>
          <w:p w14:paraId="2930C6A3">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01F59593">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3DD38241">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7B2C7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83" w:type="dxa"/>
            <w:vAlign w:val="top"/>
          </w:tcPr>
          <w:p w14:paraId="476CA61E">
            <w:pPr>
              <w:keepNext w:val="0"/>
              <w:keepLines w:val="0"/>
              <w:pageBreakBefore w:val="0"/>
              <w:widowControl/>
              <w:kinsoku/>
              <w:wordWrap w:val="0"/>
              <w:overflowPunct/>
              <w:topLinePunct w:val="0"/>
              <w:autoSpaceDE w:val="0"/>
              <w:autoSpaceDN w:val="0"/>
              <w:bidi w:val="0"/>
              <w:adjustRightInd w:val="0"/>
              <w:snapToGrid w:val="0"/>
              <w:spacing w:before="248" w:line="340" w:lineRule="exact"/>
              <w:ind w:left="322"/>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4</w:t>
            </w:r>
          </w:p>
        </w:tc>
        <w:tc>
          <w:tcPr>
            <w:tcW w:w="6132" w:type="dxa"/>
            <w:vAlign w:val="top"/>
          </w:tcPr>
          <w:p w14:paraId="540E8152">
            <w:pPr>
              <w:keepNext w:val="0"/>
              <w:keepLines w:val="0"/>
              <w:pageBreakBefore w:val="0"/>
              <w:widowControl/>
              <w:kinsoku/>
              <w:wordWrap w:val="0"/>
              <w:overflowPunct/>
              <w:topLinePunct w:val="0"/>
              <w:autoSpaceDE w:val="0"/>
              <w:autoSpaceDN w:val="0"/>
              <w:bidi w:val="0"/>
              <w:adjustRightInd w:val="0"/>
              <w:snapToGrid w:val="0"/>
              <w:spacing w:before="67" w:line="340" w:lineRule="exact"/>
              <w:ind w:left="111" w:right="103" w:hanging="3"/>
              <w:jc w:val="left"/>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1"/>
                <w:sz w:val="24"/>
                <w:szCs w:val="24"/>
                <w:lang w:eastAsia="zh-CN"/>
              </w:rPr>
              <w:t>提供2023年度或2024年度的财务审计报告（新成立未满一年的公司需提供有效的银行资信证明）；</w:t>
            </w:r>
          </w:p>
        </w:tc>
        <w:tc>
          <w:tcPr>
            <w:tcW w:w="715" w:type="dxa"/>
            <w:vAlign w:val="top"/>
          </w:tcPr>
          <w:p w14:paraId="7F0676C5">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6830B10C">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0DB52A38">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21DEE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683" w:type="dxa"/>
            <w:vAlign w:val="top"/>
          </w:tcPr>
          <w:p w14:paraId="4E6A5741">
            <w:pPr>
              <w:keepNext w:val="0"/>
              <w:keepLines w:val="0"/>
              <w:pageBreakBefore w:val="0"/>
              <w:widowControl/>
              <w:kinsoku/>
              <w:wordWrap w:val="0"/>
              <w:overflowPunct/>
              <w:topLinePunct w:val="0"/>
              <w:autoSpaceDE w:val="0"/>
              <w:autoSpaceDN w:val="0"/>
              <w:bidi w:val="0"/>
              <w:adjustRightInd w:val="0"/>
              <w:snapToGrid w:val="0"/>
              <w:spacing w:before="89" w:line="340" w:lineRule="exact"/>
              <w:ind w:left="339"/>
              <w:textAlignment w:val="baseline"/>
              <w:rPr>
                <w:rFonts w:hint="eastAsia" w:ascii="黑体" w:hAnsi="黑体" w:eastAsia="黑体" w:cs="黑体"/>
                <w:color w:val="auto"/>
                <w:sz w:val="24"/>
                <w:szCs w:val="24"/>
              </w:rPr>
            </w:pPr>
            <w:r>
              <w:rPr>
                <w:rFonts w:hint="eastAsia" w:ascii="黑体" w:hAnsi="黑体" w:eastAsia="黑体" w:cs="黑体"/>
                <w:color w:val="auto"/>
                <w:position w:val="-1"/>
                <w:sz w:val="24"/>
                <w:szCs w:val="24"/>
              </w:rPr>
              <w:t>5</w:t>
            </w:r>
          </w:p>
        </w:tc>
        <w:tc>
          <w:tcPr>
            <w:tcW w:w="6132" w:type="dxa"/>
            <w:vAlign w:val="top"/>
          </w:tcPr>
          <w:p w14:paraId="715CAC5F">
            <w:pPr>
              <w:keepNext w:val="0"/>
              <w:keepLines w:val="0"/>
              <w:pageBreakBefore w:val="0"/>
              <w:widowControl/>
              <w:kinsoku/>
              <w:wordWrap w:val="0"/>
              <w:overflowPunct/>
              <w:topLinePunct w:val="0"/>
              <w:autoSpaceDE w:val="0"/>
              <w:autoSpaceDN w:val="0"/>
              <w:bidi w:val="0"/>
              <w:adjustRightInd w:val="0"/>
              <w:snapToGrid w:val="0"/>
              <w:spacing w:before="69" w:line="340" w:lineRule="exact"/>
              <w:ind w:left="107"/>
              <w:jc w:val="left"/>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lang w:eastAsia="zh-CN"/>
              </w:rPr>
              <w:t>提供依法缴纳公告发布之日起近6个月任意1个月社会保险证明；</w:t>
            </w:r>
          </w:p>
        </w:tc>
        <w:tc>
          <w:tcPr>
            <w:tcW w:w="715" w:type="dxa"/>
            <w:vAlign w:val="top"/>
          </w:tcPr>
          <w:p w14:paraId="05BABDFE">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5FB99B45">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2507F6DB">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362F5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683" w:type="dxa"/>
            <w:vAlign w:val="top"/>
          </w:tcPr>
          <w:p w14:paraId="6AE6A0D6">
            <w:pPr>
              <w:keepNext w:val="0"/>
              <w:keepLines w:val="0"/>
              <w:pageBreakBefore w:val="0"/>
              <w:widowControl/>
              <w:kinsoku/>
              <w:wordWrap w:val="0"/>
              <w:overflowPunct/>
              <w:topLinePunct w:val="0"/>
              <w:autoSpaceDE w:val="0"/>
              <w:autoSpaceDN w:val="0"/>
              <w:bidi w:val="0"/>
              <w:adjustRightInd w:val="0"/>
              <w:snapToGrid w:val="0"/>
              <w:spacing w:before="87" w:line="340" w:lineRule="exact"/>
              <w:ind w:left="333"/>
              <w:textAlignment w:val="baseline"/>
              <w:rPr>
                <w:rFonts w:hint="eastAsia" w:ascii="黑体" w:hAnsi="黑体" w:eastAsia="黑体" w:cs="黑体"/>
                <w:color w:val="auto"/>
                <w:sz w:val="24"/>
                <w:szCs w:val="24"/>
              </w:rPr>
            </w:pPr>
            <w:r>
              <w:rPr>
                <w:rFonts w:hint="eastAsia" w:ascii="黑体" w:hAnsi="黑体" w:eastAsia="黑体" w:cs="黑体"/>
                <w:color w:val="auto"/>
                <w:position w:val="-1"/>
                <w:sz w:val="24"/>
                <w:szCs w:val="24"/>
              </w:rPr>
              <w:t>6</w:t>
            </w:r>
          </w:p>
        </w:tc>
        <w:tc>
          <w:tcPr>
            <w:tcW w:w="6132" w:type="dxa"/>
            <w:vAlign w:val="top"/>
          </w:tcPr>
          <w:p w14:paraId="348DC7A9">
            <w:pPr>
              <w:keepNext w:val="0"/>
              <w:keepLines w:val="0"/>
              <w:pageBreakBefore w:val="0"/>
              <w:widowControl/>
              <w:kinsoku/>
              <w:wordWrap w:val="0"/>
              <w:overflowPunct/>
              <w:topLinePunct w:val="0"/>
              <w:autoSpaceDE w:val="0"/>
              <w:autoSpaceDN w:val="0"/>
              <w:bidi w:val="0"/>
              <w:adjustRightInd w:val="0"/>
              <w:snapToGrid w:val="0"/>
              <w:spacing w:before="70" w:line="340" w:lineRule="exact"/>
              <w:ind w:left="107"/>
              <w:jc w:val="left"/>
              <w:textAlignment w:val="baseline"/>
              <w:rPr>
                <w:rFonts w:hint="eastAsia" w:ascii="黑体" w:hAnsi="黑体" w:eastAsia="黑体" w:cs="黑体"/>
                <w:color w:val="auto"/>
                <w:sz w:val="24"/>
                <w:szCs w:val="24"/>
                <w:lang w:eastAsia="zh-CN"/>
              </w:rPr>
            </w:pPr>
            <w:r>
              <w:rPr>
                <w:rFonts w:hint="eastAsia" w:ascii="黑体" w:hAnsi="黑体" w:eastAsia="黑体" w:cs="黑体"/>
                <w:color w:val="auto"/>
                <w:spacing w:val="-2"/>
                <w:sz w:val="24"/>
                <w:szCs w:val="24"/>
                <w:lang w:eastAsia="zh-CN"/>
              </w:rPr>
              <w:t>提供依法缴纳公告发布之日起近6个月任意1个月的税收证明；</w:t>
            </w:r>
          </w:p>
        </w:tc>
        <w:tc>
          <w:tcPr>
            <w:tcW w:w="715" w:type="dxa"/>
            <w:vAlign w:val="top"/>
          </w:tcPr>
          <w:p w14:paraId="2E781462">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5589081B">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508BE8B2">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7044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jc w:val="center"/>
        </w:trPr>
        <w:tc>
          <w:tcPr>
            <w:tcW w:w="683" w:type="dxa"/>
            <w:vAlign w:val="top"/>
          </w:tcPr>
          <w:p w14:paraId="5857576D">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p w14:paraId="12A31C6B">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p w14:paraId="537F2267">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p w14:paraId="6BEEBFA8">
            <w:pPr>
              <w:keepNext w:val="0"/>
              <w:keepLines w:val="0"/>
              <w:pageBreakBefore w:val="0"/>
              <w:widowControl/>
              <w:kinsoku/>
              <w:wordWrap w:val="0"/>
              <w:overflowPunct/>
              <w:topLinePunct w:val="0"/>
              <w:autoSpaceDE w:val="0"/>
              <w:autoSpaceDN w:val="0"/>
              <w:bidi w:val="0"/>
              <w:adjustRightInd w:val="0"/>
              <w:snapToGrid w:val="0"/>
              <w:spacing w:before="94" w:line="340" w:lineRule="exact"/>
              <w:ind w:left="332"/>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7</w:t>
            </w:r>
          </w:p>
        </w:tc>
        <w:tc>
          <w:tcPr>
            <w:tcW w:w="6132" w:type="dxa"/>
            <w:vAlign w:val="top"/>
          </w:tcPr>
          <w:p w14:paraId="31BE5F55">
            <w:pPr>
              <w:keepNext w:val="0"/>
              <w:keepLines w:val="0"/>
              <w:pageBreakBefore w:val="0"/>
              <w:widowControl/>
              <w:kinsoku/>
              <w:wordWrap w:val="0"/>
              <w:overflowPunct/>
              <w:topLinePunct w:val="0"/>
              <w:autoSpaceDE w:val="0"/>
              <w:autoSpaceDN w:val="0"/>
              <w:bidi w:val="0"/>
              <w:adjustRightInd w:val="0"/>
              <w:snapToGrid w:val="0"/>
              <w:spacing w:before="31" w:line="340" w:lineRule="exact"/>
              <w:ind w:left="105" w:right="103" w:firstLine="1"/>
              <w:jc w:val="left"/>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lang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中国政府采购网（http：//www.ccgp.gov.cn/search/cr/）严重违法失信行为记录名单的（尚在处罚期内的），国家企业信用信息公示系统（https：//www.gsxt.gov.cn/）列入经营异常名录信息、列入严重违法失信名单(黑名单)信息，将拒绝其参加本次招标活动；</w:t>
            </w:r>
            <w:r>
              <w:rPr>
                <w:rFonts w:hint="eastAsia" w:ascii="黑体" w:hAnsi="黑体" w:eastAsia="黑体" w:cs="黑体"/>
                <w:color w:val="auto"/>
                <w:spacing w:val="-10"/>
                <w:sz w:val="24"/>
                <w:szCs w:val="24"/>
              </w:rPr>
              <w:t>（</w:t>
            </w:r>
            <w:r>
              <w:rPr>
                <w:rFonts w:hint="eastAsia" w:ascii="黑体" w:hAnsi="黑体" w:eastAsia="黑体" w:cs="黑体"/>
                <w:color w:val="auto"/>
                <w:spacing w:val="1"/>
                <w:sz w:val="24"/>
                <w:szCs w:val="24"/>
              </w:rPr>
              <w:t>以招标代理机构或采购人查询为准）</w:t>
            </w:r>
          </w:p>
        </w:tc>
        <w:tc>
          <w:tcPr>
            <w:tcW w:w="715" w:type="dxa"/>
            <w:vAlign w:val="top"/>
          </w:tcPr>
          <w:p w14:paraId="52DB6D04">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60DFA228">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41526491">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54254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683" w:type="dxa"/>
            <w:vAlign w:val="top"/>
          </w:tcPr>
          <w:p w14:paraId="101E6C36">
            <w:pPr>
              <w:keepNext w:val="0"/>
              <w:keepLines w:val="0"/>
              <w:pageBreakBefore w:val="0"/>
              <w:widowControl/>
              <w:kinsoku/>
              <w:wordWrap w:val="0"/>
              <w:overflowPunct/>
              <w:topLinePunct w:val="0"/>
              <w:autoSpaceDE w:val="0"/>
              <w:autoSpaceDN w:val="0"/>
              <w:bidi w:val="0"/>
              <w:adjustRightInd w:val="0"/>
              <w:snapToGrid w:val="0"/>
              <w:spacing w:before="89" w:line="340" w:lineRule="exact"/>
              <w:ind w:left="331"/>
              <w:textAlignment w:val="baseline"/>
              <w:rPr>
                <w:rFonts w:hint="eastAsia" w:ascii="黑体" w:hAnsi="黑体" w:eastAsia="黑体" w:cs="黑体"/>
                <w:color w:val="auto"/>
                <w:sz w:val="24"/>
                <w:szCs w:val="24"/>
              </w:rPr>
            </w:pPr>
            <w:r>
              <w:rPr>
                <w:rFonts w:hint="eastAsia" w:ascii="黑体" w:hAnsi="黑体" w:eastAsia="黑体" w:cs="黑体"/>
                <w:color w:val="auto"/>
                <w:position w:val="-2"/>
                <w:sz w:val="24"/>
                <w:szCs w:val="24"/>
              </w:rPr>
              <w:t>8</w:t>
            </w:r>
          </w:p>
        </w:tc>
        <w:tc>
          <w:tcPr>
            <w:tcW w:w="6132" w:type="dxa"/>
            <w:vAlign w:val="top"/>
          </w:tcPr>
          <w:p w14:paraId="51469897">
            <w:pPr>
              <w:keepNext w:val="0"/>
              <w:keepLines w:val="0"/>
              <w:pageBreakBefore w:val="0"/>
              <w:widowControl/>
              <w:kinsoku/>
              <w:wordWrap w:val="0"/>
              <w:overflowPunct/>
              <w:topLinePunct w:val="0"/>
              <w:autoSpaceDE w:val="0"/>
              <w:autoSpaceDN w:val="0"/>
              <w:bidi w:val="0"/>
              <w:adjustRightInd w:val="0"/>
              <w:snapToGrid w:val="0"/>
              <w:spacing w:before="73" w:line="340" w:lineRule="exact"/>
              <w:jc w:val="left"/>
              <w:textAlignment w:val="baseline"/>
              <w:rPr>
                <w:rFonts w:hint="eastAsia" w:ascii="黑体" w:hAnsi="黑体" w:eastAsia="黑体" w:cs="黑体"/>
                <w:color w:val="auto"/>
                <w:sz w:val="24"/>
                <w:szCs w:val="24"/>
              </w:rPr>
            </w:pPr>
            <w:r>
              <w:rPr>
                <w:rFonts w:hint="eastAsia" w:ascii="黑体" w:hAnsi="黑体" w:eastAsia="黑体" w:cs="黑体"/>
                <w:color w:val="auto"/>
                <w:spacing w:val="-4"/>
                <w:sz w:val="24"/>
                <w:szCs w:val="24"/>
              </w:rPr>
              <w:t>提供参加政府采购活动前3年内在经营活动中没有重大违法记</w:t>
            </w:r>
            <w:r>
              <w:rPr>
                <w:rFonts w:hint="eastAsia" w:ascii="黑体" w:hAnsi="黑体" w:eastAsia="黑体" w:cs="黑体"/>
                <w:color w:val="auto"/>
                <w:spacing w:val="-5"/>
                <w:sz w:val="24"/>
                <w:szCs w:val="24"/>
              </w:rPr>
              <w:t>录的书面声明；</w:t>
            </w:r>
          </w:p>
        </w:tc>
        <w:tc>
          <w:tcPr>
            <w:tcW w:w="715" w:type="dxa"/>
            <w:vAlign w:val="top"/>
          </w:tcPr>
          <w:p w14:paraId="1C1F8579">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482C36D7">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7A49B465">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274C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683" w:type="dxa"/>
            <w:vAlign w:val="top"/>
          </w:tcPr>
          <w:p w14:paraId="261C3F62">
            <w:pPr>
              <w:keepNext w:val="0"/>
              <w:keepLines w:val="0"/>
              <w:pageBreakBefore w:val="0"/>
              <w:widowControl/>
              <w:kinsoku/>
              <w:wordWrap w:val="0"/>
              <w:overflowPunct/>
              <w:topLinePunct w:val="0"/>
              <w:autoSpaceDE w:val="0"/>
              <w:autoSpaceDN w:val="0"/>
              <w:bidi w:val="0"/>
              <w:adjustRightInd w:val="0"/>
              <w:snapToGrid w:val="0"/>
              <w:spacing w:before="90" w:line="340" w:lineRule="exact"/>
              <w:ind w:left="331"/>
              <w:textAlignment w:val="baseline"/>
              <w:rPr>
                <w:rFonts w:hint="eastAsia" w:ascii="黑体" w:hAnsi="黑体" w:eastAsia="黑体" w:cs="黑体"/>
                <w:color w:val="auto"/>
                <w:sz w:val="24"/>
                <w:szCs w:val="24"/>
              </w:rPr>
            </w:pPr>
            <w:r>
              <w:rPr>
                <w:rFonts w:hint="eastAsia" w:ascii="黑体" w:hAnsi="黑体" w:eastAsia="黑体" w:cs="黑体"/>
                <w:color w:val="auto"/>
                <w:position w:val="-1"/>
                <w:sz w:val="24"/>
                <w:szCs w:val="24"/>
              </w:rPr>
              <w:t>9</w:t>
            </w:r>
          </w:p>
        </w:tc>
        <w:tc>
          <w:tcPr>
            <w:tcW w:w="6132" w:type="dxa"/>
            <w:vAlign w:val="top"/>
          </w:tcPr>
          <w:p w14:paraId="3E13BCA0">
            <w:pPr>
              <w:keepNext w:val="0"/>
              <w:keepLines w:val="0"/>
              <w:pageBreakBefore w:val="0"/>
              <w:widowControl/>
              <w:kinsoku/>
              <w:wordWrap w:val="0"/>
              <w:overflowPunct/>
              <w:topLinePunct w:val="0"/>
              <w:autoSpaceDE w:val="0"/>
              <w:autoSpaceDN w:val="0"/>
              <w:bidi w:val="0"/>
              <w:adjustRightInd w:val="0"/>
              <w:snapToGrid w:val="0"/>
              <w:spacing w:before="75" w:line="340" w:lineRule="exact"/>
              <w:ind w:left="107"/>
              <w:jc w:val="left"/>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缴纳投标保证金有效凭证。</w:t>
            </w:r>
          </w:p>
        </w:tc>
        <w:tc>
          <w:tcPr>
            <w:tcW w:w="715" w:type="dxa"/>
            <w:vAlign w:val="top"/>
          </w:tcPr>
          <w:p w14:paraId="2582CADB">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7E59C7B1">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40DE48A9">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r w14:paraId="092F6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83" w:type="dxa"/>
            <w:vAlign w:val="top"/>
          </w:tcPr>
          <w:p w14:paraId="2F5039D8">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32" w:type="dxa"/>
            <w:vAlign w:val="top"/>
          </w:tcPr>
          <w:p w14:paraId="2D59703B">
            <w:pPr>
              <w:keepNext w:val="0"/>
              <w:keepLines w:val="0"/>
              <w:pageBreakBefore w:val="0"/>
              <w:widowControl/>
              <w:kinsoku/>
              <w:wordWrap w:val="0"/>
              <w:overflowPunct/>
              <w:topLinePunct w:val="0"/>
              <w:autoSpaceDE w:val="0"/>
              <w:autoSpaceDN w:val="0"/>
              <w:bidi w:val="0"/>
              <w:adjustRightInd w:val="0"/>
              <w:snapToGrid w:val="0"/>
              <w:spacing w:before="99" w:line="340" w:lineRule="exact"/>
              <w:ind w:left="106"/>
              <w:jc w:val="left"/>
              <w:textAlignment w:val="baseline"/>
              <w:rPr>
                <w:rFonts w:hint="eastAsia" w:ascii="黑体" w:hAnsi="黑体" w:eastAsia="黑体" w:cs="黑体"/>
                <w:color w:val="auto"/>
                <w:sz w:val="24"/>
                <w:szCs w:val="24"/>
              </w:rPr>
            </w:pPr>
            <w:r>
              <w:rPr>
                <w:rFonts w:hint="eastAsia" w:ascii="黑体" w:hAnsi="黑体" w:eastAsia="黑体" w:cs="黑体"/>
                <w:color w:val="auto"/>
                <w:spacing w:val="-1"/>
                <w:sz w:val="24"/>
                <w:szCs w:val="24"/>
              </w:rPr>
              <w:t>结论</w:t>
            </w:r>
          </w:p>
        </w:tc>
        <w:tc>
          <w:tcPr>
            <w:tcW w:w="715" w:type="dxa"/>
            <w:vAlign w:val="top"/>
          </w:tcPr>
          <w:p w14:paraId="06042655">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12" w:type="dxa"/>
            <w:vAlign w:val="top"/>
          </w:tcPr>
          <w:p w14:paraId="6DCB01A3">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c>
          <w:tcPr>
            <w:tcW w:w="656" w:type="dxa"/>
            <w:vAlign w:val="top"/>
          </w:tcPr>
          <w:p w14:paraId="7DEED354">
            <w:pPr>
              <w:pStyle w:val="17"/>
              <w:keepNext w:val="0"/>
              <w:keepLines w:val="0"/>
              <w:pageBreakBefore w:val="0"/>
              <w:widowControl/>
              <w:kinsoku/>
              <w:wordWrap w:val="0"/>
              <w:overflowPunct/>
              <w:topLinePunct w:val="0"/>
              <w:autoSpaceDE w:val="0"/>
              <w:autoSpaceDN w:val="0"/>
              <w:bidi w:val="0"/>
              <w:adjustRightInd w:val="0"/>
              <w:snapToGrid w:val="0"/>
              <w:spacing w:line="340" w:lineRule="exact"/>
              <w:textAlignment w:val="baseline"/>
              <w:rPr>
                <w:rFonts w:hint="eastAsia" w:ascii="黑体" w:hAnsi="黑体" w:eastAsia="黑体" w:cs="黑体"/>
                <w:color w:val="auto"/>
                <w:sz w:val="24"/>
                <w:szCs w:val="24"/>
              </w:rPr>
            </w:pPr>
          </w:p>
        </w:tc>
      </w:tr>
    </w:tbl>
    <w:p w14:paraId="39EF55C3">
      <w:pPr>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说明：</w:t>
      </w:r>
    </w:p>
    <w:p w14:paraId="2F6122F0">
      <w:pPr>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（1）上述各项中用“√”表示合格，“×”表示不合格；</w:t>
      </w:r>
    </w:p>
    <w:p w14:paraId="20A819EA">
      <w:pPr>
        <w:keepNext w:val="0"/>
        <w:keepLines w:val="0"/>
        <w:pageBreakBefore w:val="0"/>
        <w:widowControl/>
        <w:kinsoku/>
        <w:wordWrap w:val="0"/>
        <w:overflowPunct/>
        <w:topLinePunct w:val="0"/>
        <w:bidi w:val="0"/>
        <w:spacing w:line="46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供应商必须将上述内容上传至对应关联节点，未通过资格审查的供应商不进入评标；通过资格审查的供应商少于不足三家的，不得评标。</w:t>
      </w:r>
    </w:p>
    <w:p w14:paraId="22B9770C">
      <w:pPr>
        <w:rPr>
          <w:rFonts w:hint="eastAsia" w:ascii="黑体" w:hAnsi="黑体" w:eastAsia="黑体" w:cs="黑体"/>
          <w:color w:val="auto"/>
          <w:sz w:val="21"/>
        </w:rPr>
      </w:pPr>
      <w:r>
        <w:rPr>
          <w:rFonts w:hint="eastAsia" w:ascii="黑体" w:hAnsi="黑体" w:eastAsia="黑体" w:cs="黑体"/>
          <w:color w:val="auto"/>
          <w:sz w:val="21"/>
        </w:rPr>
        <w:br w:type="page"/>
      </w:r>
    </w:p>
    <w:p w14:paraId="498F8DDE">
      <w:pPr>
        <w:pStyle w:val="6"/>
        <w:keepNext w:val="0"/>
        <w:keepLines w:val="0"/>
        <w:pageBreakBefore w:val="0"/>
        <w:widowControl/>
        <w:kinsoku/>
        <w:wordWrap w:val="0"/>
        <w:overflowPunct/>
        <w:topLinePunct w:val="0"/>
        <w:bidi w:val="0"/>
        <w:spacing w:before="122" w:line="460" w:lineRule="exact"/>
        <w:jc w:val="center"/>
        <w:outlineLvl w:val="1"/>
        <w:rPr>
          <w:rFonts w:hint="eastAsia" w:ascii="黑体" w:hAnsi="黑体" w:eastAsia="黑体" w:cs="黑体"/>
          <w:color w:val="auto"/>
          <w:sz w:val="28"/>
          <w:szCs w:val="28"/>
        </w:rPr>
      </w:pPr>
      <w:r>
        <w:rPr>
          <w:rFonts w:hint="eastAsia" w:ascii="黑体" w:hAnsi="黑体" w:eastAsia="黑体" w:cs="黑体"/>
          <w:b/>
          <w:bCs/>
          <w:color w:val="auto"/>
          <w:spacing w:val="-1"/>
          <w:sz w:val="28"/>
          <w:szCs w:val="28"/>
        </w:rPr>
        <w:t>初步评审—符合性审查表</w:t>
      </w:r>
    </w:p>
    <w:tbl>
      <w:tblPr>
        <w:tblStyle w:val="16"/>
        <w:tblpPr w:leftFromText="180" w:rightFromText="180" w:vertAnchor="text" w:horzAnchor="page" w:tblpXSpec="center" w:tblpY="442"/>
        <w:tblOverlap w:val="never"/>
        <w:tblW w:w="88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6765"/>
        <w:gridCol w:w="1330"/>
      </w:tblGrid>
      <w:tr w14:paraId="1EBDA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731" w:type="dxa"/>
            <w:vMerge w:val="restart"/>
            <w:vAlign w:val="top"/>
          </w:tcPr>
          <w:p w14:paraId="32F70A01">
            <w:pPr>
              <w:keepNext w:val="0"/>
              <w:keepLines w:val="0"/>
              <w:pageBreakBefore w:val="0"/>
              <w:widowControl/>
              <w:kinsoku/>
              <w:wordWrap w:val="0"/>
              <w:overflowPunct/>
              <w:topLinePunct w:val="0"/>
              <w:autoSpaceDE w:val="0"/>
              <w:autoSpaceDN w:val="0"/>
              <w:bidi w:val="0"/>
              <w:adjustRightInd w:val="0"/>
              <w:snapToGrid w:val="0"/>
              <w:spacing w:before="176" w:line="400" w:lineRule="exact"/>
              <w:jc w:val="center"/>
              <w:textAlignment w:val="baseline"/>
              <w:rPr>
                <w:rFonts w:hint="eastAsia" w:ascii="黑体" w:hAnsi="黑体" w:eastAsia="黑体" w:cs="黑体"/>
                <w:b/>
                <w:bCs/>
                <w:color w:val="auto"/>
                <w:sz w:val="24"/>
                <w:szCs w:val="24"/>
              </w:rPr>
            </w:pPr>
            <w:r>
              <w:rPr>
                <w:rFonts w:hint="eastAsia" w:ascii="黑体" w:hAnsi="黑体" w:eastAsia="黑体" w:cs="黑体"/>
                <w:b/>
                <w:bCs/>
                <w:color w:val="auto"/>
                <w:spacing w:val="8"/>
                <w:sz w:val="24"/>
                <w:szCs w:val="24"/>
              </w:rPr>
              <w:t>序号</w:t>
            </w:r>
          </w:p>
        </w:tc>
        <w:tc>
          <w:tcPr>
            <w:tcW w:w="6765" w:type="dxa"/>
            <w:vMerge w:val="restart"/>
            <w:vAlign w:val="top"/>
          </w:tcPr>
          <w:p w14:paraId="2BB31CF8">
            <w:pPr>
              <w:keepNext w:val="0"/>
              <w:keepLines w:val="0"/>
              <w:pageBreakBefore w:val="0"/>
              <w:widowControl/>
              <w:kinsoku/>
              <w:wordWrap w:val="0"/>
              <w:overflowPunct/>
              <w:topLinePunct w:val="0"/>
              <w:autoSpaceDE w:val="0"/>
              <w:autoSpaceDN w:val="0"/>
              <w:bidi w:val="0"/>
              <w:adjustRightInd w:val="0"/>
              <w:snapToGrid w:val="0"/>
              <w:spacing w:before="176" w:line="400" w:lineRule="exact"/>
              <w:jc w:val="center"/>
              <w:textAlignment w:val="baseline"/>
              <w:rPr>
                <w:rFonts w:hint="eastAsia" w:ascii="黑体" w:hAnsi="黑体" w:eastAsia="黑体" w:cs="黑体"/>
                <w:b/>
                <w:bCs/>
                <w:color w:val="auto"/>
                <w:spacing w:val="5"/>
                <w:sz w:val="24"/>
                <w:szCs w:val="24"/>
              </w:rPr>
            </w:pPr>
            <w:r>
              <w:rPr>
                <w:rFonts w:hint="eastAsia" w:ascii="黑体" w:hAnsi="黑体" w:eastAsia="黑体" w:cs="黑体"/>
                <w:b/>
                <w:bCs/>
                <w:color w:val="auto"/>
                <w:spacing w:val="5"/>
                <w:sz w:val="24"/>
                <w:szCs w:val="24"/>
              </w:rPr>
              <w:t>评审内容</w:t>
            </w:r>
          </w:p>
        </w:tc>
        <w:tc>
          <w:tcPr>
            <w:tcW w:w="1330" w:type="dxa"/>
            <w:vAlign w:val="top"/>
          </w:tcPr>
          <w:p w14:paraId="16F59F55">
            <w:pPr>
              <w:keepNext w:val="0"/>
              <w:keepLines w:val="0"/>
              <w:pageBreakBefore w:val="0"/>
              <w:widowControl/>
              <w:kinsoku/>
              <w:wordWrap w:val="0"/>
              <w:overflowPunct/>
              <w:topLinePunct w:val="0"/>
              <w:autoSpaceDE w:val="0"/>
              <w:autoSpaceDN w:val="0"/>
              <w:bidi w:val="0"/>
              <w:adjustRightInd w:val="0"/>
              <w:snapToGrid w:val="0"/>
              <w:spacing w:before="178" w:line="400" w:lineRule="exact"/>
              <w:ind w:left="167"/>
              <w:textAlignment w:val="baseline"/>
              <w:rPr>
                <w:rFonts w:hint="eastAsia" w:ascii="黑体" w:hAnsi="黑体" w:eastAsia="黑体" w:cs="黑体"/>
                <w:b/>
                <w:bCs/>
                <w:color w:val="auto"/>
                <w:sz w:val="24"/>
                <w:szCs w:val="24"/>
              </w:rPr>
            </w:pPr>
            <w:r>
              <w:rPr>
                <w:rFonts w:hint="eastAsia" w:ascii="黑体" w:hAnsi="黑体" w:eastAsia="黑体" w:cs="黑体"/>
                <w:b/>
                <w:bCs/>
                <w:color w:val="auto"/>
                <w:spacing w:val="8"/>
                <w:sz w:val="24"/>
                <w:szCs w:val="24"/>
              </w:rPr>
              <w:t>评审意见</w:t>
            </w:r>
          </w:p>
        </w:tc>
      </w:tr>
      <w:tr w14:paraId="39DA1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731" w:type="dxa"/>
            <w:vMerge w:val="continue"/>
            <w:vAlign w:val="top"/>
          </w:tcPr>
          <w:p w14:paraId="531E8403">
            <w:pPr>
              <w:keepNext w:val="0"/>
              <w:keepLines w:val="0"/>
              <w:pageBreakBefore w:val="0"/>
              <w:widowControl/>
              <w:kinsoku/>
              <w:wordWrap w:val="0"/>
              <w:overflowPunct/>
              <w:topLinePunct w:val="0"/>
              <w:autoSpaceDE w:val="0"/>
              <w:autoSpaceDN w:val="0"/>
              <w:bidi w:val="0"/>
              <w:adjustRightInd w:val="0"/>
              <w:snapToGrid w:val="0"/>
              <w:spacing w:before="178" w:line="400" w:lineRule="exact"/>
              <w:ind w:left="167"/>
              <w:textAlignment w:val="baseline"/>
              <w:rPr>
                <w:rFonts w:hint="eastAsia" w:ascii="黑体" w:hAnsi="黑体" w:eastAsia="黑体" w:cs="黑体"/>
                <w:color w:val="auto"/>
              </w:rPr>
            </w:pPr>
          </w:p>
        </w:tc>
        <w:tc>
          <w:tcPr>
            <w:tcW w:w="6765" w:type="dxa"/>
            <w:vMerge w:val="continue"/>
            <w:vAlign w:val="top"/>
          </w:tcPr>
          <w:p w14:paraId="7028819B">
            <w:pPr>
              <w:keepNext w:val="0"/>
              <w:keepLines w:val="0"/>
              <w:pageBreakBefore w:val="0"/>
              <w:widowControl/>
              <w:kinsoku/>
              <w:wordWrap w:val="0"/>
              <w:overflowPunct/>
              <w:topLinePunct w:val="0"/>
              <w:autoSpaceDE w:val="0"/>
              <w:autoSpaceDN w:val="0"/>
              <w:bidi w:val="0"/>
              <w:adjustRightInd w:val="0"/>
              <w:snapToGrid w:val="0"/>
              <w:spacing w:before="178" w:line="400" w:lineRule="exact"/>
              <w:ind w:left="167"/>
              <w:textAlignment w:val="baseline"/>
              <w:rPr>
                <w:rFonts w:hint="eastAsia" w:ascii="黑体" w:hAnsi="黑体" w:eastAsia="黑体" w:cs="黑体"/>
                <w:color w:val="auto"/>
              </w:rPr>
            </w:pPr>
          </w:p>
        </w:tc>
        <w:tc>
          <w:tcPr>
            <w:tcW w:w="1330" w:type="dxa"/>
            <w:vAlign w:val="top"/>
          </w:tcPr>
          <w:p w14:paraId="0A17697D">
            <w:pPr>
              <w:keepNext w:val="0"/>
              <w:keepLines w:val="0"/>
              <w:pageBreakBefore w:val="0"/>
              <w:widowControl/>
              <w:kinsoku/>
              <w:wordWrap w:val="0"/>
              <w:overflowPunct/>
              <w:topLinePunct w:val="0"/>
              <w:autoSpaceDE w:val="0"/>
              <w:autoSpaceDN w:val="0"/>
              <w:bidi w:val="0"/>
              <w:adjustRightInd w:val="0"/>
              <w:snapToGrid w:val="0"/>
              <w:spacing w:before="178" w:line="400" w:lineRule="exact"/>
              <w:ind w:left="167"/>
              <w:textAlignment w:val="baseline"/>
              <w:rPr>
                <w:rFonts w:hint="eastAsia" w:ascii="黑体" w:hAnsi="黑体" w:eastAsia="黑体" w:cs="黑体"/>
                <w:b/>
                <w:bCs/>
                <w:color w:val="auto"/>
                <w:spacing w:val="8"/>
                <w:sz w:val="24"/>
                <w:szCs w:val="24"/>
              </w:rPr>
            </w:pPr>
            <w:r>
              <w:rPr>
                <w:rFonts w:hint="eastAsia" w:ascii="黑体" w:hAnsi="黑体" w:eastAsia="黑体" w:cs="黑体"/>
                <w:b/>
                <w:bCs/>
                <w:color w:val="auto"/>
                <w:spacing w:val="6"/>
                <w:sz w:val="24"/>
                <w:szCs w:val="24"/>
              </w:rPr>
              <w:t>是否合格</w:t>
            </w:r>
          </w:p>
        </w:tc>
      </w:tr>
      <w:tr w14:paraId="120D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31" w:type="dxa"/>
            <w:vAlign w:val="center"/>
          </w:tcPr>
          <w:p w14:paraId="0DA5A53E">
            <w:pPr>
              <w:keepNext w:val="0"/>
              <w:keepLines w:val="0"/>
              <w:pageBreakBefore w:val="0"/>
              <w:widowControl/>
              <w:kinsoku/>
              <w:wordWrap w:val="0"/>
              <w:overflowPunct/>
              <w:topLinePunct w:val="0"/>
              <w:autoSpaceDE w:val="0"/>
              <w:autoSpaceDN w:val="0"/>
              <w:bidi w:val="0"/>
              <w:adjustRightInd w:val="0"/>
              <w:snapToGrid w:val="0"/>
              <w:spacing w:before="188" w:line="400" w:lineRule="exact"/>
              <w:ind w:left="389"/>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1</w:t>
            </w:r>
          </w:p>
        </w:tc>
        <w:tc>
          <w:tcPr>
            <w:tcW w:w="6765" w:type="dxa"/>
            <w:vAlign w:val="top"/>
          </w:tcPr>
          <w:p w14:paraId="29283767">
            <w:pPr>
              <w:keepNext w:val="0"/>
              <w:keepLines w:val="0"/>
              <w:pageBreakBefore w:val="0"/>
              <w:widowControl/>
              <w:kinsoku/>
              <w:wordWrap w:val="0"/>
              <w:overflowPunct/>
              <w:topLinePunct w:val="0"/>
              <w:autoSpaceDE w:val="0"/>
              <w:autoSpaceDN w:val="0"/>
              <w:bidi w:val="0"/>
              <w:adjustRightInd w:val="0"/>
              <w:snapToGrid w:val="0"/>
              <w:spacing w:before="149" w:line="400" w:lineRule="exact"/>
              <w:ind w:left="105"/>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各供应商投标报价未高于</w:t>
            </w:r>
            <w:r>
              <w:rPr>
                <w:rFonts w:hint="eastAsia" w:ascii="黑体" w:hAnsi="黑体" w:eastAsia="黑体" w:cs="黑体"/>
                <w:color w:val="auto"/>
                <w:spacing w:val="5"/>
                <w:sz w:val="24"/>
                <w:szCs w:val="24"/>
                <w:lang w:val="en-US" w:eastAsia="zh-CN"/>
              </w:rPr>
              <w:t>最高限价</w:t>
            </w:r>
            <w:r>
              <w:rPr>
                <w:rFonts w:hint="eastAsia" w:ascii="黑体" w:hAnsi="黑体" w:eastAsia="黑体" w:cs="黑体"/>
                <w:color w:val="auto"/>
                <w:spacing w:val="5"/>
                <w:sz w:val="24"/>
                <w:szCs w:val="24"/>
              </w:rPr>
              <w:t>金额；</w:t>
            </w:r>
          </w:p>
        </w:tc>
        <w:tc>
          <w:tcPr>
            <w:tcW w:w="1330" w:type="dxa"/>
            <w:vAlign w:val="top"/>
          </w:tcPr>
          <w:p w14:paraId="2CEA80A2">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1C8D1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731" w:type="dxa"/>
            <w:vAlign w:val="center"/>
          </w:tcPr>
          <w:p w14:paraId="0F91B711">
            <w:pPr>
              <w:keepNext w:val="0"/>
              <w:keepLines w:val="0"/>
              <w:pageBreakBefore w:val="0"/>
              <w:widowControl/>
              <w:kinsoku/>
              <w:wordWrap w:val="0"/>
              <w:overflowPunct/>
              <w:topLinePunct w:val="0"/>
              <w:autoSpaceDE w:val="0"/>
              <w:autoSpaceDN w:val="0"/>
              <w:bidi w:val="0"/>
              <w:adjustRightInd w:val="0"/>
              <w:snapToGrid w:val="0"/>
              <w:spacing w:before="297" w:line="400" w:lineRule="exact"/>
              <w:ind w:left="379"/>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2</w:t>
            </w:r>
          </w:p>
        </w:tc>
        <w:tc>
          <w:tcPr>
            <w:tcW w:w="6765" w:type="dxa"/>
            <w:vAlign w:val="top"/>
          </w:tcPr>
          <w:p w14:paraId="771479B0">
            <w:pPr>
              <w:keepNext w:val="0"/>
              <w:keepLines w:val="0"/>
              <w:pageBreakBefore w:val="0"/>
              <w:widowControl/>
              <w:kinsoku/>
              <w:wordWrap w:val="0"/>
              <w:overflowPunct/>
              <w:topLinePunct w:val="0"/>
              <w:autoSpaceDE w:val="0"/>
              <w:autoSpaceDN w:val="0"/>
              <w:bidi w:val="0"/>
              <w:adjustRightInd w:val="0"/>
              <w:snapToGrid w:val="0"/>
              <w:spacing w:before="99" w:line="400" w:lineRule="exact"/>
              <w:ind w:left="104" w:right="100" w:firstLine="2"/>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评标委员会认为供应商的报价无明显低于其他通过符合性审查供应商的报价的</w:t>
            </w:r>
            <w:r>
              <w:rPr>
                <w:rFonts w:hint="eastAsia" w:ascii="黑体" w:hAnsi="黑体" w:eastAsia="黑体" w:cs="黑体"/>
                <w:color w:val="auto"/>
                <w:spacing w:val="4"/>
                <w:sz w:val="24"/>
                <w:szCs w:val="24"/>
              </w:rPr>
              <w:t>，供应商的报价不存在异常一致并成规律性的，其报价合理；</w:t>
            </w:r>
          </w:p>
        </w:tc>
        <w:tc>
          <w:tcPr>
            <w:tcW w:w="1330" w:type="dxa"/>
            <w:vAlign w:val="top"/>
          </w:tcPr>
          <w:p w14:paraId="29DD7959">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4AEBC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31" w:type="dxa"/>
            <w:vAlign w:val="center"/>
          </w:tcPr>
          <w:p w14:paraId="7AACBA19">
            <w:pPr>
              <w:keepNext w:val="0"/>
              <w:keepLines w:val="0"/>
              <w:pageBreakBefore w:val="0"/>
              <w:widowControl/>
              <w:kinsoku/>
              <w:wordWrap w:val="0"/>
              <w:overflowPunct/>
              <w:topLinePunct w:val="0"/>
              <w:autoSpaceDE w:val="0"/>
              <w:autoSpaceDN w:val="0"/>
              <w:bidi w:val="0"/>
              <w:adjustRightInd w:val="0"/>
              <w:snapToGrid w:val="0"/>
              <w:spacing w:before="281" w:line="400" w:lineRule="exact"/>
              <w:ind w:left="382"/>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3</w:t>
            </w:r>
          </w:p>
        </w:tc>
        <w:tc>
          <w:tcPr>
            <w:tcW w:w="6765" w:type="dxa"/>
            <w:vAlign w:val="top"/>
          </w:tcPr>
          <w:p w14:paraId="65B2D084">
            <w:pPr>
              <w:keepNext w:val="0"/>
              <w:keepLines w:val="0"/>
              <w:pageBreakBefore w:val="0"/>
              <w:widowControl/>
              <w:kinsoku/>
              <w:wordWrap w:val="0"/>
              <w:overflowPunct/>
              <w:topLinePunct w:val="0"/>
              <w:autoSpaceDE w:val="0"/>
              <w:autoSpaceDN w:val="0"/>
              <w:bidi w:val="0"/>
              <w:adjustRightInd w:val="0"/>
              <w:snapToGrid w:val="0"/>
              <w:spacing w:before="79" w:line="400" w:lineRule="exact"/>
              <w:ind w:left="106" w:right="100" w:firstLine="1"/>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投标文件按照招标文件的规定编制、标记及签署盖章的，法定代表人或其授权</w:t>
            </w:r>
            <w:r>
              <w:rPr>
                <w:rFonts w:hint="eastAsia" w:ascii="黑体" w:hAnsi="黑体" w:eastAsia="黑体" w:cs="黑体"/>
                <w:color w:val="auto"/>
                <w:spacing w:val="4"/>
                <w:sz w:val="24"/>
                <w:szCs w:val="24"/>
              </w:rPr>
              <w:t>代表签章；</w:t>
            </w:r>
          </w:p>
        </w:tc>
        <w:tc>
          <w:tcPr>
            <w:tcW w:w="1330" w:type="dxa"/>
            <w:vAlign w:val="top"/>
          </w:tcPr>
          <w:p w14:paraId="47ADB6C3">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734BD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31" w:type="dxa"/>
            <w:vAlign w:val="center"/>
          </w:tcPr>
          <w:p w14:paraId="282B9DBE">
            <w:pPr>
              <w:keepNext w:val="0"/>
              <w:keepLines w:val="0"/>
              <w:pageBreakBefore w:val="0"/>
              <w:widowControl/>
              <w:kinsoku/>
              <w:wordWrap w:val="0"/>
              <w:overflowPunct/>
              <w:topLinePunct w:val="0"/>
              <w:autoSpaceDE w:val="0"/>
              <w:autoSpaceDN w:val="0"/>
              <w:bidi w:val="0"/>
              <w:adjustRightInd w:val="0"/>
              <w:snapToGrid w:val="0"/>
              <w:spacing w:before="164" w:line="400" w:lineRule="exact"/>
              <w:ind w:left="369"/>
              <w:jc w:val="both"/>
              <w:textAlignment w:val="baseline"/>
              <w:rPr>
                <w:rFonts w:hint="eastAsia" w:ascii="黑体" w:hAnsi="黑体" w:eastAsia="黑体" w:cs="黑体"/>
                <w:color w:val="auto"/>
                <w:sz w:val="24"/>
                <w:szCs w:val="24"/>
              </w:rPr>
            </w:pPr>
            <w:r>
              <w:rPr>
                <w:rFonts w:hint="eastAsia" w:ascii="黑体" w:hAnsi="黑体" w:eastAsia="黑体" w:cs="黑体"/>
                <w:color w:val="auto"/>
                <w:spacing w:val="3"/>
                <w:sz w:val="24"/>
                <w:szCs w:val="24"/>
              </w:rPr>
              <w:t>4</w:t>
            </w:r>
          </w:p>
        </w:tc>
        <w:tc>
          <w:tcPr>
            <w:tcW w:w="6765" w:type="dxa"/>
            <w:vAlign w:val="top"/>
          </w:tcPr>
          <w:p w14:paraId="4EA9D4AB">
            <w:pPr>
              <w:keepNext w:val="0"/>
              <w:keepLines w:val="0"/>
              <w:pageBreakBefore w:val="0"/>
              <w:widowControl/>
              <w:kinsoku/>
              <w:wordWrap w:val="0"/>
              <w:overflowPunct/>
              <w:topLinePunct w:val="0"/>
              <w:autoSpaceDE w:val="0"/>
              <w:autoSpaceDN w:val="0"/>
              <w:bidi w:val="0"/>
              <w:adjustRightInd w:val="0"/>
              <w:snapToGrid w:val="0"/>
              <w:spacing w:before="122" w:line="400" w:lineRule="exact"/>
              <w:ind w:left="106"/>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所投产品的设备及数量满足招标文件要求的；</w:t>
            </w:r>
          </w:p>
        </w:tc>
        <w:tc>
          <w:tcPr>
            <w:tcW w:w="1330" w:type="dxa"/>
            <w:vAlign w:val="top"/>
          </w:tcPr>
          <w:p w14:paraId="3E4A5D77">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56E0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31" w:type="dxa"/>
            <w:vAlign w:val="center"/>
          </w:tcPr>
          <w:p w14:paraId="78DA5905">
            <w:pPr>
              <w:keepNext w:val="0"/>
              <w:keepLines w:val="0"/>
              <w:pageBreakBefore w:val="0"/>
              <w:widowControl/>
              <w:kinsoku/>
              <w:wordWrap w:val="0"/>
              <w:overflowPunct/>
              <w:topLinePunct w:val="0"/>
              <w:autoSpaceDE w:val="0"/>
              <w:autoSpaceDN w:val="0"/>
              <w:bidi w:val="0"/>
              <w:adjustRightInd w:val="0"/>
              <w:snapToGrid w:val="0"/>
              <w:spacing w:before="164" w:line="400" w:lineRule="exact"/>
              <w:ind w:left="385"/>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5</w:t>
            </w:r>
          </w:p>
        </w:tc>
        <w:tc>
          <w:tcPr>
            <w:tcW w:w="6765" w:type="dxa"/>
            <w:vAlign w:val="top"/>
          </w:tcPr>
          <w:p w14:paraId="5622C046">
            <w:pPr>
              <w:keepNext w:val="0"/>
              <w:keepLines w:val="0"/>
              <w:pageBreakBefore w:val="0"/>
              <w:widowControl/>
              <w:kinsoku/>
              <w:wordWrap w:val="0"/>
              <w:overflowPunct/>
              <w:topLinePunct w:val="0"/>
              <w:autoSpaceDE w:val="0"/>
              <w:autoSpaceDN w:val="0"/>
              <w:bidi w:val="0"/>
              <w:adjustRightInd w:val="0"/>
              <w:snapToGrid w:val="0"/>
              <w:spacing w:before="124" w:line="400" w:lineRule="exact"/>
              <w:ind w:left="106"/>
              <w:textAlignment w:val="baseline"/>
              <w:rPr>
                <w:rFonts w:hint="eastAsia" w:ascii="黑体" w:hAnsi="黑体" w:eastAsia="黑体" w:cs="黑体"/>
                <w:color w:val="auto"/>
                <w:sz w:val="24"/>
                <w:szCs w:val="24"/>
              </w:rPr>
            </w:pPr>
            <w:r>
              <w:rPr>
                <w:rFonts w:hint="eastAsia" w:ascii="黑体" w:hAnsi="黑体" w:eastAsia="黑体" w:cs="黑体"/>
                <w:color w:val="auto"/>
                <w:spacing w:val="2"/>
                <w:sz w:val="24"/>
                <w:szCs w:val="24"/>
              </w:rPr>
              <w:t>按招标文件规定的格式填写，内容全面；</w:t>
            </w:r>
          </w:p>
        </w:tc>
        <w:tc>
          <w:tcPr>
            <w:tcW w:w="1330" w:type="dxa"/>
            <w:vAlign w:val="top"/>
          </w:tcPr>
          <w:p w14:paraId="6151FC4C">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28206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31" w:type="dxa"/>
            <w:vAlign w:val="center"/>
          </w:tcPr>
          <w:p w14:paraId="7FC36B77">
            <w:pPr>
              <w:keepNext w:val="0"/>
              <w:keepLines w:val="0"/>
              <w:pageBreakBefore w:val="0"/>
              <w:widowControl/>
              <w:kinsoku/>
              <w:wordWrap w:val="0"/>
              <w:overflowPunct/>
              <w:topLinePunct w:val="0"/>
              <w:autoSpaceDE w:val="0"/>
              <w:autoSpaceDN w:val="0"/>
              <w:bidi w:val="0"/>
              <w:adjustRightInd w:val="0"/>
              <w:snapToGrid w:val="0"/>
              <w:spacing w:before="160" w:line="400" w:lineRule="exact"/>
              <w:ind w:left="379"/>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6</w:t>
            </w:r>
          </w:p>
        </w:tc>
        <w:tc>
          <w:tcPr>
            <w:tcW w:w="6765" w:type="dxa"/>
            <w:vAlign w:val="top"/>
          </w:tcPr>
          <w:p w14:paraId="6F25D7AB">
            <w:pPr>
              <w:keepNext w:val="0"/>
              <w:keepLines w:val="0"/>
              <w:pageBreakBefore w:val="0"/>
              <w:widowControl/>
              <w:kinsoku/>
              <w:wordWrap w:val="0"/>
              <w:overflowPunct/>
              <w:topLinePunct w:val="0"/>
              <w:autoSpaceDE w:val="0"/>
              <w:autoSpaceDN w:val="0"/>
              <w:bidi w:val="0"/>
              <w:adjustRightInd w:val="0"/>
              <w:snapToGrid w:val="0"/>
              <w:spacing w:before="122" w:line="400" w:lineRule="exact"/>
              <w:ind w:left="106"/>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符合招标文件中规定的要求；</w:t>
            </w:r>
          </w:p>
        </w:tc>
        <w:tc>
          <w:tcPr>
            <w:tcW w:w="1330" w:type="dxa"/>
            <w:vAlign w:val="top"/>
          </w:tcPr>
          <w:p w14:paraId="4F41286F">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19350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31" w:type="dxa"/>
            <w:vAlign w:val="center"/>
          </w:tcPr>
          <w:p w14:paraId="0D09E664">
            <w:pPr>
              <w:keepNext w:val="0"/>
              <w:keepLines w:val="0"/>
              <w:pageBreakBefore w:val="0"/>
              <w:widowControl/>
              <w:kinsoku/>
              <w:wordWrap w:val="0"/>
              <w:overflowPunct/>
              <w:topLinePunct w:val="0"/>
              <w:autoSpaceDE w:val="0"/>
              <w:autoSpaceDN w:val="0"/>
              <w:bidi w:val="0"/>
              <w:adjustRightInd w:val="0"/>
              <w:snapToGrid w:val="0"/>
              <w:spacing w:before="193" w:line="400" w:lineRule="exact"/>
              <w:ind w:left="379"/>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7</w:t>
            </w:r>
          </w:p>
        </w:tc>
        <w:tc>
          <w:tcPr>
            <w:tcW w:w="6765" w:type="dxa"/>
            <w:vAlign w:val="top"/>
          </w:tcPr>
          <w:p w14:paraId="0D95B49A">
            <w:pPr>
              <w:keepNext w:val="0"/>
              <w:keepLines w:val="0"/>
              <w:pageBreakBefore w:val="0"/>
              <w:widowControl/>
              <w:kinsoku/>
              <w:wordWrap w:val="0"/>
              <w:overflowPunct/>
              <w:topLinePunct w:val="0"/>
              <w:autoSpaceDE w:val="0"/>
              <w:autoSpaceDN w:val="0"/>
              <w:bidi w:val="0"/>
              <w:adjustRightInd w:val="0"/>
              <w:snapToGrid w:val="0"/>
              <w:spacing w:before="150" w:line="400" w:lineRule="exact"/>
              <w:ind w:left="106"/>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没有采购人不能接受的附加条件的；</w:t>
            </w:r>
          </w:p>
        </w:tc>
        <w:tc>
          <w:tcPr>
            <w:tcW w:w="1330" w:type="dxa"/>
            <w:vAlign w:val="top"/>
          </w:tcPr>
          <w:p w14:paraId="41D175A8">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4BEC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1" w:type="dxa"/>
            <w:vAlign w:val="center"/>
          </w:tcPr>
          <w:p w14:paraId="7E33018C">
            <w:pPr>
              <w:keepNext w:val="0"/>
              <w:keepLines w:val="0"/>
              <w:pageBreakBefore w:val="0"/>
              <w:widowControl/>
              <w:kinsoku/>
              <w:wordWrap w:val="0"/>
              <w:overflowPunct/>
              <w:topLinePunct w:val="0"/>
              <w:autoSpaceDE w:val="0"/>
              <w:autoSpaceDN w:val="0"/>
              <w:bidi w:val="0"/>
              <w:adjustRightInd w:val="0"/>
              <w:snapToGrid w:val="0"/>
              <w:spacing w:before="207" w:line="400" w:lineRule="exact"/>
              <w:ind w:left="377"/>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8</w:t>
            </w:r>
          </w:p>
        </w:tc>
        <w:tc>
          <w:tcPr>
            <w:tcW w:w="6765" w:type="dxa"/>
            <w:vAlign w:val="top"/>
          </w:tcPr>
          <w:p w14:paraId="5158718D">
            <w:pPr>
              <w:keepNext w:val="0"/>
              <w:keepLines w:val="0"/>
              <w:pageBreakBefore w:val="0"/>
              <w:widowControl/>
              <w:kinsoku/>
              <w:wordWrap w:val="0"/>
              <w:overflowPunct/>
              <w:topLinePunct w:val="0"/>
              <w:autoSpaceDE w:val="0"/>
              <w:autoSpaceDN w:val="0"/>
              <w:bidi w:val="0"/>
              <w:adjustRightInd w:val="0"/>
              <w:snapToGrid w:val="0"/>
              <w:spacing w:before="167" w:line="400" w:lineRule="exact"/>
              <w:ind w:left="105"/>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不同供应商的投标文件没有错漏一致的情况；</w:t>
            </w:r>
          </w:p>
        </w:tc>
        <w:tc>
          <w:tcPr>
            <w:tcW w:w="1330" w:type="dxa"/>
            <w:vAlign w:val="top"/>
          </w:tcPr>
          <w:p w14:paraId="6DD060AA">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0FD1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31" w:type="dxa"/>
            <w:vAlign w:val="center"/>
          </w:tcPr>
          <w:p w14:paraId="3D50BCCD">
            <w:pPr>
              <w:keepNext w:val="0"/>
              <w:keepLines w:val="0"/>
              <w:pageBreakBefore w:val="0"/>
              <w:widowControl/>
              <w:kinsoku/>
              <w:wordWrap w:val="0"/>
              <w:overflowPunct/>
              <w:topLinePunct w:val="0"/>
              <w:autoSpaceDE w:val="0"/>
              <w:autoSpaceDN w:val="0"/>
              <w:bidi w:val="0"/>
              <w:adjustRightInd w:val="0"/>
              <w:snapToGrid w:val="0"/>
              <w:spacing w:before="193" w:line="400" w:lineRule="exact"/>
              <w:ind w:left="378"/>
              <w:jc w:val="both"/>
              <w:textAlignment w:val="baseline"/>
              <w:rPr>
                <w:rFonts w:hint="eastAsia" w:ascii="黑体" w:hAnsi="黑体" w:eastAsia="黑体" w:cs="黑体"/>
                <w:color w:val="auto"/>
                <w:sz w:val="24"/>
                <w:szCs w:val="24"/>
              </w:rPr>
            </w:pPr>
            <w:r>
              <w:rPr>
                <w:rFonts w:hint="eastAsia" w:ascii="黑体" w:hAnsi="黑体" w:eastAsia="黑体" w:cs="黑体"/>
                <w:color w:val="auto"/>
                <w:sz w:val="24"/>
                <w:szCs w:val="24"/>
              </w:rPr>
              <w:t>9</w:t>
            </w:r>
          </w:p>
        </w:tc>
        <w:tc>
          <w:tcPr>
            <w:tcW w:w="6765" w:type="dxa"/>
            <w:vAlign w:val="top"/>
          </w:tcPr>
          <w:p w14:paraId="4DA3141D">
            <w:pPr>
              <w:keepNext w:val="0"/>
              <w:keepLines w:val="0"/>
              <w:pageBreakBefore w:val="0"/>
              <w:widowControl/>
              <w:kinsoku/>
              <w:wordWrap w:val="0"/>
              <w:overflowPunct/>
              <w:topLinePunct w:val="0"/>
              <w:autoSpaceDE w:val="0"/>
              <w:autoSpaceDN w:val="0"/>
              <w:bidi w:val="0"/>
              <w:adjustRightInd w:val="0"/>
              <w:snapToGrid w:val="0"/>
              <w:spacing w:before="153" w:line="400" w:lineRule="exact"/>
              <w:ind w:left="104"/>
              <w:textAlignment w:val="baseline"/>
              <w:rPr>
                <w:rFonts w:hint="eastAsia" w:ascii="黑体" w:hAnsi="黑体" w:eastAsia="黑体" w:cs="黑体"/>
                <w:color w:val="auto"/>
                <w:sz w:val="24"/>
                <w:szCs w:val="24"/>
              </w:rPr>
            </w:pPr>
            <w:r>
              <w:rPr>
                <w:rFonts w:hint="eastAsia" w:ascii="黑体" w:hAnsi="黑体" w:eastAsia="黑体" w:cs="黑体"/>
                <w:color w:val="auto"/>
                <w:spacing w:val="5"/>
                <w:sz w:val="24"/>
                <w:szCs w:val="24"/>
              </w:rPr>
              <w:t>供应商附有详细地址、联系人、电话标明的；</w:t>
            </w:r>
          </w:p>
        </w:tc>
        <w:tc>
          <w:tcPr>
            <w:tcW w:w="1330" w:type="dxa"/>
            <w:vAlign w:val="top"/>
          </w:tcPr>
          <w:p w14:paraId="7B27EB2E">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r w14:paraId="2A36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496" w:type="dxa"/>
            <w:gridSpan w:val="2"/>
            <w:vAlign w:val="top"/>
          </w:tcPr>
          <w:p w14:paraId="01C654F2">
            <w:pPr>
              <w:keepNext w:val="0"/>
              <w:keepLines w:val="0"/>
              <w:pageBreakBefore w:val="0"/>
              <w:widowControl/>
              <w:kinsoku/>
              <w:wordWrap w:val="0"/>
              <w:overflowPunct/>
              <w:topLinePunct w:val="0"/>
              <w:autoSpaceDE w:val="0"/>
              <w:autoSpaceDN w:val="0"/>
              <w:bidi w:val="0"/>
              <w:adjustRightInd w:val="0"/>
              <w:snapToGrid w:val="0"/>
              <w:spacing w:before="218" w:line="400" w:lineRule="exact"/>
              <w:ind w:left="480"/>
              <w:textAlignment w:val="baseline"/>
              <w:rPr>
                <w:rFonts w:hint="eastAsia" w:ascii="黑体" w:hAnsi="黑体" w:eastAsia="黑体" w:cs="黑体"/>
                <w:color w:val="auto"/>
                <w:sz w:val="24"/>
                <w:szCs w:val="24"/>
              </w:rPr>
            </w:pPr>
            <w:r>
              <w:rPr>
                <w:rFonts w:hint="eastAsia" w:ascii="黑体" w:hAnsi="黑体" w:eastAsia="黑体" w:cs="黑体"/>
                <w:color w:val="auto"/>
                <w:spacing w:val="8"/>
                <w:sz w:val="24"/>
                <w:szCs w:val="24"/>
              </w:rPr>
              <w:t>结论：通过评审打“√”，未通过评审打“</w:t>
            </w:r>
            <w:r>
              <w:rPr>
                <w:rFonts w:hint="eastAsia" w:ascii="黑体" w:hAnsi="黑体" w:eastAsia="黑体" w:cs="黑体"/>
                <w:color w:val="auto"/>
                <w:spacing w:val="7"/>
                <w:sz w:val="24"/>
                <w:szCs w:val="24"/>
              </w:rPr>
              <w:t>×”</w:t>
            </w:r>
          </w:p>
        </w:tc>
        <w:tc>
          <w:tcPr>
            <w:tcW w:w="1330" w:type="dxa"/>
            <w:vAlign w:val="top"/>
          </w:tcPr>
          <w:p w14:paraId="439C3DB4">
            <w:pPr>
              <w:pStyle w:val="17"/>
              <w:keepNext w:val="0"/>
              <w:keepLines w:val="0"/>
              <w:pageBreakBefore w:val="0"/>
              <w:widowControl/>
              <w:kinsoku/>
              <w:wordWrap w:val="0"/>
              <w:overflowPunct/>
              <w:topLinePunct w:val="0"/>
              <w:autoSpaceDE w:val="0"/>
              <w:autoSpaceDN w:val="0"/>
              <w:bidi w:val="0"/>
              <w:adjustRightInd w:val="0"/>
              <w:snapToGrid w:val="0"/>
              <w:spacing w:line="400" w:lineRule="exact"/>
              <w:textAlignment w:val="baseline"/>
              <w:rPr>
                <w:rFonts w:hint="eastAsia" w:ascii="黑体" w:hAnsi="黑体" w:eastAsia="黑体" w:cs="黑体"/>
                <w:color w:val="auto"/>
                <w:sz w:val="24"/>
                <w:szCs w:val="24"/>
              </w:rPr>
            </w:pPr>
          </w:p>
        </w:tc>
      </w:tr>
    </w:tbl>
    <w:p w14:paraId="5EB3EB42">
      <w:pPr>
        <w:pStyle w:val="6"/>
        <w:keepNext w:val="0"/>
        <w:keepLines w:val="0"/>
        <w:pageBreakBefore w:val="0"/>
        <w:widowControl/>
        <w:kinsoku/>
        <w:wordWrap w:val="0"/>
        <w:overflowPunct/>
        <w:topLinePunct w:val="0"/>
        <w:bidi w:val="0"/>
        <w:spacing w:before="146" w:line="460" w:lineRule="exact"/>
        <w:ind w:left="-199" w:leftChars="-95" w:firstLine="0" w:firstLineChars="0"/>
        <w:rPr>
          <w:rFonts w:hint="eastAsia" w:ascii="黑体" w:hAnsi="黑体" w:eastAsia="黑体" w:cs="黑体"/>
          <w:b/>
          <w:bCs/>
          <w:color w:val="auto"/>
          <w:sz w:val="24"/>
          <w:szCs w:val="24"/>
        </w:rPr>
      </w:pPr>
      <w:r>
        <w:rPr>
          <w:rFonts w:hint="eastAsia" w:ascii="黑体" w:hAnsi="黑体" w:eastAsia="黑体" w:cs="黑体"/>
          <w:b/>
          <w:bCs/>
          <w:color w:val="auto"/>
          <w:spacing w:val="4"/>
          <w:sz w:val="24"/>
          <w:szCs w:val="24"/>
        </w:rPr>
        <w:t>说明：</w:t>
      </w:r>
    </w:p>
    <w:p w14:paraId="1987DA9C">
      <w:pPr>
        <w:pStyle w:val="6"/>
        <w:keepNext w:val="0"/>
        <w:keepLines w:val="0"/>
        <w:pageBreakBefore w:val="0"/>
        <w:widowControl/>
        <w:numPr>
          <w:ilvl w:val="0"/>
          <w:numId w:val="4"/>
        </w:numPr>
        <w:kinsoku/>
        <w:wordWrap w:val="0"/>
        <w:overflowPunct/>
        <w:topLinePunct w:val="0"/>
        <w:bidi w:val="0"/>
        <w:spacing w:before="89" w:line="460" w:lineRule="exact"/>
        <w:ind w:left="-199" w:leftChars="-95" w:firstLine="0" w:firstLineChars="0"/>
        <w:rPr>
          <w:rFonts w:hint="eastAsia" w:ascii="黑体" w:hAnsi="黑体" w:eastAsia="黑体" w:cs="黑体"/>
          <w:b/>
          <w:bCs/>
          <w:color w:val="auto"/>
          <w:spacing w:val="5"/>
          <w:sz w:val="24"/>
          <w:szCs w:val="24"/>
        </w:rPr>
      </w:pPr>
      <w:r>
        <w:rPr>
          <w:rFonts w:hint="eastAsia" w:ascii="黑体" w:hAnsi="黑体" w:eastAsia="黑体" w:cs="黑体"/>
          <w:b/>
          <w:bCs/>
          <w:color w:val="auto"/>
          <w:spacing w:val="5"/>
          <w:sz w:val="24"/>
          <w:szCs w:val="24"/>
        </w:rPr>
        <w:t>上述各项中用“√”表示合格，“×”表示不合格；</w:t>
      </w:r>
    </w:p>
    <w:p w14:paraId="02A49794">
      <w:pPr>
        <w:pStyle w:val="6"/>
        <w:keepNext w:val="0"/>
        <w:keepLines w:val="0"/>
        <w:pageBreakBefore w:val="0"/>
        <w:widowControl/>
        <w:numPr>
          <w:ilvl w:val="0"/>
          <w:numId w:val="0"/>
        </w:numPr>
        <w:kinsoku/>
        <w:wordWrap w:val="0"/>
        <w:overflowPunct/>
        <w:topLinePunct w:val="0"/>
        <w:bidi w:val="0"/>
        <w:spacing w:before="89" w:line="460" w:lineRule="exact"/>
        <w:ind w:leftChars="-95"/>
        <w:rPr>
          <w:rFonts w:hint="eastAsia" w:ascii="黑体" w:hAnsi="黑体" w:eastAsia="黑体" w:cs="黑体"/>
          <w:b/>
          <w:bCs/>
          <w:color w:val="auto"/>
          <w:sz w:val="24"/>
          <w:szCs w:val="24"/>
        </w:rPr>
      </w:pPr>
      <w:r>
        <w:rPr>
          <w:rFonts w:hint="eastAsia" w:ascii="黑体" w:hAnsi="黑体" w:eastAsia="黑体" w:cs="黑体"/>
          <w:b/>
          <w:bCs/>
          <w:color w:val="auto"/>
          <w:spacing w:val="5"/>
          <w:sz w:val="24"/>
          <w:szCs w:val="24"/>
        </w:rPr>
        <w:t>（2）上述各项中如有一项为“×”，则结论为“×”，表示该投标文件中存在重大偏差，不能通过初步评审；评委对某一分项评审认为不合格时，必须要写明原因。</w:t>
      </w:r>
    </w:p>
    <w:p w14:paraId="4D168674">
      <w:pPr>
        <w:pStyle w:val="6"/>
        <w:keepNext w:val="0"/>
        <w:keepLines w:val="0"/>
        <w:pageBreakBefore w:val="0"/>
        <w:widowControl/>
        <w:kinsoku/>
        <w:wordWrap w:val="0"/>
        <w:overflowPunct/>
        <w:topLinePunct w:val="0"/>
        <w:bidi w:val="0"/>
        <w:spacing w:before="89" w:line="460" w:lineRule="exact"/>
        <w:ind w:left="-199" w:leftChars="-95" w:firstLine="0" w:firstLineChars="0"/>
        <w:rPr>
          <w:rFonts w:hint="eastAsia" w:ascii="黑体" w:hAnsi="黑体" w:eastAsia="黑体" w:cs="黑体"/>
          <w:b/>
          <w:bCs/>
          <w:color w:val="auto"/>
          <w:sz w:val="24"/>
          <w:szCs w:val="24"/>
        </w:rPr>
      </w:pPr>
      <w:r>
        <w:rPr>
          <w:rFonts w:hint="eastAsia" w:ascii="黑体" w:hAnsi="黑体" w:eastAsia="黑体" w:cs="黑体"/>
          <w:b/>
          <w:bCs/>
          <w:color w:val="auto"/>
          <w:spacing w:val="8"/>
          <w:sz w:val="24"/>
          <w:szCs w:val="24"/>
        </w:rPr>
        <w:t>（3）投标文件最终合格与否，以所有评委的评审意见中少</w:t>
      </w:r>
      <w:r>
        <w:rPr>
          <w:rFonts w:hint="eastAsia" w:ascii="黑体" w:hAnsi="黑体" w:eastAsia="黑体" w:cs="黑体"/>
          <w:b/>
          <w:bCs/>
          <w:color w:val="auto"/>
          <w:spacing w:val="7"/>
          <w:sz w:val="24"/>
          <w:szCs w:val="24"/>
        </w:rPr>
        <w:t>数服从多数为原则定论。</w:t>
      </w:r>
    </w:p>
    <w:p w14:paraId="7859177D">
      <w:pPr>
        <w:pStyle w:val="6"/>
        <w:keepNext w:val="0"/>
        <w:keepLines w:val="0"/>
        <w:pageBreakBefore w:val="0"/>
        <w:widowControl/>
        <w:kinsoku/>
        <w:wordWrap w:val="0"/>
        <w:overflowPunct/>
        <w:topLinePunct w:val="0"/>
        <w:bidi w:val="0"/>
        <w:spacing w:before="112" w:line="460" w:lineRule="exact"/>
        <w:ind w:left="-199" w:leftChars="-95" w:firstLine="0" w:firstLineChars="0"/>
        <w:rPr>
          <w:rFonts w:hint="eastAsia" w:ascii="黑体" w:hAnsi="黑体" w:eastAsia="黑体" w:cs="黑体"/>
          <w:b/>
          <w:bCs/>
          <w:color w:val="auto"/>
          <w:sz w:val="24"/>
          <w:szCs w:val="24"/>
        </w:rPr>
      </w:pPr>
      <w:r>
        <w:rPr>
          <w:rFonts w:hint="eastAsia" w:ascii="黑体" w:hAnsi="黑体" w:eastAsia="黑体" w:cs="黑体"/>
          <w:b/>
          <w:bCs/>
          <w:color w:val="auto"/>
          <w:spacing w:val="9"/>
          <w:sz w:val="24"/>
          <w:szCs w:val="24"/>
        </w:rPr>
        <w:t>未通过资格审查的供应商不进入评标；通过资</w:t>
      </w:r>
      <w:r>
        <w:rPr>
          <w:rFonts w:hint="eastAsia" w:ascii="黑体" w:hAnsi="黑体" w:eastAsia="黑体" w:cs="黑体"/>
          <w:b/>
          <w:bCs/>
          <w:color w:val="auto"/>
          <w:spacing w:val="8"/>
          <w:sz w:val="24"/>
          <w:szCs w:val="24"/>
        </w:rPr>
        <w:t>格审查的供应商少于不足三家的，不得评标。</w:t>
      </w:r>
    </w:p>
    <w:p w14:paraId="4CF6FCCD">
      <w:pPr>
        <w:jc w:val="center"/>
        <w:rPr>
          <w:rFonts w:hint="eastAsia" w:ascii="黑体" w:hAnsi="黑体" w:eastAsia="黑体" w:cs="黑体"/>
          <w:b/>
          <w:bCs/>
          <w:color w:val="auto"/>
          <w:spacing w:val="3"/>
          <w:sz w:val="28"/>
          <w:szCs w:val="28"/>
        </w:rPr>
      </w:pPr>
    </w:p>
    <w:p w14:paraId="2A31592E">
      <w:pPr>
        <w:rPr>
          <w:rFonts w:hint="eastAsia" w:ascii="黑体" w:hAnsi="黑体" w:eastAsia="黑体" w:cs="黑体"/>
          <w:b/>
          <w:bCs/>
          <w:color w:val="auto"/>
          <w:spacing w:val="3"/>
          <w:sz w:val="28"/>
          <w:szCs w:val="28"/>
        </w:rPr>
      </w:pPr>
      <w:r>
        <w:rPr>
          <w:rFonts w:hint="eastAsia" w:ascii="黑体" w:hAnsi="黑体" w:eastAsia="黑体" w:cs="黑体"/>
          <w:b/>
          <w:bCs/>
          <w:color w:val="auto"/>
          <w:spacing w:val="3"/>
          <w:sz w:val="28"/>
          <w:szCs w:val="28"/>
        </w:rPr>
        <w:br w:type="page"/>
      </w:r>
    </w:p>
    <w:p w14:paraId="3713A5A1">
      <w:pPr>
        <w:pStyle w:val="6"/>
        <w:keepNext w:val="0"/>
        <w:keepLines w:val="0"/>
        <w:pageBreakBefore w:val="0"/>
        <w:widowControl/>
        <w:kinsoku/>
        <w:wordWrap w:val="0"/>
        <w:overflowPunct/>
        <w:topLinePunct w:val="0"/>
        <w:bidi w:val="0"/>
        <w:spacing w:before="67" w:line="460" w:lineRule="exact"/>
        <w:ind w:left="3673"/>
        <w:outlineLvl w:val="1"/>
        <w:rPr>
          <w:rFonts w:hint="eastAsia" w:ascii="黑体" w:hAnsi="黑体" w:eastAsia="黑体" w:cs="黑体"/>
          <w:color w:val="auto"/>
          <w:sz w:val="28"/>
          <w:szCs w:val="28"/>
        </w:rPr>
      </w:pPr>
      <w:r>
        <w:rPr>
          <w:rFonts w:hint="eastAsia" w:ascii="黑体" w:hAnsi="黑体" w:eastAsia="黑体" w:cs="黑体"/>
          <w:b/>
          <w:bCs/>
          <w:color w:val="auto"/>
          <w:spacing w:val="3"/>
          <w:sz w:val="28"/>
          <w:szCs w:val="28"/>
        </w:rPr>
        <w:t>综合评分表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750"/>
        <w:gridCol w:w="6090"/>
        <w:gridCol w:w="1681"/>
      </w:tblGrid>
      <w:tr w14:paraId="0638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32" w:type="dxa"/>
            <w:vAlign w:val="top"/>
          </w:tcPr>
          <w:p w14:paraId="56155C23">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bookmarkStart w:id="95" w:name="bookmark48"/>
            <w:bookmarkEnd w:id="95"/>
            <w:r>
              <w:rPr>
                <w:rFonts w:hint="eastAsia" w:ascii="黑体" w:hAnsi="黑体" w:eastAsia="黑体" w:cs="黑体"/>
                <w:b/>
                <w:bCs/>
                <w:snapToGrid w:val="0"/>
                <w:color w:val="auto"/>
                <w:kern w:val="0"/>
                <w:sz w:val="24"/>
                <w:szCs w:val="24"/>
                <w:lang w:val="en-US" w:eastAsia="en-US" w:bidi="ar-SA"/>
              </w:rPr>
              <w:t>评标标准</w:t>
            </w:r>
          </w:p>
        </w:tc>
        <w:tc>
          <w:tcPr>
            <w:tcW w:w="750" w:type="dxa"/>
            <w:vAlign w:val="center"/>
          </w:tcPr>
          <w:p w14:paraId="6810ED0F">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snapToGrid w:val="0"/>
                <w:color w:val="auto"/>
                <w:kern w:val="0"/>
                <w:sz w:val="24"/>
                <w:szCs w:val="24"/>
                <w:lang w:val="en-US" w:eastAsia="en-US" w:bidi="ar-SA"/>
              </w:rPr>
              <w:t>分值</w:t>
            </w:r>
          </w:p>
        </w:tc>
        <w:tc>
          <w:tcPr>
            <w:tcW w:w="6090" w:type="dxa"/>
            <w:vAlign w:val="top"/>
          </w:tcPr>
          <w:p w14:paraId="41C1A6A5">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snapToGrid w:val="0"/>
                <w:color w:val="auto"/>
                <w:kern w:val="0"/>
                <w:sz w:val="24"/>
                <w:szCs w:val="24"/>
                <w:lang w:val="en-US" w:eastAsia="en-US" w:bidi="ar-SA"/>
              </w:rPr>
              <w:t>评分内容</w:t>
            </w:r>
          </w:p>
          <w:p w14:paraId="78287117">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snapToGrid w:val="0"/>
                <w:color w:val="auto"/>
                <w:kern w:val="0"/>
                <w:sz w:val="24"/>
                <w:szCs w:val="24"/>
                <w:lang w:val="en-US" w:eastAsia="en-US" w:bidi="ar-SA"/>
              </w:rPr>
              <w:t>价格：30分</w:t>
            </w:r>
            <w:r>
              <w:rPr>
                <w:rFonts w:hint="eastAsia" w:ascii="黑体" w:hAnsi="黑体" w:eastAsia="黑体" w:cs="黑体"/>
                <w:b/>
                <w:bCs/>
                <w:snapToGrid w:val="0"/>
                <w:color w:val="auto"/>
                <w:kern w:val="0"/>
                <w:sz w:val="24"/>
                <w:szCs w:val="24"/>
                <w:lang w:val="en-US" w:eastAsia="zh-CN" w:bidi="ar-SA"/>
              </w:rPr>
              <w:t xml:space="preserve">       </w:t>
            </w:r>
            <w:r>
              <w:rPr>
                <w:rFonts w:hint="eastAsia" w:ascii="黑体" w:hAnsi="黑体" w:eastAsia="黑体" w:cs="黑体"/>
                <w:b/>
                <w:bCs/>
                <w:snapToGrid w:val="0"/>
                <w:color w:val="auto"/>
                <w:kern w:val="0"/>
                <w:sz w:val="24"/>
                <w:szCs w:val="24"/>
                <w:lang w:val="en-US" w:eastAsia="en-US" w:bidi="ar-SA"/>
              </w:rPr>
              <w:t>商务：</w:t>
            </w:r>
            <w:r>
              <w:rPr>
                <w:rFonts w:hint="eastAsia" w:ascii="黑体" w:hAnsi="黑体" w:eastAsia="黑体" w:cs="黑体"/>
                <w:b/>
                <w:bCs/>
                <w:snapToGrid w:val="0"/>
                <w:color w:val="auto"/>
                <w:kern w:val="0"/>
                <w:sz w:val="24"/>
                <w:szCs w:val="24"/>
                <w:lang w:val="en-US" w:eastAsia="zh-CN" w:bidi="ar-SA"/>
              </w:rPr>
              <w:t>5</w:t>
            </w:r>
            <w:r>
              <w:rPr>
                <w:rFonts w:hint="eastAsia" w:ascii="黑体" w:hAnsi="黑体" w:eastAsia="黑体" w:cs="黑体"/>
                <w:b/>
                <w:bCs/>
                <w:snapToGrid w:val="0"/>
                <w:color w:val="auto"/>
                <w:kern w:val="0"/>
                <w:sz w:val="24"/>
                <w:szCs w:val="24"/>
                <w:lang w:val="en-US" w:eastAsia="en-US" w:bidi="ar-SA"/>
              </w:rPr>
              <w:t>分</w:t>
            </w:r>
            <w:r>
              <w:rPr>
                <w:rFonts w:hint="eastAsia" w:ascii="黑体" w:hAnsi="黑体" w:eastAsia="黑体" w:cs="黑体"/>
                <w:b/>
                <w:bCs/>
                <w:snapToGrid w:val="0"/>
                <w:color w:val="auto"/>
                <w:kern w:val="0"/>
                <w:sz w:val="24"/>
                <w:szCs w:val="24"/>
                <w:lang w:val="en-US" w:eastAsia="zh-CN" w:bidi="ar-SA"/>
              </w:rPr>
              <w:t xml:space="preserve">      </w:t>
            </w:r>
            <w:r>
              <w:rPr>
                <w:rFonts w:hint="eastAsia" w:ascii="黑体" w:hAnsi="黑体" w:eastAsia="黑体" w:cs="黑体"/>
                <w:b/>
                <w:bCs/>
                <w:snapToGrid w:val="0"/>
                <w:color w:val="auto"/>
                <w:kern w:val="0"/>
                <w:sz w:val="24"/>
                <w:szCs w:val="24"/>
                <w:lang w:val="en-US" w:eastAsia="en-US" w:bidi="ar-SA"/>
              </w:rPr>
              <w:t>技术：6</w:t>
            </w:r>
            <w:r>
              <w:rPr>
                <w:rFonts w:hint="eastAsia" w:ascii="黑体" w:hAnsi="黑体" w:eastAsia="黑体" w:cs="黑体"/>
                <w:b/>
                <w:bCs/>
                <w:snapToGrid w:val="0"/>
                <w:color w:val="auto"/>
                <w:kern w:val="0"/>
                <w:sz w:val="24"/>
                <w:szCs w:val="24"/>
                <w:lang w:val="en-US" w:eastAsia="zh-CN" w:bidi="ar-SA"/>
              </w:rPr>
              <w:t>5</w:t>
            </w:r>
            <w:r>
              <w:rPr>
                <w:rFonts w:hint="eastAsia" w:ascii="黑体" w:hAnsi="黑体" w:eastAsia="黑体" w:cs="黑体"/>
                <w:b/>
                <w:bCs/>
                <w:snapToGrid w:val="0"/>
                <w:color w:val="auto"/>
                <w:kern w:val="0"/>
                <w:sz w:val="24"/>
                <w:szCs w:val="24"/>
                <w:lang w:val="en-US" w:eastAsia="en-US" w:bidi="ar-SA"/>
              </w:rPr>
              <w:t>分</w:t>
            </w:r>
          </w:p>
        </w:tc>
        <w:tc>
          <w:tcPr>
            <w:tcW w:w="1681" w:type="dxa"/>
            <w:vAlign w:val="center"/>
          </w:tcPr>
          <w:p w14:paraId="37FD4910">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6"/>
                <w:sz w:val="24"/>
                <w:szCs w:val="24"/>
              </w:rPr>
              <w:t>说明</w:t>
            </w:r>
          </w:p>
        </w:tc>
      </w:tr>
      <w:tr w14:paraId="4434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2" w:type="dxa"/>
            <w:vAlign w:val="center"/>
          </w:tcPr>
          <w:p w14:paraId="7D073FA1">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4"/>
                <w:sz w:val="24"/>
                <w:szCs w:val="24"/>
              </w:rPr>
              <w:t>价格评</w:t>
            </w:r>
            <w:r>
              <w:rPr>
                <w:rFonts w:hint="eastAsia" w:ascii="黑体" w:hAnsi="黑体" w:eastAsia="黑体" w:cs="黑体"/>
                <w:b/>
                <w:bCs/>
                <w:color w:val="auto"/>
                <w:spacing w:val="9"/>
                <w:sz w:val="24"/>
                <w:szCs w:val="24"/>
              </w:rPr>
              <w:t>分标准</w:t>
            </w:r>
          </w:p>
        </w:tc>
        <w:tc>
          <w:tcPr>
            <w:tcW w:w="750" w:type="dxa"/>
            <w:vAlign w:val="center"/>
          </w:tcPr>
          <w:p w14:paraId="2DC06E43">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zh-CN" w:bidi="ar-SA"/>
              </w:rPr>
            </w:pPr>
            <w:r>
              <w:rPr>
                <w:rFonts w:hint="eastAsia" w:ascii="黑体" w:hAnsi="黑体" w:eastAsia="黑体" w:cs="黑体"/>
                <w:b/>
                <w:bCs/>
                <w:color w:val="auto"/>
                <w:spacing w:val="-3"/>
                <w:sz w:val="24"/>
                <w:szCs w:val="24"/>
              </w:rPr>
              <w:t>30</w:t>
            </w:r>
            <w:r>
              <w:rPr>
                <w:rFonts w:hint="eastAsia" w:ascii="黑体" w:hAnsi="黑体" w:eastAsia="黑体" w:cs="黑体"/>
                <w:b/>
                <w:bCs/>
                <w:color w:val="auto"/>
                <w:spacing w:val="-3"/>
                <w:sz w:val="24"/>
                <w:szCs w:val="24"/>
                <w:lang w:val="en-US" w:eastAsia="zh-CN"/>
              </w:rPr>
              <w:t>分</w:t>
            </w:r>
          </w:p>
        </w:tc>
        <w:tc>
          <w:tcPr>
            <w:tcW w:w="6090" w:type="dxa"/>
            <w:vAlign w:val="top"/>
          </w:tcPr>
          <w:p w14:paraId="616A8F78">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left"/>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val="0"/>
                <w:bCs w:val="0"/>
                <w:color w:val="auto"/>
                <w:spacing w:val="10"/>
                <w:sz w:val="24"/>
                <w:szCs w:val="24"/>
              </w:rPr>
              <w:t>投标报价：</w:t>
            </w:r>
            <w:r>
              <w:rPr>
                <w:rFonts w:hint="eastAsia" w:ascii="黑体" w:hAnsi="黑体" w:eastAsia="黑体" w:cs="黑体"/>
                <w:color w:val="auto"/>
                <w:spacing w:val="10"/>
                <w:sz w:val="24"/>
                <w:szCs w:val="24"/>
              </w:rPr>
              <w:t>完全满足招标文件参数的投标报价中的最低价为评标基准</w:t>
            </w:r>
            <w:r>
              <w:rPr>
                <w:rFonts w:hint="eastAsia" w:ascii="黑体" w:hAnsi="黑体" w:eastAsia="黑体" w:cs="黑体"/>
                <w:color w:val="auto"/>
                <w:spacing w:val="8"/>
                <w:sz w:val="24"/>
                <w:szCs w:val="24"/>
              </w:rPr>
              <w:t>价，按照下列公式计算每个供应商的投标价格得分。投标报价得分=</w:t>
            </w:r>
            <w:r>
              <w:rPr>
                <w:rFonts w:hint="eastAsia" w:ascii="黑体" w:hAnsi="黑体" w:eastAsia="黑体" w:cs="黑体"/>
                <w:color w:val="auto"/>
                <w:spacing w:val="3"/>
                <w:sz w:val="24"/>
                <w:szCs w:val="24"/>
              </w:rPr>
              <w:t>（基准价/投标报价）×价格权重×100。</w:t>
            </w:r>
          </w:p>
        </w:tc>
        <w:tc>
          <w:tcPr>
            <w:tcW w:w="1681" w:type="dxa"/>
            <w:vAlign w:val="top"/>
          </w:tcPr>
          <w:p w14:paraId="11D12A24">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bCs/>
                <w:color w:val="auto"/>
                <w:spacing w:val="32"/>
                <w:sz w:val="24"/>
                <w:szCs w:val="24"/>
              </w:rPr>
              <w:t>投标报价超过采购预算价的按废标</w:t>
            </w:r>
            <w:r>
              <w:rPr>
                <w:rFonts w:hint="eastAsia" w:ascii="黑体" w:hAnsi="黑体" w:eastAsia="黑体" w:cs="黑体"/>
                <w:b/>
                <w:bCs/>
                <w:color w:val="auto"/>
                <w:spacing w:val="8"/>
                <w:sz w:val="24"/>
                <w:szCs w:val="24"/>
              </w:rPr>
              <w:t>处理</w:t>
            </w:r>
          </w:p>
        </w:tc>
      </w:tr>
      <w:tr w14:paraId="6C0F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32" w:type="dxa"/>
            <w:vAlign w:val="center"/>
          </w:tcPr>
          <w:p w14:paraId="3B0CFEBD">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4"/>
                <w:sz w:val="24"/>
                <w:szCs w:val="24"/>
              </w:rPr>
              <w:t>商务评</w:t>
            </w:r>
            <w:r>
              <w:rPr>
                <w:rFonts w:hint="eastAsia" w:ascii="黑体" w:hAnsi="黑体" w:eastAsia="黑体" w:cs="黑体"/>
                <w:b/>
                <w:bCs/>
                <w:color w:val="auto"/>
                <w:spacing w:val="9"/>
                <w:sz w:val="24"/>
                <w:szCs w:val="24"/>
              </w:rPr>
              <w:t>分标准</w:t>
            </w:r>
          </w:p>
        </w:tc>
        <w:tc>
          <w:tcPr>
            <w:tcW w:w="750" w:type="dxa"/>
            <w:vAlign w:val="center"/>
          </w:tcPr>
          <w:p w14:paraId="302A19C6">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3"/>
                <w:sz w:val="24"/>
                <w:szCs w:val="24"/>
                <w:lang w:val="en-US" w:eastAsia="zh-CN"/>
              </w:rPr>
              <w:t>5分</w:t>
            </w:r>
          </w:p>
        </w:tc>
        <w:tc>
          <w:tcPr>
            <w:tcW w:w="6090" w:type="dxa"/>
            <w:vAlign w:val="top"/>
          </w:tcPr>
          <w:p w14:paraId="607ABAA7">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left"/>
              <w:textAlignment w:val="baseline"/>
              <w:rPr>
                <w:rFonts w:hint="eastAsia" w:ascii="黑体" w:hAnsi="黑体" w:eastAsia="黑体" w:cs="黑体"/>
                <w:b w:val="0"/>
                <w:bCs w:val="0"/>
                <w:color w:val="auto"/>
                <w:spacing w:val="8"/>
                <w:sz w:val="24"/>
                <w:szCs w:val="24"/>
              </w:rPr>
            </w:pPr>
            <w:r>
              <w:rPr>
                <w:rFonts w:hint="eastAsia" w:ascii="黑体" w:hAnsi="黑体" w:eastAsia="黑体" w:cs="黑体"/>
                <w:b w:val="0"/>
                <w:bCs w:val="0"/>
                <w:color w:val="auto"/>
                <w:spacing w:val="8"/>
                <w:sz w:val="24"/>
                <w:szCs w:val="24"/>
              </w:rPr>
              <w:t>业绩：供应商需提供近三年（投标截止时间向前推算）类似项目的业绩，每提供1个业绩得2.5分，最高得5分；</w:t>
            </w:r>
          </w:p>
          <w:p w14:paraId="48D9D8AF">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left"/>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8"/>
                <w:sz w:val="24"/>
                <w:szCs w:val="24"/>
              </w:rPr>
              <w:t>注：以上业绩证明材料须提供合同协议书首页、内容页、盖章页及中标（成交）通知书扫描件加盖公章</w:t>
            </w:r>
            <w:r>
              <w:rPr>
                <w:rFonts w:hint="eastAsia" w:ascii="黑体" w:hAnsi="黑体" w:eastAsia="黑体" w:cs="黑体"/>
                <w:b/>
                <w:bCs/>
                <w:color w:val="auto"/>
                <w:spacing w:val="8"/>
                <w:sz w:val="24"/>
                <w:szCs w:val="24"/>
                <w:lang w:val="en-US" w:eastAsia="zh-CN"/>
              </w:rPr>
              <w:t>制作</w:t>
            </w:r>
            <w:r>
              <w:rPr>
                <w:rFonts w:hint="eastAsia" w:ascii="黑体" w:hAnsi="黑体" w:eastAsia="黑体" w:cs="黑体"/>
                <w:b/>
                <w:bCs/>
                <w:color w:val="auto"/>
                <w:spacing w:val="8"/>
                <w:sz w:val="24"/>
                <w:szCs w:val="24"/>
              </w:rPr>
              <w:t>至投标文件内</w:t>
            </w:r>
            <w:r>
              <w:rPr>
                <w:rFonts w:hint="eastAsia" w:ascii="黑体" w:hAnsi="黑体" w:eastAsia="黑体" w:cs="黑体"/>
                <w:b/>
                <w:bCs/>
                <w:color w:val="auto"/>
                <w:spacing w:val="8"/>
                <w:sz w:val="24"/>
                <w:szCs w:val="24"/>
                <w:lang w:eastAsia="zh-CN"/>
              </w:rPr>
              <w:t>。</w:t>
            </w:r>
            <w:r>
              <w:rPr>
                <w:rFonts w:hint="eastAsia" w:ascii="黑体" w:hAnsi="黑体" w:eastAsia="黑体" w:cs="黑体"/>
                <w:b/>
                <w:bCs/>
                <w:color w:val="auto"/>
                <w:spacing w:val="8"/>
                <w:sz w:val="24"/>
                <w:szCs w:val="24"/>
                <w:lang w:val="en-US" w:eastAsia="zh-CN"/>
              </w:rPr>
              <w:t>内容模糊无法辨认，盖章不清晰或</w:t>
            </w:r>
            <w:r>
              <w:rPr>
                <w:rFonts w:hint="eastAsia" w:ascii="黑体" w:hAnsi="黑体" w:eastAsia="黑体" w:cs="黑体"/>
                <w:b/>
                <w:bCs/>
                <w:color w:val="auto"/>
                <w:spacing w:val="4"/>
                <w:sz w:val="24"/>
                <w:szCs w:val="24"/>
              </w:rPr>
              <w:t>未</w:t>
            </w:r>
            <w:r>
              <w:rPr>
                <w:rFonts w:hint="eastAsia" w:ascii="黑体" w:hAnsi="黑体" w:eastAsia="黑体" w:cs="黑体"/>
                <w:b/>
                <w:bCs/>
                <w:color w:val="auto"/>
                <w:spacing w:val="3"/>
                <w:sz w:val="24"/>
                <w:szCs w:val="24"/>
              </w:rPr>
              <w:t>提供的不得分。</w:t>
            </w:r>
          </w:p>
        </w:tc>
        <w:tc>
          <w:tcPr>
            <w:tcW w:w="1681" w:type="dxa"/>
            <w:vAlign w:val="top"/>
          </w:tcPr>
          <w:p w14:paraId="226A29B6">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b/>
                <w:bCs/>
                <w:snapToGrid w:val="0"/>
                <w:color w:val="auto"/>
                <w:kern w:val="0"/>
                <w:sz w:val="24"/>
                <w:szCs w:val="24"/>
                <w:lang w:val="en-US" w:eastAsia="en-US" w:bidi="ar-SA"/>
              </w:rPr>
            </w:pPr>
          </w:p>
        </w:tc>
      </w:tr>
      <w:tr w14:paraId="3FE2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932" w:type="dxa"/>
            <w:vMerge w:val="restart"/>
            <w:vAlign w:val="center"/>
          </w:tcPr>
          <w:p w14:paraId="6E208997">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4"/>
                <w:sz w:val="24"/>
                <w:szCs w:val="24"/>
              </w:rPr>
              <w:t>技术评</w:t>
            </w:r>
            <w:r>
              <w:rPr>
                <w:rFonts w:hint="eastAsia" w:ascii="黑体" w:hAnsi="黑体" w:eastAsia="黑体" w:cs="黑体"/>
                <w:b/>
                <w:bCs/>
                <w:color w:val="auto"/>
                <w:spacing w:val="9"/>
                <w:sz w:val="24"/>
                <w:szCs w:val="24"/>
              </w:rPr>
              <w:t>分标准</w:t>
            </w:r>
          </w:p>
        </w:tc>
        <w:tc>
          <w:tcPr>
            <w:tcW w:w="750" w:type="dxa"/>
            <w:vAlign w:val="center"/>
          </w:tcPr>
          <w:p w14:paraId="5786DAF4">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3"/>
                <w:sz w:val="24"/>
                <w:szCs w:val="24"/>
                <w:lang w:val="en-US" w:eastAsia="zh-CN"/>
              </w:rPr>
              <w:t>42分</w:t>
            </w:r>
          </w:p>
        </w:tc>
        <w:tc>
          <w:tcPr>
            <w:tcW w:w="6090" w:type="dxa"/>
            <w:vAlign w:val="top"/>
          </w:tcPr>
          <w:p w14:paraId="0FE62F2C">
            <w:pPr>
              <w:keepNext w:val="0"/>
              <w:keepLines w:val="0"/>
              <w:pageBreakBefore w:val="0"/>
              <w:widowControl/>
              <w:kinsoku/>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rPr>
            </w:pPr>
            <w:r>
              <w:rPr>
                <w:rFonts w:hint="eastAsia" w:ascii="黑体" w:hAnsi="黑体" w:eastAsia="黑体" w:cs="黑体"/>
                <w:color w:val="auto"/>
                <w:spacing w:val="10"/>
                <w:sz w:val="24"/>
                <w:szCs w:val="24"/>
              </w:rPr>
              <w:t>技术参数：根据所投产品的配置与性能指标响应程度打分。完全满足招标要求的得3</w:t>
            </w:r>
            <w:r>
              <w:rPr>
                <w:rFonts w:hint="eastAsia" w:ascii="黑体" w:hAnsi="黑体" w:eastAsia="黑体" w:cs="黑体"/>
                <w:color w:val="auto"/>
                <w:spacing w:val="10"/>
                <w:sz w:val="24"/>
                <w:szCs w:val="24"/>
                <w:lang w:val="en-US" w:eastAsia="zh-CN"/>
              </w:rPr>
              <w:t>7</w:t>
            </w:r>
            <w:r>
              <w:rPr>
                <w:rFonts w:hint="eastAsia" w:ascii="黑体" w:hAnsi="黑体" w:eastAsia="黑体" w:cs="黑体"/>
                <w:color w:val="auto"/>
                <w:spacing w:val="10"/>
                <w:sz w:val="24"/>
                <w:szCs w:val="24"/>
              </w:rPr>
              <w:t>分。标“▲”技术参数为重要参数，每有一项负偏离扣</w:t>
            </w:r>
            <w:r>
              <w:rPr>
                <w:rFonts w:hint="eastAsia" w:ascii="黑体" w:hAnsi="黑体" w:eastAsia="黑体" w:cs="黑体"/>
                <w:color w:val="auto"/>
                <w:spacing w:val="10"/>
                <w:sz w:val="24"/>
                <w:szCs w:val="24"/>
                <w:lang w:val="en-US" w:eastAsia="zh-CN"/>
              </w:rPr>
              <w:t>3</w:t>
            </w:r>
            <w:r>
              <w:rPr>
                <w:rFonts w:hint="eastAsia" w:ascii="黑体" w:hAnsi="黑体" w:eastAsia="黑体" w:cs="黑体"/>
                <w:color w:val="auto"/>
                <w:spacing w:val="10"/>
                <w:sz w:val="24"/>
                <w:szCs w:val="24"/>
              </w:rPr>
              <w:t>分；一般参数每有一项负偏离扣</w:t>
            </w:r>
            <w:r>
              <w:rPr>
                <w:rFonts w:hint="eastAsia" w:ascii="黑体" w:hAnsi="黑体" w:eastAsia="黑体" w:cs="黑体"/>
                <w:color w:val="auto"/>
                <w:spacing w:val="10"/>
                <w:sz w:val="24"/>
                <w:szCs w:val="24"/>
                <w:lang w:val="en-US" w:eastAsia="zh-CN"/>
              </w:rPr>
              <w:t>1</w:t>
            </w:r>
            <w:r>
              <w:rPr>
                <w:rFonts w:hint="eastAsia" w:ascii="黑体" w:hAnsi="黑体" w:eastAsia="黑体" w:cs="黑体"/>
                <w:color w:val="auto"/>
                <w:spacing w:val="10"/>
                <w:sz w:val="24"/>
                <w:szCs w:val="24"/>
              </w:rPr>
              <w:t>分，直至扣完为止。经专家认定的实质性技术参数每有一项正偏离加1分，最高加5分。本项最高得</w:t>
            </w:r>
            <w:r>
              <w:rPr>
                <w:rFonts w:hint="eastAsia" w:ascii="黑体" w:hAnsi="黑体" w:eastAsia="黑体" w:cs="黑体"/>
                <w:color w:val="auto"/>
                <w:spacing w:val="10"/>
                <w:sz w:val="24"/>
                <w:szCs w:val="24"/>
                <w:lang w:val="en-US" w:eastAsia="zh-CN"/>
              </w:rPr>
              <w:t>42</w:t>
            </w:r>
            <w:r>
              <w:rPr>
                <w:rFonts w:hint="eastAsia" w:ascii="黑体" w:hAnsi="黑体" w:eastAsia="黑体" w:cs="黑体"/>
                <w:color w:val="auto"/>
                <w:spacing w:val="10"/>
                <w:sz w:val="24"/>
                <w:szCs w:val="24"/>
              </w:rPr>
              <w:t>分。</w:t>
            </w:r>
          </w:p>
          <w:p w14:paraId="1FC46FE6">
            <w:pPr>
              <w:keepNext w:val="0"/>
              <w:keepLines w:val="0"/>
              <w:pageBreakBefore w:val="0"/>
              <w:widowControl/>
              <w:kinsoku/>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bCs/>
                <w:color w:val="auto"/>
                <w:spacing w:val="10"/>
                <w:sz w:val="24"/>
                <w:szCs w:val="24"/>
              </w:rPr>
              <w:t>注：正偏离参数须提供相关佐证资料，否则视为无效。</w:t>
            </w:r>
          </w:p>
        </w:tc>
        <w:tc>
          <w:tcPr>
            <w:tcW w:w="1681" w:type="dxa"/>
            <w:vMerge w:val="restart"/>
            <w:vAlign w:val="center"/>
          </w:tcPr>
          <w:p w14:paraId="7314C144">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center"/>
              <w:textAlignment w:val="baseline"/>
              <w:rPr>
                <w:rFonts w:hint="eastAsia" w:ascii="黑体" w:hAnsi="黑体" w:eastAsia="黑体" w:cs="黑体"/>
                <w:b/>
                <w:bCs/>
                <w:color w:val="auto"/>
                <w:spacing w:val="32"/>
                <w:sz w:val="24"/>
                <w:szCs w:val="24"/>
              </w:rPr>
            </w:pPr>
            <w:r>
              <w:rPr>
                <w:rFonts w:hint="eastAsia" w:ascii="黑体" w:hAnsi="黑体" w:eastAsia="黑体" w:cs="黑体"/>
                <w:b/>
                <w:bCs/>
                <w:color w:val="auto"/>
                <w:spacing w:val="32"/>
                <w:sz w:val="24"/>
                <w:szCs w:val="24"/>
              </w:rPr>
              <w:t>根据需求提供必要的证明资料</w:t>
            </w:r>
          </w:p>
        </w:tc>
      </w:tr>
      <w:tr w14:paraId="27DE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32" w:type="dxa"/>
            <w:vMerge w:val="continue"/>
            <w:vAlign w:val="center"/>
          </w:tcPr>
          <w:p w14:paraId="6C958AEC">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p>
        </w:tc>
        <w:tc>
          <w:tcPr>
            <w:tcW w:w="750" w:type="dxa"/>
            <w:vAlign w:val="center"/>
          </w:tcPr>
          <w:p w14:paraId="3339F2BB">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088F6299">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3"/>
                <w:sz w:val="24"/>
                <w:szCs w:val="24"/>
                <w:lang w:val="en-US" w:eastAsia="zh-CN"/>
              </w:rPr>
              <w:t>3分</w:t>
            </w:r>
          </w:p>
        </w:tc>
        <w:tc>
          <w:tcPr>
            <w:tcW w:w="6090" w:type="dxa"/>
            <w:vAlign w:val="top"/>
          </w:tcPr>
          <w:p w14:paraId="38C03B03">
            <w:pPr>
              <w:keepNext w:val="0"/>
              <w:keepLines w:val="0"/>
              <w:pageBreakBefore w:val="0"/>
              <w:widowControl/>
              <w:kinsoku/>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b w:val="0"/>
                <w:bCs w:val="0"/>
                <w:color w:val="auto"/>
                <w:spacing w:val="10"/>
                <w:sz w:val="24"/>
                <w:szCs w:val="24"/>
              </w:rPr>
              <w:t>检测报告：</w:t>
            </w:r>
            <w:r>
              <w:rPr>
                <w:rFonts w:hint="eastAsia" w:ascii="黑体" w:hAnsi="黑体" w:eastAsia="黑体" w:cs="黑体"/>
                <w:color w:val="auto"/>
                <w:spacing w:val="10"/>
                <w:sz w:val="24"/>
                <w:szCs w:val="24"/>
              </w:rPr>
              <w:t>提供所有设备由国家权威质量检测机构或第三方机构出具</w:t>
            </w:r>
            <w:r>
              <w:rPr>
                <w:rFonts w:hint="eastAsia" w:ascii="黑体" w:hAnsi="黑体" w:eastAsia="黑体" w:cs="黑体"/>
                <w:color w:val="auto"/>
                <w:spacing w:val="8"/>
                <w:sz w:val="24"/>
                <w:szCs w:val="24"/>
              </w:rPr>
              <w:t>的完整的检测检验报告得</w:t>
            </w:r>
            <w:r>
              <w:rPr>
                <w:rFonts w:hint="eastAsia" w:ascii="黑体" w:hAnsi="黑体" w:eastAsia="黑体" w:cs="黑体"/>
                <w:color w:val="auto"/>
                <w:spacing w:val="8"/>
                <w:sz w:val="24"/>
                <w:szCs w:val="24"/>
                <w:lang w:val="en-US" w:eastAsia="zh-CN"/>
              </w:rPr>
              <w:t>3</w:t>
            </w:r>
            <w:r>
              <w:rPr>
                <w:rFonts w:hint="eastAsia" w:ascii="黑体" w:hAnsi="黑体" w:eastAsia="黑体" w:cs="黑体"/>
                <w:color w:val="auto"/>
                <w:spacing w:val="8"/>
                <w:sz w:val="24"/>
                <w:szCs w:val="24"/>
              </w:rPr>
              <w:t>分，检测内容必须与</w:t>
            </w:r>
            <w:r>
              <w:rPr>
                <w:rFonts w:hint="eastAsia" w:ascii="黑体" w:hAnsi="黑体" w:eastAsia="黑体" w:cs="黑体"/>
                <w:color w:val="auto"/>
                <w:spacing w:val="7"/>
                <w:sz w:val="24"/>
                <w:szCs w:val="24"/>
              </w:rPr>
              <w:t>参数要求内容相符，</w:t>
            </w:r>
            <w:r>
              <w:rPr>
                <w:rFonts w:hint="eastAsia" w:ascii="黑体" w:hAnsi="黑体" w:eastAsia="黑体" w:cs="黑体"/>
                <w:color w:val="auto"/>
                <w:spacing w:val="8"/>
                <w:sz w:val="24"/>
                <w:szCs w:val="24"/>
              </w:rPr>
              <w:t>不提供或提供不全不得分。</w:t>
            </w:r>
          </w:p>
        </w:tc>
        <w:tc>
          <w:tcPr>
            <w:tcW w:w="1681" w:type="dxa"/>
            <w:vMerge w:val="continue"/>
            <w:vAlign w:val="top"/>
          </w:tcPr>
          <w:p w14:paraId="441E523D">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both"/>
              <w:textAlignment w:val="baseline"/>
              <w:rPr>
                <w:rFonts w:hint="eastAsia" w:ascii="黑体" w:hAnsi="黑体" w:eastAsia="黑体" w:cs="黑体"/>
                <w:b/>
                <w:bCs/>
                <w:color w:val="auto"/>
                <w:spacing w:val="32"/>
                <w:sz w:val="24"/>
                <w:szCs w:val="24"/>
              </w:rPr>
            </w:pPr>
          </w:p>
        </w:tc>
      </w:tr>
      <w:tr w14:paraId="54DE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continue"/>
            <w:vAlign w:val="center"/>
          </w:tcPr>
          <w:p w14:paraId="2AE7B3B4">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p>
        </w:tc>
        <w:tc>
          <w:tcPr>
            <w:tcW w:w="750" w:type="dxa"/>
            <w:vAlign w:val="center"/>
          </w:tcPr>
          <w:p w14:paraId="7FC2491C">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382A4B15">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4C3778BA">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03A82F09">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7BE133FC">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61099791">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3"/>
                <w:sz w:val="24"/>
                <w:szCs w:val="24"/>
                <w:lang w:val="en-US" w:eastAsia="zh-CN"/>
              </w:rPr>
              <w:t>5分</w:t>
            </w:r>
          </w:p>
        </w:tc>
        <w:tc>
          <w:tcPr>
            <w:tcW w:w="6090" w:type="dxa"/>
            <w:vAlign w:val="top"/>
          </w:tcPr>
          <w:p w14:paraId="41B1B19A">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lang w:val="en-US" w:eastAsia="en-US"/>
              </w:rPr>
            </w:pPr>
            <w:r>
              <w:rPr>
                <w:rFonts w:hint="eastAsia" w:ascii="黑体" w:hAnsi="黑体" w:eastAsia="黑体" w:cs="黑体"/>
                <w:color w:val="auto"/>
                <w:spacing w:val="10"/>
                <w:sz w:val="24"/>
                <w:szCs w:val="24"/>
                <w:lang w:val="en-US" w:eastAsia="en-US"/>
              </w:rPr>
              <w:t>实施方案：</w:t>
            </w:r>
          </w:p>
          <w:p w14:paraId="68D97026">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lang w:val="en-US" w:eastAsia="en-US"/>
              </w:rPr>
            </w:pPr>
            <w:r>
              <w:rPr>
                <w:rFonts w:hint="eastAsia" w:ascii="黑体" w:hAnsi="黑体" w:eastAsia="黑体" w:cs="黑体"/>
                <w:color w:val="auto"/>
                <w:spacing w:val="10"/>
                <w:sz w:val="24"/>
                <w:szCs w:val="24"/>
                <w:lang w:val="en-US" w:eastAsia="en-US"/>
              </w:rPr>
              <w:t>1、提供的实施组织机构、履约人员、分工安排、责任划分，能确保项目顺利实施的得</w:t>
            </w:r>
            <w:r>
              <w:rPr>
                <w:rFonts w:hint="eastAsia" w:ascii="黑体" w:hAnsi="黑体" w:eastAsia="黑体" w:cs="黑体"/>
                <w:color w:val="auto"/>
                <w:spacing w:val="10"/>
                <w:sz w:val="24"/>
                <w:szCs w:val="24"/>
                <w:lang w:val="en-US" w:eastAsia="zh-CN"/>
              </w:rPr>
              <w:t>3</w:t>
            </w:r>
            <w:r>
              <w:rPr>
                <w:rFonts w:hint="eastAsia" w:ascii="黑体" w:hAnsi="黑体" w:eastAsia="黑体" w:cs="黑体"/>
                <w:color w:val="auto"/>
                <w:spacing w:val="10"/>
                <w:sz w:val="24"/>
                <w:szCs w:val="24"/>
                <w:lang w:val="en-US" w:eastAsia="en-US"/>
              </w:rPr>
              <w:t>分，每缺一项扣1分，扣完为止。满分</w:t>
            </w:r>
            <w:r>
              <w:rPr>
                <w:rFonts w:hint="eastAsia" w:ascii="黑体" w:hAnsi="黑体" w:eastAsia="黑体" w:cs="黑体"/>
                <w:color w:val="auto"/>
                <w:spacing w:val="10"/>
                <w:sz w:val="24"/>
                <w:szCs w:val="24"/>
                <w:lang w:val="en-US" w:eastAsia="zh-CN"/>
              </w:rPr>
              <w:t>3</w:t>
            </w:r>
            <w:r>
              <w:rPr>
                <w:rFonts w:hint="eastAsia" w:ascii="黑体" w:hAnsi="黑体" w:eastAsia="黑体" w:cs="黑体"/>
                <w:color w:val="auto"/>
                <w:spacing w:val="10"/>
                <w:sz w:val="24"/>
                <w:szCs w:val="24"/>
                <w:lang w:val="en-US" w:eastAsia="en-US"/>
              </w:rPr>
              <w:t>分，不提供不得分。</w:t>
            </w:r>
          </w:p>
          <w:p w14:paraId="5DABCC3E">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lang w:val="en-US" w:eastAsia="en-US"/>
              </w:rPr>
            </w:pPr>
            <w:r>
              <w:rPr>
                <w:rFonts w:hint="eastAsia" w:ascii="黑体" w:hAnsi="黑体" w:eastAsia="黑体" w:cs="黑体"/>
                <w:color w:val="auto"/>
                <w:spacing w:val="10"/>
                <w:sz w:val="24"/>
                <w:szCs w:val="24"/>
                <w:lang w:val="en-US" w:eastAsia="en-US"/>
              </w:rPr>
              <w:t>2、提供完整的供货方案和计划安排，能够完全满足采购人实际需求，配送及安装能够及时保证产品安全、保质、保量完成配送及安装得</w:t>
            </w:r>
            <w:r>
              <w:rPr>
                <w:rFonts w:hint="eastAsia" w:ascii="黑体" w:hAnsi="黑体" w:eastAsia="黑体" w:cs="黑体"/>
                <w:color w:val="auto"/>
                <w:spacing w:val="10"/>
                <w:sz w:val="24"/>
                <w:szCs w:val="24"/>
                <w:lang w:val="en-US" w:eastAsia="zh-CN"/>
              </w:rPr>
              <w:t>1</w:t>
            </w:r>
            <w:r>
              <w:rPr>
                <w:rFonts w:hint="eastAsia" w:ascii="黑体" w:hAnsi="黑体" w:eastAsia="黑体" w:cs="黑体"/>
                <w:color w:val="auto"/>
                <w:spacing w:val="10"/>
                <w:sz w:val="24"/>
                <w:szCs w:val="24"/>
                <w:lang w:val="en-US" w:eastAsia="en-US"/>
              </w:rPr>
              <w:t>分。满分</w:t>
            </w:r>
            <w:r>
              <w:rPr>
                <w:rFonts w:hint="eastAsia" w:ascii="黑体" w:hAnsi="黑体" w:eastAsia="黑体" w:cs="黑体"/>
                <w:color w:val="auto"/>
                <w:spacing w:val="10"/>
                <w:sz w:val="24"/>
                <w:szCs w:val="24"/>
                <w:lang w:val="en-US" w:eastAsia="zh-CN"/>
              </w:rPr>
              <w:t>1</w:t>
            </w:r>
            <w:r>
              <w:rPr>
                <w:rFonts w:hint="eastAsia" w:ascii="黑体" w:hAnsi="黑体" w:eastAsia="黑体" w:cs="黑体"/>
                <w:color w:val="auto"/>
                <w:spacing w:val="10"/>
                <w:sz w:val="24"/>
                <w:szCs w:val="24"/>
                <w:lang w:val="en-US" w:eastAsia="en-US"/>
              </w:rPr>
              <w:t>分，不提供不得分。</w:t>
            </w:r>
          </w:p>
          <w:p w14:paraId="4E4A82D7">
            <w:pPr>
              <w:keepNext w:val="0"/>
              <w:keepLines w:val="0"/>
              <w:pageBreakBefore w:val="0"/>
              <w:widowControl/>
              <w:kinsoku w:val="0"/>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lang w:val="en-US" w:eastAsia="en-US"/>
              </w:rPr>
            </w:pPr>
            <w:r>
              <w:rPr>
                <w:rFonts w:hint="eastAsia" w:ascii="黑体" w:hAnsi="黑体" w:eastAsia="黑体" w:cs="黑体"/>
                <w:color w:val="auto"/>
                <w:spacing w:val="10"/>
                <w:sz w:val="24"/>
                <w:szCs w:val="24"/>
                <w:lang w:val="en-US" w:eastAsia="en-US"/>
              </w:rPr>
              <w:t>3、提供产品运输、装卸、存放过程中的突发状况应急处理措施</w:t>
            </w:r>
            <w:r>
              <w:rPr>
                <w:rFonts w:hint="eastAsia" w:ascii="黑体" w:hAnsi="黑体" w:eastAsia="黑体" w:cs="黑体"/>
                <w:color w:val="auto"/>
                <w:spacing w:val="10"/>
                <w:sz w:val="24"/>
                <w:szCs w:val="24"/>
                <w:lang w:val="en-US" w:eastAsia="zh-CN"/>
              </w:rPr>
              <w:t>方案满足项目需求，</w:t>
            </w:r>
            <w:r>
              <w:rPr>
                <w:rFonts w:hint="eastAsia" w:ascii="黑体" w:hAnsi="黑体" w:eastAsia="黑体" w:cs="黑体"/>
                <w:color w:val="auto"/>
                <w:spacing w:val="10"/>
                <w:sz w:val="24"/>
                <w:szCs w:val="24"/>
                <w:lang w:val="en-US" w:eastAsia="en-US"/>
              </w:rPr>
              <w:t>能够保证产品在突发状况下仍能安全、保质、保量完成配送得</w:t>
            </w:r>
            <w:r>
              <w:rPr>
                <w:rFonts w:hint="eastAsia" w:ascii="黑体" w:hAnsi="黑体" w:eastAsia="黑体" w:cs="黑体"/>
                <w:color w:val="auto"/>
                <w:spacing w:val="10"/>
                <w:sz w:val="24"/>
                <w:szCs w:val="24"/>
                <w:lang w:val="en-US" w:eastAsia="zh-CN"/>
              </w:rPr>
              <w:t>1</w:t>
            </w:r>
            <w:r>
              <w:rPr>
                <w:rFonts w:hint="eastAsia" w:ascii="黑体" w:hAnsi="黑体" w:eastAsia="黑体" w:cs="黑体"/>
                <w:color w:val="auto"/>
                <w:spacing w:val="10"/>
                <w:sz w:val="24"/>
                <w:szCs w:val="24"/>
                <w:lang w:val="en-US" w:eastAsia="en-US"/>
              </w:rPr>
              <w:t>分。满分</w:t>
            </w:r>
            <w:r>
              <w:rPr>
                <w:rFonts w:hint="eastAsia" w:ascii="黑体" w:hAnsi="黑体" w:eastAsia="黑体" w:cs="黑体"/>
                <w:color w:val="auto"/>
                <w:spacing w:val="10"/>
                <w:sz w:val="24"/>
                <w:szCs w:val="24"/>
                <w:lang w:val="en-US" w:eastAsia="zh-CN"/>
              </w:rPr>
              <w:t>1</w:t>
            </w:r>
            <w:r>
              <w:rPr>
                <w:rFonts w:hint="eastAsia" w:ascii="黑体" w:hAnsi="黑体" w:eastAsia="黑体" w:cs="黑体"/>
                <w:color w:val="auto"/>
                <w:spacing w:val="10"/>
                <w:sz w:val="24"/>
                <w:szCs w:val="24"/>
                <w:lang w:val="en-US" w:eastAsia="en-US"/>
              </w:rPr>
              <w:t>分，不提供不得分。</w:t>
            </w:r>
          </w:p>
        </w:tc>
        <w:tc>
          <w:tcPr>
            <w:tcW w:w="1681" w:type="dxa"/>
            <w:vMerge w:val="continue"/>
            <w:vAlign w:val="top"/>
          </w:tcPr>
          <w:p w14:paraId="2D867CF5">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both"/>
              <w:textAlignment w:val="baseline"/>
              <w:rPr>
                <w:rFonts w:hint="eastAsia" w:ascii="黑体" w:hAnsi="黑体" w:eastAsia="黑体" w:cs="黑体"/>
                <w:b/>
                <w:bCs/>
                <w:color w:val="auto"/>
                <w:spacing w:val="32"/>
                <w:sz w:val="24"/>
                <w:szCs w:val="24"/>
              </w:rPr>
            </w:pPr>
          </w:p>
        </w:tc>
      </w:tr>
      <w:tr w14:paraId="55DE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32" w:type="dxa"/>
            <w:vMerge w:val="continue"/>
            <w:vAlign w:val="center"/>
          </w:tcPr>
          <w:p w14:paraId="0754731E">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p>
        </w:tc>
        <w:tc>
          <w:tcPr>
            <w:tcW w:w="750" w:type="dxa"/>
            <w:vAlign w:val="center"/>
          </w:tcPr>
          <w:p w14:paraId="60F3C135">
            <w:pPr>
              <w:pStyle w:val="17"/>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50F06B5E">
            <w:pPr>
              <w:keepNext w:val="0"/>
              <w:keepLines w:val="0"/>
              <w:pageBreakBefore w:val="0"/>
              <w:widowControl/>
              <w:kinsoku/>
              <w:wordWrap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z w:val="24"/>
                <w:szCs w:val="24"/>
              </w:rPr>
              <w:t>5</w:t>
            </w:r>
            <w:r>
              <w:rPr>
                <w:rFonts w:hint="eastAsia" w:ascii="黑体" w:hAnsi="黑体" w:eastAsia="黑体" w:cs="黑体"/>
                <w:b/>
                <w:bCs/>
                <w:color w:val="auto"/>
                <w:spacing w:val="-3"/>
                <w:sz w:val="24"/>
                <w:szCs w:val="24"/>
                <w:lang w:val="en-US" w:eastAsia="zh-CN"/>
              </w:rPr>
              <w:t>分</w:t>
            </w:r>
          </w:p>
        </w:tc>
        <w:tc>
          <w:tcPr>
            <w:tcW w:w="6090" w:type="dxa"/>
            <w:vAlign w:val="top"/>
          </w:tcPr>
          <w:p w14:paraId="6E37916A">
            <w:pPr>
              <w:keepNext w:val="0"/>
              <w:keepLines w:val="0"/>
              <w:pageBreakBefore w:val="0"/>
              <w:widowControl/>
              <w:kinsoku/>
              <w:wordWrap w:val="0"/>
              <w:overflowPunct/>
              <w:topLinePunct w:val="0"/>
              <w:autoSpaceDE/>
              <w:autoSpaceDN/>
              <w:bidi w:val="0"/>
              <w:adjustRightInd w:val="0"/>
              <w:snapToGrid w:val="0"/>
              <w:spacing w:line="440" w:lineRule="exact"/>
              <w:ind w:right="0" w:rightChars="0"/>
              <w:jc w:val="both"/>
              <w:textAlignment w:val="baseline"/>
              <w:rPr>
                <w:rFonts w:hint="eastAsia" w:ascii="黑体" w:hAnsi="黑体" w:eastAsia="黑体" w:cs="黑体"/>
                <w:color w:val="auto"/>
                <w:spacing w:val="10"/>
                <w:sz w:val="24"/>
                <w:szCs w:val="24"/>
                <w:lang w:val="en-US" w:eastAsia="en-US"/>
              </w:rPr>
            </w:pPr>
            <w:r>
              <w:rPr>
                <w:rFonts w:hint="eastAsia" w:ascii="黑体" w:hAnsi="黑体" w:eastAsia="黑体" w:cs="黑体"/>
                <w:color w:val="auto"/>
                <w:spacing w:val="10"/>
                <w:sz w:val="24"/>
                <w:szCs w:val="24"/>
              </w:rPr>
              <w:t>培训方案：培训计划情况，应含详细合理的培训方案（包含：①培训时间；②培训地点；③培训产品基本原理、④操作使用和保养维修；⑤培训方式）培训方案中包含以上每项内容，且方案切实可行，满足采购方需求</w:t>
            </w:r>
            <w:r>
              <w:rPr>
                <w:rFonts w:hint="eastAsia" w:ascii="黑体" w:hAnsi="黑体" w:eastAsia="黑体" w:cs="黑体"/>
                <w:color w:val="auto"/>
                <w:spacing w:val="10"/>
                <w:sz w:val="24"/>
                <w:szCs w:val="24"/>
                <w:lang w:val="en-US" w:eastAsia="zh-CN"/>
              </w:rPr>
              <w:t>的</w:t>
            </w:r>
            <w:r>
              <w:rPr>
                <w:rFonts w:hint="eastAsia" w:ascii="黑体" w:hAnsi="黑体" w:eastAsia="黑体" w:cs="黑体"/>
                <w:color w:val="auto"/>
                <w:spacing w:val="10"/>
                <w:sz w:val="24"/>
                <w:szCs w:val="24"/>
              </w:rPr>
              <w:t>得5分</w:t>
            </w:r>
            <w:r>
              <w:rPr>
                <w:rFonts w:hint="eastAsia" w:ascii="黑体" w:hAnsi="黑体" w:eastAsia="黑体" w:cs="黑体"/>
                <w:color w:val="auto"/>
                <w:spacing w:val="10"/>
                <w:sz w:val="24"/>
                <w:szCs w:val="24"/>
                <w:lang w:eastAsia="zh-CN"/>
              </w:rPr>
              <w:t>；每缺一项内容、内容阐述不清晰</w:t>
            </w:r>
            <w:r>
              <w:rPr>
                <w:rFonts w:hint="eastAsia" w:ascii="黑体" w:hAnsi="黑体" w:eastAsia="黑体" w:cs="黑体"/>
                <w:color w:val="auto"/>
                <w:spacing w:val="10"/>
                <w:sz w:val="24"/>
                <w:szCs w:val="24"/>
              </w:rPr>
              <w:t>、</w:t>
            </w:r>
            <w:r>
              <w:rPr>
                <w:rFonts w:hint="eastAsia" w:ascii="黑体" w:hAnsi="黑体" w:eastAsia="黑体" w:cs="黑体"/>
                <w:color w:val="auto"/>
                <w:spacing w:val="10"/>
                <w:sz w:val="24"/>
                <w:szCs w:val="24"/>
                <w:lang w:val="en-US" w:eastAsia="zh-CN"/>
              </w:rPr>
              <w:t>阐述内容</w:t>
            </w:r>
            <w:r>
              <w:rPr>
                <w:rFonts w:hint="eastAsia" w:ascii="黑体" w:hAnsi="黑体" w:eastAsia="黑体" w:cs="黑体"/>
                <w:color w:val="auto"/>
                <w:spacing w:val="10"/>
                <w:sz w:val="24"/>
                <w:szCs w:val="24"/>
              </w:rPr>
              <w:t>不符合</w:t>
            </w:r>
            <w:r>
              <w:rPr>
                <w:rFonts w:hint="eastAsia" w:ascii="黑体" w:hAnsi="黑体" w:eastAsia="黑体" w:cs="黑体"/>
                <w:color w:val="auto"/>
                <w:spacing w:val="10"/>
                <w:sz w:val="24"/>
                <w:szCs w:val="24"/>
                <w:lang w:val="en-US" w:eastAsia="zh-CN"/>
              </w:rPr>
              <w:t>采购</w:t>
            </w:r>
            <w:r>
              <w:rPr>
                <w:rFonts w:hint="eastAsia" w:ascii="黑体" w:hAnsi="黑体" w:eastAsia="黑体" w:cs="黑体"/>
                <w:color w:val="auto"/>
                <w:spacing w:val="10"/>
                <w:sz w:val="24"/>
                <w:szCs w:val="24"/>
              </w:rPr>
              <w:t>项目</w:t>
            </w:r>
            <w:r>
              <w:rPr>
                <w:rFonts w:hint="eastAsia" w:ascii="黑体" w:hAnsi="黑体" w:eastAsia="黑体" w:cs="黑体"/>
                <w:color w:val="auto"/>
                <w:spacing w:val="10"/>
                <w:sz w:val="24"/>
                <w:szCs w:val="24"/>
                <w:lang w:eastAsia="zh-CN"/>
              </w:rPr>
              <w:t>的</w:t>
            </w:r>
            <w:r>
              <w:rPr>
                <w:rFonts w:hint="eastAsia" w:ascii="黑体" w:hAnsi="黑体" w:eastAsia="黑体" w:cs="黑体"/>
                <w:color w:val="auto"/>
                <w:spacing w:val="10"/>
                <w:sz w:val="24"/>
                <w:szCs w:val="24"/>
              </w:rPr>
              <w:t>实际情况、无法满足采购</w:t>
            </w:r>
            <w:r>
              <w:rPr>
                <w:rFonts w:hint="eastAsia" w:ascii="黑体" w:hAnsi="黑体" w:eastAsia="黑体" w:cs="黑体"/>
                <w:color w:val="auto"/>
                <w:spacing w:val="10"/>
                <w:sz w:val="24"/>
                <w:szCs w:val="24"/>
                <w:lang w:val="en-US" w:eastAsia="zh-CN"/>
              </w:rPr>
              <w:t>项目</w:t>
            </w:r>
            <w:r>
              <w:rPr>
                <w:rFonts w:hint="eastAsia" w:ascii="黑体" w:hAnsi="黑体" w:eastAsia="黑体" w:cs="黑体"/>
                <w:color w:val="auto"/>
                <w:spacing w:val="10"/>
                <w:sz w:val="24"/>
                <w:szCs w:val="24"/>
              </w:rPr>
              <w:t>需求的扣1分，扣完为止。</w:t>
            </w:r>
          </w:p>
        </w:tc>
        <w:tc>
          <w:tcPr>
            <w:tcW w:w="1681" w:type="dxa"/>
            <w:vMerge w:val="continue"/>
            <w:vAlign w:val="top"/>
          </w:tcPr>
          <w:p w14:paraId="7E796218">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both"/>
              <w:textAlignment w:val="baseline"/>
              <w:rPr>
                <w:rFonts w:hint="eastAsia" w:ascii="黑体" w:hAnsi="黑体" w:eastAsia="黑体" w:cs="黑体"/>
                <w:b/>
                <w:bCs/>
                <w:color w:val="auto"/>
                <w:spacing w:val="32"/>
                <w:sz w:val="24"/>
                <w:szCs w:val="24"/>
              </w:rPr>
            </w:pPr>
          </w:p>
        </w:tc>
      </w:tr>
      <w:tr w14:paraId="62C2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932" w:type="dxa"/>
            <w:vMerge w:val="continue"/>
            <w:vAlign w:val="center"/>
          </w:tcPr>
          <w:p w14:paraId="55F77E17">
            <w:pPr>
              <w:pStyle w:val="17"/>
              <w:keepNext w:val="0"/>
              <w:keepLines w:val="0"/>
              <w:pageBreakBefore w:val="0"/>
              <w:widowControl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p>
        </w:tc>
        <w:tc>
          <w:tcPr>
            <w:tcW w:w="750" w:type="dxa"/>
            <w:vAlign w:val="center"/>
          </w:tcPr>
          <w:p w14:paraId="3B714C37">
            <w:pPr>
              <w:pStyle w:val="17"/>
              <w:keepNext w:val="0"/>
              <w:keepLines w:val="0"/>
              <w:pageBreakBefore w:val="0"/>
              <w:widowControl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2CA05634">
            <w:pPr>
              <w:pStyle w:val="17"/>
              <w:keepNext w:val="0"/>
              <w:keepLines w:val="0"/>
              <w:pageBreakBefore w:val="0"/>
              <w:widowControl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color w:val="auto"/>
                <w:sz w:val="24"/>
                <w:szCs w:val="24"/>
              </w:rPr>
            </w:pPr>
          </w:p>
          <w:p w14:paraId="1E43CE7E">
            <w:pPr>
              <w:keepNext w:val="0"/>
              <w:keepLines w:val="0"/>
              <w:pageBreakBefore w:val="0"/>
              <w:widowControl w:val="0"/>
              <w:overflowPunct/>
              <w:topLinePunct w:val="0"/>
              <w:autoSpaceDE w:val="0"/>
              <w:autoSpaceDN w:val="0"/>
              <w:bidi w:val="0"/>
              <w:adjustRightInd w:val="0"/>
              <w:snapToGrid w:val="0"/>
              <w:spacing w:line="440" w:lineRule="exact"/>
              <w:ind w:right="0"/>
              <w:jc w:val="center"/>
              <w:textAlignment w:val="baseline"/>
              <w:rPr>
                <w:rFonts w:hint="eastAsia" w:ascii="黑体" w:hAnsi="黑体" w:eastAsia="黑体" w:cs="黑体"/>
                <w:b/>
                <w:bCs/>
                <w:snapToGrid w:val="0"/>
                <w:color w:val="auto"/>
                <w:kern w:val="0"/>
                <w:sz w:val="24"/>
                <w:szCs w:val="24"/>
                <w:lang w:val="en-US" w:eastAsia="en-US" w:bidi="ar-SA"/>
              </w:rPr>
            </w:pPr>
            <w:r>
              <w:rPr>
                <w:rFonts w:hint="eastAsia" w:ascii="黑体" w:hAnsi="黑体" w:eastAsia="黑体" w:cs="黑体"/>
                <w:b/>
                <w:bCs/>
                <w:color w:val="auto"/>
                <w:spacing w:val="-6"/>
                <w:sz w:val="24"/>
                <w:szCs w:val="24"/>
              </w:rPr>
              <w:t>10</w:t>
            </w:r>
            <w:r>
              <w:rPr>
                <w:rFonts w:hint="eastAsia" w:ascii="黑体" w:hAnsi="黑体" w:eastAsia="黑体" w:cs="黑体"/>
                <w:b/>
                <w:bCs/>
                <w:color w:val="auto"/>
                <w:spacing w:val="-3"/>
                <w:sz w:val="24"/>
                <w:szCs w:val="24"/>
                <w:lang w:val="en-US" w:eastAsia="zh-CN"/>
              </w:rPr>
              <w:t>分</w:t>
            </w:r>
          </w:p>
        </w:tc>
        <w:tc>
          <w:tcPr>
            <w:tcW w:w="6090" w:type="dxa"/>
            <w:vAlign w:val="top"/>
          </w:tcPr>
          <w:p w14:paraId="0ACA836C">
            <w:pPr>
              <w:keepNext w:val="0"/>
              <w:keepLines w:val="0"/>
              <w:pageBreakBefore w:val="0"/>
              <w:widowControl w:val="0"/>
              <w:wordWrap w:val="0"/>
              <w:overflowPunct/>
              <w:topLinePunct w:val="0"/>
              <w:autoSpaceDE/>
              <w:autoSpaceDN/>
              <w:bidi w:val="0"/>
              <w:adjustRightInd w:val="0"/>
              <w:snapToGrid w:val="0"/>
              <w:spacing w:line="440" w:lineRule="exact"/>
              <w:ind w:right="0"/>
              <w:jc w:val="both"/>
              <w:textAlignment w:val="baseline"/>
              <w:rPr>
                <w:rFonts w:hint="eastAsia" w:ascii="黑体" w:hAnsi="黑体" w:eastAsia="黑体" w:cs="黑体"/>
                <w:color w:val="auto"/>
                <w:sz w:val="24"/>
                <w:szCs w:val="24"/>
              </w:rPr>
            </w:pPr>
            <w:r>
              <w:rPr>
                <w:rFonts w:hint="eastAsia" w:ascii="黑体" w:hAnsi="黑体" w:eastAsia="黑体" w:cs="黑体"/>
                <w:b w:val="0"/>
                <w:bCs w:val="0"/>
                <w:color w:val="auto"/>
                <w:spacing w:val="9"/>
                <w:sz w:val="24"/>
                <w:szCs w:val="24"/>
              </w:rPr>
              <w:t>售后服务：</w:t>
            </w:r>
            <w:r>
              <w:rPr>
                <w:rFonts w:hint="eastAsia" w:ascii="黑体" w:hAnsi="黑体" w:eastAsia="黑体" w:cs="黑体"/>
                <w:color w:val="auto"/>
                <w:spacing w:val="9"/>
                <w:sz w:val="24"/>
                <w:szCs w:val="24"/>
              </w:rPr>
              <w:t>①供应商根据本项目的采购需求制定售后方案，包括售后</w:t>
            </w:r>
            <w:r>
              <w:rPr>
                <w:rFonts w:hint="eastAsia" w:ascii="黑体" w:hAnsi="黑体" w:eastAsia="黑体" w:cs="黑体"/>
                <w:color w:val="auto"/>
                <w:spacing w:val="12"/>
                <w:sz w:val="24"/>
                <w:szCs w:val="24"/>
              </w:rPr>
              <w:t>维保、技术人员技术支持及咨询服务、在任何时</w:t>
            </w:r>
            <w:r>
              <w:rPr>
                <w:rFonts w:hint="eastAsia" w:ascii="黑体" w:hAnsi="黑体" w:eastAsia="黑体" w:cs="黑体"/>
                <w:color w:val="auto"/>
                <w:spacing w:val="11"/>
                <w:sz w:val="24"/>
                <w:szCs w:val="24"/>
              </w:rPr>
              <w:t>候、任何地点均可享</w:t>
            </w:r>
            <w:r>
              <w:rPr>
                <w:rFonts w:hint="eastAsia" w:ascii="黑体" w:hAnsi="黑体" w:eastAsia="黑体" w:cs="黑体"/>
                <w:color w:val="auto"/>
                <w:spacing w:val="8"/>
                <w:sz w:val="24"/>
                <w:szCs w:val="24"/>
              </w:rPr>
              <w:t>受到终生的免费咨询服务。方案完整，逻辑清晰，贴合采购</w:t>
            </w:r>
            <w:r>
              <w:rPr>
                <w:rFonts w:hint="eastAsia" w:ascii="黑体" w:hAnsi="黑体" w:eastAsia="黑体" w:cs="黑体"/>
                <w:color w:val="auto"/>
                <w:spacing w:val="8"/>
                <w:sz w:val="24"/>
                <w:szCs w:val="24"/>
                <w:lang w:val="en-US" w:eastAsia="zh-CN"/>
              </w:rPr>
              <w:t>项目</w:t>
            </w:r>
            <w:r>
              <w:rPr>
                <w:rFonts w:hint="eastAsia" w:ascii="黑体" w:hAnsi="黑体" w:eastAsia="黑体" w:cs="黑体"/>
                <w:color w:val="auto"/>
                <w:spacing w:val="8"/>
                <w:sz w:val="24"/>
                <w:szCs w:val="24"/>
              </w:rPr>
              <w:t>需求</w:t>
            </w:r>
            <w:r>
              <w:rPr>
                <w:rFonts w:hint="eastAsia" w:ascii="黑体" w:hAnsi="黑体" w:eastAsia="黑体" w:cs="黑体"/>
                <w:color w:val="auto"/>
                <w:spacing w:val="8"/>
                <w:sz w:val="24"/>
                <w:szCs w:val="24"/>
                <w:lang w:eastAsia="zh-CN"/>
              </w:rPr>
              <w:t>的</w:t>
            </w:r>
            <w:r>
              <w:rPr>
                <w:rFonts w:hint="eastAsia" w:ascii="黑体" w:hAnsi="黑体" w:eastAsia="黑体" w:cs="黑体"/>
                <w:color w:val="auto"/>
                <w:spacing w:val="7"/>
                <w:sz w:val="24"/>
                <w:szCs w:val="24"/>
              </w:rPr>
              <w:t>得5分；方案</w:t>
            </w:r>
            <w:r>
              <w:rPr>
                <w:rFonts w:hint="eastAsia" w:ascii="黑体" w:hAnsi="黑体" w:eastAsia="黑体" w:cs="黑体"/>
                <w:color w:val="auto"/>
                <w:spacing w:val="7"/>
                <w:sz w:val="24"/>
                <w:szCs w:val="24"/>
                <w:lang w:val="en-US" w:eastAsia="zh-CN"/>
              </w:rPr>
              <w:t>阐述不完整，</w:t>
            </w:r>
            <w:r>
              <w:rPr>
                <w:rFonts w:hint="eastAsia" w:ascii="黑体" w:hAnsi="黑体" w:eastAsia="黑体" w:cs="黑体"/>
                <w:color w:val="auto"/>
                <w:spacing w:val="8"/>
                <w:sz w:val="24"/>
                <w:szCs w:val="24"/>
              </w:rPr>
              <w:t>逻辑</w:t>
            </w:r>
            <w:r>
              <w:rPr>
                <w:rFonts w:hint="eastAsia" w:ascii="黑体" w:hAnsi="黑体" w:eastAsia="黑体" w:cs="黑体"/>
                <w:color w:val="auto"/>
                <w:spacing w:val="7"/>
                <w:sz w:val="24"/>
                <w:szCs w:val="24"/>
                <w:lang w:val="en-US" w:eastAsia="zh-CN"/>
              </w:rPr>
              <w:t>不清晰</w:t>
            </w:r>
            <w:r>
              <w:rPr>
                <w:rFonts w:hint="eastAsia" w:ascii="黑体" w:hAnsi="黑体" w:eastAsia="黑体" w:cs="黑体"/>
                <w:color w:val="auto"/>
                <w:spacing w:val="7"/>
                <w:sz w:val="24"/>
                <w:szCs w:val="24"/>
              </w:rPr>
              <w:t>，</w:t>
            </w:r>
            <w:r>
              <w:rPr>
                <w:rFonts w:hint="eastAsia" w:ascii="黑体" w:hAnsi="黑体" w:eastAsia="黑体" w:cs="黑体"/>
                <w:color w:val="auto"/>
                <w:spacing w:val="6"/>
                <w:sz w:val="24"/>
                <w:szCs w:val="24"/>
              </w:rPr>
              <w:t>不贴合本项目采购需求</w:t>
            </w:r>
            <w:r>
              <w:rPr>
                <w:rFonts w:hint="eastAsia" w:ascii="黑体" w:hAnsi="黑体" w:eastAsia="黑体" w:cs="黑体"/>
                <w:color w:val="auto"/>
                <w:spacing w:val="7"/>
                <w:sz w:val="24"/>
                <w:szCs w:val="24"/>
              </w:rPr>
              <w:t>的得3分；方案结构</w:t>
            </w:r>
            <w:r>
              <w:rPr>
                <w:rFonts w:hint="eastAsia" w:ascii="黑体" w:hAnsi="黑体" w:eastAsia="黑体" w:cs="黑体"/>
                <w:color w:val="auto"/>
                <w:spacing w:val="7"/>
                <w:sz w:val="24"/>
                <w:szCs w:val="24"/>
                <w:lang w:val="en-US" w:eastAsia="zh-CN"/>
              </w:rPr>
              <w:t>逻辑</w:t>
            </w:r>
            <w:r>
              <w:rPr>
                <w:rFonts w:hint="eastAsia" w:ascii="黑体" w:hAnsi="黑体" w:eastAsia="黑体" w:cs="黑体"/>
                <w:color w:val="auto"/>
                <w:spacing w:val="7"/>
                <w:sz w:val="24"/>
                <w:szCs w:val="24"/>
              </w:rPr>
              <w:t>混</w:t>
            </w:r>
            <w:r>
              <w:rPr>
                <w:rFonts w:hint="eastAsia" w:ascii="黑体" w:hAnsi="黑体" w:eastAsia="黑体" w:cs="黑体"/>
                <w:color w:val="auto"/>
                <w:spacing w:val="6"/>
                <w:sz w:val="24"/>
                <w:szCs w:val="24"/>
              </w:rPr>
              <w:t>乱，不贴合本项目采购需求的得1分；未提供不得分。</w:t>
            </w:r>
          </w:p>
          <w:p w14:paraId="1FD6ADD6">
            <w:pPr>
              <w:keepNext w:val="0"/>
              <w:keepLines w:val="0"/>
              <w:pageBreakBefore w:val="0"/>
              <w:widowControl w:val="0"/>
              <w:wordWrap w:val="0"/>
              <w:overflowPunct/>
              <w:topLinePunct w:val="0"/>
              <w:autoSpaceDE/>
              <w:autoSpaceDN/>
              <w:bidi w:val="0"/>
              <w:adjustRightInd w:val="0"/>
              <w:snapToGrid w:val="0"/>
              <w:spacing w:line="440" w:lineRule="exact"/>
              <w:ind w:right="0"/>
              <w:jc w:val="both"/>
              <w:textAlignment w:val="baseline"/>
              <w:rPr>
                <w:rFonts w:hint="eastAsia" w:ascii="黑体" w:hAnsi="黑体" w:eastAsia="黑体" w:cs="黑体"/>
                <w:color w:val="auto"/>
                <w:spacing w:val="6"/>
                <w:sz w:val="24"/>
                <w:szCs w:val="24"/>
              </w:rPr>
            </w:pPr>
            <w:r>
              <w:rPr>
                <w:rFonts w:hint="eastAsia" w:ascii="黑体" w:hAnsi="黑体" w:eastAsia="黑体" w:cs="黑体"/>
                <w:color w:val="auto"/>
                <w:spacing w:val="9"/>
                <w:sz w:val="24"/>
                <w:szCs w:val="24"/>
              </w:rPr>
              <w:t>②供应商设有正规完善的售后维修服务机构，</w:t>
            </w:r>
            <w:r>
              <w:rPr>
                <w:rFonts w:hint="eastAsia" w:ascii="黑体" w:hAnsi="黑体" w:eastAsia="黑体" w:cs="黑体"/>
                <w:color w:val="auto"/>
                <w:spacing w:val="8"/>
                <w:sz w:val="24"/>
                <w:szCs w:val="24"/>
              </w:rPr>
              <w:t>有至少2名的专职工程</w:t>
            </w:r>
            <w:r>
              <w:rPr>
                <w:rFonts w:hint="eastAsia" w:ascii="黑体" w:hAnsi="黑体" w:eastAsia="黑体" w:cs="黑体"/>
                <w:color w:val="auto"/>
                <w:spacing w:val="10"/>
                <w:sz w:val="24"/>
                <w:szCs w:val="24"/>
              </w:rPr>
              <w:t>师，按照项目采购需求中要求进行维修响应并排除故障的应急抢修方</w:t>
            </w:r>
            <w:r>
              <w:rPr>
                <w:rFonts w:hint="eastAsia" w:ascii="黑体" w:hAnsi="黑体" w:eastAsia="黑体" w:cs="黑体"/>
                <w:color w:val="auto"/>
                <w:spacing w:val="6"/>
                <w:sz w:val="24"/>
                <w:szCs w:val="24"/>
              </w:rPr>
              <w:t>案，常备配件库房，提供配件库房、维修详细地址</w:t>
            </w:r>
            <w:r>
              <w:rPr>
                <w:rFonts w:hint="eastAsia" w:ascii="黑体" w:hAnsi="黑体" w:eastAsia="黑体" w:cs="黑体"/>
                <w:color w:val="auto"/>
                <w:spacing w:val="5"/>
                <w:sz w:val="24"/>
                <w:szCs w:val="24"/>
              </w:rPr>
              <w:t>及维修工程师姓名、</w:t>
            </w:r>
            <w:r>
              <w:rPr>
                <w:rFonts w:hint="eastAsia" w:ascii="黑体" w:hAnsi="黑体" w:eastAsia="黑体" w:cs="黑体"/>
                <w:color w:val="auto"/>
                <w:spacing w:val="12"/>
                <w:sz w:val="24"/>
                <w:szCs w:val="24"/>
              </w:rPr>
              <w:t>联系电话、设备维修工程师资格证书及身份证、</w:t>
            </w:r>
            <w:r>
              <w:rPr>
                <w:rFonts w:hint="eastAsia" w:ascii="黑体" w:hAnsi="黑体" w:eastAsia="黑体" w:cs="黑体"/>
                <w:color w:val="auto"/>
                <w:spacing w:val="11"/>
                <w:sz w:val="24"/>
                <w:szCs w:val="24"/>
              </w:rPr>
              <w:t>近三个月社保证明复</w:t>
            </w:r>
            <w:r>
              <w:rPr>
                <w:rFonts w:hint="eastAsia" w:ascii="黑体" w:hAnsi="黑体" w:eastAsia="黑体" w:cs="黑体"/>
                <w:color w:val="auto"/>
                <w:spacing w:val="10"/>
                <w:sz w:val="24"/>
                <w:szCs w:val="24"/>
              </w:rPr>
              <w:t>印件。人员要求资料齐全、方案</w:t>
            </w:r>
            <w:r>
              <w:rPr>
                <w:rFonts w:hint="eastAsia" w:ascii="黑体" w:hAnsi="黑体" w:eastAsia="黑体" w:cs="黑体"/>
                <w:color w:val="auto"/>
                <w:spacing w:val="10"/>
                <w:sz w:val="24"/>
                <w:szCs w:val="24"/>
                <w:lang w:val="en-US" w:eastAsia="zh-CN"/>
              </w:rPr>
              <w:t>完整、逻辑清晰，满足采购项目需求的</w:t>
            </w:r>
            <w:r>
              <w:rPr>
                <w:rFonts w:hint="eastAsia" w:ascii="黑体" w:hAnsi="黑体" w:eastAsia="黑体" w:cs="黑体"/>
                <w:color w:val="auto"/>
                <w:spacing w:val="10"/>
                <w:sz w:val="24"/>
                <w:szCs w:val="24"/>
              </w:rPr>
              <w:t>得3分；人员要</w:t>
            </w:r>
            <w:r>
              <w:rPr>
                <w:rFonts w:hint="eastAsia" w:ascii="黑体" w:hAnsi="黑体" w:eastAsia="黑体" w:cs="黑体"/>
                <w:color w:val="auto"/>
                <w:spacing w:val="9"/>
                <w:sz w:val="24"/>
                <w:szCs w:val="24"/>
              </w:rPr>
              <w:t>求资料齐</w:t>
            </w:r>
            <w:r>
              <w:rPr>
                <w:rFonts w:hint="eastAsia" w:ascii="黑体" w:hAnsi="黑体" w:eastAsia="黑体" w:cs="黑体"/>
                <w:color w:val="auto"/>
                <w:spacing w:val="10"/>
                <w:sz w:val="24"/>
                <w:szCs w:val="24"/>
              </w:rPr>
              <w:t>全、方案</w:t>
            </w:r>
            <w:r>
              <w:rPr>
                <w:rFonts w:hint="eastAsia" w:ascii="黑体" w:hAnsi="黑体" w:eastAsia="黑体" w:cs="黑体"/>
                <w:color w:val="auto"/>
                <w:spacing w:val="10"/>
                <w:sz w:val="24"/>
                <w:szCs w:val="24"/>
                <w:lang w:val="en-US" w:eastAsia="zh-CN"/>
              </w:rPr>
              <w:t>逻辑</w:t>
            </w:r>
            <w:r>
              <w:rPr>
                <w:rFonts w:hint="eastAsia" w:ascii="黑体" w:hAnsi="黑体" w:eastAsia="黑体" w:cs="黑体"/>
                <w:color w:val="auto"/>
                <w:spacing w:val="10"/>
                <w:sz w:val="24"/>
                <w:szCs w:val="24"/>
                <w:lang w:eastAsia="zh-CN"/>
              </w:rPr>
              <w:t>不</w:t>
            </w:r>
            <w:r>
              <w:rPr>
                <w:rFonts w:hint="eastAsia" w:ascii="黑体" w:hAnsi="黑体" w:eastAsia="黑体" w:cs="黑体"/>
                <w:color w:val="auto"/>
                <w:spacing w:val="10"/>
                <w:sz w:val="24"/>
                <w:szCs w:val="24"/>
                <w:lang w:val="en-US" w:eastAsia="zh-CN"/>
              </w:rPr>
              <w:t>清晰、模糊的，</w:t>
            </w:r>
            <w:r>
              <w:rPr>
                <w:rFonts w:hint="eastAsia" w:ascii="黑体" w:hAnsi="黑体" w:eastAsia="黑体" w:cs="黑体"/>
                <w:color w:val="auto"/>
                <w:spacing w:val="10"/>
                <w:sz w:val="24"/>
                <w:szCs w:val="24"/>
              </w:rPr>
              <w:t>得2分；人员要求资料不齐全、方案</w:t>
            </w:r>
            <w:r>
              <w:rPr>
                <w:rFonts w:hint="eastAsia" w:ascii="黑体" w:hAnsi="黑体" w:eastAsia="黑体" w:cs="黑体"/>
                <w:color w:val="auto"/>
                <w:spacing w:val="10"/>
                <w:sz w:val="24"/>
                <w:szCs w:val="24"/>
                <w:lang w:val="en-US" w:eastAsia="zh-CN"/>
              </w:rPr>
              <w:t>逻辑混乱，不满足采购项目需求</w:t>
            </w:r>
            <w:r>
              <w:rPr>
                <w:rFonts w:hint="eastAsia" w:ascii="黑体" w:hAnsi="黑体" w:eastAsia="黑体" w:cs="黑体"/>
                <w:color w:val="auto"/>
                <w:spacing w:val="6"/>
                <w:sz w:val="24"/>
                <w:szCs w:val="24"/>
              </w:rPr>
              <w:t>得1分；未提供不得分。</w:t>
            </w:r>
          </w:p>
          <w:p w14:paraId="47DEAF32">
            <w:pPr>
              <w:keepNext w:val="0"/>
              <w:keepLines w:val="0"/>
              <w:pageBreakBefore w:val="0"/>
              <w:widowControl w:val="0"/>
              <w:wordWrap w:val="0"/>
              <w:overflowPunct/>
              <w:topLinePunct w:val="0"/>
              <w:autoSpaceDE/>
              <w:autoSpaceDN/>
              <w:bidi w:val="0"/>
              <w:adjustRightInd w:val="0"/>
              <w:snapToGrid w:val="0"/>
              <w:spacing w:line="440" w:lineRule="exact"/>
              <w:ind w:right="0"/>
              <w:jc w:val="both"/>
              <w:textAlignment w:val="baseline"/>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color w:val="auto"/>
                <w:spacing w:val="5"/>
                <w:sz w:val="24"/>
                <w:szCs w:val="24"/>
              </w:rPr>
              <w:t>上述所有内容较优异的加2分，本项最高得10分。</w:t>
            </w:r>
          </w:p>
        </w:tc>
        <w:tc>
          <w:tcPr>
            <w:tcW w:w="1681" w:type="dxa"/>
            <w:vMerge w:val="continue"/>
            <w:vAlign w:val="top"/>
          </w:tcPr>
          <w:p w14:paraId="259B0EF2">
            <w:pPr>
              <w:keepNext w:val="0"/>
              <w:keepLines w:val="0"/>
              <w:pageBreakBefore w:val="0"/>
              <w:widowControl/>
              <w:kinsoku/>
              <w:wordWrap w:val="0"/>
              <w:overflowPunct/>
              <w:topLinePunct w:val="0"/>
              <w:autoSpaceDE w:val="0"/>
              <w:autoSpaceDN w:val="0"/>
              <w:bidi w:val="0"/>
              <w:adjustRightInd w:val="0"/>
              <w:snapToGrid w:val="0"/>
              <w:spacing w:line="440" w:lineRule="exact"/>
              <w:ind w:right="0" w:rightChars="0"/>
              <w:jc w:val="both"/>
              <w:textAlignment w:val="baseline"/>
              <w:rPr>
                <w:rFonts w:hint="eastAsia" w:ascii="黑体" w:hAnsi="黑体" w:eastAsia="黑体" w:cs="黑体"/>
                <w:b/>
                <w:bCs/>
                <w:color w:val="auto"/>
                <w:spacing w:val="32"/>
                <w:sz w:val="24"/>
                <w:szCs w:val="24"/>
              </w:rPr>
            </w:pPr>
          </w:p>
        </w:tc>
      </w:tr>
    </w:tbl>
    <w:p w14:paraId="3F056AE5">
      <w:pPr>
        <w:rPr>
          <w:rFonts w:hint="eastAsia" w:ascii="黑体" w:hAnsi="黑体" w:eastAsia="黑体" w:cs="黑体"/>
          <w:b/>
          <w:bCs/>
          <w:color w:val="auto"/>
          <w:spacing w:val="3"/>
        </w:rPr>
      </w:pPr>
      <w:r>
        <w:rPr>
          <w:rFonts w:hint="eastAsia" w:ascii="黑体" w:hAnsi="黑体" w:eastAsia="黑体" w:cs="黑体"/>
          <w:b/>
          <w:bCs/>
          <w:color w:val="auto"/>
          <w:spacing w:val="3"/>
        </w:rPr>
        <w:br w:type="page"/>
      </w:r>
    </w:p>
    <w:p w14:paraId="51F4F985">
      <w:pPr>
        <w:pStyle w:val="6"/>
        <w:keepNext w:val="0"/>
        <w:keepLines w:val="0"/>
        <w:pageBreakBefore w:val="0"/>
        <w:widowControl/>
        <w:kinsoku/>
        <w:wordWrap w:val="0"/>
        <w:overflowPunct/>
        <w:topLinePunct w:val="0"/>
        <w:bidi w:val="0"/>
        <w:spacing w:before="184" w:line="460" w:lineRule="exact"/>
        <w:jc w:val="center"/>
        <w:rPr>
          <w:rFonts w:hint="eastAsia" w:ascii="黑体" w:hAnsi="黑体" w:eastAsia="黑体" w:cs="黑体"/>
          <w:b/>
          <w:bCs/>
          <w:color w:val="auto"/>
          <w:spacing w:val="2"/>
          <w:sz w:val="40"/>
          <w:szCs w:val="40"/>
        </w:rPr>
      </w:pPr>
    </w:p>
    <w:p w14:paraId="6989C368">
      <w:pPr>
        <w:pStyle w:val="6"/>
        <w:keepNext w:val="0"/>
        <w:keepLines w:val="0"/>
        <w:pageBreakBefore w:val="0"/>
        <w:widowControl/>
        <w:kinsoku/>
        <w:wordWrap w:val="0"/>
        <w:overflowPunct/>
        <w:topLinePunct w:val="0"/>
        <w:bidi w:val="0"/>
        <w:spacing w:before="184" w:line="460" w:lineRule="exact"/>
        <w:jc w:val="center"/>
        <w:rPr>
          <w:rFonts w:hint="eastAsia" w:ascii="黑体" w:hAnsi="黑体" w:eastAsia="黑体" w:cs="黑体"/>
          <w:b/>
          <w:bCs/>
          <w:color w:val="auto"/>
          <w:spacing w:val="2"/>
          <w:sz w:val="40"/>
          <w:szCs w:val="40"/>
        </w:rPr>
      </w:pPr>
    </w:p>
    <w:p w14:paraId="2561C6CC">
      <w:pPr>
        <w:pStyle w:val="6"/>
        <w:keepNext w:val="0"/>
        <w:keepLines w:val="0"/>
        <w:pageBreakBefore w:val="0"/>
        <w:widowControl/>
        <w:kinsoku/>
        <w:wordWrap w:val="0"/>
        <w:overflowPunct/>
        <w:topLinePunct w:val="0"/>
        <w:bidi w:val="0"/>
        <w:spacing w:before="184" w:line="460" w:lineRule="exact"/>
        <w:jc w:val="center"/>
        <w:rPr>
          <w:rFonts w:hint="eastAsia" w:ascii="黑体" w:hAnsi="黑体" w:eastAsia="黑体" w:cs="黑体"/>
          <w:b/>
          <w:bCs/>
          <w:color w:val="auto"/>
          <w:spacing w:val="2"/>
          <w:sz w:val="40"/>
          <w:szCs w:val="40"/>
        </w:rPr>
      </w:pPr>
    </w:p>
    <w:p w14:paraId="44A182AB">
      <w:pPr>
        <w:pStyle w:val="6"/>
        <w:keepNext w:val="0"/>
        <w:keepLines w:val="0"/>
        <w:pageBreakBefore w:val="0"/>
        <w:widowControl/>
        <w:kinsoku/>
        <w:wordWrap w:val="0"/>
        <w:overflowPunct/>
        <w:topLinePunct w:val="0"/>
        <w:bidi w:val="0"/>
        <w:spacing w:before="184" w:line="460" w:lineRule="exact"/>
        <w:jc w:val="center"/>
        <w:rPr>
          <w:rFonts w:hint="eastAsia" w:ascii="黑体" w:hAnsi="黑体" w:eastAsia="黑体" w:cs="黑体"/>
          <w:b/>
          <w:bCs/>
          <w:color w:val="auto"/>
          <w:spacing w:val="2"/>
          <w:sz w:val="40"/>
          <w:szCs w:val="40"/>
        </w:rPr>
      </w:pPr>
    </w:p>
    <w:p w14:paraId="2BE5A974">
      <w:pPr>
        <w:pStyle w:val="6"/>
        <w:keepNext w:val="0"/>
        <w:keepLines w:val="0"/>
        <w:pageBreakBefore w:val="0"/>
        <w:widowControl/>
        <w:kinsoku/>
        <w:wordWrap w:val="0"/>
        <w:overflowPunct/>
        <w:topLinePunct w:val="0"/>
        <w:bidi w:val="0"/>
        <w:spacing w:before="184" w:line="460" w:lineRule="exact"/>
        <w:jc w:val="center"/>
        <w:rPr>
          <w:rFonts w:hint="eastAsia" w:ascii="黑体" w:hAnsi="黑体" w:eastAsia="黑体" w:cs="黑体"/>
          <w:color w:val="auto"/>
          <w:sz w:val="40"/>
          <w:szCs w:val="40"/>
        </w:rPr>
      </w:pPr>
      <w:r>
        <w:rPr>
          <w:rFonts w:hint="eastAsia" w:ascii="黑体" w:hAnsi="黑体" w:eastAsia="黑体" w:cs="黑体"/>
          <w:b/>
          <w:bCs/>
          <w:color w:val="auto"/>
          <w:spacing w:val="2"/>
          <w:sz w:val="40"/>
          <w:szCs w:val="40"/>
        </w:rPr>
        <w:t>招标文件</w:t>
      </w:r>
    </w:p>
    <w:p w14:paraId="4CA64A43">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5C988ECD">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521E07D1">
      <w:pPr>
        <w:pStyle w:val="6"/>
        <w:keepNext w:val="0"/>
        <w:keepLines w:val="0"/>
        <w:pageBreakBefore w:val="0"/>
        <w:widowControl/>
        <w:kinsoku/>
        <w:wordWrap w:val="0"/>
        <w:overflowPunct/>
        <w:topLinePunct w:val="0"/>
        <w:bidi w:val="0"/>
        <w:spacing w:before="172" w:line="460" w:lineRule="exact"/>
        <w:jc w:val="center"/>
        <w:rPr>
          <w:rFonts w:hint="eastAsia" w:ascii="黑体" w:hAnsi="黑体" w:eastAsia="黑体" w:cs="黑体"/>
          <w:b/>
          <w:bCs/>
          <w:color w:val="auto"/>
          <w:spacing w:val="-2"/>
          <w:sz w:val="32"/>
          <w:szCs w:val="32"/>
          <w:lang w:val="en-US" w:eastAsia="zh-CN"/>
        </w:rPr>
      </w:pPr>
      <w:r>
        <w:rPr>
          <w:rFonts w:hint="eastAsia" w:ascii="黑体" w:hAnsi="黑体" w:eastAsia="黑体" w:cs="黑体"/>
          <w:b/>
          <w:bCs/>
          <w:color w:val="auto"/>
          <w:spacing w:val="-2"/>
          <w:sz w:val="32"/>
          <w:szCs w:val="32"/>
        </w:rPr>
        <w:t>项目编号：</w:t>
      </w:r>
      <w:r>
        <w:rPr>
          <w:rFonts w:hint="eastAsia" w:ascii="黑体" w:hAnsi="黑体" w:eastAsia="黑体" w:cs="黑体"/>
          <w:b/>
          <w:bCs/>
          <w:color w:val="auto"/>
          <w:spacing w:val="-2"/>
          <w:sz w:val="32"/>
          <w:szCs w:val="32"/>
          <w:lang w:val="en-US" w:eastAsia="zh-CN"/>
        </w:rPr>
        <w:t>ZBGJKSDQ(GK)2025-08</w:t>
      </w:r>
    </w:p>
    <w:p w14:paraId="4B3EBA1B">
      <w:pPr>
        <w:pStyle w:val="6"/>
        <w:keepNext w:val="0"/>
        <w:keepLines w:val="0"/>
        <w:pageBreakBefore w:val="0"/>
        <w:widowControl/>
        <w:kinsoku/>
        <w:wordWrap w:val="0"/>
        <w:overflowPunct/>
        <w:topLinePunct w:val="0"/>
        <w:bidi w:val="0"/>
        <w:spacing w:before="172" w:line="460" w:lineRule="exact"/>
        <w:jc w:val="center"/>
        <w:rPr>
          <w:rFonts w:hint="eastAsia" w:ascii="黑体" w:hAnsi="黑体" w:eastAsia="黑体" w:cs="黑体"/>
          <w:color w:val="auto"/>
          <w:sz w:val="40"/>
          <w:szCs w:val="40"/>
          <w:lang w:eastAsia="zh-CN"/>
        </w:rPr>
      </w:pPr>
    </w:p>
    <w:p w14:paraId="5F88FA17">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004F3A97">
      <w:pPr>
        <w:keepNext w:val="0"/>
        <w:keepLines w:val="0"/>
        <w:pageBreakBefore w:val="0"/>
        <w:widowControl/>
        <w:kinsoku/>
        <w:wordWrap w:val="0"/>
        <w:overflowPunct/>
        <w:topLinePunct w:val="0"/>
        <w:bidi w:val="0"/>
        <w:spacing w:line="460" w:lineRule="exact"/>
        <w:jc w:val="center"/>
        <w:rPr>
          <w:rFonts w:hint="eastAsia" w:ascii="黑体" w:hAnsi="黑体" w:eastAsia="黑体" w:cs="黑体"/>
          <w:color w:val="auto"/>
          <w:sz w:val="21"/>
        </w:rPr>
      </w:pPr>
    </w:p>
    <w:p w14:paraId="48BF7723">
      <w:pPr>
        <w:pStyle w:val="6"/>
        <w:keepNext w:val="0"/>
        <w:keepLines w:val="0"/>
        <w:pageBreakBefore w:val="0"/>
        <w:widowControl/>
        <w:kinsoku/>
        <w:wordWrap w:val="0"/>
        <w:overflowPunct/>
        <w:topLinePunct w:val="0"/>
        <w:bidi w:val="0"/>
        <w:spacing w:before="164" w:line="460" w:lineRule="exact"/>
        <w:jc w:val="center"/>
        <w:rPr>
          <w:rFonts w:hint="eastAsia" w:ascii="黑体" w:hAnsi="黑体" w:eastAsia="黑体" w:cs="黑体"/>
          <w:color w:val="auto"/>
          <w:sz w:val="32"/>
          <w:szCs w:val="32"/>
        </w:rPr>
      </w:pPr>
      <w:r>
        <w:rPr>
          <w:rFonts w:hint="eastAsia" w:ascii="黑体" w:hAnsi="黑体" w:eastAsia="黑体" w:cs="黑体"/>
          <w:b/>
          <w:bCs/>
          <w:color w:val="auto"/>
          <w:spacing w:val="-4"/>
          <w:sz w:val="32"/>
          <w:szCs w:val="32"/>
        </w:rPr>
        <w:t>第三册</w:t>
      </w:r>
    </w:p>
    <w:p w14:paraId="64B2AA63">
      <w:pPr>
        <w:keepNext w:val="0"/>
        <w:keepLines w:val="0"/>
        <w:pageBreakBefore w:val="0"/>
        <w:widowControl/>
        <w:kinsoku/>
        <w:wordWrap w:val="0"/>
        <w:overflowPunct/>
        <w:topLinePunct w:val="0"/>
        <w:bidi w:val="0"/>
        <w:spacing w:line="460" w:lineRule="exact"/>
        <w:rPr>
          <w:rFonts w:hint="eastAsia" w:ascii="黑体" w:hAnsi="黑体" w:eastAsia="黑体" w:cs="黑体"/>
          <w:color w:val="auto"/>
          <w:sz w:val="21"/>
        </w:rPr>
      </w:pPr>
    </w:p>
    <w:p w14:paraId="2F053FD2">
      <w:pPr>
        <w:rPr>
          <w:rFonts w:hint="eastAsia" w:ascii="黑体" w:hAnsi="黑体" w:eastAsia="黑体" w:cs="黑体"/>
          <w:b/>
          <w:bCs/>
          <w:color w:val="auto"/>
          <w:spacing w:val="8"/>
        </w:rPr>
      </w:pPr>
      <w:r>
        <w:rPr>
          <w:rFonts w:hint="eastAsia" w:ascii="黑体" w:hAnsi="黑体" w:eastAsia="黑体" w:cs="黑体"/>
          <w:b/>
          <w:bCs/>
          <w:color w:val="auto"/>
          <w:spacing w:val="8"/>
        </w:rPr>
        <w:br w:type="page"/>
      </w:r>
    </w:p>
    <w:p w14:paraId="135E97BA">
      <w:pPr>
        <w:pStyle w:val="28"/>
        <w:pageBreakBefore w:val="0"/>
        <w:widowControl w:val="0"/>
        <w:kinsoku/>
        <w:wordWrap/>
        <w:overflowPunct/>
        <w:topLinePunct w:val="0"/>
        <w:bidi w:val="0"/>
        <w:snapToGrid/>
        <w:spacing w:line="640" w:lineRule="exact"/>
        <w:ind w:left="0" w:leftChars="0" w:firstLine="0" w:firstLineChars="0"/>
        <w:jc w:val="center"/>
        <w:textAlignment w:val="auto"/>
        <w:rPr>
          <w:rFonts w:hint="eastAsia" w:ascii="黑体" w:hAnsi="黑体" w:eastAsia="黑体" w:cs="黑体"/>
          <w:b/>
          <w:bCs/>
          <w:i w:val="0"/>
          <w:iCs w:val="0"/>
          <w:color w:val="auto"/>
          <w:sz w:val="28"/>
          <w:szCs w:val="28"/>
        </w:rPr>
      </w:pPr>
      <w:bookmarkStart w:id="96" w:name="_Toc4796"/>
      <w:bookmarkStart w:id="97" w:name="_Toc1118"/>
      <w:bookmarkStart w:id="98" w:name="_Toc515647833"/>
      <w:bookmarkStart w:id="99" w:name="_Toc6865"/>
      <w:bookmarkStart w:id="100" w:name="_Toc4337"/>
      <w:r>
        <w:rPr>
          <w:rFonts w:hint="eastAsia" w:ascii="黑体" w:hAnsi="黑体" w:eastAsia="黑体" w:cs="黑体"/>
          <w:b/>
          <w:bCs/>
          <w:i w:val="0"/>
          <w:iCs w:val="0"/>
          <w:color w:val="auto"/>
          <w:sz w:val="28"/>
          <w:szCs w:val="28"/>
          <w:lang w:eastAsia="zh-CN"/>
        </w:rPr>
        <w:t>第</w:t>
      </w:r>
      <w:r>
        <w:rPr>
          <w:rFonts w:hint="eastAsia" w:ascii="黑体" w:hAnsi="黑体" w:eastAsia="黑体" w:cs="黑体"/>
          <w:b/>
          <w:bCs/>
          <w:i w:val="0"/>
          <w:iCs w:val="0"/>
          <w:color w:val="auto"/>
          <w:sz w:val="28"/>
          <w:szCs w:val="28"/>
          <w:lang w:val="en-US" w:eastAsia="zh-CN"/>
        </w:rPr>
        <w:t>7章</w:t>
      </w:r>
      <w:r>
        <w:rPr>
          <w:rFonts w:hint="eastAsia" w:ascii="黑体" w:hAnsi="黑体" w:eastAsia="黑体" w:cs="黑体"/>
          <w:b/>
          <w:bCs/>
          <w:i w:val="0"/>
          <w:iCs w:val="0"/>
          <w:color w:val="auto"/>
          <w:sz w:val="28"/>
          <w:szCs w:val="28"/>
        </w:rPr>
        <w:t>政府采购合同</w:t>
      </w:r>
      <w:bookmarkEnd w:id="96"/>
      <w:bookmarkEnd w:id="97"/>
      <w:bookmarkEnd w:id="98"/>
      <w:bookmarkEnd w:id="99"/>
      <w:bookmarkEnd w:id="100"/>
      <w:bookmarkStart w:id="101" w:name="_Hlt487972895"/>
      <w:bookmarkEnd w:id="101"/>
      <w:bookmarkStart w:id="102" w:name="_Toc216513788"/>
      <w:bookmarkStart w:id="103" w:name="_Toc487900382"/>
    </w:p>
    <w:bookmarkEnd w:id="102"/>
    <w:bookmarkEnd w:id="103"/>
    <w:p w14:paraId="5BF0AF67">
      <w:pPr>
        <w:pageBreakBefore w:val="0"/>
        <w:widowControl w:val="0"/>
        <w:kinsoku/>
        <w:wordWrap/>
        <w:overflowPunct/>
        <w:topLinePunct w:val="0"/>
        <w:bidi w:val="0"/>
        <w:snapToGrid/>
        <w:spacing w:line="500" w:lineRule="exact"/>
        <w:textAlignment w:val="auto"/>
        <w:rPr>
          <w:rFonts w:hint="eastAsia" w:ascii="黑体" w:hAnsi="黑体" w:eastAsia="黑体" w:cs="黑体"/>
          <w:b/>
          <w:i w:val="0"/>
          <w:iCs w:val="0"/>
          <w:color w:val="auto"/>
          <w:kern w:val="44"/>
          <w:sz w:val="24"/>
          <w:szCs w:val="24"/>
        </w:rPr>
      </w:pPr>
    </w:p>
    <w:p w14:paraId="64335EF4">
      <w:pPr>
        <w:pageBreakBefore w:val="0"/>
        <w:widowControl w:val="0"/>
        <w:kinsoku/>
        <w:wordWrap/>
        <w:overflowPunct/>
        <w:topLinePunct w:val="0"/>
        <w:bidi w:val="0"/>
        <w:snapToGrid/>
        <w:spacing w:line="500" w:lineRule="exact"/>
        <w:ind w:left="-567" w:leftChars="-270" w:firstLine="540"/>
        <w:jc w:val="center"/>
        <w:textAlignment w:val="auto"/>
        <w:rPr>
          <w:rFonts w:hint="eastAsia" w:ascii="黑体" w:hAnsi="黑体" w:eastAsia="黑体" w:cs="黑体"/>
          <w:i w:val="0"/>
          <w:iCs w:val="0"/>
          <w:color w:val="auto"/>
          <w:kern w:val="44"/>
          <w:sz w:val="24"/>
          <w:szCs w:val="24"/>
        </w:rPr>
      </w:pPr>
      <w:r>
        <w:rPr>
          <w:rFonts w:hint="eastAsia" w:ascii="黑体" w:hAnsi="黑体" w:eastAsia="黑体" w:cs="黑体"/>
          <w:i w:val="0"/>
          <w:iCs w:val="0"/>
          <w:color w:val="auto"/>
          <w:kern w:val="44"/>
          <w:sz w:val="24"/>
          <w:szCs w:val="24"/>
        </w:rPr>
        <w:t>请参照货物类政府采购合同参考范本订立采购合同。</w:t>
      </w:r>
    </w:p>
    <w:p w14:paraId="30EAE6CB">
      <w:pPr>
        <w:pageBreakBefore w:val="0"/>
        <w:widowControl w:val="0"/>
        <w:kinsoku/>
        <w:wordWrap/>
        <w:overflowPunct/>
        <w:topLinePunct w:val="0"/>
        <w:bidi w:val="0"/>
        <w:snapToGrid/>
        <w:spacing w:line="500" w:lineRule="exact"/>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合同编号：</w:t>
      </w:r>
    </w:p>
    <w:p w14:paraId="63E7CC99">
      <w:pPr>
        <w:pageBreakBefore w:val="0"/>
        <w:widowControl w:val="0"/>
        <w:kinsoku/>
        <w:wordWrap/>
        <w:overflowPunct/>
        <w:topLinePunct w:val="0"/>
        <w:bidi w:val="0"/>
        <w:snapToGrid/>
        <w:spacing w:line="500" w:lineRule="exact"/>
        <w:jc w:val="center"/>
        <w:textAlignment w:val="auto"/>
        <w:rPr>
          <w:rFonts w:hint="eastAsia" w:ascii="黑体" w:hAnsi="黑体" w:eastAsia="黑体" w:cs="黑体"/>
          <w:b/>
          <w:i w:val="0"/>
          <w:iCs w:val="0"/>
          <w:color w:val="auto"/>
          <w:sz w:val="24"/>
          <w:szCs w:val="24"/>
        </w:rPr>
      </w:pPr>
    </w:p>
    <w:p w14:paraId="36567454">
      <w:pPr>
        <w:pageBreakBefore w:val="0"/>
        <w:widowControl w:val="0"/>
        <w:kinsoku/>
        <w:wordWrap/>
        <w:overflowPunct/>
        <w:topLinePunct w:val="0"/>
        <w:bidi w:val="0"/>
        <w:snapToGrid/>
        <w:spacing w:line="500" w:lineRule="exact"/>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政府采购合同参考范本</w:t>
      </w:r>
    </w:p>
    <w:p w14:paraId="0E07E0E9">
      <w:pPr>
        <w:pStyle w:val="29"/>
        <w:pageBreakBefore w:val="0"/>
        <w:widowControl w:val="0"/>
        <w:kinsoku/>
        <w:wordWrap/>
        <w:overflowPunct/>
        <w:topLinePunct w:val="0"/>
        <w:bidi w:val="0"/>
        <w:snapToGrid/>
        <w:spacing w:line="500" w:lineRule="exact"/>
        <w:ind w:firstLine="0"/>
        <w:jc w:val="center"/>
        <w:textAlignment w:val="auto"/>
        <w:rPr>
          <w:rFonts w:hint="eastAsia" w:ascii="黑体" w:hAnsi="黑体" w:eastAsia="黑体" w:cs="黑体"/>
          <w:i w:val="0"/>
          <w:iCs w:val="0"/>
          <w:color w:val="auto"/>
          <w:sz w:val="24"/>
          <w:szCs w:val="24"/>
        </w:rPr>
      </w:pPr>
    </w:p>
    <w:p w14:paraId="2D307471">
      <w:pPr>
        <w:pStyle w:val="29"/>
        <w:pageBreakBefore w:val="0"/>
        <w:widowControl w:val="0"/>
        <w:kinsoku/>
        <w:wordWrap/>
        <w:overflowPunct/>
        <w:topLinePunct w:val="0"/>
        <w:bidi w:val="0"/>
        <w:snapToGrid/>
        <w:spacing w:line="500" w:lineRule="exact"/>
        <w:ind w:left="0" w:leftChars="0" w:firstLine="0" w:firstLineChars="0"/>
        <w:jc w:val="center"/>
        <w:textAlignment w:val="auto"/>
        <w:rPr>
          <w:rFonts w:hint="eastAsia" w:ascii="黑体" w:hAnsi="黑体" w:eastAsia="黑体" w:cs="黑体"/>
          <w:b/>
          <w:i w:val="0"/>
          <w:iCs w:val="0"/>
          <w:color w:val="auto"/>
          <w:sz w:val="24"/>
          <w:szCs w:val="24"/>
        </w:rPr>
      </w:pPr>
    </w:p>
    <w:p w14:paraId="21528758">
      <w:pPr>
        <w:pStyle w:val="29"/>
        <w:pageBreakBefore w:val="0"/>
        <w:widowControl w:val="0"/>
        <w:kinsoku/>
        <w:wordWrap/>
        <w:overflowPunct/>
        <w:topLinePunct w:val="0"/>
        <w:bidi w:val="0"/>
        <w:snapToGrid/>
        <w:spacing w:line="500" w:lineRule="exact"/>
        <w:ind w:left="0" w:leftChars="0" w:firstLine="0" w:firstLineChars="0"/>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第一部分合同书</w:t>
      </w:r>
    </w:p>
    <w:p w14:paraId="210BC6F4">
      <w:pPr>
        <w:pStyle w:val="29"/>
        <w:pageBreakBefore w:val="0"/>
        <w:widowControl w:val="0"/>
        <w:kinsoku/>
        <w:wordWrap/>
        <w:overflowPunct/>
        <w:topLinePunct w:val="0"/>
        <w:bidi w:val="0"/>
        <w:snapToGrid/>
        <w:spacing w:line="500" w:lineRule="exact"/>
        <w:ind w:left="0" w:leftChars="0" w:firstLine="2100" w:firstLineChars="875"/>
        <w:jc w:val="left"/>
        <w:textAlignment w:val="auto"/>
        <w:rPr>
          <w:rFonts w:hint="eastAsia" w:ascii="黑体" w:hAnsi="黑体" w:eastAsia="黑体" w:cs="黑体"/>
          <w:i w:val="0"/>
          <w:iCs w:val="0"/>
          <w:color w:val="auto"/>
          <w:sz w:val="24"/>
          <w:szCs w:val="24"/>
        </w:rPr>
      </w:pPr>
    </w:p>
    <w:p w14:paraId="2169158D">
      <w:pPr>
        <w:pageBreakBefore w:val="0"/>
        <w:widowControl w:val="0"/>
        <w:kinsoku/>
        <w:wordWrap/>
        <w:overflowPunct/>
        <w:topLinePunct w:val="0"/>
        <w:bidi w:val="0"/>
        <w:snapToGrid/>
        <w:spacing w:before="120" w:line="480" w:lineRule="auto"/>
        <w:ind w:left="0" w:leftChars="0" w:firstLine="2100" w:firstLineChars="875"/>
        <w:jc w:val="left"/>
        <w:textAlignment w:val="auto"/>
        <w:rPr>
          <w:rFonts w:hint="eastAsia" w:ascii="黑体" w:hAnsi="黑体" w:eastAsia="黑体" w:cs="黑体"/>
          <w:i w:val="0"/>
          <w:iCs w:val="0"/>
          <w:color w:val="auto"/>
          <w:sz w:val="24"/>
          <w:szCs w:val="24"/>
        </w:rPr>
      </w:pPr>
    </w:p>
    <w:p w14:paraId="7C22F23B">
      <w:pPr>
        <w:pageBreakBefore w:val="0"/>
        <w:widowControl w:val="0"/>
        <w:kinsoku/>
        <w:wordWrap/>
        <w:overflowPunct/>
        <w:topLinePunct w:val="0"/>
        <w:bidi w:val="0"/>
        <w:snapToGrid/>
        <w:spacing w:before="120" w:line="480" w:lineRule="auto"/>
        <w:ind w:left="0" w:leftChars="0" w:firstLine="2100" w:firstLineChars="875"/>
        <w:jc w:val="left"/>
        <w:textAlignment w:val="auto"/>
        <w:rPr>
          <w:rFonts w:hint="eastAsia" w:ascii="黑体" w:hAnsi="黑体" w:eastAsia="黑体" w:cs="黑体"/>
          <w:i w:val="0"/>
          <w:iCs w:val="0"/>
          <w:color w:val="auto"/>
          <w:sz w:val="24"/>
          <w:szCs w:val="24"/>
        </w:rPr>
      </w:pPr>
    </w:p>
    <w:p w14:paraId="77356811">
      <w:pPr>
        <w:pageBreakBefore w:val="0"/>
        <w:widowControl w:val="0"/>
        <w:kinsoku/>
        <w:wordWrap/>
        <w:overflowPunct/>
        <w:topLinePunct w:val="0"/>
        <w:bidi w:val="0"/>
        <w:snapToGrid/>
        <w:spacing w:before="120" w:line="480" w:lineRule="auto"/>
        <w:ind w:left="0" w:leftChars="0" w:firstLine="2100" w:firstLineChars="875"/>
        <w:jc w:val="left"/>
        <w:textAlignment w:val="auto"/>
        <w:rPr>
          <w:rFonts w:hint="eastAsia" w:ascii="黑体" w:hAnsi="黑体" w:eastAsia="黑体" w:cs="黑体"/>
          <w:i w:val="0"/>
          <w:iCs w:val="0"/>
          <w:color w:val="auto"/>
          <w:sz w:val="24"/>
          <w:szCs w:val="24"/>
          <w:u w:val="single"/>
          <w:lang w:val="en-US" w:eastAsia="zh-CN"/>
        </w:rPr>
      </w:pPr>
      <w:r>
        <w:rPr>
          <w:rFonts w:hint="eastAsia" w:ascii="黑体" w:hAnsi="黑体" w:eastAsia="黑体" w:cs="黑体"/>
          <w:i w:val="0"/>
          <w:iCs w:val="0"/>
          <w:color w:val="auto"/>
          <w:sz w:val="24"/>
          <w:szCs w:val="24"/>
        </w:rPr>
        <w:t>项目名称：</w:t>
      </w:r>
      <w:r>
        <w:rPr>
          <w:rFonts w:hint="eastAsia" w:ascii="黑体" w:hAnsi="黑体" w:eastAsia="黑体" w:cs="黑体"/>
          <w:i w:val="0"/>
          <w:iCs w:val="0"/>
          <w:color w:val="auto"/>
          <w:sz w:val="24"/>
          <w:szCs w:val="24"/>
          <w:u w:val="single"/>
          <w:lang w:val="en-US" w:eastAsia="zh-CN"/>
        </w:rPr>
        <w:t xml:space="preserve">                                                 </w:t>
      </w:r>
    </w:p>
    <w:p w14:paraId="231B54C8">
      <w:pPr>
        <w:pageBreakBefore w:val="0"/>
        <w:widowControl w:val="0"/>
        <w:kinsoku/>
        <w:wordWrap/>
        <w:overflowPunct/>
        <w:topLinePunct w:val="0"/>
        <w:bidi w:val="0"/>
        <w:snapToGrid/>
        <w:spacing w:before="120" w:line="480" w:lineRule="auto"/>
        <w:ind w:left="0" w:leftChars="0" w:firstLine="2100" w:firstLineChars="875"/>
        <w:jc w:val="lef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甲</w:t>
      </w:r>
      <w:r>
        <w:rPr>
          <w:rFonts w:hint="eastAsia" w:ascii="黑体" w:hAnsi="黑体" w:eastAsia="黑体" w:cs="黑体"/>
          <w:i w:val="0"/>
          <w:iCs w:val="0"/>
          <w:color w:val="auto"/>
          <w:sz w:val="24"/>
          <w:szCs w:val="24"/>
          <w:lang w:val="en-US" w:eastAsia="zh-CN"/>
        </w:rPr>
        <w:t xml:space="preserve">      </w:t>
      </w:r>
      <w:r>
        <w:rPr>
          <w:rFonts w:hint="eastAsia" w:ascii="黑体" w:hAnsi="黑体" w:eastAsia="黑体" w:cs="黑体"/>
          <w:i w:val="0"/>
          <w:iCs w:val="0"/>
          <w:color w:val="auto"/>
          <w:sz w:val="24"/>
          <w:szCs w:val="24"/>
        </w:rPr>
        <w:t>方：</w:t>
      </w:r>
      <w:r>
        <w:rPr>
          <w:rFonts w:hint="eastAsia" w:ascii="黑体" w:hAnsi="黑体" w:eastAsia="黑体" w:cs="黑体"/>
          <w:i w:val="0"/>
          <w:iCs w:val="0"/>
          <w:color w:val="auto"/>
          <w:sz w:val="24"/>
          <w:szCs w:val="24"/>
          <w:u w:val="single"/>
          <w:lang w:val="en-US" w:eastAsia="zh-CN"/>
        </w:rPr>
        <w:t xml:space="preserve">                                                 </w:t>
      </w:r>
    </w:p>
    <w:p w14:paraId="31C82D5F">
      <w:pPr>
        <w:pageBreakBefore w:val="0"/>
        <w:widowControl w:val="0"/>
        <w:kinsoku/>
        <w:wordWrap/>
        <w:overflowPunct/>
        <w:topLinePunct w:val="0"/>
        <w:bidi w:val="0"/>
        <w:snapToGrid/>
        <w:spacing w:before="120" w:line="480" w:lineRule="auto"/>
        <w:ind w:left="0" w:leftChars="0" w:firstLine="2100" w:firstLineChars="875"/>
        <w:jc w:val="lef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乙</w:t>
      </w:r>
      <w:r>
        <w:rPr>
          <w:rFonts w:hint="eastAsia" w:ascii="黑体" w:hAnsi="黑体" w:eastAsia="黑体" w:cs="黑体"/>
          <w:i w:val="0"/>
          <w:iCs w:val="0"/>
          <w:color w:val="auto"/>
          <w:sz w:val="24"/>
          <w:szCs w:val="24"/>
          <w:lang w:val="en-US" w:eastAsia="zh-CN"/>
        </w:rPr>
        <w:t xml:space="preserve">      </w:t>
      </w:r>
      <w:r>
        <w:rPr>
          <w:rFonts w:hint="eastAsia" w:ascii="黑体" w:hAnsi="黑体" w:eastAsia="黑体" w:cs="黑体"/>
          <w:i w:val="0"/>
          <w:iCs w:val="0"/>
          <w:color w:val="auto"/>
          <w:sz w:val="24"/>
          <w:szCs w:val="24"/>
        </w:rPr>
        <w:t>方：</w:t>
      </w:r>
      <w:r>
        <w:rPr>
          <w:rFonts w:hint="eastAsia" w:ascii="黑体" w:hAnsi="黑体" w:eastAsia="黑体" w:cs="黑体"/>
          <w:i w:val="0"/>
          <w:iCs w:val="0"/>
          <w:color w:val="auto"/>
          <w:sz w:val="24"/>
          <w:szCs w:val="24"/>
          <w:u w:val="single"/>
          <w:lang w:val="en-US" w:eastAsia="zh-CN"/>
        </w:rPr>
        <w:t xml:space="preserve">                                                 </w:t>
      </w:r>
    </w:p>
    <w:p w14:paraId="1A104C78">
      <w:pPr>
        <w:pageBreakBefore w:val="0"/>
        <w:kinsoku/>
        <w:wordWrap/>
        <w:overflowPunct/>
        <w:topLinePunct w:val="0"/>
        <w:bidi w:val="0"/>
        <w:spacing w:before="120" w:line="480" w:lineRule="auto"/>
        <w:ind w:left="0" w:leftChars="0" w:firstLine="2100" w:firstLineChars="875"/>
        <w:jc w:val="lef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签订地：</w:t>
      </w:r>
      <w:r>
        <w:rPr>
          <w:rFonts w:hint="eastAsia" w:ascii="黑体" w:hAnsi="黑体" w:eastAsia="黑体" w:cs="黑体"/>
          <w:i w:val="0"/>
          <w:iCs w:val="0"/>
          <w:color w:val="auto"/>
          <w:sz w:val="24"/>
          <w:szCs w:val="24"/>
          <w:u w:val="single"/>
          <w:lang w:val="en-US" w:eastAsia="zh-CN"/>
        </w:rPr>
        <w:t xml:space="preserve">                                                 </w:t>
      </w:r>
    </w:p>
    <w:p w14:paraId="34612FA7">
      <w:pPr>
        <w:pageBreakBefore w:val="0"/>
        <w:kinsoku/>
        <w:wordWrap/>
        <w:overflowPunct/>
        <w:topLinePunct w:val="0"/>
        <w:bidi w:val="0"/>
        <w:spacing w:before="120" w:line="480" w:lineRule="auto"/>
        <w:ind w:left="0" w:leftChars="0" w:firstLine="2100" w:firstLineChars="875"/>
        <w:jc w:val="left"/>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签订日期</w:t>
      </w:r>
      <w:r>
        <w:rPr>
          <w:rFonts w:hint="eastAsia" w:ascii="黑体" w:hAnsi="黑体" w:eastAsia="黑体" w:cs="黑体"/>
          <w:i w:val="0"/>
          <w:iCs w:val="0"/>
          <w:color w:val="auto"/>
          <w:sz w:val="24"/>
          <w:szCs w:val="24"/>
          <w:u w:val="none"/>
        </w:rPr>
        <w:t>：</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年</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月</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日</w:t>
      </w:r>
    </w:p>
    <w:p w14:paraId="1D0DF27A">
      <w:pPr>
        <w:pageBreakBefore w:val="0"/>
        <w:kinsoku/>
        <w:wordWrap/>
        <w:overflowPunct/>
        <w:topLinePunct w:val="0"/>
        <w:autoSpaceDE w:val="0"/>
        <w:autoSpaceDN w:val="0"/>
        <w:bidi w:val="0"/>
        <w:adjustRightInd w:val="0"/>
        <w:spacing w:line="500" w:lineRule="exact"/>
        <w:ind w:firstLine="640"/>
        <w:jc w:val="left"/>
        <w:textAlignment w:val="auto"/>
        <w:rPr>
          <w:rFonts w:hint="eastAsia" w:ascii="黑体" w:hAnsi="黑体" w:eastAsia="黑体" w:cs="黑体"/>
          <w:i w:val="0"/>
          <w:iCs w:val="0"/>
          <w:color w:val="auto"/>
          <w:sz w:val="24"/>
          <w:szCs w:val="24"/>
        </w:rPr>
        <w:sectPr>
          <w:headerReference r:id="rId9" w:type="first"/>
          <w:footerReference r:id="rId12" w:type="first"/>
          <w:headerReference r:id="rId7" w:type="default"/>
          <w:footerReference r:id="rId10" w:type="default"/>
          <w:headerReference r:id="rId8" w:type="even"/>
          <w:footerReference r:id="rId11" w:type="even"/>
          <w:pgSz w:w="11907" w:h="16840"/>
          <w:pgMar w:top="1134" w:right="1417" w:bottom="1134" w:left="1417" w:header="851" w:footer="851" w:gutter="0"/>
          <w:pgNumType w:fmt="decimal" w:start="1"/>
          <w:cols w:space="720" w:num="1"/>
          <w:rtlGutter w:val="0"/>
          <w:docGrid w:linePitch="462" w:charSpace="0"/>
        </w:sectPr>
      </w:pPr>
    </w:p>
    <w:p w14:paraId="5F1AE974">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lang w:val="zh-CN"/>
        </w:rPr>
        <w:t>年</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lang w:val="zh-CN"/>
        </w:rPr>
        <w:t>月</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lang w:val="zh-CN"/>
        </w:rPr>
        <w:t>日</w:t>
      </w:r>
      <w:r>
        <w:rPr>
          <w:rFonts w:hint="eastAsia" w:ascii="黑体" w:hAnsi="黑体" w:eastAsia="黑体" w:cs="黑体"/>
          <w:i w:val="0"/>
          <w:iCs w:val="0"/>
          <w:color w:val="auto"/>
          <w:sz w:val="24"/>
          <w:szCs w:val="24"/>
        </w:rPr>
        <w:t>，</w:t>
      </w:r>
      <w:r>
        <w:rPr>
          <w:rFonts w:hint="eastAsia" w:ascii="黑体" w:hAnsi="黑体" w:eastAsia="黑体" w:cs="黑体"/>
          <w:i w:val="0"/>
          <w:iCs w:val="0"/>
          <w:color w:val="auto"/>
          <w:sz w:val="24"/>
          <w:szCs w:val="24"/>
          <w:u w:val="single"/>
        </w:rPr>
        <w:t>（采购人名称）</w:t>
      </w:r>
      <w:r>
        <w:rPr>
          <w:rFonts w:hint="eastAsia" w:ascii="黑体" w:hAnsi="黑体" w:eastAsia="黑体" w:cs="黑体"/>
          <w:i w:val="0"/>
          <w:iCs w:val="0"/>
          <w:color w:val="auto"/>
          <w:sz w:val="24"/>
          <w:szCs w:val="24"/>
        </w:rPr>
        <w:t>以</w:t>
      </w:r>
      <w:r>
        <w:rPr>
          <w:rFonts w:hint="eastAsia" w:ascii="黑体" w:hAnsi="黑体" w:eastAsia="黑体" w:cs="黑体"/>
          <w:i w:val="0"/>
          <w:iCs w:val="0"/>
          <w:color w:val="auto"/>
          <w:sz w:val="24"/>
          <w:szCs w:val="24"/>
          <w:u w:val="single"/>
        </w:rPr>
        <w:t>（政府采购方式）</w:t>
      </w:r>
      <w:r>
        <w:rPr>
          <w:rFonts w:hint="eastAsia" w:ascii="黑体" w:hAnsi="黑体" w:eastAsia="黑体" w:cs="黑体"/>
          <w:i w:val="0"/>
          <w:iCs w:val="0"/>
          <w:color w:val="auto"/>
          <w:sz w:val="24"/>
          <w:szCs w:val="24"/>
        </w:rPr>
        <w:t>对</w:t>
      </w:r>
      <w:r>
        <w:rPr>
          <w:rFonts w:hint="eastAsia" w:ascii="黑体" w:hAnsi="黑体" w:eastAsia="黑体" w:cs="黑体"/>
          <w:i w:val="0"/>
          <w:iCs w:val="0"/>
          <w:color w:val="auto"/>
          <w:sz w:val="24"/>
          <w:szCs w:val="24"/>
          <w:u w:val="single"/>
        </w:rPr>
        <w:t>（同前页项目名称）</w:t>
      </w:r>
      <w:r>
        <w:rPr>
          <w:rFonts w:hint="eastAsia" w:ascii="黑体" w:hAnsi="黑体" w:eastAsia="黑体" w:cs="黑体"/>
          <w:i w:val="0"/>
          <w:iCs w:val="0"/>
          <w:color w:val="auto"/>
          <w:sz w:val="24"/>
          <w:szCs w:val="24"/>
        </w:rPr>
        <w:t>项目进行了采购。经</w:t>
      </w:r>
      <w:r>
        <w:rPr>
          <w:rFonts w:hint="eastAsia" w:ascii="黑体" w:hAnsi="黑体" w:eastAsia="黑体" w:cs="黑体"/>
          <w:i w:val="0"/>
          <w:iCs w:val="0"/>
          <w:color w:val="auto"/>
          <w:sz w:val="24"/>
          <w:szCs w:val="24"/>
          <w:u w:val="single"/>
        </w:rPr>
        <w:t>（相关评定主体名称）</w:t>
      </w:r>
      <w:r>
        <w:rPr>
          <w:rFonts w:hint="eastAsia" w:ascii="黑体" w:hAnsi="黑体" w:eastAsia="黑体" w:cs="黑体"/>
          <w:i w:val="0"/>
          <w:iCs w:val="0"/>
          <w:color w:val="auto"/>
          <w:sz w:val="24"/>
          <w:szCs w:val="24"/>
        </w:rPr>
        <w:t>评定，</w:t>
      </w:r>
      <w:r>
        <w:rPr>
          <w:rFonts w:hint="eastAsia" w:ascii="黑体" w:hAnsi="黑体" w:eastAsia="黑体" w:cs="黑体"/>
          <w:i w:val="0"/>
          <w:iCs w:val="0"/>
          <w:color w:val="auto"/>
          <w:sz w:val="24"/>
          <w:szCs w:val="24"/>
          <w:u w:val="single"/>
        </w:rPr>
        <w:t>（中标供应商名称）</w:t>
      </w:r>
      <w:r>
        <w:rPr>
          <w:rFonts w:hint="eastAsia" w:ascii="黑体" w:hAnsi="黑体" w:eastAsia="黑体" w:cs="黑体"/>
          <w:i w:val="0"/>
          <w:iCs w:val="0"/>
          <w:color w:val="auto"/>
          <w:sz w:val="24"/>
          <w:szCs w:val="24"/>
        </w:rPr>
        <w:t>为该项目中标供应商。现于中标通知书发出之日起三十日内，按照采购文件确定的事项签订本合同。</w:t>
      </w:r>
    </w:p>
    <w:p w14:paraId="741D3299">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lang w:val="zh-CN"/>
        </w:rPr>
        <w:t>根据《</w:t>
      </w:r>
      <w:r>
        <w:rPr>
          <w:rFonts w:hint="eastAsia" w:ascii="黑体" w:hAnsi="黑体" w:eastAsia="黑体" w:cs="黑体"/>
          <w:i w:val="0"/>
          <w:iCs w:val="0"/>
          <w:color w:val="auto"/>
          <w:sz w:val="24"/>
          <w:szCs w:val="24"/>
          <w:highlight w:val="none"/>
          <w:lang w:val="zh-CN"/>
        </w:rPr>
        <w:t>中华人民共和国</w:t>
      </w:r>
      <w:r>
        <w:rPr>
          <w:rFonts w:hint="eastAsia" w:ascii="黑体" w:hAnsi="黑体" w:eastAsia="黑体" w:cs="黑体"/>
          <w:i w:val="0"/>
          <w:iCs w:val="0"/>
          <w:color w:val="auto"/>
          <w:sz w:val="24"/>
          <w:szCs w:val="24"/>
          <w:highlight w:val="none"/>
          <w:lang w:val="en-US" w:eastAsia="zh-CN"/>
        </w:rPr>
        <w:t>民法典</w:t>
      </w:r>
      <w:r>
        <w:rPr>
          <w:rFonts w:hint="eastAsia" w:ascii="黑体" w:hAnsi="黑体" w:eastAsia="黑体" w:cs="黑体"/>
          <w:i w:val="0"/>
          <w:iCs w:val="0"/>
          <w:color w:val="auto"/>
          <w:sz w:val="24"/>
          <w:szCs w:val="24"/>
          <w:lang w:val="zh-CN"/>
        </w:rPr>
        <w:t>》、《中华人民共和国政府采购法》等相关法律法规之规定，按照平等、自愿、公平和诚实信用的原则，经</w:t>
      </w:r>
      <w:r>
        <w:rPr>
          <w:rFonts w:hint="eastAsia" w:ascii="黑体" w:hAnsi="黑体" w:eastAsia="黑体" w:cs="黑体"/>
          <w:i w:val="0"/>
          <w:iCs w:val="0"/>
          <w:color w:val="auto"/>
          <w:sz w:val="24"/>
          <w:szCs w:val="24"/>
          <w:u w:val="single"/>
        </w:rPr>
        <w:t>（采购人名称）</w:t>
      </w:r>
      <w:r>
        <w:rPr>
          <w:rFonts w:hint="eastAsia" w:ascii="黑体" w:hAnsi="黑体" w:eastAsia="黑体" w:cs="黑体"/>
          <w:i w:val="0"/>
          <w:iCs w:val="0"/>
          <w:color w:val="auto"/>
          <w:sz w:val="24"/>
          <w:szCs w:val="24"/>
          <w:lang w:val="zh-CN"/>
        </w:rPr>
        <w:t>(以下简称：甲方)和</w:t>
      </w:r>
      <w:r>
        <w:rPr>
          <w:rFonts w:hint="eastAsia" w:ascii="黑体" w:hAnsi="黑体" w:eastAsia="黑体" w:cs="黑体"/>
          <w:i w:val="0"/>
          <w:iCs w:val="0"/>
          <w:color w:val="auto"/>
          <w:sz w:val="24"/>
          <w:szCs w:val="24"/>
          <w:u w:val="single"/>
        </w:rPr>
        <w:t>（中标供应商名称）</w:t>
      </w:r>
      <w:r>
        <w:rPr>
          <w:rFonts w:hint="eastAsia" w:ascii="黑体" w:hAnsi="黑体" w:eastAsia="黑体" w:cs="黑体"/>
          <w:i w:val="0"/>
          <w:iCs w:val="0"/>
          <w:color w:val="auto"/>
          <w:sz w:val="24"/>
          <w:szCs w:val="24"/>
          <w:lang w:val="zh-CN"/>
        </w:rPr>
        <w:t>(以下简称：乙方)协商一致，约定以下合同</w:t>
      </w:r>
      <w:r>
        <w:rPr>
          <w:rFonts w:hint="eastAsia" w:ascii="黑体" w:hAnsi="黑体" w:eastAsia="黑体" w:cs="黑体"/>
          <w:i w:val="0"/>
          <w:iCs w:val="0"/>
          <w:color w:val="auto"/>
          <w:sz w:val="24"/>
          <w:szCs w:val="24"/>
        </w:rPr>
        <w:t>条款，以兹共同遵守、全面履行。</w:t>
      </w:r>
    </w:p>
    <w:p w14:paraId="0D74F43C">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04" w:name="_Toc3029"/>
      <w:bookmarkStart w:id="105" w:name="_Toc24059"/>
      <w:bookmarkStart w:id="106" w:name="_Toc28470"/>
      <w:bookmarkStart w:id="107" w:name="_Toc2232"/>
      <w:bookmarkStart w:id="108" w:name="_Toc17237"/>
      <w:bookmarkStart w:id="109" w:name="_Toc13149"/>
      <w:r>
        <w:rPr>
          <w:rFonts w:hint="eastAsia" w:ascii="黑体" w:hAnsi="黑体" w:eastAsia="黑体" w:cs="黑体"/>
          <w:b/>
          <w:i w:val="0"/>
          <w:iCs w:val="0"/>
          <w:color w:val="auto"/>
          <w:sz w:val="24"/>
          <w:szCs w:val="24"/>
        </w:rPr>
        <w:t>1.1合同组成部分</w:t>
      </w:r>
      <w:bookmarkEnd w:id="104"/>
      <w:bookmarkEnd w:id="105"/>
      <w:bookmarkEnd w:id="106"/>
      <w:bookmarkEnd w:id="107"/>
      <w:bookmarkEnd w:id="108"/>
      <w:bookmarkEnd w:id="109"/>
    </w:p>
    <w:p w14:paraId="2D4FED1F">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33E5AA">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1.1.1本合同及其补充合同、变更协议；</w:t>
      </w:r>
    </w:p>
    <w:p w14:paraId="38B0F55C">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1.1.2中标通知书；</w:t>
      </w:r>
    </w:p>
    <w:p w14:paraId="368E0949">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1.1.3投标文件（含澄清或者说明文件）；</w:t>
      </w:r>
    </w:p>
    <w:p w14:paraId="758543DF">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1.1.4招标文件（含澄清或者修改文件）；</w:t>
      </w:r>
    </w:p>
    <w:p w14:paraId="4E6363E4">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1.1.5其他相关采购文件。</w:t>
      </w:r>
    </w:p>
    <w:p w14:paraId="35DC197C">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10" w:name="_Toc25897"/>
      <w:bookmarkStart w:id="111" w:name="_Toc27126"/>
      <w:bookmarkStart w:id="112" w:name="_Toc21295"/>
      <w:bookmarkStart w:id="113" w:name="_Toc30894"/>
      <w:bookmarkStart w:id="114" w:name="_Toc857"/>
      <w:bookmarkStart w:id="115" w:name="_Toc24300"/>
      <w:r>
        <w:rPr>
          <w:rFonts w:hint="eastAsia" w:ascii="黑体" w:hAnsi="黑体" w:eastAsia="黑体" w:cs="黑体"/>
          <w:b/>
          <w:i w:val="0"/>
          <w:iCs w:val="0"/>
          <w:color w:val="auto"/>
          <w:sz w:val="24"/>
          <w:szCs w:val="24"/>
        </w:rPr>
        <w:t>1.2货物</w:t>
      </w:r>
      <w:bookmarkEnd w:id="110"/>
      <w:bookmarkEnd w:id="111"/>
      <w:bookmarkEnd w:id="112"/>
      <w:bookmarkEnd w:id="113"/>
      <w:bookmarkEnd w:id="114"/>
      <w:bookmarkEnd w:id="115"/>
    </w:p>
    <w:p w14:paraId="480E4D90">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1.2.1货物名称：</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68BC7982">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1.2.2货物数量：</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4016CCAA">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1.2.3货物质量：</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3A98FBD6">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16" w:name="_Toc21631"/>
      <w:bookmarkStart w:id="117" w:name="_Toc21551"/>
      <w:bookmarkStart w:id="118" w:name="_Toc7994"/>
      <w:bookmarkStart w:id="119" w:name="_Toc26445"/>
      <w:bookmarkStart w:id="120" w:name="_Toc23292"/>
      <w:bookmarkStart w:id="121" w:name="_Toc27790"/>
      <w:r>
        <w:rPr>
          <w:rFonts w:hint="eastAsia" w:ascii="黑体" w:hAnsi="黑体" w:eastAsia="黑体" w:cs="黑体"/>
          <w:b/>
          <w:i w:val="0"/>
          <w:iCs w:val="0"/>
          <w:color w:val="auto"/>
          <w:sz w:val="24"/>
          <w:szCs w:val="24"/>
        </w:rPr>
        <w:t>1.3价款</w:t>
      </w:r>
      <w:bookmarkEnd w:id="116"/>
      <w:bookmarkEnd w:id="117"/>
      <w:bookmarkEnd w:id="118"/>
      <w:bookmarkEnd w:id="119"/>
      <w:bookmarkEnd w:id="120"/>
      <w:bookmarkEnd w:id="121"/>
    </w:p>
    <w:p w14:paraId="33F68B9D">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本合同总价为：</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￥元（大写：</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元人民币）。</w:t>
      </w:r>
    </w:p>
    <w:p w14:paraId="27B6BBED">
      <w:pPr>
        <w:pageBreakBefore w:val="0"/>
        <w:kinsoku/>
        <w:wordWrap/>
        <w:overflowPunct/>
        <w:topLinePunct w:val="0"/>
        <w:bidi w:val="0"/>
        <w:spacing w:line="500" w:lineRule="exact"/>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402"/>
        <w:gridCol w:w="3269"/>
      </w:tblGrid>
      <w:tr w14:paraId="3864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3" w:type="dxa"/>
            <w:noWrap w:val="0"/>
            <w:vAlign w:val="center"/>
          </w:tcPr>
          <w:p w14:paraId="764E62F2">
            <w:pPr>
              <w:pStyle w:val="31"/>
              <w:pageBreakBefore w:val="0"/>
              <w:kinsoku/>
              <w:wordWrap/>
              <w:overflowPunct/>
              <w:topLinePunct w:val="0"/>
              <w:bidi w:val="0"/>
              <w:spacing w:line="500" w:lineRule="exact"/>
              <w:jc w:val="center"/>
              <w:textAlignment w:val="auto"/>
              <w:rPr>
                <w:rFonts w:hint="eastAsia" w:ascii="黑体" w:hAnsi="黑体" w:eastAsia="黑体" w:cs="黑体"/>
                <w:i w:val="0"/>
                <w:iCs w:val="0"/>
                <w:color w:val="auto"/>
                <w:kern w:val="2"/>
                <w:sz w:val="24"/>
                <w:szCs w:val="24"/>
              </w:rPr>
            </w:pPr>
            <w:r>
              <w:rPr>
                <w:rFonts w:hint="eastAsia" w:ascii="黑体" w:hAnsi="黑体" w:eastAsia="黑体" w:cs="黑体"/>
                <w:i w:val="0"/>
                <w:iCs w:val="0"/>
                <w:color w:val="auto"/>
                <w:kern w:val="2"/>
                <w:sz w:val="24"/>
                <w:szCs w:val="24"/>
              </w:rPr>
              <w:t>序号</w:t>
            </w:r>
          </w:p>
        </w:tc>
        <w:tc>
          <w:tcPr>
            <w:tcW w:w="3402" w:type="dxa"/>
            <w:noWrap w:val="0"/>
            <w:vAlign w:val="center"/>
          </w:tcPr>
          <w:p w14:paraId="6A8099FF">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r>
              <w:rPr>
                <w:rFonts w:hint="eastAsia" w:ascii="黑体" w:hAnsi="黑体" w:eastAsia="黑体" w:cs="黑体"/>
                <w:i w:val="0"/>
                <w:iCs w:val="0"/>
                <w:color w:val="auto"/>
                <w:kern w:val="2"/>
                <w:sz w:val="24"/>
                <w:szCs w:val="24"/>
              </w:rPr>
              <w:t>分项名称</w:t>
            </w:r>
          </w:p>
        </w:tc>
        <w:tc>
          <w:tcPr>
            <w:tcW w:w="3269" w:type="dxa"/>
            <w:noWrap w:val="0"/>
            <w:vAlign w:val="center"/>
          </w:tcPr>
          <w:p w14:paraId="38A28488">
            <w:pPr>
              <w:pStyle w:val="31"/>
              <w:pageBreakBefore w:val="0"/>
              <w:kinsoku/>
              <w:wordWrap/>
              <w:overflowPunct/>
              <w:topLinePunct w:val="0"/>
              <w:bidi w:val="0"/>
              <w:spacing w:line="500" w:lineRule="exact"/>
              <w:jc w:val="center"/>
              <w:textAlignment w:val="auto"/>
              <w:rPr>
                <w:rFonts w:hint="eastAsia" w:ascii="黑体" w:hAnsi="黑体" w:eastAsia="黑体" w:cs="黑体"/>
                <w:i w:val="0"/>
                <w:iCs w:val="0"/>
                <w:color w:val="auto"/>
                <w:kern w:val="2"/>
                <w:sz w:val="24"/>
                <w:szCs w:val="24"/>
              </w:rPr>
            </w:pPr>
            <w:r>
              <w:rPr>
                <w:rFonts w:hint="eastAsia" w:ascii="黑体" w:hAnsi="黑体" w:eastAsia="黑体" w:cs="黑体"/>
                <w:i w:val="0"/>
                <w:iCs w:val="0"/>
                <w:color w:val="auto"/>
                <w:kern w:val="2"/>
                <w:sz w:val="24"/>
                <w:szCs w:val="24"/>
              </w:rPr>
              <w:t>分项价格</w:t>
            </w:r>
          </w:p>
        </w:tc>
      </w:tr>
      <w:tr w14:paraId="55F8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3" w:type="dxa"/>
            <w:noWrap w:val="0"/>
            <w:vAlign w:val="center"/>
          </w:tcPr>
          <w:p w14:paraId="013F92CD">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402" w:type="dxa"/>
            <w:noWrap w:val="0"/>
            <w:vAlign w:val="center"/>
          </w:tcPr>
          <w:p w14:paraId="2EB89EB8">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269" w:type="dxa"/>
            <w:noWrap w:val="0"/>
            <w:vAlign w:val="center"/>
          </w:tcPr>
          <w:p w14:paraId="4DDA2AF5">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r>
      <w:tr w14:paraId="2811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3" w:type="dxa"/>
            <w:noWrap w:val="0"/>
            <w:vAlign w:val="center"/>
          </w:tcPr>
          <w:p w14:paraId="14EE2379">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402" w:type="dxa"/>
            <w:noWrap w:val="0"/>
            <w:vAlign w:val="center"/>
          </w:tcPr>
          <w:p w14:paraId="1395B8CC">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269" w:type="dxa"/>
            <w:noWrap w:val="0"/>
            <w:vAlign w:val="center"/>
          </w:tcPr>
          <w:p w14:paraId="5E4BDE0E">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r>
      <w:tr w14:paraId="1766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3" w:type="dxa"/>
            <w:noWrap w:val="0"/>
            <w:vAlign w:val="center"/>
          </w:tcPr>
          <w:p w14:paraId="1649887D">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402" w:type="dxa"/>
            <w:noWrap w:val="0"/>
            <w:vAlign w:val="center"/>
          </w:tcPr>
          <w:p w14:paraId="20117D13">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269" w:type="dxa"/>
            <w:noWrap w:val="0"/>
            <w:vAlign w:val="center"/>
          </w:tcPr>
          <w:p w14:paraId="6354C69C">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r>
      <w:tr w14:paraId="7D99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3" w:type="dxa"/>
            <w:noWrap w:val="0"/>
            <w:vAlign w:val="center"/>
          </w:tcPr>
          <w:p w14:paraId="6BA42389">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402" w:type="dxa"/>
            <w:noWrap w:val="0"/>
            <w:vAlign w:val="center"/>
          </w:tcPr>
          <w:p w14:paraId="5BE389FB">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c>
          <w:tcPr>
            <w:tcW w:w="3269" w:type="dxa"/>
            <w:noWrap w:val="0"/>
            <w:vAlign w:val="center"/>
          </w:tcPr>
          <w:p w14:paraId="6D09647B">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r>
      <w:tr w14:paraId="4313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45" w:type="dxa"/>
            <w:gridSpan w:val="2"/>
            <w:noWrap w:val="0"/>
            <w:vAlign w:val="center"/>
          </w:tcPr>
          <w:p w14:paraId="3A3ED5FD">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r>
              <w:rPr>
                <w:rFonts w:hint="eastAsia" w:ascii="黑体" w:hAnsi="黑体" w:eastAsia="黑体" w:cs="黑体"/>
                <w:i w:val="0"/>
                <w:iCs w:val="0"/>
                <w:color w:val="auto"/>
                <w:kern w:val="2"/>
                <w:sz w:val="24"/>
                <w:szCs w:val="24"/>
              </w:rPr>
              <w:t>总价</w:t>
            </w:r>
          </w:p>
        </w:tc>
        <w:tc>
          <w:tcPr>
            <w:tcW w:w="3269" w:type="dxa"/>
            <w:noWrap w:val="0"/>
            <w:vAlign w:val="center"/>
          </w:tcPr>
          <w:p w14:paraId="1C818587">
            <w:pPr>
              <w:pStyle w:val="31"/>
              <w:pageBreakBefore w:val="0"/>
              <w:kinsoku/>
              <w:wordWrap/>
              <w:overflowPunct/>
              <w:topLinePunct w:val="0"/>
              <w:bidi w:val="0"/>
              <w:spacing w:line="500" w:lineRule="exact"/>
              <w:ind w:firstLine="200"/>
              <w:jc w:val="center"/>
              <w:textAlignment w:val="auto"/>
              <w:rPr>
                <w:rFonts w:hint="eastAsia" w:ascii="黑体" w:hAnsi="黑体" w:eastAsia="黑体" w:cs="黑体"/>
                <w:i w:val="0"/>
                <w:iCs w:val="0"/>
                <w:color w:val="auto"/>
                <w:kern w:val="2"/>
                <w:sz w:val="24"/>
                <w:szCs w:val="24"/>
              </w:rPr>
            </w:pPr>
          </w:p>
        </w:tc>
      </w:tr>
    </w:tbl>
    <w:p w14:paraId="67B1A264">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22" w:name="_Toc22618"/>
      <w:bookmarkStart w:id="123" w:name="_Toc24214"/>
      <w:bookmarkStart w:id="124" w:name="_Toc30977"/>
      <w:bookmarkStart w:id="125" w:name="_Toc1814"/>
      <w:bookmarkStart w:id="126" w:name="_Toc10340"/>
      <w:bookmarkStart w:id="127" w:name="_Toc20510"/>
      <w:r>
        <w:rPr>
          <w:rFonts w:hint="eastAsia" w:ascii="黑体" w:hAnsi="黑体" w:eastAsia="黑体" w:cs="黑体"/>
          <w:b/>
          <w:i w:val="0"/>
          <w:iCs w:val="0"/>
          <w:color w:val="auto"/>
          <w:sz w:val="24"/>
          <w:szCs w:val="24"/>
        </w:rPr>
        <w:t>1.4付款方式和发票开具方式</w:t>
      </w:r>
      <w:bookmarkEnd w:id="122"/>
      <w:bookmarkEnd w:id="123"/>
      <w:bookmarkEnd w:id="124"/>
      <w:bookmarkEnd w:id="125"/>
      <w:bookmarkEnd w:id="126"/>
      <w:bookmarkEnd w:id="127"/>
    </w:p>
    <w:p w14:paraId="4E022924">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1.4.1付款方式：</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490E48C1">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1.4.2发票开具方式：</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355674C6">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28" w:name="_Toc2001"/>
      <w:bookmarkStart w:id="129" w:name="_Toc17038"/>
      <w:bookmarkStart w:id="130" w:name="_Toc2846"/>
      <w:bookmarkStart w:id="131" w:name="_Toc19304"/>
      <w:bookmarkStart w:id="132" w:name="_Toc24534"/>
      <w:bookmarkStart w:id="133" w:name="_Toc32071"/>
      <w:r>
        <w:rPr>
          <w:rFonts w:hint="eastAsia" w:ascii="黑体" w:hAnsi="黑体" w:eastAsia="黑体" w:cs="黑体"/>
          <w:b/>
          <w:i w:val="0"/>
          <w:iCs w:val="0"/>
          <w:color w:val="auto"/>
          <w:sz w:val="24"/>
          <w:szCs w:val="24"/>
        </w:rPr>
        <w:t>1.5货物交付期限、地点和方式</w:t>
      </w:r>
      <w:bookmarkEnd w:id="128"/>
      <w:bookmarkEnd w:id="129"/>
      <w:bookmarkEnd w:id="130"/>
      <w:bookmarkEnd w:id="131"/>
      <w:bookmarkEnd w:id="132"/>
      <w:bookmarkEnd w:id="133"/>
    </w:p>
    <w:p w14:paraId="25715147">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1.5.1交付期限：</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4B4E8739">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1.5.2交付地点：</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1AA285C4">
      <w:pPr>
        <w:pageBreakBefore w:val="0"/>
        <w:kinsoku/>
        <w:wordWrap/>
        <w:overflowPunct/>
        <w:topLinePunct w:val="0"/>
        <w:bidi w:val="0"/>
        <w:spacing w:line="500" w:lineRule="exact"/>
        <w:ind w:left="0" w:leftChars="0" w:firstLine="420" w:firstLineChars="175"/>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1.5.3交付方式：</w:t>
      </w:r>
      <w:r>
        <w:rPr>
          <w:rFonts w:hint="eastAsia" w:ascii="黑体" w:hAnsi="黑体" w:eastAsia="黑体" w:cs="黑体"/>
          <w:i w:val="0"/>
          <w:iCs w:val="0"/>
          <w:color w:val="auto"/>
          <w:sz w:val="24"/>
          <w:szCs w:val="24"/>
          <w:u w:val="single"/>
          <w:lang w:val="en-US" w:eastAsia="zh-CN"/>
        </w:rPr>
        <w:t xml:space="preserve">                        </w:t>
      </w:r>
      <w:r>
        <w:rPr>
          <w:rFonts w:hint="eastAsia" w:ascii="黑体" w:hAnsi="黑体" w:eastAsia="黑体" w:cs="黑体"/>
          <w:i w:val="0"/>
          <w:iCs w:val="0"/>
          <w:color w:val="auto"/>
          <w:sz w:val="24"/>
          <w:szCs w:val="24"/>
        </w:rPr>
        <w:t>。</w:t>
      </w:r>
    </w:p>
    <w:p w14:paraId="297A7537">
      <w:pPr>
        <w:pageBreakBefore w:val="0"/>
        <w:kinsoku/>
        <w:wordWrap/>
        <w:overflowPunct/>
        <w:topLinePunct w:val="0"/>
        <w:bidi w:val="0"/>
        <w:spacing w:line="500" w:lineRule="exact"/>
        <w:textAlignment w:val="auto"/>
        <w:outlineLvl w:val="0"/>
        <w:rPr>
          <w:rFonts w:hint="eastAsia" w:ascii="黑体" w:hAnsi="黑体" w:eastAsia="黑体" w:cs="黑体"/>
          <w:b/>
          <w:i w:val="0"/>
          <w:iCs w:val="0"/>
          <w:color w:val="auto"/>
          <w:sz w:val="24"/>
          <w:szCs w:val="24"/>
        </w:rPr>
      </w:pPr>
      <w:bookmarkStart w:id="134" w:name="_Toc19554"/>
      <w:bookmarkStart w:id="135" w:name="_Toc31111"/>
      <w:bookmarkStart w:id="136" w:name="_Toc27250"/>
      <w:bookmarkStart w:id="137" w:name="_Toc14785"/>
      <w:bookmarkStart w:id="138" w:name="_Toc21423"/>
      <w:bookmarkStart w:id="139" w:name="_Toc12379"/>
      <w:r>
        <w:rPr>
          <w:rFonts w:hint="eastAsia" w:ascii="黑体" w:hAnsi="黑体" w:eastAsia="黑体" w:cs="黑体"/>
          <w:b/>
          <w:i w:val="0"/>
          <w:iCs w:val="0"/>
          <w:color w:val="auto"/>
          <w:sz w:val="24"/>
          <w:szCs w:val="24"/>
        </w:rPr>
        <w:t>1.6违约责任</w:t>
      </w:r>
      <w:bookmarkEnd w:id="134"/>
      <w:bookmarkEnd w:id="135"/>
      <w:bookmarkEnd w:id="136"/>
      <w:bookmarkEnd w:id="137"/>
      <w:bookmarkEnd w:id="138"/>
      <w:bookmarkEnd w:id="139"/>
    </w:p>
    <w:p w14:paraId="303BB403">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1.6.1除不可抗力外，如果乙方没有按照本合同约定的期限、地点和方式交付货物，那么甲方可要求乙方支付违约金，违约金按每迟延交付货物一日的应交付而未交付</w:t>
      </w:r>
      <w:r>
        <w:rPr>
          <w:rFonts w:hint="eastAsia" w:ascii="黑体" w:hAnsi="黑体" w:eastAsia="黑体" w:cs="黑体"/>
          <w:i w:val="0"/>
          <w:iCs w:val="0"/>
          <w:color w:val="auto"/>
          <w:sz w:val="24"/>
          <w:szCs w:val="24"/>
          <w:lang w:val="en-US" w:eastAsia="zh-CN"/>
        </w:rPr>
        <w:t>中标</w:t>
      </w:r>
      <w:r>
        <w:rPr>
          <w:rFonts w:hint="eastAsia" w:ascii="黑体" w:hAnsi="黑体" w:eastAsia="黑体" w:cs="黑体"/>
          <w:i w:val="0"/>
          <w:iCs w:val="0"/>
          <w:color w:val="auto"/>
          <w:sz w:val="24"/>
          <w:szCs w:val="24"/>
        </w:rPr>
        <w:t>价</w:t>
      </w:r>
      <w:r>
        <w:rPr>
          <w:rFonts w:hint="eastAsia" w:ascii="黑体" w:hAnsi="黑体" w:eastAsia="黑体" w:cs="黑体"/>
          <w:i w:val="0"/>
          <w:iCs w:val="0"/>
          <w:color w:val="auto"/>
          <w:sz w:val="24"/>
          <w:szCs w:val="24"/>
          <w:highlight w:val="none"/>
        </w:rPr>
        <w:t>格的</w:t>
      </w:r>
      <w:r>
        <w:rPr>
          <w:rFonts w:hint="eastAsia" w:ascii="黑体" w:hAnsi="黑体" w:eastAsia="黑体" w:cs="黑体"/>
          <w:i w:val="0"/>
          <w:iCs w:val="0"/>
          <w:color w:val="auto"/>
          <w:sz w:val="24"/>
          <w:szCs w:val="24"/>
          <w:highlight w:val="none"/>
          <w:u w:val="single"/>
          <w:lang w:val="en-US" w:eastAsia="zh-CN"/>
        </w:rPr>
        <w:t>万分之五</w:t>
      </w:r>
      <w:r>
        <w:rPr>
          <w:rFonts w:hint="eastAsia" w:ascii="黑体" w:hAnsi="黑体" w:eastAsia="黑体" w:cs="黑体"/>
          <w:i w:val="0"/>
          <w:iCs w:val="0"/>
          <w:color w:val="auto"/>
          <w:sz w:val="24"/>
          <w:szCs w:val="24"/>
          <w:highlight w:val="none"/>
        </w:rPr>
        <w:t>计算，最高限额为本合同总价的</w:t>
      </w:r>
      <w:r>
        <w:rPr>
          <w:rFonts w:hint="eastAsia" w:ascii="黑体" w:hAnsi="黑体" w:eastAsia="黑体" w:cs="黑体"/>
          <w:i w:val="0"/>
          <w:iCs w:val="0"/>
          <w:color w:val="auto"/>
          <w:sz w:val="24"/>
          <w:szCs w:val="24"/>
          <w:highlight w:val="none"/>
          <w:u w:val="single"/>
          <w:lang w:val="en-US" w:eastAsia="zh-CN"/>
        </w:rPr>
        <w:t>10</w:t>
      </w:r>
      <w:r>
        <w:rPr>
          <w:rFonts w:hint="eastAsia" w:ascii="黑体" w:hAnsi="黑体" w:eastAsia="黑体" w:cs="黑体"/>
          <w:i w:val="0"/>
          <w:iCs w:val="0"/>
          <w:color w:val="auto"/>
          <w:sz w:val="24"/>
          <w:szCs w:val="24"/>
          <w:highlight w:val="none"/>
        </w:rPr>
        <w:t>%；迟</w:t>
      </w:r>
      <w:r>
        <w:rPr>
          <w:rFonts w:hint="eastAsia" w:ascii="黑体" w:hAnsi="黑体" w:eastAsia="黑体" w:cs="黑体"/>
          <w:i w:val="0"/>
          <w:iCs w:val="0"/>
          <w:color w:val="auto"/>
          <w:sz w:val="24"/>
          <w:szCs w:val="24"/>
        </w:rPr>
        <w:t>延交付货物的违约金计算数额达到前述最高限额之日起，甲方有权在要求乙方支付违约金的同时，书面通知乙方解除本合同；</w:t>
      </w:r>
    </w:p>
    <w:p w14:paraId="208BEBD9">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1.6.2除不可抗力外，如果甲方没有按照本合同约定的付款方式付款，那么乙方</w:t>
      </w:r>
      <w:r>
        <w:rPr>
          <w:rFonts w:hint="eastAsia" w:ascii="黑体" w:hAnsi="黑体" w:eastAsia="黑体" w:cs="黑体"/>
          <w:i w:val="0"/>
          <w:iCs w:val="0"/>
          <w:color w:val="auto"/>
          <w:sz w:val="24"/>
          <w:szCs w:val="24"/>
          <w:highlight w:val="none"/>
          <w:lang w:val="en-US" w:eastAsia="zh-CN"/>
        </w:rPr>
        <w:t>应当书面催告甲方并给于合理履行期，到期后仍不履行的</w:t>
      </w:r>
      <w:r>
        <w:rPr>
          <w:rFonts w:hint="eastAsia" w:ascii="黑体" w:hAnsi="黑体" w:eastAsia="黑体" w:cs="黑体"/>
          <w:i w:val="0"/>
          <w:iCs w:val="0"/>
          <w:color w:val="auto"/>
          <w:sz w:val="24"/>
          <w:szCs w:val="24"/>
          <w:highlight w:val="none"/>
        </w:rPr>
        <w:t>可要求甲方支付违约金，违约金按每迟延付款一日的应付而未付款的</w:t>
      </w:r>
      <w:r>
        <w:rPr>
          <w:rFonts w:hint="eastAsia" w:ascii="黑体" w:hAnsi="黑体" w:eastAsia="黑体" w:cs="黑体"/>
          <w:i w:val="0"/>
          <w:iCs w:val="0"/>
          <w:color w:val="auto"/>
          <w:sz w:val="24"/>
          <w:szCs w:val="24"/>
          <w:highlight w:val="none"/>
          <w:u w:val="single"/>
          <w:lang w:val="en-US" w:eastAsia="zh-CN"/>
        </w:rPr>
        <w:t>万分之五</w:t>
      </w:r>
      <w:r>
        <w:rPr>
          <w:rFonts w:hint="eastAsia" w:ascii="黑体" w:hAnsi="黑体" w:eastAsia="黑体" w:cs="黑体"/>
          <w:i w:val="0"/>
          <w:iCs w:val="0"/>
          <w:color w:val="auto"/>
          <w:sz w:val="24"/>
          <w:szCs w:val="24"/>
          <w:highlight w:val="none"/>
        </w:rPr>
        <w:t>计算，最高限额为本合同总价的</w:t>
      </w:r>
      <w:r>
        <w:rPr>
          <w:rFonts w:hint="eastAsia" w:ascii="黑体" w:hAnsi="黑体" w:eastAsia="黑体" w:cs="黑体"/>
          <w:i w:val="0"/>
          <w:iCs w:val="0"/>
          <w:color w:val="auto"/>
          <w:sz w:val="24"/>
          <w:szCs w:val="24"/>
          <w:highlight w:val="none"/>
          <w:u w:val="single"/>
          <w:lang w:val="en-US" w:eastAsia="zh-CN"/>
        </w:rPr>
        <w:t>10</w:t>
      </w:r>
      <w:r>
        <w:rPr>
          <w:rFonts w:hint="eastAsia" w:ascii="黑体" w:hAnsi="黑体" w:eastAsia="黑体" w:cs="黑体"/>
          <w:i w:val="0"/>
          <w:iCs w:val="0"/>
          <w:color w:val="auto"/>
          <w:sz w:val="24"/>
          <w:szCs w:val="24"/>
          <w:highlight w:val="none"/>
        </w:rPr>
        <w:t>%；迟延付款的违约金计算数额达到前述最高</w:t>
      </w:r>
      <w:r>
        <w:rPr>
          <w:rFonts w:hint="eastAsia" w:ascii="黑体" w:hAnsi="黑体" w:eastAsia="黑体" w:cs="黑体"/>
          <w:i w:val="0"/>
          <w:iCs w:val="0"/>
          <w:color w:val="auto"/>
          <w:sz w:val="24"/>
          <w:szCs w:val="24"/>
        </w:rPr>
        <w:t>限额之日起，乙方有权在要求甲方支付违约金的同时，书面通知甲方解除本合同；</w:t>
      </w:r>
    </w:p>
    <w:p w14:paraId="73BE0699">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EED25C">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EAA24A">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C907EA">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36650170">
      <w:pPr>
        <w:pageBreakBefore w:val="0"/>
        <w:kinsoku/>
        <w:wordWrap/>
        <w:overflowPunct/>
        <w:topLinePunct w:val="0"/>
        <w:bidi w:val="0"/>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140" w:name="_Toc15583"/>
      <w:bookmarkStart w:id="141" w:name="_Toc22598"/>
      <w:bookmarkStart w:id="142" w:name="_Toc16021"/>
      <w:bookmarkStart w:id="143" w:name="_Toc472"/>
      <w:bookmarkStart w:id="144" w:name="_Toc29769"/>
      <w:bookmarkStart w:id="145" w:name="_Toc28375"/>
      <w:r>
        <w:rPr>
          <w:rFonts w:hint="eastAsia" w:ascii="黑体" w:hAnsi="黑体" w:eastAsia="黑体" w:cs="黑体"/>
          <w:b/>
          <w:i w:val="0"/>
          <w:iCs w:val="0"/>
          <w:color w:val="auto"/>
          <w:sz w:val="24"/>
          <w:szCs w:val="24"/>
        </w:rPr>
        <w:t>1.7合同争议的解决</w:t>
      </w:r>
      <w:bookmarkEnd w:id="140"/>
      <w:bookmarkEnd w:id="141"/>
      <w:bookmarkEnd w:id="142"/>
      <w:bookmarkEnd w:id="143"/>
      <w:bookmarkEnd w:id="144"/>
      <w:bookmarkEnd w:id="145"/>
    </w:p>
    <w:p w14:paraId="37E1DE63">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本合同履行过程中发生的任何争议，双方当事人均可通过和解或者调解解决；不愿和解、调解或者和解、调解不成的，可以选择下列</w:t>
      </w:r>
      <w:r>
        <w:rPr>
          <w:rFonts w:hint="eastAsia" w:ascii="黑体" w:hAnsi="黑体" w:eastAsia="黑体" w:cs="黑体"/>
          <w:i w:val="0"/>
          <w:iCs w:val="0"/>
          <w:color w:val="auto"/>
          <w:sz w:val="24"/>
          <w:szCs w:val="24"/>
          <w:highlight w:val="none"/>
        </w:rPr>
        <w:t>第</w:t>
      </w:r>
      <w:r>
        <w:rPr>
          <w:rFonts w:hint="eastAsia" w:ascii="黑体" w:hAnsi="黑体" w:eastAsia="黑体" w:cs="黑体"/>
          <w:i w:val="0"/>
          <w:iCs w:val="0"/>
          <w:color w:val="auto"/>
          <w:sz w:val="24"/>
          <w:szCs w:val="24"/>
          <w:highlight w:val="none"/>
          <w:u w:val="single"/>
          <w:lang w:val="en-US" w:eastAsia="zh-CN"/>
        </w:rPr>
        <w:t>2</w:t>
      </w:r>
      <w:r>
        <w:rPr>
          <w:rFonts w:hint="eastAsia" w:ascii="黑体" w:hAnsi="黑体" w:eastAsia="黑体" w:cs="黑体"/>
          <w:i w:val="0"/>
          <w:iCs w:val="0"/>
          <w:color w:val="auto"/>
          <w:sz w:val="24"/>
          <w:szCs w:val="24"/>
          <w:highlight w:val="none"/>
        </w:rPr>
        <w:t>种方</w:t>
      </w:r>
      <w:r>
        <w:rPr>
          <w:rFonts w:hint="eastAsia" w:ascii="黑体" w:hAnsi="黑体" w:eastAsia="黑体" w:cs="黑体"/>
          <w:i w:val="0"/>
          <w:iCs w:val="0"/>
          <w:color w:val="auto"/>
          <w:sz w:val="24"/>
          <w:szCs w:val="24"/>
        </w:rPr>
        <w:t>式解决：</w:t>
      </w:r>
    </w:p>
    <w:p w14:paraId="0E65BE33">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1.7.1将争议提交仲裁委员会依申请仲裁时其现行有效的仲裁规则裁决；</w:t>
      </w:r>
    </w:p>
    <w:p w14:paraId="4D7F935D">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highlight w:val="none"/>
          <w:lang w:val="en-US" w:eastAsia="zh-CN"/>
        </w:rPr>
      </w:pPr>
      <w:r>
        <w:rPr>
          <w:rFonts w:hint="eastAsia" w:ascii="黑体" w:hAnsi="黑体" w:eastAsia="黑体" w:cs="黑体"/>
          <w:i w:val="0"/>
          <w:iCs w:val="0"/>
          <w:color w:val="auto"/>
          <w:sz w:val="24"/>
          <w:szCs w:val="24"/>
        </w:rPr>
        <w:t>1.7.2向</w:t>
      </w:r>
      <w:r>
        <w:rPr>
          <w:rFonts w:hint="eastAsia" w:ascii="黑体" w:hAnsi="黑体" w:eastAsia="黑体" w:cs="黑体"/>
          <w:i w:val="0"/>
          <w:iCs w:val="0"/>
          <w:color w:val="auto"/>
          <w:sz w:val="24"/>
          <w:szCs w:val="24"/>
          <w:highlight w:val="none"/>
          <w:u w:val="single"/>
          <w:lang w:val="en-US" w:eastAsia="zh-CN"/>
        </w:rPr>
        <w:t>喀什市</w:t>
      </w:r>
      <w:r>
        <w:rPr>
          <w:rFonts w:hint="eastAsia" w:ascii="黑体" w:hAnsi="黑体" w:eastAsia="黑体" w:cs="黑体"/>
          <w:i w:val="0"/>
          <w:iCs w:val="0"/>
          <w:color w:val="auto"/>
          <w:sz w:val="24"/>
          <w:szCs w:val="24"/>
          <w:highlight w:val="none"/>
        </w:rPr>
        <w:t>人民法院起诉。</w:t>
      </w:r>
      <w:r>
        <w:rPr>
          <w:rFonts w:hint="eastAsia" w:ascii="黑体" w:hAnsi="黑体" w:eastAsia="黑体" w:cs="黑体"/>
          <w:i w:val="0"/>
          <w:iCs w:val="0"/>
          <w:color w:val="auto"/>
          <w:sz w:val="24"/>
          <w:szCs w:val="24"/>
          <w:highlight w:val="none"/>
          <w:lang w:val="en-US" w:eastAsia="zh-CN"/>
        </w:rPr>
        <w:t>因诉讼维权支出的所有费用，包括但不限于诉讼费、保全费、保全保险费、律师费、评估鉴定费、交通差旅费等均由败诉方承担。</w:t>
      </w:r>
    </w:p>
    <w:p w14:paraId="427BD419">
      <w:pPr>
        <w:pageBreakBefore w:val="0"/>
        <w:kinsoku/>
        <w:wordWrap/>
        <w:overflowPunct/>
        <w:topLinePunct w:val="0"/>
        <w:bidi w:val="0"/>
        <w:spacing w:line="500" w:lineRule="exact"/>
        <w:ind w:firstLine="482" w:firstLineChars="200"/>
        <w:textAlignment w:val="auto"/>
        <w:outlineLvl w:val="0"/>
        <w:rPr>
          <w:rFonts w:hint="eastAsia" w:ascii="黑体" w:hAnsi="黑体" w:eastAsia="黑体" w:cs="黑体"/>
          <w:b/>
          <w:i w:val="0"/>
          <w:iCs w:val="0"/>
          <w:color w:val="auto"/>
          <w:sz w:val="24"/>
          <w:szCs w:val="24"/>
          <w:lang w:val="en-US" w:eastAsia="zh-CN"/>
        </w:rPr>
      </w:pPr>
      <w:bookmarkStart w:id="146" w:name="_Toc24937"/>
      <w:bookmarkStart w:id="147" w:name="_Toc26862"/>
      <w:bookmarkStart w:id="148" w:name="_Toc12592"/>
      <w:bookmarkStart w:id="149" w:name="_Toc11173"/>
      <w:bookmarkStart w:id="150" w:name="_Toc15322"/>
      <w:bookmarkStart w:id="151" w:name="_Toc7245"/>
      <w:r>
        <w:rPr>
          <w:rFonts w:hint="eastAsia" w:ascii="黑体" w:hAnsi="黑体" w:eastAsia="黑体" w:cs="黑体"/>
          <w:b/>
          <w:i w:val="0"/>
          <w:iCs w:val="0"/>
          <w:color w:val="auto"/>
          <w:sz w:val="24"/>
          <w:szCs w:val="24"/>
        </w:rPr>
        <w:t>1.8</w:t>
      </w:r>
      <w:r>
        <w:rPr>
          <w:rFonts w:hint="eastAsia" w:ascii="黑体" w:hAnsi="黑体" w:eastAsia="黑体" w:cs="黑体"/>
          <w:b/>
          <w:i w:val="0"/>
          <w:iCs w:val="0"/>
          <w:color w:val="auto"/>
          <w:sz w:val="24"/>
          <w:szCs w:val="24"/>
          <w:lang w:val="en-US" w:eastAsia="zh-CN"/>
        </w:rPr>
        <w:t>送达条款</w:t>
      </w:r>
      <w:bookmarkEnd w:id="146"/>
      <w:bookmarkEnd w:id="147"/>
      <w:bookmarkEnd w:id="148"/>
    </w:p>
    <w:p w14:paraId="387EFB49">
      <w:pPr>
        <w:pStyle w:val="6"/>
        <w:pageBreakBefore w:val="0"/>
        <w:tabs>
          <w:tab w:val="left" w:pos="567"/>
        </w:tabs>
        <w:wordWrap/>
        <w:overflowPunct/>
        <w:topLinePunct w:val="0"/>
        <w:bidi w:val="0"/>
        <w:spacing w:line="500" w:lineRule="exact"/>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b w:val="0"/>
          <w:bCs/>
          <w:i w:val="0"/>
          <w:iCs w:val="0"/>
          <w:color w:val="auto"/>
          <w:sz w:val="24"/>
          <w:szCs w:val="24"/>
          <w:highlight w:val="none"/>
          <w:lang w:val="en-US" w:eastAsia="zh-CN"/>
        </w:rPr>
        <w:t>本合同记载的双方地址及联系方式均作为各类对账单、法律文书等材料的邮寄地址和电子送达指定号码，任何一方如需变更的，因提前三日书面告知对方，否则视为没有变更，各类对账单、法律文书通过上述地址及电子方式发送给对方即视为送达，包括甲乙双方指定人员的联系方式。</w:t>
      </w:r>
    </w:p>
    <w:p w14:paraId="17EF2FB5">
      <w:pPr>
        <w:pageBreakBefore w:val="0"/>
        <w:kinsoku/>
        <w:wordWrap/>
        <w:overflowPunct/>
        <w:topLinePunct w:val="0"/>
        <w:bidi w:val="0"/>
        <w:spacing w:line="500" w:lineRule="exact"/>
        <w:ind w:firstLine="482" w:firstLineChars="200"/>
        <w:textAlignment w:val="auto"/>
        <w:outlineLvl w:val="0"/>
        <w:rPr>
          <w:rFonts w:hint="eastAsia" w:ascii="黑体" w:hAnsi="黑体" w:eastAsia="黑体" w:cs="黑体"/>
          <w:b/>
          <w:i w:val="0"/>
          <w:iCs w:val="0"/>
          <w:color w:val="auto"/>
          <w:sz w:val="24"/>
          <w:szCs w:val="24"/>
          <w:highlight w:val="none"/>
        </w:rPr>
      </w:pPr>
      <w:bookmarkStart w:id="152" w:name="_Toc29439"/>
      <w:bookmarkStart w:id="153" w:name="_Toc3668"/>
      <w:bookmarkStart w:id="154" w:name="_Toc21211"/>
      <w:r>
        <w:rPr>
          <w:rFonts w:hint="eastAsia" w:ascii="黑体" w:hAnsi="黑体" w:eastAsia="黑体" w:cs="黑体"/>
          <w:b/>
          <w:i w:val="0"/>
          <w:iCs w:val="0"/>
          <w:color w:val="auto"/>
          <w:sz w:val="24"/>
          <w:szCs w:val="24"/>
          <w:highlight w:val="none"/>
          <w:lang w:val="en-US" w:eastAsia="zh-CN"/>
        </w:rPr>
        <w:t>1.9</w:t>
      </w:r>
      <w:r>
        <w:rPr>
          <w:rFonts w:hint="eastAsia" w:ascii="黑体" w:hAnsi="黑体" w:eastAsia="黑体" w:cs="黑体"/>
          <w:b/>
          <w:i w:val="0"/>
          <w:iCs w:val="0"/>
          <w:color w:val="auto"/>
          <w:sz w:val="24"/>
          <w:szCs w:val="24"/>
          <w:highlight w:val="none"/>
        </w:rPr>
        <w:t>合同生效</w:t>
      </w:r>
      <w:bookmarkEnd w:id="149"/>
      <w:bookmarkEnd w:id="150"/>
      <w:bookmarkEnd w:id="151"/>
      <w:bookmarkEnd w:id="152"/>
      <w:bookmarkEnd w:id="153"/>
      <w:bookmarkEnd w:id="154"/>
    </w:p>
    <w:p w14:paraId="38207D57">
      <w:pPr>
        <w:pageBreakBefore w:val="0"/>
        <w:kinsoku/>
        <w:wordWrap/>
        <w:overflowPunct/>
        <w:topLinePunct w:val="0"/>
        <w:bidi w:val="0"/>
        <w:spacing w:line="500" w:lineRule="exact"/>
        <w:ind w:firstLine="480" w:firstLineChars="200"/>
        <w:textAlignment w:val="auto"/>
        <w:rPr>
          <w:rFonts w:hint="eastAsia" w:ascii="黑体" w:hAnsi="黑体" w:eastAsia="黑体" w:cs="黑体"/>
          <w:b/>
          <w:i w:val="0"/>
          <w:iCs w:val="0"/>
          <w:color w:val="auto"/>
          <w:sz w:val="24"/>
          <w:szCs w:val="24"/>
        </w:rPr>
      </w:pPr>
      <w:r>
        <w:rPr>
          <w:rFonts w:hint="eastAsia" w:ascii="黑体" w:hAnsi="黑体" w:eastAsia="黑体" w:cs="黑体"/>
          <w:i w:val="0"/>
          <w:iCs w:val="0"/>
          <w:color w:val="auto"/>
          <w:sz w:val="24"/>
          <w:szCs w:val="24"/>
        </w:rPr>
        <w:t>本合同自双方当事人盖章或者签字时生效。</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65A5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60B6481C">
            <w:pPr>
              <w:pageBreakBefore w:val="0"/>
              <w:widowControl w:val="0"/>
              <w:kinsoku/>
              <w:wordWrap/>
              <w:overflowPunct/>
              <w:topLinePunct w:val="0"/>
              <w:bidi w:val="0"/>
              <w:spacing w:line="360" w:lineRule="auto"/>
              <w:textAlignment w:val="auto"/>
              <w:rPr>
                <w:rFonts w:hint="eastAsia" w:ascii="黑体" w:hAnsi="黑体" w:eastAsia="黑体" w:cs="黑体"/>
                <w:b/>
                <w:i w:val="0"/>
                <w:iCs w:val="0"/>
                <w:color w:val="auto"/>
                <w:sz w:val="24"/>
                <w:szCs w:val="24"/>
                <w:vertAlign w:val="baseline"/>
              </w:rPr>
            </w:pPr>
            <w:bookmarkStart w:id="155" w:name="_Toc331685783"/>
            <w:r>
              <w:rPr>
                <w:rFonts w:hint="eastAsia" w:ascii="黑体" w:hAnsi="黑体" w:eastAsia="黑体" w:cs="黑体"/>
                <w:b/>
                <w:i w:val="0"/>
                <w:iCs w:val="0"/>
                <w:color w:val="auto"/>
                <w:sz w:val="24"/>
                <w:szCs w:val="24"/>
                <w:lang w:val="zh-CN"/>
              </w:rPr>
              <w:t>甲方</w:t>
            </w:r>
            <w:r>
              <w:rPr>
                <w:rFonts w:hint="eastAsia" w:ascii="黑体" w:hAnsi="黑体" w:eastAsia="黑体" w:cs="黑体"/>
                <w:i w:val="0"/>
                <w:iCs w:val="0"/>
                <w:color w:val="auto"/>
                <w:sz w:val="24"/>
                <w:szCs w:val="24"/>
                <w:lang w:val="zh-CN"/>
              </w:rPr>
              <w:t>：</w:t>
            </w:r>
          </w:p>
        </w:tc>
        <w:tc>
          <w:tcPr>
            <w:tcW w:w="4332" w:type="dxa"/>
          </w:tcPr>
          <w:p w14:paraId="5E96FC03">
            <w:pPr>
              <w:pageBreakBefore w:val="0"/>
              <w:widowControl w:val="0"/>
              <w:kinsoku/>
              <w:wordWrap/>
              <w:overflowPunct/>
              <w:topLinePunct w:val="0"/>
              <w:bidi w:val="0"/>
              <w:spacing w:line="360" w:lineRule="auto"/>
              <w:textAlignment w:val="auto"/>
              <w:rPr>
                <w:rFonts w:hint="eastAsia" w:ascii="黑体" w:hAnsi="黑体" w:eastAsia="黑体" w:cs="黑体"/>
                <w:b/>
                <w:i w:val="0"/>
                <w:iCs w:val="0"/>
                <w:color w:val="auto"/>
                <w:sz w:val="24"/>
                <w:szCs w:val="24"/>
                <w:vertAlign w:val="baseline"/>
              </w:rPr>
            </w:pPr>
            <w:r>
              <w:rPr>
                <w:rFonts w:hint="eastAsia" w:ascii="黑体" w:hAnsi="黑体" w:eastAsia="黑体" w:cs="黑体"/>
                <w:b/>
                <w:i w:val="0"/>
                <w:iCs w:val="0"/>
                <w:color w:val="auto"/>
                <w:sz w:val="24"/>
                <w:szCs w:val="24"/>
                <w:lang w:val="zh-CN"/>
              </w:rPr>
              <w:t>乙方</w:t>
            </w:r>
            <w:r>
              <w:rPr>
                <w:rFonts w:hint="eastAsia" w:ascii="黑体" w:hAnsi="黑体" w:eastAsia="黑体" w:cs="黑体"/>
                <w:i w:val="0"/>
                <w:iCs w:val="0"/>
                <w:color w:val="auto"/>
                <w:sz w:val="24"/>
                <w:szCs w:val="24"/>
                <w:lang w:val="zh-CN"/>
              </w:rPr>
              <w:t>：</w:t>
            </w:r>
          </w:p>
        </w:tc>
      </w:tr>
      <w:tr w14:paraId="1E99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33D5F050">
            <w:pPr>
              <w:pageBreakBefore w:val="0"/>
              <w:widowControl w:val="0"/>
              <w:kinsoku/>
              <w:wordWrap/>
              <w:overflowPunct/>
              <w:topLinePunct w:val="0"/>
              <w:bidi w:val="0"/>
              <w:spacing w:line="360" w:lineRule="auto"/>
              <w:textAlignment w:val="auto"/>
              <w:rPr>
                <w:rFonts w:hint="eastAsia" w:ascii="黑体" w:hAnsi="黑体" w:eastAsia="黑体" w:cs="黑体"/>
                <w:b/>
                <w:i w:val="0"/>
                <w:iCs w:val="0"/>
                <w:color w:val="auto"/>
                <w:sz w:val="24"/>
                <w:szCs w:val="24"/>
                <w:lang w:val="zh-CN"/>
              </w:rPr>
            </w:pPr>
            <w:r>
              <w:rPr>
                <w:rFonts w:hint="eastAsia" w:ascii="黑体" w:hAnsi="黑体" w:eastAsia="黑体" w:cs="黑体"/>
                <w:i w:val="0"/>
                <w:iCs w:val="0"/>
                <w:color w:val="auto"/>
                <w:sz w:val="24"/>
                <w:szCs w:val="24"/>
                <w:lang w:val="zh-CN"/>
              </w:rPr>
              <w:t>统一社会信用代码：</w:t>
            </w:r>
          </w:p>
        </w:tc>
        <w:tc>
          <w:tcPr>
            <w:tcW w:w="4332" w:type="dxa"/>
          </w:tcPr>
          <w:p w14:paraId="29322197">
            <w:pPr>
              <w:pageBreakBefore w:val="0"/>
              <w:widowControl w:val="0"/>
              <w:kinsoku/>
              <w:wordWrap/>
              <w:overflowPunct/>
              <w:topLinePunct w:val="0"/>
              <w:bidi w:val="0"/>
              <w:spacing w:line="360" w:lineRule="auto"/>
              <w:textAlignment w:val="auto"/>
              <w:rPr>
                <w:rFonts w:hint="eastAsia" w:ascii="黑体" w:hAnsi="黑体" w:eastAsia="黑体" w:cs="黑体"/>
                <w:b/>
                <w:i w:val="0"/>
                <w:iCs w:val="0"/>
                <w:color w:val="auto"/>
                <w:sz w:val="24"/>
                <w:szCs w:val="24"/>
                <w:lang w:val="zh-CN"/>
              </w:rPr>
            </w:pPr>
            <w:r>
              <w:rPr>
                <w:rFonts w:hint="eastAsia" w:ascii="黑体" w:hAnsi="黑体" w:eastAsia="黑体" w:cs="黑体"/>
                <w:i w:val="0"/>
                <w:iCs w:val="0"/>
                <w:color w:val="auto"/>
                <w:sz w:val="24"/>
                <w:szCs w:val="24"/>
                <w:lang w:val="zh-CN"/>
              </w:rPr>
              <w:t>统一社会信用代码或身份证号码：</w:t>
            </w:r>
          </w:p>
        </w:tc>
      </w:tr>
      <w:tr w14:paraId="1912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0F164E19">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法定代表人或法定代表人或授权代表（签字）：</w:t>
            </w:r>
          </w:p>
        </w:tc>
        <w:tc>
          <w:tcPr>
            <w:tcW w:w="4332" w:type="dxa"/>
          </w:tcPr>
          <w:p w14:paraId="5582D186">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法定代表人或法定代表人或授权代表（签字）：</w:t>
            </w:r>
          </w:p>
        </w:tc>
      </w:tr>
      <w:tr w14:paraId="0D3D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5023EE45">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联系人：</w:t>
            </w:r>
          </w:p>
        </w:tc>
        <w:tc>
          <w:tcPr>
            <w:tcW w:w="4332" w:type="dxa"/>
          </w:tcPr>
          <w:p w14:paraId="5B401105">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联系人：</w:t>
            </w:r>
          </w:p>
        </w:tc>
      </w:tr>
      <w:tr w14:paraId="49DE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26C98AA4">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约定送达地址：</w:t>
            </w:r>
          </w:p>
        </w:tc>
        <w:tc>
          <w:tcPr>
            <w:tcW w:w="4332" w:type="dxa"/>
          </w:tcPr>
          <w:p w14:paraId="345BE0A3">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约定送达地址：</w:t>
            </w:r>
          </w:p>
        </w:tc>
      </w:tr>
      <w:tr w14:paraId="3942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4E0C621E">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邮政编码：</w:t>
            </w:r>
          </w:p>
        </w:tc>
        <w:tc>
          <w:tcPr>
            <w:tcW w:w="4332" w:type="dxa"/>
          </w:tcPr>
          <w:p w14:paraId="4B2DB01A">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邮政编码：</w:t>
            </w:r>
          </w:p>
        </w:tc>
      </w:tr>
      <w:tr w14:paraId="5595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467C24E1">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电话：</w:t>
            </w:r>
          </w:p>
        </w:tc>
        <w:tc>
          <w:tcPr>
            <w:tcW w:w="4332" w:type="dxa"/>
          </w:tcPr>
          <w:p w14:paraId="4E0788B5">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电话：</w:t>
            </w:r>
          </w:p>
        </w:tc>
      </w:tr>
      <w:tr w14:paraId="3198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11F24F75">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传真：</w:t>
            </w:r>
          </w:p>
        </w:tc>
        <w:tc>
          <w:tcPr>
            <w:tcW w:w="4332" w:type="dxa"/>
          </w:tcPr>
          <w:p w14:paraId="1604E2A4">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传真：</w:t>
            </w:r>
          </w:p>
        </w:tc>
      </w:tr>
      <w:tr w14:paraId="70F1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026AFB44">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电子邮箱：</w:t>
            </w:r>
          </w:p>
        </w:tc>
        <w:tc>
          <w:tcPr>
            <w:tcW w:w="4332" w:type="dxa"/>
          </w:tcPr>
          <w:p w14:paraId="7FC33BF8">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lang w:val="zh-CN"/>
              </w:rPr>
              <w:t>电子邮箱：</w:t>
            </w:r>
          </w:p>
        </w:tc>
      </w:tr>
      <w:tr w14:paraId="5F83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56D5CADB">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rPr>
              <w:t>开户银行：</w:t>
            </w:r>
          </w:p>
        </w:tc>
        <w:tc>
          <w:tcPr>
            <w:tcW w:w="4332" w:type="dxa"/>
          </w:tcPr>
          <w:p w14:paraId="65C282C9">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lang w:val="zh-CN"/>
              </w:rPr>
            </w:pPr>
            <w:r>
              <w:rPr>
                <w:rFonts w:hint="eastAsia" w:ascii="黑体" w:hAnsi="黑体" w:eastAsia="黑体" w:cs="黑体"/>
                <w:i w:val="0"/>
                <w:iCs w:val="0"/>
                <w:color w:val="auto"/>
                <w:sz w:val="24"/>
                <w:szCs w:val="24"/>
              </w:rPr>
              <w:t>开户银行：</w:t>
            </w:r>
          </w:p>
        </w:tc>
      </w:tr>
      <w:tr w14:paraId="0EB0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17F56822">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开户名称：</w:t>
            </w:r>
          </w:p>
        </w:tc>
        <w:tc>
          <w:tcPr>
            <w:tcW w:w="4332" w:type="dxa"/>
          </w:tcPr>
          <w:p w14:paraId="3FB93526">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开户名称：</w:t>
            </w:r>
          </w:p>
        </w:tc>
      </w:tr>
      <w:tr w14:paraId="5D95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1" w:type="dxa"/>
          </w:tcPr>
          <w:p w14:paraId="647AC20A">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开户账号：</w:t>
            </w:r>
          </w:p>
        </w:tc>
        <w:tc>
          <w:tcPr>
            <w:tcW w:w="4332" w:type="dxa"/>
          </w:tcPr>
          <w:p w14:paraId="387BC7C0">
            <w:pPr>
              <w:pageBreakBefore w:val="0"/>
              <w:widowControl w:val="0"/>
              <w:kinsoku/>
              <w:wordWrap/>
              <w:overflowPunct/>
              <w:topLinePunct w:val="0"/>
              <w:bidi w:val="0"/>
              <w:spacing w:line="360" w:lineRule="auto"/>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开户账号：</w:t>
            </w:r>
          </w:p>
        </w:tc>
      </w:tr>
    </w:tbl>
    <w:p w14:paraId="1BDCAF64">
      <w:pPr>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br w:type="page"/>
      </w:r>
    </w:p>
    <w:p w14:paraId="61239CDF">
      <w:pPr>
        <w:pStyle w:val="29"/>
        <w:pageBreakBefore w:val="0"/>
        <w:kinsoku/>
        <w:wordWrap/>
        <w:overflowPunct/>
        <w:topLinePunct w:val="0"/>
        <w:bidi w:val="0"/>
        <w:spacing w:line="500" w:lineRule="exact"/>
        <w:ind w:firstLine="200"/>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第二部分合同一般条款</w:t>
      </w:r>
      <w:bookmarkEnd w:id="155"/>
    </w:p>
    <w:p w14:paraId="7192261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156" w:name="_Toc16917"/>
      <w:bookmarkStart w:id="157" w:name="_Ref467378499"/>
      <w:bookmarkStart w:id="158" w:name="_Ref467379109"/>
      <w:bookmarkStart w:id="159" w:name="_Toc487900349"/>
      <w:bookmarkStart w:id="160" w:name="_Ref467378404"/>
      <w:bookmarkStart w:id="161" w:name="_Toc6270"/>
      <w:bookmarkStart w:id="162" w:name="_Ref467379094"/>
      <w:bookmarkStart w:id="163" w:name="_Toc259093669"/>
      <w:bookmarkStart w:id="164" w:name="_Ref467379205"/>
      <w:bookmarkStart w:id="165" w:name="_Toc19614"/>
      <w:bookmarkStart w:id="166" w:name="_Ref467379101"/>
      <w:bookmarkStart w:id="167" w:name="_Toc279701240"/>
      <w:bookmarkStart w:id="168" w:name="_Toc26405"/>
      <w:bookmarkStart w:id="169" w:name="_Ref467379214"/>
      <w:bookmarkStart w:id="170" w:name="_Ref467378463"/>
      <w:bookmarkStart w:id="171" w:name="_Ref467379195"/>
      <w:bookmarkStart w:id="172" w:name="_Toc28763"/>
      <w:bookmarkStart w:id="173" w:name="_Ref467379225"/>
      <w:bookmarkStart w:id="174" w:name="_Toc29073"/>
      <w:r>
        <w:rPr>
          <w:rFonts w:hint="eastAsia" w:ascii="黑体" w:hAnsi="黑体" w:eastAsia="黑体" w:cs="黑体"/>
          <w:b/>
          <w:i w:val="0"/>
          <w:iCs w:val="0"/>
          <w:color w:val="auto"/>
          <w:sz w:val="24"/>
          <w:szCs w:val="24"/>
        </w:rPr>
        <w:t>2.1定义</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73EB2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本合同中的下列词语应按以下内容进行解释：</w:t>
      </w:r>
    </w:p>
    <w:p w14:paraId="758DE5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2.1.1“合同”系指采购人和中标供应商签订的载明双方当事人所达成的协议，并包括所有的附件、附录和构成合同的其他文件。</w:t>
      </w:r>
    </w:p>
    <w:p w14:paraId="25FCBB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2.1.2“合同价”系指根据合同约定，中标供应商在完全履行合同义务后，采购人应支付给中标供应商的价格。</w:t>
      </w:r>
    </w:p>
    <w:p w14:paraId="48970C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2.1.3“货物”系指中标供应商根据合同约定应向采购人交付的一切各种形态和种类的物品，包括原材料、燃料、设备、机械、仪表、备件、计算机软件、产品等，并包括工具、手册等其他相关资料。</w:t>
      </w:r>
    </w:p>
    <w:p w14:paraId="0F6E3E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175" w:name="_Ref467378840"/>
      <w:r>
        <w:rPr>
          <w:rFonts w:hint="eastAsia" w:ascii="黑体" w:hAnsi="黑体" w:eastAsia="黑体" w:cs="黑体"/>
          <w:i w:val="0"/>
          <w:iCs w:val="0"/>
          <w:color w:val="auto"/>
          <w:sz w:val="24"/>
          <w:szCs w:val="24"/>
        </w:rPr>
        <w:t>2.1.4“甲方”系指与中标供应商签署合同的采购人</w:t>
      </w:r>
      <w:bookmarkEnd w:id="175"/>
      <w:r>
        <w:rPr>
          <w:rFonts w:hint="eastAsia" w:ascii="黑体" w:hAnsi="黑体" w:eastAsia="黑体" w:cs="黑体"/>
          <w:i w:val="0"/>
          <w:iCs w:val="0"/>
          <w:color w:val="auto"/>
          <w:sz w:val="24"/>
          <w:szCs w:val="24"/>
        </w:rPr>
        <w:t>；采购人委托采购代理机构代表其与乙方签订合同的，采购人的授权委托书作为合同附件。</w:t>
      </w:r>
    </w:p>
    <w:p w14:paraId="779B70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176" w:name="_Ref467379400"/>
      <w:r>
        <w:rPr>
          <w:rFonts w:hint="eastAsia" w:ascii="黑体" w:hAnsi="黑体" w:eastAsia="黑体" w:cs="黑体"/>
          <w:i w:val="0"/>
          <w:iCs w:val="0"/>
          <w:color w:val="auto"/>
          <w:sz w:val="24"/>
          <w:szCs w:val="24"/>
        </w:rPr>
        <w:t>2.1.5“乙方”系指根据合同约定交付货物的中标供应商</w:t>
      </w:r>
      <w:bookmarkEnd w:id="176"/>
      <w:r>
        <w:rPr>
          <w:rFonts w:hint="eastAsia" w:ascii="黑体" w:hAnsi="黑体" w:eastAsia="黑体" w:cs="黑体"/>
          <w:i w:val="0"/>
          <w:iCs w:val="0"/>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C722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177" w:name="_Ref467379436"/>
      <w:r>
        <w:rPr>
          <w:rFonts w:hint="eastAsia" w:ascii="黑体" w:hAnsi="黑体" w:eastAsia="黑体" w:cs="黑体"/>
          <w:i w:val="0"/>
          <w:iCs w:val="0"/>
          <w:color w:val="auto"/>
          <w:sz w:val="24"/>
          <w:szCs w:val="24"/>
        </w:rPr>
        <w:t>2.1.6“现场”系指合同约定货物将要运至或者安装的地点。</w:t>
      </w:r>
      <w:bookmarkEnd w:id="177"/>
    </w:p>
    <w:p w14:paraId="21FBD87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178" w:name="_Toc30033"/>
      <w:bookmarkStart w:id="179" w:name="_Toc259093670"/>
      <w:bookmarkStart w:id="180" w:name="_Toc6107"/>
      <w:bookmarkStart w:id="181" w:name="_Toc487900350"/>
      <w:bookmarkStart w:id="182" w:name="_Toc32504"/>
      <w:bookmarkStart w:id="183" w:name="_Toc279701241"/>
      <w:bookmarkStart w:id="184" w:name="_Toc722"/>
      <w:bookmarkStart w:id="185" w:name="_Toc13336"/>
      <w:bookmarkStart w:id="186" w:name="_Toc27635"/>
      <w:r>
        <w:rPr>
          <w:rFonts w:hint="eastAsia" w:ascii="黑体" w:hAnsi="黑体" w:eastAsia="黑体" w:cs="黑体"/>
          <w:b/>
          <w:i w:val="0"/>
          <w:iCs w:val="0"/>
          <w:color w:val="auto"/>
          <w:sz w:val="24"/>
          <w:szCs w:val="24"/>
        </w:rPr>
        <w:t>2.2技术规范</w:t>
      </w:r>
      <w:bookmarkEnd w:id="178"/>
      <w:bookmarkEnd w:id="179"/>
      <w:bookmarkEnd w:id="180"/>
      <w:bookmarkEnd w:id="181"/>
      <w:bookmarkEnd w:id="182"/>
      <w:bookmarkEnd w:id="183"/>
      <w:bookmarkEnd w:id="184"/>
      <w:bookmarkEnd w:id="185"/>
      <w:bookmarkEnd w:id="186"/>
    </w:p>
    <w:p w14:paraId="123184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AD85D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187" w:name="_Toc27853"/>
      <w:bookmarkStart w:id="188" w:name="_Toc279701242"/>
      <w:bookmarkStart w:id="189" w:name="_Toc9829"/>
      <w:bookmarkStart w:id="190" w:name="_Toc22887"/>
      <w:bookmarkStart w:id="191" w:name="_Toc18782"/>
      <w:bookmarkStart w:id="192" w:name="_Toc31634"/>
      <w:bookmarkStart w:id="193" w:name="_Toc487900351"/>
      <w:bookmarkStart w:id="194" w:name="_Toc11997"/>
      <w:bookmarkStart w:id="195" w:name="_Toc259093671"/>
      <w:r>
        <w:rPr>
          <w:rFonts w:hint="eastAsia" w:ascii="黑体" w:hAnsi="黑体" w:eastAsia="黑体" w:cs="黑体"/>
          <w:b/>
          <w:i w:val="0"/>
          <w:iCs w:val="0"/>
          <w:color w:val="auto"/>
          <w:sz w:val="24"/>
          <w:szCs w:val="24"/>
        </w:rPr>
        <w:t>2.3知识产权</w:t>
      </w:r>
      <w:bookmarkEnd w:id="187"/>
      <w:bookmarkEnd w:id="188"/>
      <w:bookmarkEnd w:id="189"/>
      <w:bookmarkEnd w:id="190"/>
      <w:bookmarkEnd w:id="191"/>
      <w:bookmarkEnd w:id="192"/>
      <w:bookmarkEnd w:id="193"/>
      <w:bookmarkEnd w:id="194"/>
      <w:bookmarkEnd w:id="195"/>
    </w:p>
    <w:p w14:paraId="553A84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3B087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2.3.2具有知识产权的计算机软件等货物的知识产权归属，详见</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w:t>
      </w:r>
    </w:p>
    <w:p w14:paraId="0453709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196" w:name="_Toc14398"/>
      <w:bookmarkStart w:id="197" w:name="_Toc21371"/>
      <w:bookmarkStart w:id="198" w:name="_Toc11932"/>
      <w:bookmarkStart w:id="199" w:name="_Toc29149"/>
      <w:bookmarkStart w:id="200" w:name="_Toc26700"/>
      <w:bookmarkStart w:id="201" w:name="_Toc4194"/>
      <w:r>
        <w:rPr>
          <w:rFonts w:hint="eastAsia" w:ascii="黑体" w:hAnsi="黑体" w:eastAsia="黑体" w:cs="黑体"/>
          <w:b/>
          <w:i w:val="0"/>
          <w:iCs w:val="0"/>
          <w:color w:val="auto"/>
          <w:sz w:val="24"/>
          <w:szCs w:val="24"/>
        </w:rPr>
        <w:t>2.4包装和装运</w:t>
      </w:r>
      <w:bookmarkEnd w:id="196"/>
      <w:bookmarkEnd w:id="197"/>
      <w:bookmarkEnd w:id="198"/>
      <w:bookmarkEnd w:id="199"/>
      <w:bookmarkEnd w:id="200"/>
      <w:bookmarkEnd w:id="201"/>
    </w:p>
    <w:p w14:paraId="47CCAD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2.4.1除</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73B6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2.4.2装运货物的要求和通知，详见</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w:t>
      </w:r>
    </w:p>
    <w:p w14:paraId="5A618F1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02" w:name="_Ref467379527"/>
      <w:bookmarkStart w:id="203" w:name="_Ref467379536"/>
      <w:bookmarkStart w:id="204" w:name="_Ref467379542"/>
      <w:bookmarkStart w:id="205" w:name="_Toc487900354"/>
      <w:bookmarkStart w:id="206" w:name="_Toc259093674"/>
      <w:bookmarkStart w:id="207" w:name="_Toc279701245"/>
      <w:bookmarkStart w:id="208" w:name="_Ref467378591"/>
      <w:bookmarkStart w:id="209" w:name="_Ref467378541"/>
      <w:bookmarkStart w:id="210" w:name="_Toc26182"/>
      <w:bookmarkStart w:id="211" w:name="_Toc14743"/>
      <w:bookmarkStart w:id="212" w:name="_Toc20407"/>
      <w:bookmarkStart w:id="213" w:name="_Toc30272"/>
      <w:bookmarkStart w:id="214" w:name="_Toc8515"/>
      <w:bookmarkStart w:id="215" w:name="_Toc19074"/>
      <w:r>
        <w:rPr>
          <w:rFonts w:hint="eastAsia" w:ascii="黑体" w:hAnsi="黑体" w:eastAsia="黑体" w:cs="黑体"/>
          <w:b/>
          <w:i w:val="0"/>
          <w:iCs w:val="0"/>
          <w:color w:val="auto"/>
          <w:sz w:val="24"/>
          <w:szCs w:val="24"/>
        </w:rPr>
        <w:t>2.</w:t>
      </w:r>
      <w:bookmarkEnd w:id="202"/>
      <w:bookmarkEnd w:id="203"/>
      <w:bookmarkEnd w:id="204"/>
      <w:bookmarkEnd w:id="205"/>
      <w:bookmarkEnd w:id="206"/>
      <w:bookmarkEnd w:id="207"/>
      <w:bookmarkEnd w:id="208"/>
      <w:bookmarkEnd w:id="209"/>
      <w:r>
        <w:rPr>
          <w:rFonts w:hint="eastAsia" w:ascii="黑体" w:hAnsi="黑体" w:eastAsia="黑体" w:cs="黑体"/>
          <w:b/>
          <w:i w:val="0"/>
          <w:iCs w:val="0"/>
          <w:color w:val="auto"/>
          <w:sz w:val="24"/>
          <w:szCs w:val="24"/>
        </w:rPr>
        <w:t>5履约检查和问题反馈</w:t>
      </w:r>
      <w:bookmarkEnd w:id="210"/>
      <w:bookmarkEnd w:id="211"/>
      <w:bookmarkEnd w:id="212"/>
      <w:bookmarkEnd w:id="213"/>
      <w:bookmarkEnd w:id="214"/>
      <w:bookmarkEnd w:id="215"/>
    </w:p>
    <w:p w14:paraId="60A6C0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216" w:name="_Ref467379657"/>
      <w:r>
        <w:rPr>
          <w:rFonts w:hint="eastAsia" w:ascii="黑体" w:hAnsi="黑体" w:eastAsia="黑体" w:cs="黑体"/>
          <w:i w:val="0"/>
          <w:iCs w:val="0"/>
          <w:color w:val="auto"/>
          <w:sz w:val="24"/>
          <w:szCs w:val="24"/>
        </w:rPr>
        <w:t>2.5.1</w:t>
      </w:r>
      <w:bookmarkEnd w:id="216"/>
      <w:bookmarkStart w:id="217" w:name="_Toc186431854"/>
      <w:bookmarkStart w:id="218" w:name="_Toc279701247"/>
      <w:bookmarkStart w:id="219" w:name="_Ref467379807"/>
      <w:bookmarkStart w:id="220" w:name="_Toc259093676"/>
      <w:bookmarkStart w:id="221" w:name="_Toc487900357"/>
      <w:bookmarkStart w:id="222" w:name="_Ref467379793"/>
      <w:r>
        <w:rPr>
          <w:rFonts w:hint="eastAsia" w:ascii="黑体" w:hAnsi="黑体" w:eastAsia="黑体" w:cs="黑体"/>
          <w:i w:val="0"/>
          <w:iCs w:val="0"/>
          <w:color w:val="auto"/>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526E1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2.5.2合同履行期间，甲方有权将履行过程中出现的问题反馈给乙方，双方当事人应以书面形式约定需要完善和改进的内容</w:t>
      </w:r>
      <w:bookmarkEnd w:id="217"/>
      <w:bookmarkStart w:id="223" w:name="_Toc186431855"/>
      <w:r>
        <w:rPr>
          <w:rFonts w:hint="eastAsia" w:ascii="黑体" w:hAnsi="黑体" w:eastAsia="黑体" w:cs="黑体"/>
          <w:i w:val="0"/>
          <w:iCs w:val="0"/>
          <w:color w:val="auto"/>
          <w:sz w:val="24"/>
          <w:szCs w:val="24"/>
        </w:rPr>
        <w:t>。</w:t>
      </w:r>
    </w:p>
    <w:bookmarkEnd w:id="223"/>
    <w:p w14:paraId="3D4D838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24" w:name="_Toc28451"/>
      <w:bookmarkStart w:id="225" w:name="_Toc7836"/>
      <w:bookmarkStart w:id="226" w:name="_Toc30078"/>
      <w:bookmarkStart w:id="227" w:name="_Toc11632"/>
      <w:bookmarkStart w:id="228" w:name="_Toc24781"/>
      <w:bookmarkStart w:id="229" w:name="_Toc19219"/>
      <w:r>
        <w:rPr>
          <w:rFonts w:hint="eastAsia" w:ascii="黑体" w:hAnsi="黑体" w:eastAsia="黑体" w:cs="黑体"/>
          <w:b/>
          <w:i w:val="0"/>
          <w:iCs w:val="0"/>
          <w:color w:val="auto"/>
          <w:sz w:val="24"/>
          <w:szCs w:val="24"/>
        </w:rPr>
        <w:t>2.6结算方式和付款条件</w:t>
      </w:r>
      <w:bookmarkEnd w:id="218"/>
      <w:bookmarkEnd w:id="219"/>
      <w:bookmarkEnd w:id="220"/>
      <w:bookmarkEnd w:id="221"/>
      <w:bookmarkEnd w:id="222"/>
      <w:bookmarkEnd w:id="224"/>
      <w:bookmarkEnd w:id="225"/>
      <w:bookmarkEnd w:id="226"/>
      <w:bookmarkEnd w:id="227"/>
      <w:bookmarkEnd w:id="228"/>
      <w:bookmarkEnd w:id="229"/>
    </w:p>
    <w:p w14:paraId="5C1D39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详见</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w:t>
      </w:r>
    </w:p>
    <w:p w14:paraId="6D38114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30" w:name="_Toc279701248"/>
      <w:bookmarkStart w:id="231" w:name="_Toc259093677"/>
      <w:bookmarkStart w:id="232" w:name="_Ref467379863"/>
      <w:bookmarkStart w:id="233" w:name="_Ref467379852"/>
      <w:bookmarkStart w:id="234" w:name="_Toc487900358"/>
      <w:bookmarkStart w:id="235" w:name="_Ref467379923"/>
      <w:bookmarkStart w:id="236" w:name="_Toc30345"/>
      <w:bookmarkStart w:id="237" w:name="_Toc16110"/>
      <w:bookmarkStart w:id="238" w:name="_Toc15704"/>
      <w:bookmarkStart w:id="239" w:name="_Toc774"/>
      <w:bookmarkStart w:id="240" w:name="_Toc7735"/>
      <w:bookmarkStart w:id="241" w:name="_Toc3225"/>
      <w:r>
        <w:rPr>
          <w:rFonts w:hint="eastAsia" w:ascii="黑体" w:hAnsi="黑体" w:eastAsia="黑体" w:cs="黑体"/>
          <w:b/>
          <w:i w:val="0"/>
          <w:iCs w:val="0"/>
          <w:color w:val="auto"/>
          <w:sz w:val="24"/>
          <w:szCs w:val="24"/>
        </w:rPr>
        <w:t>2.7技术资料</w:t>
      </w:r>
      <w:bookmarkEnd w:id="230"/>
      <w:bookmarkEnd w:id="231"/>
      <w:bookmarkEnd w:id="232"/>
      <w:bookmarkEnd w:id="233"/>
      <w:bookmarkEnd w:id="234"/>
      <w:bookmarkEnd w:id="235"/>
      <w:r>
        <w:rPr>
          <w:rFonts w:hint="eastAsia" w:ascii="黑体" w:hAnsi="黑体" w:eastAsia="黑体" w:cs="黑体"/>
          <w:b/>
          <w:i w:val="0"/>
          <w:iCs w:val="0"/>
          <w:color w:val="auto"/>
          <w:sz w:val="24"/>
          <w:szCs w:val="24"/>
        </w:rPr>
        <w:t>和保密义务</w:t>
      </w:r>
      <w:bookmarkEnd w:id="236"/>
      <w:bookmarkEnd w:id="237"/>
      <w:bookmarkEnd w:id="238"/>
      <w:bookmarkEnd w:id="239"/>
      <w:bookmarkEnd w:id="240"/>
      <w:bookmarkEnd w:id="241"/>
    </w:p>
    <w:p w14:paraId="6EE68F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2.7.1乙方有权依据合同约定和项目需要，向甲方了解有关情况，调阅有关资料等，甲方应予积极配合；</w:t>
      </w:r>
    </w:p>
    <w:p w14:paraId="3B10EC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2.7.2乙方有义务妥善保管和保护由甲方提供的前款信息和资料等；</w:t>
      </w:r>
    </w:p>
    <w:p w14:paraId="3C1E63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E3575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42" w:name="_Toc22486"/>
      <w:bookmarkStart w:id="243" w:name="_Toc7860"/>
      <w:bookmarkStart w:id="244" w:name="_Toc18528"/>
      <w:bookmarkStart w:id="245" w:name="_Toc19912"/>
      <w:r>
        <w:rPr>
          <w:rFonts w:hint="eastAsia" w:ascii="黑体" w:hAnsi="黑体" w:eastAsia="黑体" w:cs="黑体"/>
          <w:b/>
          <w:i w:val="0"/>
          <w:iCs w:val="0"/>
          <w:color w:val="auto"/>
          <w:sz w:val="24"/>
          <w:szCs w:val="24"/>
        </w:rPr>
        <w:t>2.8质量保证</w:t>
      </w:r>
      <w:bookmarkEnd w:id="242"/>
      <w:bookmarkEnd w:id="243"/>
      <w:bookmarkEnd w:id="244"/>
      <w:bookmarkEnd w:id="245"/>
    </w:p>
    <w:p w14:paraId="3A7DCE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2.8.1乙方应建立和完善履行合同的内部质量保证体系，并提供相关内部规章制度给甲方，以便甲方进行监督检查；</w:t>
      </w:r>
    </w:p>
    <w:p w14:paraId="7E341A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2.8.2乙方应保证履行合同的人员数量和素质、软件和硬件设备的配置、场地、环境和设施等满足全面履行合同的要求，并应接受甲方的监督检查。</w:t>
      </w:r>
    </w:p>
    <w:p w14:paraId="0B15920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46" w:name="_Toc13097"/>
      <w:bookmarkStart w:id="247" w:name="_Toc4002"/>
      <w:bookmarkStart w:id="248" w:name="_Toc17629"/>
      <w:bookmarkStart w:id="249" w:name="_Toc17244"/>
      <w:bookmarkStart w:id="250" w:name="_Toc259093681"/>
      <w:bookmarkStart w:id="251" w:name="_Toc487900362"/>
      <w:bookmarkStart w:id="252" w:name="_Toc279701252"/>
      <w:r>
        <w:rPr>
          <w:rFonts w:hint="eastAsia" w:ascii="黑体" w:hAnsi="黑体" w:eastAsia="黑体" w:cs="黑体"/>
          <w:b/>
          <w:i w:val="0"/>
          <w:iCs w:val="0"/>
          <w:color w:val="auto"/>
          <w:sz w:val="24"/>
          <w:szCs w:val="24"/>
        </w:rPr>
        <w:t>2.9货物的风险负担</w:t>
      </w:r>
      <w:bookmarkEnd w:id="246"/>
      <w:bookmarkEnd w:id="247"/>
      <w:bookmarkEnd w:id="248"/>
      <w:bookmarkEnd w:id="249"/>
    </w:p>
    <w:p w14:paraId="3503C5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i w:val="0"/>
          <w:iCs w:val="0"/>
          <w:color w:val="auto"/>
          <w:sz w:val="24"/>
          <w:szCs w:val="24"/>
        </w:rPr>
      </w:pPr>
      <w:r>
        <w:rPr>
          <w:rFonts w:hint="eastAsia" w:ascii="黑体" w:hAnsi="黑体" w:eastAsia="黑体" w:cs="黑体"/>
          <w:i w:val="0"/>
          <w:iCs w:val="0"/>
          <w:color w:val="auto"/>
          <w:sz w:val="24"/>
          <w:szCs w:val="24"/>
        </w:rPr>
        <w:t>货物或者在途货物或者交付给第一承运人后的货物毁损、灭失的风险负担详见</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w:t>
      </w:r>
    </w:p>
    <w:p w14:paraId="1CC1C01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53" w:name="_Toc14055"/>
      <w:bookmarkStart w:id="254" w:name="_Toc24057"/>
      <w:bookmarkStart w:id="255" w:name="_Toc22199"/>
      <w:bookmarkStart w:id="256" w:name="_Toc30459"/>
      <w:r>
        <w:rPr>
          <w:rFonts w:hint="eastAsia" w:ascii="黑体" w:hAnsi="黑体" w:eastAsia="黑体" w:cs="黑体"/>
          <w:b/>
          <w:i w:val="0"/>
          <w:iCs w:val="0"/>
          <w:color w:val="auto"/>
          <w:sz w:val="24"/>
          <w:szCs w:val="24"/>
        </w:rPr>
        <w:t>2.10延迟交货</w:t>
      </w:r>
      <w:bookmarkEnd w:id="250"/>
      <w:bookmarkEnd w:id="251"/>
      <w:bookmarkEnd w:id="252"/>
      <w:bookmarkEnd w:id="253"/>
      <w:bookmarkEnd w:id="254"/>
      <w:bookmarkEnd w:id="255"/>
      <w:bookmarkEnd w:id="256"/>
    </w:p>
    <w:p w14:paraId="5E1A54FC">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6F641F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57" w:name="_Toc28486"/>
      <w:bookmarkStart w:id="258" w:name="_Toc12195"/>
      <w:bookmarkStart w:id="259" w:name="_Toc25227"/>
      <w:bookmarkStart w:id="260" w:name="_Toc7502"/>
      <w:bookmarkStart w:id="261" w:name="_Toc279701254"/>
      <w:bookmarkStart w:id="262" w:name="_Toc259093683"/>
      <w:bookmarkStart w:id="263" w:name="_Toc487900364"/>
      <w:bookmarkStart w:id="264" w:name="_Ref467378121"/>
      <w:r>
        <w:rPr>
          <w:rFonts w:hint="eastAsia" w:ascii="黑体" w:hAnsi="黑体" w:eastAsia="黑体" w:cs="黑体"/>
          <w:b/>
          <w:i w:val="0"/>
          <w:iCs w:val="0"/>
          <w:color w:val="auto"/>
          <w:sz w:val="24"/>
          <w:szCs w:val="24"/>
        </w:rPr>
        <w:t>2.11合同变更</w:t>
      </w:r>
      <w:bookmarkEnd w:id="257"/>
      <w:bookmarkEnd w:id="258"/>
      <w:bookmarkEnd w:id="259"/>
      <w:bookmarkEnd w:id="260"/>
    </w:p>
    <w:p w14:paraId="0A733C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14:paraId="6B6329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2.11.2合同继续履行将损害国家利益和社会公共利益的，双方当事人应当以书面形式变更合同。有过错的一方应当承担赔偿责任，双方当事人都有过错的，各自承担相应的责任。</w:t>
      </w:r>
      <w:bookmarkStart w:id="265" w:name="_Toc259093688"/>
      <w:bookmarkStart w:id="266" w:name="_Toc279701259"/>
      <w:bookmarkStart w:id="267" w:name="_Toc487900369"/>
    </w:p>
    <w:p w14:paraId="7627563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68" w:name="_Toc2640"/>
      <w:bookmarkStart w:id="269" w:name="_Toc22955"/>
      <w:bookmarkStart w:id="270" w:name="_Toc27399"/>
      <w:bookmarkStart w:id="271" w:name="_Toc18136"/>
      <w:bookmarkStart w:id="272" w:name="_Toc15237"/>
      <w:bookmarkStart w:id="273" w:name="_Toc10366"/>
      <w:r>
        <w:rPr>
          <w:rFonts w:hint="eastAsia" w:ascii="黑体" w:hAnsi="黑体" w:eastAsia="黑体" w:cs="黑体"/>
          <w:b/>
          <w:i w:val="0"/>
          <w:iCs w:val="0"/>
          <w:color w:val="auto"/>
          <w:sz w:val="24"/>
          <w:szCs w:val="24"/>
        </w:rPr>
        <w:t>2.12合同转让</w:t>
      </w:r>
      <w:bookmarkEnd w:id="265"/>
      <w:bookmarkEnd w:id="266"/>
      <w:bookmarkEnd w:id="267"/>
      <w:r>
        <w:rPr>
          <w:rFonts w:hint="eastAsia" w:ascii="黑体" w:hAnsi="黑体" w:eastAsia="黑体" w:cs="黑体"/>
          <w:b/>
          <w:i w:val="0"/>
          <w:iCs w:val="0"/>
          <w:color w:val="auto"/>
          <w:sz w:val="24"/>
          <w:szCs w:val="24"/>
        </w:rPr>
        <w:t>和分包</w:t>
      </w:r>
      <w:bookmarkEnd w:id="268"/>
      <w:bookmarkEnd w:id="269"/>
      <w:bookmarkEnd w:id="270"/>
      <w:bookmarkEnd w:id="271"/>
      <w:bookmarkEnd w:id="272"/>
      <w:bookmarkEnd w:id="273"/>
    </w:p>
    <w:p w14:paraId="1C14FA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C0BD8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74" w:name="_Toc14066"/>
      <w:bookmarkStart w:id="275" w:name="_Toc16508"/>
      <w:bookmarkStart w:id="276" w:name="_Toc24260"/>
      <w:bookmarkStart w:id="277" w:name="_Toc13566"/>
      <w:bookmarkStart w:id="278" w:name="_Toc29603"/>
      <w:bookmarkStart w:id="279" w:name="_Toc16545"/>
      <w:r>
        <w:rPr>
          <w:rFonts w:hint="eastAsia" w:ascii="黑体" w:hAnsi="黑体" w:eastAsia="黑体" w:cs="黑体"/>
          <w:b/>
          <w:i w:val="0"/>
          <w:iCs w:val="0"/>
          <w:color w:val="auto"/>
          <w:sz w:val="24"/>
          <w:szCs w:val="24"/>
        </w:rPr>
        <w:t>2.13不可抗力</w:t>
      </w:r>
      <w:bookmarkEnd w:id="274"/>
      <w:bookmarkEnd w:id="275"/>
      <w:bookmarkEnd w:id="276"/>
      <w:bookmarkEnd w:id="277"/>
      <w:bookmarkEnd w:id="278"/>
      <w:bookmarkEnd w:id="279"/>
    </w:p>
    <w:p w14:paraId="363894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2.13.1如果任何一方遭遇法律规定的不可抗力，致使合同履行受阻时，履行合同的期限应予延长，延长的期限应相当于不可抗力所影响的时间；</w:t>
      </w:r>
    </w:p>
    <w:p w14:paraId="386892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2.13.2因不可抗力致使不能实现合同目的的，当事人可以解除合同；</w:t>
      </w:r>
    </w:p>
    <w:p w14:paraId="7FF544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2.13.3因不可抗力致使合同有变更必要的，双方当事人应在</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约定时间内以书面形式变更合同；</w:t>
      </w:r>
    </w:p>
    <w:p w14:paraId="336802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2.13.4受不可抗力影响的一方在不可抗力发生后，应在</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约定时间内以书面形式通知对方当事人，并在</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约定时间内，将有关部门出具的证明文件送达对方当事人。</w:t>
      </w:r>
    </w:p>
    <w:p w14:paraId="2600C52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80" w:name="_Toc1445"/>
      <w:bookmarkStart w:id="281" w:name="_Toc3537"/>
      <w:bookmarkStart w:id="282" w:name="_Toc279701255"/>
      <w:bookmarkStart w:id="283" w:name="_Toc29685"/>
      <w:bookmarkStart w:id="284" w:name="_Toc487900365"/>
      <w:bookmarkStart w:id="285" w:name="_Toc259093684"/>
      <w:bookmarkStart w:id="286" w:name="_Toc689"/>
      <w:bookmarkStart w:id="287" w:name="_Toc6969"/>
      <w:bookmarkStart w:id="288" w:name="_Toc30676"/>
      <w:r>
        <w:rPr>
          <w:rFonts w:hint="eastAsia" w:ascii="黑体" w:hAnsi="黑体" w:eastAsia="黑体" w:cs="黑体"/>
          <w:b/>
          <w:i w:val="0"/>
          <w:iCs w:val="0"/>
          <w:color w:val="auto"/>
          <w:sz w:val="24"/>
          <w:szCs w:val="24"/>
        </w:rPr>
        <w:t>2.14税费</w:t>
      </w:r>
      <w:bookmarkEnd w:id="280"/>
      <w:bookmarkEnd w:id="281"/>
      <w:bookmarkEnd w:id="282"/>
      <w:bookmarkEnd w:id="283"/>
      <w:bookmarkEnd w:id="284"/>
      <w:bookmarkEnd w:id="285"/>
      <w:bookmarkEnd w:id="286"/>
      <w:bookmarkEnd w:id="287"/>
      <w:bookmarkEnd w:id="288"/>
    </w:p>
    <w:p w14:paraId="66AD35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与合同有关的一切税费，均按照中华人民共和国法律的相关规定。</w:t>
      </w:r>
    </w:p>
    <w:p w14:paraId="73DED3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89" w:name="_Toc487900368"/>
      <w:bookmarkStart w:id="290" w:name="_Toc16959"/>
      <w:bookmarkStart w:id="291" w:name="_Toc30610"/>
      <w:bookmarkStart w:id="292" w:name="_Toc7102"/>
      <w:bookmarkStart w:id="293" w:name="_Toc8298"/>
      <w:bookmarkStart w:id="294" w:name="_Toc279701258"/>
      <w:bookmarkStart w:id="295" w:name="_Toc646"/>
      <w:bookmarkStart w:id="296" w:name="_Toc23350"/>
      <w:bookmarkStart w:id="297" w:name="_Toc259093687"/>
      <w:r>
        <w:rPr>
          <w:rFonts w:hint="eastAsia" w:ascii="黑体" w:hAnsi="黑体" w:eastAsia="黑体" w:cs="黑体"/>
          <w:b/>
          <w:i w:val="0"/>
          <w:iCs w:val="0"/>
          <w:color w:val="auto"/>
          <w:sz w:val="24"/>
          <w:szCs w:val="24"/>
        </w:rPr>
        <w:t>2.15乙方破产</w:t>
      </w:r>
      <w:bookmarkEnd w:id="289"/>
      <w:bookmarkEnd w:id="290"/>
      <w:bookmarkEnd w:id="291"/>
      <w:bookmarkEnd w:id="292"/>
      <w:bookmarkEnd w:id="293"/>
      <w:bookmarkEnd w:id="294"/>
      <w:bookmarkEnd w:id="295"/>
      <w:bookmarkEnd w:id="296"/>
      <w:bookmarkEnd w:id="297"/>
    </w:p>
    <w:p w14:paraId="022C39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43A35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298" w:name="_Toc15387"/>
      <w:bookmarkStart w:id="299" w:name="_Toc14308"/>
      <w:bookmarkStart w:id="300" w:name="_Toc18824"/>
      <w:bookmarkStart w:id="301" w:name="_Toc26528"/>
      <w:bookmarkStart w:id="302" w:name="_Toc6134"/>
      <w:bookmarkStart w:id="303" w:name="_Toc29333"/>
      <w:r>
        <w:rPr>
          <w:rFonts w:hint="eastAsia" w:ascii="黑体" w:hAnsi="黑体" w:eastAsia="黑体" w:cs="黑体"/>
          <w:b/>
          <w:i w:val="0"/>
          <w:iCs w:val="0"/>
          <w:color w:val="auto"/>
          <w:sz w:val="24"/>
          <w:szCs w:val="24"/>
        </w:rPr>
        <w:t>2.16合同中止、终止</w:t>
      </w:r>
      <w:bookmarkEnd w:id="298"/>
      <w:bookmarkEnd w:id="299"/>
      <w:bookmarkEnd w:id="300"/>
      <w:bookmarkEnd w:id="301"/>
      <w:bookmarkEnd w:id="302"/>
      <w:bookmarkEnd w:id="303"/>
    </w:p>
    <w:p w14:paraId="7BB908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2.16.1双方当事人不得擅自中止或者终止合同；</w:t>
      </w:r>
    </w:p>
    <w:p w14:paraId="1F717B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2.16.2合同继续履行将损害国家利益和社会公共利益的，双方当事人应当中止或者终止合同。有过错的一方应当承担赔偿责任，双方当事人都有过错的，各自承担相应的责任。</w:t>
      </w:r>
    </w:p>
    <w:p w14:paraId="6D968CE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04" w:name="_Toc5559"/>
      <w:bookmarkStart w:id="305" w:name="_Toc6596"/>
      <w:bookmarkStart w:id="306" w:name="_Toc14563"/>
      <w:bookmarkStart w:id="307" w:name="_Toc5973"/>
      <w:bookmarkStart w:id="308" w:name="_Toc19688"/>
      <w:bookmarkStart w:id="309" w:name="_Toc1125"/>
      <w:r>
        <w:rPr>
          <w:rFonts w:hint="eastAsia" w:ascii="黑体" w:hAnsi="黑体" w:eastAsia="黑体" w:cs="黑体"/>
          <w:b/>
          <w:i w:val="0"/>
          <w:iCs w:val="0"/>
          <w:color w:val="auto"/>
          <w:sz w:val="24"/>
          <w:szCs w:val="24"/>
        </w:rPr>
        <w:t>2.17检验和验收</w:t>
      </w:r>
      <w:bookmarkEnd w:id="304"/>
      <w:bookmarkEnd w:id="305"/>
      <w:bookmarkEnd w:id="306"/>
      <w:bookmarkEnd w:id="307"/>
      <w:bookmarkEnd w:id="308"/>
      <w:bookmarkEnd w:id="309"/>
    </w:p>
    <w:p w14:paraId="1A8D328C">
      <w:pPr>
        <w:keepNext w:val="0"/>
        <w:keepLines w:val="0"/>
        <w:pageBreakBefore w:val="0"/>
        <w:widowControl w:val="0"/>
        <w:tabs>
          <w:tab w:val="left" w:pos="360"/>
          <w:tab w:val="left" w:pos="540"/>
          <w:tab w:val="left" w:pos="1080"/>
        </w:tabs>
        <w:kinsoku w:val="0"/>
        <w:wordWrap w:val="0"/>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lang w:eastAsia="zh-CN"/>
        </w:rPr>
      </w:pPr>
      <w:r>
        <w:rPr>
          <w:rFonts w:hint="eastAsia" w:ascii="黑体" w:hAnsi="黑体" w:eastAsia="黑体" w:cs="黑体"/>
          <w:i w:val="0"/>
          <w:iCs w:val="0"/>
          <w:color w:val="auto"/>
          <w:sz w:val="24"/>
          <w:szCs w:val="24"/>
        </w:rPr>
        <w:t>2.17.1货物交付前，乙方应对货物的质量、数量等方面进行详细、全面的检验，并向甲方出具证明货物符合合同约定的文件；货物交付时，乙方在</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约定时间内组织验收，并可依法邀请相关方参加，验收应出具验收书</w:t>
      </w:r>
      <w:r>
        <w:rPr>
          <w:rFonts w:hint="eastAsia" w:ascii="黑体" w:hAnsi="黑体" w:eastAsia="黑体" w:cs="黑体"/>
          <w:i w:val="0"/>
          <w:iCs w:val="0"/>
          <w:color w:val="auto"/>
          <w:sz w:val="24"/>
          <w:szCs w:val="24"/>
          <w:lang w:eastAsia="zh-CN"/>
        </w:rPr>
        <w:t>。</w:t>
      </w:r>
    </w:p>
    <w:p w14:paraId="6254E801">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306E267">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pacing w:val="-20"/>
          <w:sz w:val="24"/>
          <w:szCs w:val="24"/>
        </w:rPr>
      </w:pPr>
      <w:r>
        <w:rPr>
          <w:rFonts w:hint="eastAsia" w:ascii="黑体" w:hAnsi="黑体" w:eastAsia="黑体" w:cs="黑体"/>
          <w:i w:val="0"/>
          <w:iCs w:val="0"/>
          <w:color w:val="auto"/>
          <w:sz w:val="24"/>
          <w:szCs w:val="24"/>
        </w:rPr>
        <w:t>2.17.3检验和验收标准、程序等具体内容以及前述验收书的效力详见</w:t>
      </w:r>
      <w:r>
        <w:rPr>
          <w:rFonts w:hint="eastAsia" w:ascii="黑体" w:hAnsi="黑体" w:eastAsia="黑体" w:cs="黑体"/>
          <w:b/>
          <w:i w:val="0"/>
          <w:iCs w:val="0"/>
          <w:color w:val="auto"/>
          <w:spacing w:val="-20"/>
          <w:sz w:val="24"/>
          <w:szCs w:val="24"/>
          <w:u w:val="single"/>
        </w:rPr>
        <w:t>合同专用条款</w:t>
      </w:r>
      <w:r>
        <w:rPr>
          <w:rFonts w:hint="eastAsia" w:ascii="黑体" w:hAnsi="黑体" w:eastAsia="黑体" w:cs="黑体"/>
          <w:i w:val="0"/>
          <w:iCs w:val="0"/>
          <w:color w:val="auto"/>
          <w:spacing w:val="-20"/>
          <w:sz w:val="24"/>
          <w:szCs w:val="24"/>
        </w:rPr>
        <w:t>。</w:t>
      </w:r>
    </w:p>
    <w:bookmarkEnd w:id="261"/>
    <w:bookmarkEnd w:id="262"/>
    <w:bookmarkEnd w:id="263"/>
    <w:bookmarkEnd w:id="264"/>
    <w:p w14:paraId="6885CEE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10" w:name="_Toc487900371"/>
      <w:bookmarkStart w:id="311" w:name="_Toc259093690"/>
      <w:bookmarkStart w:id="312" w:name="_Toc279701261"/>
      <w:bookmarkStart w:id="313" w:name="_Toc10221"/>
      <w:bookmarkStart w:id="314" w:name="_Toc20194"/>
      <w:bookmarkStart w:id="315" w:name="_Toc11284"/>
      <w:bookmarkStart w:id="316" w:name="_Toc19604"/>
      <w:bookmarkStart w:id="317" w:name="_Toc25182"/>
      <w:bookmarkStart w:id="318" w:name="_Toc24345"/>
      <w:r>
        <w:rPr>
          <w:rFonts w:hint="eastAsia" w:ascii="黑体" w:hAnsi="黑体" w:eastAsia="黑体" w:cs="黑体"/>
          <w:b/>
          <w:i w:val="0"/>
          <w:iCs w:val="0"/>
          <w:color w:val="auto"/>
          <w:sz w:val="24"/>
          <w:szCs w:val="24"/>
        </w:rPr>
        <w:t>2.18通知</w:t>
      </w:r>
      <w:bookmarkEnd w:id="310"/>
      <w:bookmarkEnd w:id="311"/>
      <w:bookmarkEnd w:id="312"/>
      <w:r>
        <w:rPr>
          <w:rFonts w:hint="eastAsia" w:ascii="黑体" w:hAnsi="黑体" w:eastAsia="黑体" w:cs="黑体"/>
          <w:b/>
          <w:i w:val="0"/>
          <w:iCs w:val="0"/>
          <w:color w:val="auto"/>
          <w:sz w:val="24"/>
          <w:szCs w:val="24"/>
        </w:rPr>
        <w:t>和送达</w:t>
      </w:r>
      <w:bookmarkEnd w:id="313"/>
      <w:bookmarkEnd w:id="314"/>
      <w:bookmarkEnd w:id="315"/>
      <w:bookmarkEnd w:id="316"/>
      <w:bookmarkEnd w:id="317"/>
      <w:bookmarkEnd w:id="318"/>
    </w:p>
    <w:p w14:paraId="6F4433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319" w:name="_Toc6698"/>
      <w:bookmarkStart w:id="320" w:name="_Toc3135"/>
      <w:bookmarkStart w:id="321" w:name="_Toc259093691"/>
      <w:bookmarkStart w:id="322" w:name="_Toc279701262"/>
      <w:bookmarkStart w:id="323" w:name="_Toc487900372"/>
      <w:r>
        <w:rPr>
          <w:rFonts w:hint="eastAsia" w:ascii="黑体" w:hAnsi="黑体" w:eastAsia="黑体" w:cs="黑体"/>
          <w:i w:val="0"/>
          <w:iCs w:val="0"/>
          <w:color w:val="auto"/>
          <w:sz w:val="24"/>
          <w:szCs w:val="24"/>
        </w:rPr>
        <w:t>2.18.1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319"/>
      <w:bookmarkEnd w:id="320"/>
    </w:p>
    <w:p w14:paraId="6CDC65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bookmarkStart w:id="324" w:name="_Toc23128"/>
      <w:bookmarkStart w:id="325" w:name="_Toc23294"/>
      <w:r>
        <w:rPr>
          <w:rFonts w:hint="eastAsia" w:ascii="黑体" w:hAnsi="黑体" w:eastAsia="黑体" w:cs="黑体"/>
          <w:i w:val="0"/>
          <w:iCs w:val="0"/>
          <w:color w:val="auto"/>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4"/>
      <w:bookmarkEnd w:id="325"/>
    </w:p>
    <w:p w14:paraId="701859F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26" w:name="_Toc4355"/>
      <w:bookmarkStart w:id="327" w:name="_Toc24341"/>
      <w:bookmarkStart w:id="328" w:name="_Toc26892"/>
      <w:bookmarkStart w:id="329" w:name="_Toc18540"/>
      <w:bookmarkStart w:id="330" w:name="_Toc30599"/>
      <w:bookmarkStart w:id="331" w:name="_Toc13495"/>
      <w:r>
        <w:rPr>
          <w:rFonts w:hint="eastAsia" w:ascii="黑体" w:hAnsi="黑体" w:eastAsia="黑体" w:cs="黑体"/>
          <w:b/>
          <w:i w:val="0"/>
          <w:iCs w:val="0"/>
          <w:color w:val="auto"/>
          <w:sz w:val="24"/>
          <w:szCs w:val="24"/>
        </w:rPr>
        <w:t>2.19计量单位</w:t>
      </w:r>
      <w:bookmarkEnd w:id="321"/>
      <w:bookmarkEnd w:id="322"/>
      <w:bookmarkEnd w:id="323"/>
      <w:bookmarkEnd w:id="326"/>
      <w:bookmarkEnd w:id="327"/>
      <w:bookmarkEnd w:id="328"/>
      <w:bookmarkEnd w:id="329"/>
      <w:bookmarkEnd w:id="330"/>
      <w:bookmarkEnd w:id="331"/>
    </w:p>
    <w:p w14:paraId="31312E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除技术规范中另有规定外,合同的计量单位均使用国家法定计量单位。</w:t>
      </w:r>
    </w:p>
    <w:p w14:paraId="15FD943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32" w:name="_Toc14715"/>
      <w:bookmarkStart w:id="333" w:name="_Toc259093692"/>
      <w:bookmarkStart w:id="334" w:name="_Toc487900373"/>
      <w:bookmarkStart w:id="335" w:name="_Toc12773"/>
      <w:bookmarkStart w:id="336" w:name="_Toc11531"/>
      <w:bookmarkStart w:id="337" w:name="_Toc31912"/>
      <w:bookmarkStart w:id="338" w:name="_Toc18567"/>
      <w:bookmarkStart w:id="339" w:name="_Toc279701263"/>
      <w:bookmarkStart w:id="340" w:name="_Toc10330"/>
      <w:r>
        <w:rPr>
          <w:rFonts w:hint="eastAsia" w:ascii="黑体" w:hAnsi="黑体" w:eastAsia="黑体" w:cs="黑体"/>
          <w:b/>
          <w:i w:val="0"/>
          <w:iCs w:val="0"/>
          <w:color w:val="auto"/>
          <w:sz w:val="24"/>
          <w:szCs w:val="24"/>
        </w:rPr>
        <w:t>2.20合同使用的文字和适用的法律</w:t>
      </w:r>
      <w:bookmarkEnd w:id="332"/>
      <w:bookmarkEnd w:id="333"/>
      <w:bookmarkEnd w:id="334"/>
      <w:bookmarkEnd w:id="335"/>
      <w:bookmarkEnd w:id="336"/>
      <w:bookmarkEnd w:id="337"/>
      <w:bookmarkEnd w:id="338"/>
      <w:bookmarkEnd w:id="339"/>
      <w:bookmarkEnd w:id="340"/>
    </w:p>
    <w:p w14:paraId="54B695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2.20.1合同使用汉语书就、变更和解释；</w:t>
      </w:r>
    </w:p>
    <w:p w14:paraId="7E3243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2.20.2合同适用中华人民共和国法律。</w:t>
      </w:r>
    </w:p>
    <w:p w14:paraId="343E760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41" w:name="_Toc27331"/>
      <w:bookmarkStart w:id="342" w:name="_Toc16673"/>
      <w:bookmarkStart w:id="343" w:name="_Toc279701264"/>
      <w:bookmarkStart w:id="344" w:name="_Toc3148"/>
      <w:bookmarkStart w:id="345" w:name="_Toc23476"/>
      <w:bookmarkStart w:id="346" w:name="_Toc12004"/>
      <w:bookmarkStart w:id="347" w:name="_Toc30095"/>
      <w:bookmarkStart w:id="348" w:name="_Toc259093693"/>
      <w:bookmarkStart w:id="349" w:name="_Toc487900374"/>
      <w:r>
        <w:rPr>
          <w:rFonts w:hint="eastAsia" w:ascii="黑体" w:hAnsi="黑体" w:eastAsia="黑体" w:cs="黑体"/>
          <w:b/>
          <w:i w:val="0"/>
          <w:iCs w:val="0"/>
          <w:color w:val="auto"/>
          <w:sz w:val="24"/>
          <w:szCs w:val="24"/>
        </w:rPr>
        <w:t>2.21履约保证金</w:t>
      </w:r>
      <w:bookmarkEnd w:id="341"/>
      <w:bookmarkEnd w:id="342"/>
      <w:bookmarkEnd w:id="343"/>
      <w:bookmarkEnd w:id="344"/>
      <w:bookmarkEnd w:id="345"/>
      <w:bookmarkEnd w:id="346"/>
      <w:bookmarkEnd w:id="347"/>
      <w:bookmarkEnd w:id="348"/>
    </w:p>
    <w:p w14:paraId="668AC1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2.21.1采购文件要求乙方提交履约保证金的，乙方应按</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约定的方式，以汇票、本票或者金融机构、担保机构出具的保函等非现金形式，提交不超过合同价10%的履约保证金；</w:t>
      </w:r>
    </w:p>
    <w:p w14:paraId="19E705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2.21.2履约保证金在</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约定期间内或者货物质量保证期内不予退还或者应完全有效，前述约定期间届满或者货物质量保证期届满之日起个工作日内，甲方应将履约保证金退还乙方；</w:t>
      </w:r>
    </w:p>
    <w:p w14:paraId="233F1C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2.21.3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49"/>
    <w:p w14:paraId="432D1DB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hint="eastAsia" w:ascii="黑体" w:hAnsi="黑体" w:eastAsia="黑体" w:cs="黑体"/>
          <w:b/>
          <w:i w:val="0"/>
          <w:iCs w:val="0"/>
          <w:color w:val="auto"/>
          <w:sz w:val="24"/>
          <w:szCs w:val="24"/>
        </w:rPr>
      </w:pPr>
      <w:bookmarkStart w:id="350" w:name="_Toc6885"/>
      <w:bookmarkStart w:id="351" w:name="_Toc22372"/>
      <w:bookmarkStart w:id="352" w:name="_Toc4334"/>
      <w:bookmarkStart w:id="353" w:name="_Toc19890"/>
      <w:bookmarkStart w:id="354" w:name="_Toc14001"/>
      <w:bookmarkStart w:id="355" w:name="_Toc3498"/>
      <w:r>
        <w:rPr>
          <w:rFonts w:hint="eastAsia" w:ascii="黑体" w:hAnsi="黑体" w:eastAsia="黑体" w:cs="黑体"/>
          <w:b/>
          <w:i w:val="0"/>
          <w:iCs w:val="0"/>
          <w:color w:val="auto"/>
          <w:sz w:val="24"/>
          <w:szCs w:val="24"/>
        </w:rPr>
        <w:t>2.22合同份数</w:t>
      </w:r>
      <w:bookmarkEnd w:id="350"/>
      <w:bookmarkEnd w:id="351"/>
      <w:bookmarkEnd w:id="352"/>
      <w:bookmarkEnd w:id="353"/>
      <w:bookmarkEnd w:id="354"/>
      <w:bookmarkEnd w:id="355"/>
    </w:p>
    <w:p w14:paraId="2505EA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合同份数按</w:t>
      </w:r>
      <w:r>
        <w:rPr>
          <w:rFonts w:hint="eastAsia" w:ascii="黑体" w:hAnsi="黑体" w:eastAsia="黑体" w:cs="黑体"/>
          <w:b/>
          <w:i w:val="0"/>
          <w:iCs w:val="0"/>
          <w:color w:val="auto"/>
          <w:sz w:val="24"/>
          <w:szCs w:val="24"/>
          <w:u w:val="single"/>
        </w:rPr>
        <w:t>合同专用条款</w:t>
      </w:r>
      <w:r>
        <w:rPr>
          <w:rFonts w:hint="eastAsia" w:ascii="黑体" w:hAnsi="黑体" w:eastAsia="黑体" w:cs="黑体"/>
          <w:i w:val="0"/>
          <w:iCs w:val="0"/>
          <w:color w:val="auto"/>
          <w:sz w:val="24"/>
          <w:szCs w:val="24"/>
        </w:rPr>
        <w:t>规定，每份均具有同等法律效力。</w:t>
      </w:r>
    </w:p>
    <w:p w14:paraId="7D4997EE">
      <w:pPr>
        <w:pStyle w:val="29"/>
        <w:pageBreakBefore w:val="0"/>
        <w:kinsoku/>
        <w:wordWrap/>
        <w:overflowPunct/>
        <w:topLinePunct w:val="0"/>
        <w:bidi w:val="0"/>
        <w:spacing w:line="500" w:lineRule="exact"/>
        <w:ind w:firstLine="0"/>
        <w:jc w:val="center"/>
        <w:textAlignment w:val="auto"/>
        <w:rPr>
          <w:rFonts w:hint="eastAsia" w:ascii="黑体" w:hAnsi="黑体" w:eastAsia="黑体" w:cs="黑体"/>
          <w:b/>
          <w:i w:val="0"/>
          <w:iCs w:val="0"/>
          <w:color w:val="auto"/>
          <w:sz w:val="24"/>
          <w:szCs w:val="24"/>
        </w:rPr>
      </w:pPr>
      <w:r>
        <w:rPr>
          <w:rFonts w:hint="eastAsia" w:ascii="黑体" w:hAnsi="黑体" w:eastAsia="黑体" w:cs="黑体"/>
          <w:i w:val="0"/>
          <w:iCs w:val="0"/>
          <w:color w:val="auto"/>
          <w:sz w:val="24"/>
          <w:szCs w:val="24"/>
        </w:rPr>
        <w:br w:type="page"/>
      </w:r>
      <w:bookmarkStart w:id="356" w:name="_Toc331685784"/>
      <w:r>
        <w:rPr>
          <w:rFonts w:hint="eastAsia" w:ascii="黑体" w:hAnsi="黑体" w:eastAsia="黑体" w:cs="黑体"/>
          <w:b/>
          <w:i w:val="0"/>
          <w:iCs w:val="0"/>
          <w:color w:val="auto"/>
          <w:sz w:val="24"/>
          <w:szCs w:val="24"/>
        </w:rPr>
        <w:t>第三部分合同专用条款</w:t>
      </w:r>
      <w:bookmarkEnd w:id="356"/>
    </w:p>
    <w:p w14:paraId="41886596">
      <w:pPr>
        <w:pageBreakBefore w:val="0"/>
        <w:kinsoku/>
        <w:wordWrap/>
        <w:overflowPunct/>
        <w:topLinePunct w:val="0"/>
        <w:bidi w:val="0"/>
        <w:spacing w:line="500" w:lineRule="exact"/>
        <w:ind w:firstLine="480" w:firstLineChars="200"/>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255"/>
        <w:gridCol w:w="7103"/>
      </w:tblGrid>
      <w:tr w14:paraId="5C34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751" w:type="pct"/>
            <w:tcBorders>
              <w:left w:val="single" w:color="auto" w:sz="4" w:space="0"/>
            </w:tcBorders>
            <w:noWrap w:val="0"/>
            <w:vAlign w:val="center"/>
          </w:tcPr>
          <w:p w14:paraId="07DD33A1">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条款号</w:t>
            </w:r>
          </w:p>
        </w:tc>
        <w:tc>
          <w:tcPr>
            <w:tcW w:w="4248" w:type="pct"/>
            <w:noWrap w:val="0"/>
            <w:vAlign w:val="center"/>
          </w:tcPr>
          <w:p w14:paraId="6645DA96">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约定内容</w:t>
            </w:r>
          </w:p>
        </w:tc>
      </w:tr>
      <w:tr w14:paraId="613B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7700C711">
            <w:pPr>
              <w:pageBreakBefore w:val="0"/>
              <w:shd w:val="clear" w:color="auto" w:fill="auto"/>
              <w:kinsoku/>
              <w:wordWrap/>
              <w:overflowPunct/>
              <w:topLinePunct w:val="0"/>
              <w:bidi w:val="0"/>
              <w:spacing w:line="500" w:lineRule="exact"/>
              <w:ind w:left="0" w:leftChars="0" w:firstLine="0" w:firstLineChars="0"/>
              <w:jc w:val="center"/>
              <w:textAlignment w:val="auto"/>
              <w:outlineLvl w:val="0"/>
              <w:rPr>
                <w:rFonts w:hint="eastAsia" w:ascii="黑体" w:hAnsi="黑体" w:eastAsia="黑体" w:cs="黑体"/>
                <w:b/>
                <w:i w:val="0"/>
                <w:iCs w:val="0"/>
                <w:color w:val="auto"/>
                <w:sz w:val="24"/>
                <w:szCs w:val="24"/>
              </w:rPr>
            </w:pPr>
            <w:bookmarkStart w:id="357" w:name="_Toc19237"/>
            <w:bookmarkStart w:id="358" w:name="_Toc18420"/>
            <w:bookmarkStart w:id="359" w:name="_Toc28499"/>
            <w:r>
              <w:rPr>
                <w:rFonts w:hint="eastAsia" w:ascii="黑体" w:hAnsi="黑体" w:eastAsia="黑体" w:cs="黑体"/>
                <w:b/>
                <w:i w:val="0"/>
                <w:iCs w:val="0"/>
                <w:color w:val="auto"/>
                <w:sz w:val="24"/>
                <w:szCs w:val="24"/>
              </w:rPr>
              <w:t>2.3知识产权</w:t>
            </w:r>
            <w:bookmarkEnd w:id="357"/>
            <w:bookmarkEnd w:id="358"/>
            <w:bookmarkEnd w:id="359"/>
          </w:p>
        </w:tc>
        <w:tc>
          <w:tcPr>
            <w:tcW w:w="4248" w:type="pct"/>
            <w:noWrap w:val="0"/>
            <w:vAlign w:val="center"/>
          </w:tcPr>
          <w:p w14:paraId="43900734">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highlight w:val="none"/>
                <w:lang w:val="en-US" w:eastAsia="zh-CN"/>
              </w:rPr>
            </w:pPr>
            <w:r>
              <w:rPr>
                <w:rFonts w:hint="eastAsia" w:ascii="黑体" w:hAnsi="黑体" w:eastAsia="黑体" w:cs="黑体"/>
                <w:i w:val="0"/>
                <w:iCs w:val="0"/>
                <w:color w:val="auto"/>
                <w:sz w:val="24"/>
                <w:szCs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黑体" w:hAnsi="黑体" w:eastAsia="黑体" w:cs="黑体"/>
                <w:i w:val="0"/>
                <w:iCs w:val="0"/>
                <w:color w:val="auto"/>
                <w:sz w:val="24"/>
                <w:szCs w:val="24"/>
                <w:highlight w:val="none"/>
              </w:rPr>
              <w:t>；</w:t>
            </w:r>
            <w:r>
              <w:rPr>
                <w:rFonts w:hint="eastAsia" w:ascii="黑体" w:hAnsi="黑体" w:eastAsia="黑体" w:cs="黑体"/>
                <w:i w:val="0"/>
                <w:iCs w:val="0"/>
                <w:color w:val="auto"/>
                <w:sz w:val="24"/>
                <w:szCs w:val="24"/>
                <w:highlight w:val="none"/>
                <w:lang w:val="en-US" w:eastAsia="zh-CN"/>
              </w:rPr>
              <w:t>第三方向甲方主张的，甲方有权向乙方追索</w:t>
            </w:r>
          </w:p>
          <w:p w14:paraId="3419D243">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2.3.2具有知识产权的计算机软件等货物的知识产权归</w:t>
            </w:r>
            <w:r>
              <w:rPr>
                <w:rFonts w:hint="eastAsia" w:ascii="黑体" w:hAnsi="黑体" w:eastAsia="黑体" w:cs="黑体"/>
                <w:i w:val="0"/>
                <w:iCs w:val="0"/>
                <w:color w:val="auto"/>
                <w:sz w:val="24"/>
                <w:szCs w:val="24"/>
                <w:lang w:val="en-US" w:eastAsia="zh-CN"/>
              </w:rPr>
              <w:t>甲方所有</w:t>
            </w:r>
            <w:r>
              <w:rPr>
                <w:rFonts w:hint="eastAsia" w:ascii="黑体" w:hAnsi="黑体" w:eastAsia="黑体" w:cs="黑体"/>
                <w:i w:val="0"/>
                <w:iCs w:val="0"/>
                <w:color w:val="auto"/>
                <w:sz w:val="24"/>
                <w:szCs w:val="24"/>
              </w:rPr>
              <w:t>。</w:t>
            </w:r>
          </w:p>
        </w:tc>
      </w:tr>
      <w:tr w14:paraId="76E8D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0" w:hRule="atLeast"/>
        </w:trPr>
        <w:tc>
          <w:tcPr>
            <w:tcW w:w="751" w:type="pct"/>
            <w:tcBorders>
              <w:left w:val="single" w:color="auto" w:sz="4" w:space="0"/>
            </w:tcBorders>
            <w:noWrap w:val="0"/>
            <w:vAlign w:val="center"/>
          </w:tcPr>
          <w:p w14:paraId="20C631C4">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b/>
                <w:i w:val="0"/>
                <w:iCs w:val="0"/>
                <w:color w:val="auto"/>
                <w:sz w:val="24"/>
                <w:szCs w:val="24"/>
              </w:rPr>
            </w:pPr>
            <w:r>
              <w:rPr>
                <w:rFonts w:hint="eastAsia" w:ascii="黑体" w:hAnsi="黑体" w:eastAsia="黑体" w:cs="黑体"/>
                <w:b/>
                <w:i w:val="0"/>
                <w:iCs w:val="0"/>
                <w:color w:val="auto"/>
                <w:sz w:val="24"/>
                <w:szCs w:val="24"/>
              </w:rPr>
              <w:t>2.4包装和装运</w:t>
            </w:r>
          </w:p>
        </w:tc>
        <w:tc>
          <w:tcPr>
            <w:tcW w:w="4248" w:type="pct"/>
            <w:noWrap w:val="0"/>
            <w:vAlign w:val="center"/>
          </w:tcPr>
          <w:p w14:paraId="04207500">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2.4.1除</w:t>
            </w:r>
            <w:r>
              <w:rPr>
                <w:rFonts w:hint="eastAsia" w:ascii="黑体" w:hAnsi="黑体" w:eastAsia="黑体" w:cs="黑体"/>
                <w:i w:val="0"/>
                <w:iCs w:val="0"/>
                <w:color w:val="auto"/>
                <w:sz w:val="24"/>
                <w:szCs w:val="24"/>
                <w:lang w:val="en-US" w:eastAsia="zh-CN"/>
              </w:rPr>
              <w:t>甲乙双方</w:t>
            </w:r>
            <w:r>
              <w:rPr>
                <w:rFonts w:hint="eastAsia" w:ascii="黑体" w:hAnsi="黑体" w:eastAsia="黑体" w:cs="黑体"/>
                <w:i w:val="0"/>
                <w:iCs w:val="0"/>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57C5771">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2.4.2装运货物的要求和通知，详见</w:t>
            </w:r>
            <w:r>
              <w:rPr>
                <w:rFonts w:hint="eastAsia" w:ascii="黑体" w:hAnsi="黑体" w:eastAsia="黑体" w:cs="黑体"/>
                <w:b/>
                <w:i w:val="0"/>
                <w:iCs w:val="0"/>
                <w:color w:val="auto"/>
                <w:sz w:val="24"/>
                <w:szCs w:val="24"/>
                <w:u w:val="single"/>
                <w:lang w:val="en-US" w:eastAsia="zh-CN"/>
              </w:rPr>
              <w:t>应符合国家有关包装的法律、法规的规定</w:t>
            </w:r>
            <w:r>
              <w:rPr>
                <w:rFonts w:hint="eastAsia" w:ascii="黑体" w:hAnsi="黑体" w:eastAsia="黑体" w:cs="黑体"/>
                <w:i w:val="0"/>
                <w:iCs w:val="0"/>
                <w:color w:val="auto"/>
                <w:sz w:val="24"/>
                <w:szCs w:val="24"/>
              </w:rPr>
              <w:t>。</w:t>
            </w:r>
          </w:p>
        </w:tc>
      </w:tr>
      <w:tr w14:paraId="7F56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65122A20">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i w:val="0"/>
                <w:iCs w:val="0"/>
                <w:color w:val="auto"/>
                <w:sz w:val="24"/>
                <w:szCs w:val="24"/>
              </w:rPr>
            </w:pPr>
            <w:r>
              <w:rPr>
                <w:rFonts w:hint="eastAsia" w:ascii="黑体" w:hAnsi="黑体" w:eastAsia="黑体" w:cs="黑体"/>
                <w:b/>
                <w:i w:val="0"/>
                <w:iCs w:val="0"/>
                <w:color w:val="auto"/>
                <w:sz w:val="24"/>
                <w:szCs w:val="24"/>
              </w:rPr>
              <w:t>2.5结算方式和付款条件</w:t>
            </w:r>
          </w:p>
        </w:tc>
        <w:tc>
          <w:tcPr>
            <w:tcW w:w="4248" w:type="pct"/>
            <w:noWrap w:val="0"/>
            <w:vAlign w:val="center"/>
          </w:tcPr>
          <w:p w14:paraId="3584BE42">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b w:val="0"/>
                <w:i w:val="0"/>
                <w:iCs w:val="0"/>
                <w:color w:val="auto"/>
                <w:sz w:val="24"/>
                <w:szCs w:val="24"/>
                <w:highlight w:val="none"/>
                <w:lang w:val="en-US" w:eastAsia="zh-CN"/>
              </w:rPr>
              <w:t>详见</w:t>
            </w:r>
            <w:r>
              <w:rPr>
                <w:rFonts w:hint="eastAsia" w:ascii="黑体" w:hAnsi="黑体" w:eastAsia="黑体" w:cs="黑体"/>
                <w:b w:val="0"/>
                <w:i w:val="0"/>
                <w:iCs w:val="0"/>
                <w:color w:val="auto"/>
                <w:sz w:val="24"/>
                <w:szCs w:val="24"/>
                <w:highlight w:val="none"/>
              </w:rPr>
              <w:t>第一部分合同书</w:t>
            </w:r>
            <w:r>
              <w:rPr>
                <w:rFonts w:hint="eastAsia" w:ascii="黑体" w:hAnsi="黑体" w:eastAsia="黑体" w:cs="黑体"/>
                <w:b w:val="0"/>
                <w:i w:val="0"/>
                <w:iCs w:val="0"/>
                <w:color w:val="auto"/>
                <w:sz w:val="24"/>
                <w:szCs w:val="24"/>
                <w:highlight w:val="none"/>
                <w:lang w:val="en-US" w:eastAsia="zh-CN"/>
              </w:rPr>
              <w:t>的约定。</w:t>
            </w:r>
          </w:p>
        </w:tc>
      </w:tr>
      <w:tr w14:paraId="2CB7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23310B9E">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b/>
                <w:i w:val="0"/>
                <w:iCs w:val="0"/>
                <w:color w:val="auto"/>
                <w:sz w:val="24"/>
                <w:szCs w:val="24"/>
                <w:lang w:val="en-US" w:eastAsia="zh-CN"/>
              </w:rPr>
            </w:pPr>
            <w:r>
              <w:rPr>
                <w:rFonts w:hint="eastAsia" w:ascii="黑体" w:hAnsi="黑体" w:eastAsia="黑体" w:cs="黑体"/>
                <w:b/>
                <w:i w:val="0"/>
                <w:iCs w:val="0"/>
                <w:color w:val="auto"/>
                <w:sz w:val="24"/>
                <w:szCs w:val="24"/>
                <w:lang w:val="en-US" w:eastAsia="zh-CN"/>
              </w:rPr>
              <w:t>2.7</w:t>
            </w:r>
            <w:r>
              <w:rPr>
                <w:rFonts w:hint="eastAsia" w:ascii="黑体" w:hAnsi="黑体" w:eastAsia="黑体" w:cs="黑体"/>
                <w:b/>
                <w:i w:val="0"/>
                <w:iCs w:val="0"/>
                <w:color w:val="auto"/>
                <w:sz w:val="24"/>
                <w:szCs w:val="24"/>
              </w:rPr>
              <w:t>技术资料和保密义务</w:t>
            </w:r>
          </w:p>
        </w:tc>
        <w:tc>
          <w:tcPr>
            <w:tcW w:w="4248" w:type="pct"/>
            <w:noWrap w:val="0"/>
            <w:vAlign w:val="center"/>
          </w:tcPr>
          <w:p w14:paraId="309FE9AB">
            <w:pPr>
              <w:pageBreakBefore w:val="0"/>
              <w:shd w:val="clear" w:color="auto" w:fill="auto"/>
              <w:kinsoku/>
              <w:wordWrap/>
              <w:overflowPunct/>
              <w:topLinePunct w:val="0"/>
              <w:bidi w:val="0"/>
              <w:spacing w:line="500" w:lineRule="exact"/>
              <w:textAlignment w:val="auto"/>
              <w:rPr>
                <w:rFonts w:hint="eastAsia" w:ascii="黑体" w:hAnsi="黑体" w:eastAsia="黑体" w:cs="黑体"/>
                <w:b/>
                <w:i w:val="0"/>
                <w:iCs w:val="0"/>
                <w:color w:val="auto"/>
                <w:sz w:val="24"/>
                <w:szCs w:val="24"/>
                <w:highlight w:val="none"/>
                <w:lang w:val="en-US" w:eastAsia="zh-CN"/>
              </w:rPr>
            </w:pPr>
            <w:r>
              <w:rPr>
                <w:rFonts w:hint="eastAsia" w:ascii="黑体" w:hAnsi="黑体" w:eastAsia="黑体" w:cs="黑体"/>
                <w:b w:val="0"/>
                <w:bCs/>
                <w:i w:val="0"/>
                <w:iCs w:val="0"/>
                <w:color w:val="auto"/>
                <w:sz w:val="24"/>
                <w:szCs w:val="24"/>
                <w:highlight w:val="none"/>
                <w:lang w:val="en-US" w:eastAsia="zh-CN"/>
              </w:rPr>
              <w:t>增加一款：2.7.4乙方应向甲方提供使用货物的有关技术资料，例如：商品目录、图纸、使用说明、质量检验证明、操作手册，维护手册或服务指南等。该类文件应包装好随货发运至甲方指定交货地点。</w:t>
            </w:r>
          </w:p>
        </w:tc>
      </w:tr>
      <w:tr w14:paraId="0038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0C5E8385">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i w:val="0"/>
                <w:iCs w:val="0"/>
                <w:color w:val="auto"/>
                <w:sz w:val="24"/>
                <w:szCs w:val="24"/>
              </w:rPr>
            </w:pPr>
            <w:bookmarkStart w:id="360" w:name="_Toc30284"/>
            <w:bookmarkStart w:id="361" w:name="_Toc24424"/>
            <w:bookmarkStart w:id="362" w:name="_Toc265"/>
            <w:r>
              <w:rPr>
                <w:rFonts w:hint="eastAsia" w:ascii="黑体" w:hAnsi="黑体" w:eastAsia="黑体" w:cs="黑体"/>
                <w:b/>
                <w:i w:val="0"/>
                <w:iCs w:val="0"/>
                <w:color w:val="auto"/>
                <w:sz w:val="24"/>
                <w:szCs w:val="24"/>
              </w:rPr>
              <w:t>2.9货物的风险负担</w:t>
            </w:r>
            <w:bookmarkEnd w:id="360"/>
            <w:bookmarkEnd w:id="361"/>
            <w:bookmarkEnd w:id="362"/>
          </w:p>
        </w:tc>
        <w:tc>
          <w:tcPr>
            <w:tcW w:w="4248" w:type="pct"/>
            <w:noWrap w:val="0"/>
            <w:vAlign w:val="center"/>
          </w:tcPr>
          <w:p w14:paraId="43AD3548">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eastAsia="zh-CN"/>
              </w:rPr>
            </w:pPr>
            <w:r>
              <w:rPr>
                <w:rFonts w:hint="eastAsia" w:ascii="黑体" w:hAnsi="黑体" w:eastAsia="黑体" w:cs="黑体"/>
                <w:i w:val="0"/>
                <w:iCs w:val="0"/>
                <w:color w:val="auto"/>
                <w:sz w:val="24"/>
                <w:szCs w:val="24"/>
              </w:rPr>
              <w:t>本合同项下所有货物毁损、灭失的风险自货物经甲方最终验收合格之日起转移给甲方负担</w:t>
            </w:r>
            <w:r>
              <w:rPr>
                <w:rFonts w:hint="eastAsia" w:ascii="黑体" w:hAnsi="黑体" w:eastAsia="黑体" w:cs="黑体"/>
                <w:i w:val="0"/>
                <w:iCs w:val="0"/>
                <w:color w:val="auto"/>
                <w:sz w:val="24"/>
                <w:szCs w:val="24"/>
                <w:lang w:eastAsia="zh-CN"/>
              </w:rPr>
              <w:t>。</w:t>
            </w:r>
          </w:p>
        </w:tc>
      </w:tr>
      <w:tr w14:paraId="468C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51" w:type="pct"/>
            <w:tcBorders>
              <w:left w:val="single" w:color="auto" w:sz="4" w:space="0"/>
            </w:tcBorders>
            <w:noWrap w:val="0"/>
            <w:vAlign w:val="center"/>
          </w:tcPr>
          <w:p w14:paraId="0B75ECF9">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b/>
                <w:i w:val="0"/>
                <w:iCs w:val="0"/>
                <w:color w:val="auto"/>
                <w:sz w:val="24"/>
                <w:szCs w:val="24"/>
              </w:rPr>
            </w:pPr>
            <w:bookmarkStart w:id="363" w:name="_Toc1960"/>
            <w:bookmarkStart w:id="364" w:name="_Toc3757"/>
            <w:bookmarkStart w:id="365" w:name="_Toc7406"/>
            <w:r>
              <w:rPr>
                <w:rFonts w:hint="eastAsia" w:ascii="黑体" w:hAnsi="黑体" w:eastAsia="黑体" w:cs="黑体"/>
                <w:b/>
                <w:i w:val="0"/>
                <w:iCs w:val="0"/>
                <w:color w:val="auto"/>
                <w:sz w:val="24"/>
                <w:szCs w:val="24"/>
              </w:rPr>
              <w:t>2.1</w:t>
            </w:r>
            <w:r>
              <w:rPr>
                <w:rFonts w:hint="eastAsia" w:ascii="黑体" w:hAnsi="黑体" w:eastAsia="黑体" w:cs="黑体"/>
                <w:b/>
                <w:i w:val="0"/>
                <w:iCs w:val="0"/>
                <w:color w:val="auto"/>
                <w:sz w:val="24"/>
                <w:szCs w:val="24"/>
                <w:lang w:val="en-US" w:eastAsia="zh-CN"/>
              </w:rPr>
              <w:t>3</w:t>
            </w:r>
            <w:r>
              <w:rPr>
                <w:rFonts w:hint="eastAsia" w:ascii="黑体" w:hAnsi="黑体" w:eastAsia="黑体" w:cs="黑体"/>
                <w:b/>
                <w:i w:val="0"/>
                <w:iCs w:val="0"/>
                <w:color w:val="auto"/>
                <w:sz w:val="24"/>
                <w:szCs w:val="24"/>
              </w:rPr>
              <w:t>不可抗力</w:t>
            </w:r>
            <w:bookmarkEnd w:id="363"/>
            <w:bookmarkEnd w:id="364"/>
            <w:bookmarkEnd w:id="365"/>
          </w:p>
          <w:p w14:paraId="01C718ED">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i w:val="0"/>
                <w:iCs w:val="0"/>
                <w:color w:val="auto"/>
                <w:sz w:val="24"/>
                <w:szCs w:val="24"/>
              </w:rPr>
            </w:pPr>
          </w:p>
        </w:tc>
        <w:tc>
          <w:tcPr>
            <w:tcW w:w="4248" w:type="pct"/>
            <w:noWrap w:val="0"/>
            <w:vAlign w:val="center"/>
          </w:tcPr>
          <w:p w14:paraId="570D73F0">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w:t>
            </w:r>
            <w:r>
              <w:rPr>
                <w:rFonts w:hint="eastAsia" w:ascii="黑体" w:hAnsi="黑体" w:eastAsia="黑体" w:cs="黑体"/>
                <w:i w:val="0"/>
                <w:iCs w:val="0"/>
                <w:color w:val="auto"/>
                <w:sz w:val="24"/>
                <w:szCs w:val="24"/>
                <w:lang w:val="en-US" w:eastAsia="zh-CN"/>
              </w:rPr>
              <w:t>3.3</w:t>
            </w:r>
            <w:r>
              <w:rPr>
                <w:rFonts w:hint="eastAsia" w:ascii="黑体" w:hAnsi="黑体" w:eastAsia="黑体" w:cs="黑体"/>
                <w:i w:val="0"/>
                <w:iCs w:val="0"/>
                <w:color w:val="auto"/>
                <w:sz w:val="24"/>
                <w:szCs w:val="24"/>
              </w:rPr>
              <w:t>因不可抗力致使合同有变更必要的，双方当事人应在</w:t>
            </w:r>
            <w:r>
              <w:rPr>
                <w:rFonts w:hint="eastAsia" w:ascii="黑体" w:hAnsi="黑体" w:eastAsia="黑体" w:cs="黑体"/>
                <w:i w:val="0"/>
                <w:iCs w:val="0"/>
                <w:color w:val="auto"/>
                <w:sz w:val="24"/>
                <w:szCs w:val="24"/>
                <w:u w:val="single"/>
                <w:lang w:val="en-US" w:eastAsia="zh-CN"/>
              </w:rPr>
              <w:t>30个工作日内</w:t>
            </w:r>
            <w:r>
              <w:rPr>
                <w:rFonts w:hint="eastAsia" w:ascii="黑体" w:hAnsi="黑体" w:eastAsia="黑体" w:cs="黑体"/>
                <w:i w:val="0"/>
                <w:iCs w:val="0"/>
                <w:color w:val="auto"/>
                <w:sz w:val="24"/>
                <w:szCs w:val="24"/>
              </w:rPr>
              <w:t>以书面形式变更合同；</w:t>
            </w:r>
          </w:p>
          <w:p w14:paraId="6E7B2257">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rPr>
              <w:t>2.1</w:t>
            </w:r>
            <w:r>
              <w:rPr>
                <w:rFonts w:hint="eastAsia" w:ascii="黑体" w:hAnsi="黑体" w:eastAsia="黑体" w:cs="黑体"/>
                <w:i w:val="0"/>
                <w:iCs w:val="0"/>
                <w:color w:val="auto"/>
                <w:sz w:val="24"/>
                <w:szCs w:val="24"/>
                <w:lang w:val="en-US" w:eastAsia="zh-CN"/>
              </w:rPr>
              <w:t>3.4</w:t>
            </w:r>
            <w:r>
              <w:rPr>
                <w:rFonts w:hint="eastAsia" w:ascii="黑体" w:hAnsi="黑体" w:eastAsia="黑体" w:cs="黑体"/>
                <w:i w:val="0"/>
                <w:iCs w:val="0"/>
                <w:color w:val="auto"/>
                <w:sz w:val="24"/>
                <w:szCs w:val="24"/>
              </w:rPr>
              <w:t>受不可抗力影响的一方在不可抗力发生后，应在</w:t>
            </w:r>
            <w:r>
              <w:rPr>
                <w:rFonts w:hint="eastAsia" w:ascii="黑体" w:hAnsi="黑体" w:eastAsia="黑体" w:cs="黑体"/>
                <w:i w:val="0"/>
                <w:iCs w:val="0"/>
                <w:color w:val="auto"/>
                <w:sz w:val="24"/>
                <w:szCs w:val="24"/>
                <w:u w:val="single"/>
                <w:lang w:val="en-US" w:eastAsia="zh-CN"/>
              </w:rPr>
              <w:t>5个工作日内</w:t>
            </w:r>
            <w:r>
              <w:rPr>
                <w:rFonts w:hint="eastAsia" w:ascii="黑体" w:hAnsi="黑体" w:eastAsia="黑体" w:cs="黑体"/>
                <w:i w:val="0"/>
                <w:iCs w:val="0"/>
                <w:color w:val="auto"/>
                <w:sz w:val="24"/>
                <w:szCs w:val="24"/>
              </w:rPr>
              <w:t>以书面形式通知对方当事人，并在</w:t>
            </w:r>
            <w:r>
              <w:rPr>
                <w:rFonts w:hint="eastAsia" w:ascii="黑体" w:hAnsi="黑体" w:eastAsia="黑体" w:cs="黑体"/>
                <w:i w:val="0"/>
                <w:iCs w:val="0"/>
                <w:color w:val="auto"/>
                <w:sz w:val="24"/>
                <w:szCs w:val="24"/>
                <w:u w:val="single"/>
                <w:lang w:val="en-US" w:eastAsia="zh-CN"/>
              </w:rPr>
              <w:t>5个工作日内</w:t>
            </w:r>
            <w:r>
              <w:rPr>
                <w:rFonts w:hint="eastAsia" w:ascii="黑体" w:hAnsi="黑体" w:eastAsia="黑体" w:cs="黑体"/>
                <w:i w:val="0"/>
                <w:iCs w:val="0"/>
                <w:color w:val="auto"/>
                <w:sz w:val="24"/>
                <w:szCs w:val="24"/>
              </w:rPr>
              <w:t>，将有关部门出具的证明文件送达对方当事人。</w:t>
            </w:r>
          </w:p>
        </w:tc>
      </w:tr>
      <w:tr w14:paraId="5AF9B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3" w:hRule="atLeast"/>
        </w:trPr>
        <w:tc>
          <w:tcPr>
            <w:tcW w:w="751" w:type="pct"/>
            <w:tcBorders>
              <w:left w:val="single" w:color="auto" w:sz="4" w:space="0"/>
            </w:tcBorders>
            <w:noWrap w:val="0"/>
            <w:vAlign w:val="center"/>
          </w:tcPr>
          <w:p w14:paraId="5C244F9E">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i w:val="0"/>
                <w:iCs w:val="0"/>
                <w:color w:val="auto"/>
                <w:sz w:val="24"/>
                <w:szCs w:val="24"/>
              </w:rPr>
            </w:pPr>
            <w:bookmarkStart w:id="366" w:name="_Toc28553"/>
            <w:bookmarkStart w:id="367" w:name="_Toc31375"/>
            <w:bookmarkStart w:id="368" w:name="_Toc5181"/>
            <w:r>
              <w:rPr>
                <w:rFonts w:hint="eastAsia" w:ascii="黑体" w:hAnsi="黑体" w:eastAsia="黑体" w:cs="黑体"/>
                <w:b/>
                <w:i w:val="0"/>
                <w:iCs w:val="0"/>
                <w:color w:val="auto"/>
                <w:sz w:val="24"/>
                <w:szCs w:val="24"/>
              </w:rPr>
              <w:t>2.1</w:t>
            </w:r>
            <w:r>
              <w:rPr>
                <w:rFonts w:hint="eastAsia" w:ascii="黑体" w:hAnsi="黑体" w:eastAsia="黑体" w:cs="黑体"/>
                <w:b/>
                <w:i w:val="0"/>
                <w:iCs w:val="0"/>
                <w:color w:val="auto"/>
                <w:sz w:val="24"/>
                <w:szCs w:val="24"/>
                <w:lang w:val="en-US" w:eastAsia="zh-CN"/>
              </w:rPr>
              <w:t>7</w:t>
            </w:r>
            <w:r>
              <w:rPr>
                <w:rFonts w:hint="eastAsia" w:ascii="黑体" w:hAnsi="黑体" w:eastAsia="黑体" w:cs="黑体"/>
                <w:b/>
                <w:i w:val="0"/>
                <w:iCs w:val="0"/>
                <w:color w:val="auto"/>
                <w:sz w:val="24"/>
                <w:szCs w:val="24"/>
              </w:rPr>
              <w:t>检验和验收</w:t>
            </w:r>
            <w:bookmarkEnd w:id="366"/>
            <w:bookmarkEnd w:id="367"/>
            <w:bookmarkEnd w:id="368"/>
          </w:p>
        </w:tc>
        <w:tc>
          <w:tcPr>
            <w:tcW w:w="4248" w:type="pct"/>
            <w:noWrap w:val="0"/>
            <w:vAlign w:val="center"/>
          </w:tcPr>
          <w:p w14:paraId="23259622">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b w:val="0"/>
                <w:i w:val="0"/>
                <w:iCs w:val="0"/>
                <w:color w:val="auto"/>
                <w:sz w:val="24"/>
                <w:szCs w:val="24"/>
                <w:lang w:val="en-US" w:eastAsia="zh-CN"/>
              </w:rPr>
              <w:t>详见</w:t>
            </w:r>
            <w:r>
              <w:rPr>
                <w:rFonts w:hint="eastAsia" w:ascii="黑体" w:hAnsi="黑体" w:eastAsia="黑体" w:cs="黑体"/>
                <w:b w:val="0"/>
                <w:i w:val="0"/>
                <w:iCs w:val="0"/>
                <w:color w:val="auto"/>
                <w:sz w:val="24"/>
                <w:szCs w:val="24"/>
              </w:rPr>
              <w:t>第一部分合同书</w:t>
            </w:r>
            <w:r>
              <w:rPr>
                <w:rFonts w:hint="eastAsia" w:ascii="黑体" w:hAnsi="黑体" w:eastAsia="黑体" w:cs="黑体"/>
                <w:b w:val="0"/>
                <w:i w:val="0"/>
                <w:iCs w:val="0"/>
                <w:color w:val="auto"/>
                <w:sz w:val="24"/>
                <w:szCs w:val="24"/>
                <w:lang w:val="en-US" w:eastAsia="zh-CN"/>
              </w:rPr>
              <w:t>的约定。</w:t>
            </w:r>
          </w:p>
        </w:tc>
      </w:tr>
      <w:tr w14:paraId="08EB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54319AC0">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i w:val="0"/>
                <w:iCs w:val="0"/>
                <w:color w:val="auto"/>
                <w:sz w:val="24"/>
                <w:szCs w:val="24"/>
              </w:rPr>
            </w:pPr>
            <w:bookmarkStart w:id="369" w:name="_Toc21065"/>
            <w:bookmarkStart w:id="370" w:name="_Toc21273"/>
            <w:bookmarkStart w:id="371" w:name="_Toc20115"/>
            <w:r>
              <w:rPr>
                <w:rFonts w:hint="eastAsia" w:ascii="黑体" w:hAnsi="黑体" w:eastAsia="黑体" w:cs="黑体"/>
                <w:b/>
                <w:i w:val="0"/>
                <w:iCs w:val="0"/>
                <w:color w:val="auto"/>
                <w:sz w:val="24"/>
                <w:szCs w:val="24"/>
              </w:rPr>
              <w:t>2.21履约保证金</w:t>
            </w:r>
            <w:bookmarkEnd w:id="369"/>
            <w:bookmarkEnd w:id="370"/>
            <w:bookmarkEnd w:id="371"/>
          </w:p>
        </w:tc>
        <w:tc>
          <w:tcPr>
            <w:tcW w:w="4248" w:type="pct"/>
            <w:noWrap w:val="0"/>
            <w:vAlign w:val="center"/>
          </w:tcPr>
          <w:p w14:paraId="792C884F">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lang w:val="en-US"/>
              </w:rPr>
            </w:pPr>
            <w:r>
              <w:rPr>
                <w:rFonts w:hint="eastAsia" w:ascii="黑体" w:hAnsi="黑体" w:eastAsia="黑体" w:cs="黑体"/>
                <w:i w:val="0"/>
                <w:iCs w:val="0"/>
                <w:color w:val="auto"/>
                <w:sz w:val="24"/>
                <w:szCs w:val="24"/>
                <w:lang w:val="en-US"/>
              </w:rPr>
              <w:t>2.</w:t>
            </w:r>
            <w:r>
              <w:rPr>
                <w:rFonts w:hint="eastAsia" w:ascii="黑体" w:hAnsi="黑体" w:eastAsia="黑体" w:cs="黑体"/>
                <w:i w:val="0"/>
                <w:iCs w:val="0"/>
                <w:color w:val="auto"/>
                <w:sz w:val="24"/>
                <w:szCs w:val="24"/>
                <w:lang w:val="en-US" w:eastAsia="zh-CN"/>
              </w:rPr>
              <w:t>21</w:t>
            </w:r>
            <w:r>
              <w:rPr>
                <w:rFonts w:hint="eastAsia" w:ascii="黑体" w:hAnsi="黑体" w:eastAsia="黑体" w:cs="黑体"/>
                <w:i w:val="0"/>
                <w:iCs w:val="0"/>
                <w:color w:val="auto"/>
                <w:sz w:val="24"/>
                <w:szCs w:val="24"/>
                <w:lang w:val="en-US"/>
              </w:rPr>
              <w:t>履约保证金：</w:t>
            </w:r>
          </w:p>
          <w:p w14:paraId="51FB5E39">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lang w:val="en-US"/>
              </w:rPr>
            </w:pPr>
            <w:r>
              <w:rPr>
                <w:rFonts w:hint="eastAsia" w:ascii="黑体" w:hAnsi="黑体" w:eastAsia="黑体" w:cs="黑体"/>
                <w:i w:val="0"/>
                <w:iCs w:val="0"/>
                <w:color w:val="auto"/>
                <w:sz w:val="24"/>
                <w:szCs w:val="24"/>
                <w:lang w:val="en-US"/>
              </w:rPr>
              <w:t>2.</w:t>
            </w:r>
            <w:r>
              <w:rPr>
                <w:rFonts w:hint="eastAsia" w:ascii="黑体" w:hAnsi="黑体" w:eastAsia="黑体" w:cs="黑体"/>
                <w:i w:val="0"/>
                <w:iCs w:val="0"/>
                <w:color w:val="auto"/>
                <w:sz w:val="24"/>
                <w:szCs w:val="24"/>
                <w:lang w:val="en-US" w:eastAsia="zh-CN"/>
              </w:rPr>
              <w:t>21</w:t>
            </w:r>
            <w:r>
              <w:rPr>
                <w:rFonts w:hint="eastAsia" w:ascii="黑体" w:hAnsi="黑体" w:eastAsia="黑体" w:cs="黑体"/>
                <w:i w:val="0"/>
                <w:iCs w:val="0"/>
                <w:color w:val="auto"/>
                <w:sz w:val="24"/>
                <w:szCs w:val="24"/>
                <w:lang w:val="en-US"/>
              </w:rPr>
              <w:t>.1乙方应在签订合同前5日内一次性足额缴纳履约保证金，以支票、汇票、本票、网银转账或者金融机构、担保机构出具的保函等非现金形式，提交合同总价</w:t>
            </w:r>
            <w:r>
              <w:rPr>
                <w:rFonts w:hint="eastAsia" w:ascii="黑体" w:hAnsi="黑体" w:eastAsia="黑体" w:cs="黑体"/>
                <w:i w:val="0"/>
                <w:iCs w:val="0"/>
                <w:color w:val="auto"/>
                <w:sz w:val="24"/>
                <w:szCs w:val="24"/>
                <w:lang w:val="en-US" w:eastAsia="zh-CN"/>
              </w:rPr>
              <w:t>3</w:t>
            </w:r>
            <w:r>
              <w:rPr>
                <w:rFonts w:hint="eastAsia" w:ascii="黑体" w:hAnsi="黑体" w:eastAsia="黑体" w:cs="黑体"/>
                <w:i w:val="0"/>
                <w:iCs w:val="0"/>
                <w:color w:val="auto"/>
                <w:sz w:val="24"/>
                <w:szCs w:val="24"/>
                <w:lang w:val="en-US"/>
              </w:rPr>
              <w:t>%的履约保证金。</w:t>
            </w:r>
          </w:p>
          <w:p w14:paraId="6E4FC6E3">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rPr>
              <w:t>2.</w:t>
            </w:r>
            <w:r>
              <w:rPr>
                <w:rFonts w:hint="eastAsia" w:ascii="黑体" w:hAnsi="黑体" w:eastAsia="黑体" w:cs="黑体"/>
                <w:i w:val="0"/>
                <w:iCs w:val="0"/>
                <w:color w:val="auto"/>
                <w:sz w:val="24"/>
                <w:szCs w:val="24"/>
                <w:lang w:val="en-US" w:eastAsia="zh-CN"/>
              </w:rPr>
              <w:t>21</w:t>
            </w:r>
            <w:r>
              <w:rPr>
                <w:rFonts w:hint="eastAsia" w:ascii="黑体" w:hAnsi="黑体" w:eastAsia="黑体" w:cs="黑体"/>
                <w:i w:val="0"/>
                <w:iCs w:val="0"/>
                <w:color w:val="auto"/>
                <w:sz w:val="24"/>
                <w:szCs w:val="24"/>
                <w:lang w:val="en-US"/>
              </w:rPr>
              <w:t>.2履约保证金在合同履行期间内不予退还或者应完全有效，本项目结束并经甲方</w:t>
            </w:r>
            <w:r>
              <w:rPr>
                <w:rFonts w:hint="eastAsia" w:ascii="黑体" w:hAnsi="黑体" w:eastAsia="黑体" w:cs="黑体"/>
                <w:i w:val="0"/>
                <w:iCs w:val="0"/>
                <w:color w:val="auto"/>
                <w:sz w:val="24"/>
                <w:szCs w:val="24"/>
                <w:lang w:val="en-US" w:eastAsia="zh-CN"/>
              </w:rPr>
              <w:t>最终</w:t>
            </w:r>
            <w:r>
              <w:rPr>
                <w:rFonts w:hint="eastAsia" w:ascii="黑体" w:hAnsi="黑体" w:eastAsia="黑体" w:cs="黑体"/>
                <w:i w:val="0"/>
                <w:iCs w:val="0"/>
                <w:color w:val="auto"/>
                <w:sz w:val="24"/>
                <w:szCs w:val="24"/>
                <w:lang w:val="en-US"/>
              </w:rPr>
              <w:t>书面验收合格后</w:t>
            </w:r>
            <w:r>
              <w:rPr>
                <w:rFonts w:hint="eastAsia" w:ascii="黑体" w:hAnsi="黑体" w:eastAsia="黑体" w:cs="黑体"/>
                <w:i w:val="0"/>
                <w:iCs w:val="0"/>
                <w:color w:val="auto"/>
                <w:sz w:val="24"/>
                <w:szCs w:val="24"/>
                <w:lang w:val="en-US" w:eastAsia="zh-CN"/>
              </w:rPr>
              <w:t>7</w:t>
            </w:r>
            <w:r>
              <w:rPr>
                <w:rFonts w:hint="eastAsia" w:ascii="黑体" w:hAnsi="黑体" w:eastAsia="黑体" w:cs="黑体"/>
                <w:i w:val="0"/>
                <w:iCs w:val="0"/>
                <w:color w:val="auto"/>
                <w:sz w:val="24"/>
                <w:szCs w:val="24"/>
                <w:lang w:val="en-US"/>
              </w:rPr>
              <w:t>个工作日内，甲方将履约保证金无息退还给乙方。如乙方有违约责任则按照乙方的违约情形及违约条款进行履约保证金扣减，扣减后按结算后的最终数目进行返还</w:t>
            </w:r>
            <w:r>
              <w:rPr>
                <w:rFonts w:hint="eastAsia" w:ascii="黑体" w:hAnsi="黑体" w:eastAsia="黑体" w:cs="黑体"/>
                <w:i w:val="0"/>
                <w:iCs w:val="0"/>
                <w:color w:val="auto"/>
                <w:sz w:val="24"/>
                <w:szCs w:val="24"/>
                <w:lang w:val="en-US" w:eastAsia="zh-CN"/>
              </w:rPr>
              <w:t>。</w:t>
            </w:r>
          </w:p>
          <w:p w14:paraId="668422AE">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lang w:val="en-US"/>
              </w:rPr>
              <w:t>2.</w:t>
            </w:r>
            <w:r>
              <w:rPr>
                <w:rFonts w:hint="eastAsia" w:ascii="黑体" w:hAnsi="黑体" w:eastAsia="黑体" w:cs="黑体"/>
                <w:i w:val="0"/>
                <w:iCs w:val="0"/>
                <w:color w:val="auto"/>
                <w:sz w:val="24"/>
                <w:szCs w:val="24"/>
                <w:lang w:val="en-US" w:eastAsia="zh-CN"/>
              </w:rPr>
              <w:t>21</w:t>
            </w:r>
            <w:r>
              <w:rPr>
                <w:rFonts w:hint="eastAsia" w:ascii="黑体" w:hAnsi="黑体" w:eastAsia="黑体" w:cs="黑体"/>
                <w:i w:val="0"/>
                <w:iCs w:val="0"/>
                <w:color w:val="auto"/>
                <w:sz w:val="24"/>
                <w:szCs w:val="24"/>
                <w:lang w:val="en-US"/>
              </w:rPr>
              <w:t>.3乙方在合同有效期内违约的，甲方有权扣除全部履约保证金。甲方扣除履约保证金后，乙方应当在10日内补足履约保证金至合同总价</w:t>
            </w:r>
            <w:r>
              <w:rPr>
                <w:rFonts w:hint="eastAsia" w:ascii="黑体" w:hAnsi="黑体" w:eastAsia="黑体" w:cs="黑体"/>
                <w:i w:val="0"/>
                <w:iCs w:val="0"/>
                <w:color w:val="auto"/>
                <w:sz w:val="24"/>
                <w:szCs w:val="24"/>
                <w:lang w:val="en-US" w:eastAsia="zh-CN"/>
              </w:rPr>
              <w:t>3</w:t>
            </w:r>
            <w:r>
              <w:rPr>
                <w:rFonts w:hint="eastAsia" w:ascii="黑体" w:hAnsi="黑体" w:eastAsia="黑体" w:cs="黑体"/>
                <w:i w:val="0"/>
                <w:iCs w:val="0"/>
                <w:color w:val="auto"/>
                <w:sz w:val="24"/>
                <w:szCs w:val="24"/>
                <w:lang w:val="en-US"/>
              </w:rPr>
              <w:t>%。如乙方未按期足额缴纳履约保证金，视为乙方根本违约，甲方有权随时单方解除合同。</w:t>
            </w:r>
          </w:p>
        </w:tc>
      </w:tr>
      <w:tr w14:paraId="4564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75369E24">
            <w:pPr>
              <w:pageBreakBefore w:val="0"/>
              <w:shd w:val="clear" w:color="auto" w:fill="auto"/>
              <w:kinsoku/>
              <w:wordWrap/>
              <w:overflowPunct/>
              <w:topLinePunct w:val="0"/>
              <w:bidi w:val="0"/>
              <w:spacing w:line="500" w:lineRule="exact"/>
              <w:jc w:val="center"/>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b/>
                <w:bCs/>
                <w:i w:val="0"/>
                <w:iCs w:val="0"/>
                <w:color w:val="auto"/>
                <w:sz w:val="24"/>
                <w:szCs w:val="24"/>
                <w:lang w:val="en-US" w:eastAsia="zh-CN"/>
              </w:rPr>
              <w:t>2.18通知和送达</w:t>
            </w:r>
          </w:p>
        </w:tc>
        <w:tc>
          <w:tcPr>
            <w:tcW w:w="4248" w:type="pct"/>
            <w:noWrap w:val="0"/>
            <w:vAlign w:val="center"/>
          </w:tcPr>
          <w:p w14:paraId="3150A50B">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2.18.1修改为：甲、乙双方因履行本合同或与本合同有关的一切通知都应以书面形式送达对方，且必须按照本合同中的地址，以书面信函形式或双方确认的传真或类似的通讯方式进行，受送达方应及时签收。一方变更联系人或收件人的，应当在3日内以书面形式通知另一方。未在3日内通知并影响本合同履行或造成损失的，变更方应承担相应的责任。</w:t>
            </w:r>
          </w:p>
          <w:p w14:paraId="6318C832">
            <w:pPr>
              <w:pageBreakBefore w:val="0"/>
              <w:shd w:val="clear" w:color="auto" w:fill="auto"/>
              <w:tabs>
                <w:tab w:val="left" w:pos="360"/>
                <w:tab w:val="left" w:pos="540"/>
                <w:tab w:val="left" w:pos="1080"/>
              </w:tabs>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lang w:val="en-US" w:eastAsia="zh-CN"/>
              </w:rPr>
              <w:t>增加一款：2.18.3双</w:t>
            </w:r>
            <w:r>
              <w:rPr>
                <w:rFonts w:hint="eastAsia" w:ascii="黑体" w:hAnsi="黑体" w:eastAsia="黑体" w:cs="黑体"/>
                <w:i w:val="0"/>
                <w:iCs w:val="0"/>
                <w:color w:val="auto"/>
                <w:sz w:val="24"/>
                <w:szCs w:val="24"/>
                <w:lang w:eastAsia="zh-CN"/>
              </w:rPr>
              <w:t>方在第一部分合同签署页中注明的送达地址及电子邮箱适用范围包括本合同履行期间各类通知、合同等文件以及就合同发生纠纷时相关文件和法律文书、诉讼文件的送达，同时包括在争议进入民事诉讼程序的一审、二审、再审和执行程序。</w:t>
            </w:r>
          </w:p>
        </w:tc>
      </w:tr>
      <w:tr w14:paraId="6C1B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40400F65">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i w:val="0"/>
                <w:iCs w:val="0"/>
                <w:color w:val="auto"/>
                <w:sz w:val="24"/>
                <w:szCs w:val="24"/>
              </w:rPr>
            </w:pPr>
            <w:bookmarkStart w:id="372" w:name="_Toc19162"/>
            <w:bookmarkStart w:id="373" w:name="_Toc29178"/>
            <w:bookmarkStart w:id="374" w:name="_Toc10059"/>
            <w:r>
              <w:rPr>
                <w:rFonts w:hint="eastAsia" w:ascii="黑体" w:hAnsi="黑体" w:eastAsia="黑体" w:cs="黑体"/>
                <w:b/>
                <w:i w:val="0"/>
                <w:iCs w:val="0"/>
                <w:color w:val="auto"/>
                <w:sz w:val="24"/>
                <w:szCs w:val="24"/>
              </w:rPr>
              <w:t>2.</w:t>
            </w:r>
            <w:r>
              <w:rPr>
                <w:rFonts w:hint="eastAsia" w:ascii="黑体" w:hAnsi="黑体" w:eastAsia="黑体" w:cs="黑体"/>
                <w:b/>
                <w:i w:val="0"/>
                <w:iCs w:val="0"/>
                <w:color w:val="auto"/>
                <w:sz w:val="24"/>
                <w:szCs w:val="24"/>
                <w:lang w:val="en-US" w:eastAsia="zh-CN"/>
              </w:rPr>
              <w:t>22</w:t>
            </w:r>
            <w:r>
              <w:rPr>
                <w:rFonts w:hint="eastAsia" w:ascii="黑体" w:hAnsi="黑体" w:eastAsia="黑体" w:cs="黑体"/>
                <w:b/>
                <w:i w:val="0"/>
                <w:iCs w:val="0"/>
                <w:color w:val="auto"/>
                <w:sz w:val="24"/>
                <w:szCs w:val="24"/>
              </w:rPr>
              <w:t>合同份数</w:t>
            </w:r>
            <w:bookmarkEnd w:id="372"/>
            <w:bookmarkEnd w:id="373"/>
            <w:bookmarkEnd w:id="374"/>
          </w:p>
        </w:tc>
        <w:tc>
          <w:tcPr>
            <w:tcW w:w="4248" w:type="pct"/>
            <w:noWrap w:val="0"/>
            <w:vAlign w:val="center"/>
          </w:tcPr>
          <w:p w14:paraId="69F098DC">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u w:val="single"/>
              </w:rPr>
            </w:pPr>
            <w:r>
              <w:rPr>
                <w:rFonts w:hint="eastAsia" w:ascii="黑体" w:hAnsi="黑体" w:eastAsia="黑体" w:cs="黑体"/>
                <w:i w:val="0"/>
                <w:iCs w:val="0"/>
                <w:color w:val="auto"/>
                <w:sz w:val="24"/>
                <w:szCs w:val="24"/>
              </w:rPr>
              <w:t>合同份数</w:t>
            </w:r>
            <w:r>
              <w:rPr>
                <w:rFonts w:hint="eastAsia" w:ascii="黑体" w:hAnsi="黑体" w:eastAsia="黑体" w:cs="黑体"/>
                <w:i w:val="0"/>
                <w:iCs w:val="0"/>
                <w:color w:val="auto"/>
                <w:sz w:val="24"/>
                <w:szCs w:val="24"/>
                <w:lang w:eastAsia="zh-CN"/>
              </w:rPr>
              <w:t>为</w:t>
            </w:r>
            <w:r>
              <w:rPr>
                <w:rFonts w:hint="eastAsia" w:ascii="黑体" w:hAnsi="黑体" w:eastAsia="黑体" w:cs="黑体"/>
                <w:b/>
                <w:i w:val="0"/>
                <w:iCs w:val="0"/>
                <w:color w:val="auto"/>
                <w:sz w:val="24"/>
                <w:szCs w:val="24"/>
                <w:u w:val="single"/>
                <w:lang w:eastAsia="zh-CN"/>
              </w:rPr>
              <w:t>正本两份，副本六份</w:t>
            </w:r>
            <w:r>
              <w:rPr>
                <w:rFonts w:hint="eastAsia" w:ascii="黑体" w:hAnsi="黑体" w:eastAsia="黑体" w:cs="黑体"/>
                <w:i w:val="0"/>
                <w:iCs w:val="0"/>
                <w:color w:val="auto"/>
                <w:sz w:val="24"/>
                <w:szCs w:val="24"/>
              </w:rPr>
              <w:t>，每份均具有同等法律效力。</w:t>
            </w:r>
          </w:p>
        </w:tc>
      </w:tr>
      <w:tr w14:paraId="4334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0708824B">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b/>
                <w:i w:val="0"/>
                <w:iCs w:val="0"/>
                <w:color w:val="auto"/>
                <w:sz w:val="24"/>
                <w:szCs w:val="24"/>
                <w:lang w:val="en-US" w:eastAsia="zh-CN"/>
              </w:rPr>
            </w:pPr>
            <w:bookmarkStart w:id="375" w:name="_Toc29510"/>
            <w:bookmarkStart w:id="376" w:name="_Toc19980"/>
            <w:bookmarkStart w:id="377" w:name="_Toc7817"/>
            <w:r>
              <w:rPr>
                <w:rFonts w:hint="eastAsia" w:ascii="黑体" w:hAnsi="黑体" w:eastAsia="黑体" w:cs="黑体"/>
                <w:b/>
                <w:i w:val="0"/>
                <w:iCs w:val="0"/>
                <w:color w:val="auto"/>
                <w:sz w:val="24"/>
                <w:szCs w:val="24"/>
                <w:lang w:val="en-US" w:eastAsia="zh-CN"/>
              </w:rPr>
              <w:t>2.23质保期</w:t>
            </w:r>
            <w:bookmarkEnd w:id="375"/>
            <w:bookmarkEnd w:id="376"/>
            <w:bookmarkEnd w:id="377"/>
          </w:p>
        </w:tc>
        <w:tc>
          <w:tcPr>
            <w:tcW w:w="4248" w:type="pct"/>
            <w:noWrap w:val="0"/>
            <w:vAlign w:val="center"/>
          </w:tcPr>
          <w:p w14:paraId="0A9149D9">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增加关于质保服务的内容：</w:t>
            </w:r>
          </w:p>
          <w:p w14:paraId="066B3027">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2.23.1质保期：【】年。</w:t>
            </w:r>
          </w:p>
          <w:p w14:paraId="5BB5ED5D">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2.23.2质保期内，乙方提供正常工作日全天候服务，终身技术服务支持；如设备或零部件因质量原因出现故障而造成短期停用时，则质保期和免费维修期相应顺延。如停用时间累计超过60天则质保期重新计算。</w:t>
            </w:r>
          </w:p>
          <w:p w14:paraId="554CDFE2">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2.23.3在质保期内，乙方提供免费的维修零配件，若设备、系统发生故障，在接到</w:t>
            </w:r>
            <w:r>
              <w:rPr>
                <w:rFonts w:hint="eastAsia" w:ascii="黑体" w:hAnsi="黑体" w:eastAsia="黑体" w:cs="黑体"/>
                <w:i w:val="0"/>
                <w:iCs w:val="0"/>
                <w:color w:val="auto"/>
                <w:sz w:val="24"/>
                <w:szCs w:val="24"/>
                <w:highlight w:val="none"/>
                <w:lang w:val="en-US" w:eastAsia="zh-CN"/>
              </w:rPr>
              <w:t>甲方通知后12小时内维修响应，24小时内到位检修，</w:t>
            </w:r>
            <w:r>
              <w:rPr>
                <w:rFonts w:hint="eastAsia" w:ascii="黑体" w:hAnsi="黑体" w:eastAsia="黑体" w:cs="黑体"/>
                <w:i w:val="0"/>
                <w:iCs w:val="0"/>
                <w:color w:val="auto"/>
                <w:sz w:val="24"/>
                <w:szCs w:val="24"/>
                <w:lang w:val="en-US" w:eastAsia="zh-CN"/>
              </w:rPr>
              <w:t>并在到位检修后48小时内处理完毕。如在到位检修后48小时内未处理完毕，需在接到故障通知之日起48小时内提供相同档次设备予临时使用或采取应急措施解决。</w:t>
            </w:r>
          </w:p>
          <w:p w14:paraId="3898F14C">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2.23.4乙方在质保期内免费提供运维管理、系统管理、前端运维模块及网络平台和设备维护，保持网络平稳状态。</w:t>
            </w:r>
          </w:p>
          <w:p w14:paraId="40530590">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2.23.5运维期限：质保期内免费提供运行维护服务，至少配备5名运维工程师。</w:t>
            </w:r>
          </w:p>
          <w:p w14:paraId="6D8B1245">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2.23.6质保期内所产生设备流量费用和设备损坏维护更换费用一律由乙方承担。</w:t>
            </w:r>
          </w:p>
        </w:tc>
      </w:tr>
      <w:tr w14:paraId="0221A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07B94AAA">
            <w:pPr>
              <w:pageBreakBefore w:val="0"/>
              <w:shd w:val="clear" w:color="auto" w:fill="auto"/>
              <w:kinsoku/>
              <w:wordWrap/>
              <w:overflowPunct/>
              <w:topLinePunct w:val="0"/>
              <w:bidi w:val="0"/>
              <w:spacing w:line="500" w:lineRule="exact"/>
              <w:jc w:val="center"/>
              <w:textAlignment w:val="auto"/>
              <w:outlineLvl w:val="0"/>
              <w:rPr>
                <w:rFonts w:hint="eastAsia" w:ascii="黑体" w:hAnsi="黑体" w:eastAsia="黑体" w:cs="黑体"/>
                <w:b/>
                <w:i w:val="0"/>
                <w:iCs w:val="0"/>
                <w:color w:val="auto"/>
                <w:sz w:val="24"/>
                <w:szCs w:val="24"/>
                <w:lang w:val="en-US" w:eastAsia="zh-CN"/>
              </w:rPr>
            </w:pPr>
            <w:bookmarkStart w:id="378" w:name="_Toc10972"/>
            <w:bookmarkStart w:id="379" w:name="_Toc31098"/>
            <w:bookmarkStart w:id="380" w:name="_Toc26036"/>
            <w:r>
              <w:rPr>
                <w:rFonts w:hint="eastAsia" w:ascii="黑体" w:hAnsi="黑体" w:eastAsia="黑体" w:cs="黑体"/>
                <w:b/>
                <w:i w:val="0"/>
                <w:iCs w:val="0"/>
                <w:color w:val="auto"/>
                <w:sz w:val="24"/>
                <w:szCs w:val="24"/>
                <w:lang w:val="en-US" w:eastAsia="zh-CN"/>
              </w:rPr>
              <w:t>2.24售后服务</w:t>
            </w:r>
            <w:bookmarkEnd w:id="378"/>
            <w:bookmarkEnd w:id="379"/>
            <w:bookmarkEnd w:id="380"/>
          </w:p>
        </w:tc>
        <w:tc>
          <w:tcPr>
            <w:tcW w:w="4248" w:type="pct"/>
            <w:noWrap w:val="0"/>
            <w:vAlign w:val="center"/>
          </w:tcPr>
          <w:p w14:paraId="426ADE53">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增加售后服务条款：</w:t>
            </w:r>
          </w:p>
          <w:p w14:paraId="4E574589">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（1）为保证设备正常运行，乙方须具备非常完善的售后服务体系，须在项目当地配备培训中心,有专职的维修工程师及应用工程师有效保证售后维修的及时、快捷，并负责提供技术支持，保证仪器的正常操作。</w:t>
            </w:r>
          </w:p>
          <w:p w14:paraId="240DD5E0">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（2）在质保期内，派遣维修或技术人员巡访甲方，协助并指导运维人员进行日常维护保养工作，并与直接使用人交流设备使用相关事宜。</w:t>
            </w:r>
          </w:p>
          <w:p w14:paraId="652BD5F0">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（3）乙方必须积极配合甲方共同参与项目验收。主动向甲方提供全套技术指导及培训。</w:t>
            </w:r>
          </w:p>
          <w:p w14:paraId="344B8F03">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（4）乙方应派相关技术人员到现场免费进行指导安装，解决安装过程中的相关问题。</w:t>
            </w:r>
          </w:p>
          <w:p w14:paraId="009E8AE8">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lang w:val="en-US" w:eastAsia="zh-CN"/>
              </w:rPr>
            </w:pPr>
            <w:r>
              <w:rPr>
                <w:rFonts w:hint="eastAsia" w:ascii="黑体" w:hAnsi="黑体" w:eastAsia="黑体" w:cs="黑体"/>
                <w:i w:val="0"/>
                <w:iCs w:val="0"/>
                <w:color w:val="auto"/>
                <w:sz w:val="24"/>
                <w:szCs w:val="24"/>
                <w:lang w:val="en-US" w:eastAsia="zh-CN"/>
              </w:rPr>
              <w:t>（5）售后服务承诺：乙方应对质保期内及其以后的服务做出承诺，并具有切实可行的措施,不能及时兑现服务承诺内容而影响使用方使用，乙方应当对甲方给予补偿。</w:t>
            </w:r>
          </w:p>
          <w:p w14:paraId="6A7B8B17">
            <w:pPr>
              <w:pageBreakBefore w:val="0"/>
              <w:shd w:val="clear" w:color="auto" w:fill="auto"/>
              <w:kinsoku/>
              <w:wordWrap/>
              <w:overflowPunct/>
              <w:topLinePunct w:val="0"/>
              <w:bidi w:val="0"/>
              <w:spacing w:line="500" w:lineRule="exact"/>
              <w:textAlignment w:val="auto"/>
              <w:rPr>
                <w:rFonts w:hint="eastAsia" w:ascii="黑体" w:hAnsi="黑体" w:eastAsia="黑体" w:cs="黑体"/>
                <w:i w:val="0"/>
                <w:iCs w:val="0"/>
                <w:color w:val="auto"/>
                <w:sz w:val="24"/>
                <w:szCs w:val="24"/>
              </w:rPr>
            </w:pPr>
            <w:r>
              <w:rPr>
                <w:rFonts w:hint="eastAsia" w:ascii="黑体" w:hAnsi="黑体" w:eastAsia="黑体" w:cs="黑体"/>
                <w:i w:val="0"/>
                <w:iCs w:val="0"/>
                <w:color w:val="auto"/>
                <w:sz w:val="24"/>
                <w:szCs w:val="24"/>
                <w:lang w:val="en-US" w:eastAsia="zh-CN"/>
              </w:rPr>
              <w:t>（6）人员培训：乙方应提供技术培训，保证使用人员正常操作设备的各种功能（厂家工程师驻场培训、网路在线培训、内地交流培训）。在质保期内应就设备的安装、调试、维修、保养等对甲方和维修技术人员进行现场进行免费培训，直至甲方、实际操作人员完全掌握操作、基本维护技术为止。培训配备受过专业培训的售后服务人员、技术支持人员及咨询服务、在任何时候、任何地点均可享受到终生的免费咨询服务。培训教员的差旅费、食宿费、培训教材等费用，由乙方承担，不再单独计取，随时排除所有设备故障进行明确的计划阐述，并对所有设备保修期过后维保进行阐述。</w:t>
            </w:r>
          </w:p>
        </w:tc>
      </w:tr>
    </w:tbl>
    <w:p w14:paraId="5DEF502E">
      <w:pPr>
        <w:rPr>
          <w:rFonts w:hint="eastAsia" w:ascii="黑体" w:hAnsi="黑体" w:eastAsia="黑体" w:cs="黑体"/>
          <w:b/>
          <w:bCs/>
          <w:color w:val="auto"/>
          <w:spacing w:val="8"/>
        </w:rPr>
      </w:pPr>
    </w:p>
    <w:sectPr>
      <w:headerReference r:id="rId13" w:type="default"/>
      <w:footerReference r:id="rId14" w:type="default"/>
      <w:pgSz w:w="11907" w:h="16840"/>
      <w:pgMar w:top="1440" w:right="1800" w:bottom="1440" w:left="1800" w:header="851"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5E36">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3225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A3225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2206">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C272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3C2727">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643145C4">
    <w:pPr>
      <w:pStyle w:val="8"/>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39B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D6B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3BD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7A2D3">
                          <w:pPr>
                            <w:pStyle w:val="8"/>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87A2D3">
                    <w:pPr>
                      <w:pStyle w:val="8"/>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631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FB6A">
    <w:pPr>
      <w:pStyle w:val="9"/>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2B8C6">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D1F4">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1FC1">
    <w:pPr>
      <w:spacing w:line="674" w:lineRule="exact"/>
      <w:ind w:firstLine="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8C78"/>
    <w:multiLevelType w:val="singleLevel"/>
    <w:tmpl w:val="9A658C78"/>
    <w:lvl w:ilvl="0" w:tentative="0">
      <w:start w:val="5"/>
      <w:numFmt w:val="decimal"/>
      <w:lvlText w:val="%1."/>
      <w:lvlJc w:val="left"/>
      <w:pPr>
        <w:tabs>
          <w:tab w:val="left" w:pos="312"/>
        </w:tabs>
      </w:pPr>
    </w:lvl>
  </w:abstractNum>
  <w:abstractNum w:abstractNumId="1">
    <w:nsid w:val="B25AA4E3"/>
    <w:multiLevelType w:val="singleLevel"/>
    <w:tmpl w:val="B25AA4E3"/>
    <w:lvl w:ilvl="0" w:tentative="0">
      <w:start w:val="1"/>
      <w:numFmt w:val="decimal"/>
      <w:lvlText w:val="%1."/>
      <w:lvlJc w:val="left"/>
      <w:pPr>
        <w:tabs>
          <w:tab w:val="left" w:pos="312"/>
        </w:tabs>
      </w:pPr>
    </w:lvl>
  </w:abstractNum>
  <w:abstractNum w:abstractNumId="2">
    <w:nsid w:val="3F8033E2"/>
    <w:multiLevelType w:val="singleLevel"/>
    <w:tmpl w:val="3F8033E2"/>
    <w:lvl w:ilvl="0" w:tentative="0">
      <w:start w:val="1"/>
      <w:numFmt w:val="chineseCounting"/>
      <w:suff w:val="nothing"/>
      <w:lvlText w:val="%1、"/>
      <w:lvlJc w:val="left"/>
      <w:rPr>
        <w:rFonts w:hint="eastAsia"/>
      </w:rPr>
    </w:lvl>
  </w:abstractNum>
  <w:abstractNum w:abstractNumId="3">
    <w:nsid w:val="41A3914A"/>
    <w:multiLevelType w:val="singleLevel"/>
    <w:tmpl w:val="41A3914A"/>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g2Y2NhZjQzMDY1MGJhOGVjMmQzOTMzZGUxMTVmZDYifQ=="/>
  </w:docVars>
  <w:rsids>
    <w:rsidRoot w:val="00000000"/>
    <w:rsid w:val="000B44D3"/>
    <w:rsid w:val="001072DE"/>
    <w:rsid w:val="002D269B"/>
    <w:rsid w:val="0051094B"/>
    <w:rsid w:val="005F65CD"/>
    <w:rsid w:val="0067722F"/>
    <w:rsid w:val="007177A3"/>
    <w:rsid w:val="00845314"/>
    <w:rsid w:val="00BF52BD"/>
    <w:rsid w:val="00C6664C"/>
    <w:rsid w:val="00CD1788"/>
    <w:rsid w:val="00D3688A"/>
    <w:rsid w:val="00DE3995"/>
    <w:rsid w:val="00ED5986"/>
    <w:rsid w:val="01141165"/>
    <w:rsid w:val="01192C1F"/>
    <w:rsid w:val="012A0989"/>
    <w:rsid w:val="012B64AF"/>
    <w:rsid w:val="019404F8"/>
    <w:rsid w:val="01BC20FC"/>
    <w:rsid w:val="01C0309B"/>
    <w:rsid w:val="01F33470"/>
    <w:rsid w:val="01F60E24"/>
    <w:rsid w:val="02025461"/>
    <w:rsid w:val="020531A4"/>
    <w:rsid w:val="021B4775"/>
    <w:rsid w:val="022E26FA"/>
    <w:rsid w:val="0233386D"/>
    <w:rsid w:val="025739FF"/>
    <w:rsid w:val="025C7268"/>
    <w:rsid w:val="027345B1"/>
    <w:rsid w:val="0274191D"/>
    <w:rsid w:val="02775E4F"/>
    <w:rsid w:val="028C11CF"/>
    <w:rsid w:val="02985DC6"/>
    <w:rsid w:val="029D33DC"/>
    <w:rsid w:val="02A824AD"/>
    <w:rsid w:val="02BF3353"/>
    <w:rsid w:val="02CF7A3A"/>
    <w:rsid w:val="03045209"/>
    <w:rsid w:val="030E7E36"/>
    <w:rsid w:val="031226B6"/>
    <w:rsid w:val="0334789D"/>
    <w:rsid w:val="03475BFC"/>
    <w:rsid w:val="037C7496"/>
    <w:rsid w:val="03806F86"/>
    <w:rsid w:val="03920A67"/>
    <w:rsid w:val="03AF786B"/>
    <w:rsid w:val="03B31109"/>
    <w:rsid w:val="03CF02FF"/>
    <w:rsid w:val="03CF75C5"/>
    <w:rsid w:val="03D472D2"/>
    <w:rsid w:val="03D804C6"/>
    <w:rsid w:val="03F31506"/>
    <w:rsid w:val="03F96260"/>
    <w:rsid w:val="03FA6D38"/>
    <w:rsid w:val="04041965"/>
    <w:rsid w:val="041F679F"/>
    <w:rsid w:val="042042C5"/>
    <w:rsid w:val="04207E21"/>
    <w:rsid w:val="04253689"/>
    <w:rsid w:val="043B10FF"/>
    <w:rsid w:val="04455AD9"/>
    <w:rsid w:val="04643D0A"/>
    <w:rsid w:val="046C3066"/>
    <w:rsid w:val="04754611"/>
    <w:rsid w:val="047A6A25"/>
    <w:rsid w:val="047B14FB"/>
    <w:rsid w:val="04814D63"/>
    <w:rsid w:val="04A22F2C"/>
    <w:rsid w:val="04A9250C"/>
    <w:rsid w:val="04B54A0D"/>
    <w:rsid w:val="04B844FD"/>
    <w:rsid w:val="04C53F74"/>
    <w:rsid w:val="04CB4231"/>
    <w:rsid w:val="04CD61FB"/>
    <w:rsid w:val="04CE5ACF"/>
    <w:rsid w:val="04D74983"/>
    <w:rsid w:val="04DC4690"/>
    <w:rsid w:val="04E11CA6"/>
    <w:rsid w:val="04E86B91"/>
    <w:rsid w:val="04FA4B16"/>
    <w:rsid w:val="04FC43EA"/>
    <w:rsid w:val="05143E2A"/>
    <w:rsid w:val="05412745"/>
    <w:rsid w:val="054E75C2"/>
    <w:rsid w:val="057A17B3"/>
    <w:rsid w:val="057B5F9E"/>
    <w:rsid w:val="05863DBA"/>
    <w:rsid w:val="05A0746B"/>
    <w:rsid w:val="05A131E3"/>
    <w:rsid w:val="05AB3754"/>
    <w:rsid w:val="05AC22B4"/>
    <w:rsid w:val="05AD1B88"/>
    <w:rsid w:val="05B747B5"/>
    <w:rsid w:val="05D15877"/>
    <w:rsid w:val="05ED01D7"/>
    <w:rsid w:val="06071298"/>
    <w:rsid w:val="060F2843"/>
    <w:rsid w:val="06231E4A"/>
    <w:rsid w:val="06253E14"/>
    <w:rsid w:val="06257970"/>
    <w:rsid w:val="064249C6"/>
    <w:rsid w:val="065169B7"/>
    <w:rsid w:val="06562220"/>
    <w:rsid w:val="06620BC5"/>
    <w:rsid w:val="067A5F0E"/>
    <w:rsid w:val="06A66928"/>
    <w:rsid w:val="06CC603E"/>
    <w:rsid w:val="06F37A6F"/>
    <w:rsid w:val="06FF6413"/>
    <w:rsid w:val="070D0B30"/>
    <w:rsid w:val="071036AD"/>
    <w:rsid w:val="07177C01"/>
    <w:rsid w:val="071A324D"/>
    <w:rsid w:val="072D2F81"/>
    <w:rsid w:val="0730481F"/>
    <w:rsid w:val="07322345"/>
    <w:rsid w:val="073562D9"/>
    <w:rsid w:val="073E6F3C"/>
    <w:rsid w:val="07462294"/>
    <w:rsid w:val="07724E37"/>
    <w:rsid w:val="0781151E"/>
    <w:rsid w:val="07DD49A7"/>
    <w:rsid w:val="07F41CF0"/>
    <w:rsid w:val="07FA6993"/>
    <w:rsid w:val="080D690E"/>
    <w:rsid w:val="08202AE5"/>
    <w:rsid w:val="082A5712"/>
    <w:rsid w:val="08316AA1"/>
    <w:rsid w:val="08471E20"/>
    <w:rsid w:val="08566507"/>
    <w:rsid w:val="085E4A74"/>
    <w:rsid w:val="086339C7"/>
    <w:rsid w:val="087D5842"/>
    <w:rsid w:val="08805332"/>
    <w:rsid w:val="0891753F"/>
    <w:rsid w:val="08940DDD"/>
    <w:rsid w:val="08962DA7"/>
    <w:rsid w:val="08AF1524"/>
    <w:rsid w:val="08B1198F"/>
    <w:rsid w:val="08C23B9D"/>
    <w:rsid w:val="08CF1E16"/>
    <w:rsid w:val="08E51639"/>
    <w:rsid w:val="08FB2C0B"/>
    <w:rsid w:val="090B5543"/>
    <w:rsid w:val="091B505B"/>
    <w:rsid w:val="092B34F0"/>
    <w:rsid w:val="09410F65"/>
    <w:rsid w:val="094B3B92"/>
    <w:rsid w:val="09523172"/>
    <w:rsid w:val="09526CCE"/>
    <w:rsid w:val="0960344D"/>
    <w:rsid w:val="096802A0"/>
    <w:rsid w:val="0983157E"/>
    <w:rsid w:val="098552F6"/>
    <w:rsid w:val="099866AB"/>
    <w:rsid w:val="09A51579"/>
    <w:rsid w:val="09C15C02"/>
    <w:rsid w:val="09C53944"/>
    <w:rsid w:val="0A051006"/>
    <w:rsid w:val="0A067AB9"/>
    <w:rsid w:val="0A20501F"/>
    <w:rsid w:val="0A342878"/>
    <w:rsid w:val="0A397E8E"/>
    <w:rsid w:val="0A546A76"/>
    <w:rsid w:val="0AA77FC8"/>
    <w:rsid w:val="0AC21C32"/>
    <w:rsid w:val="0ACE4A7B"/>
    <w:rsid w:val="0B185CF6"/>
    <w:rsid w:val="0B1B2EA1"/>
    <w:rsid w:val="0B3C19E4"/>
    <w:rsid w:val="0B41524D"/>
    <w:rsid w:val="0B61144B"/>
    <w:rsid w:val="0B666A61"/>
    <w:rsid w:val="0B6B114D"/>
    <w:rsid w:val="0BAB4DBC"/>
    <w:rsid w:val="0BB772BD"/>
    <w:rsid w:val="0BBE4AEF"/>
    <w:rsid w:val="0BC65752"/>
    <w:rsid w:val="0BC8771C"/>
    <w:rsid w:val="0BEF6A57"/>
    <w:rsid w:val="0BF4406D"/>
    <w:rsid w:val="0C006046"/>
    <w:rsid w:val="0C3152C1"/>
    <w:rsid w:val="0C3D1EB8"/>
    <w:rsid w:val="0C436DA2"/>
    <w:rsid w:val="0C525237"/>
    <w:rsid w:val="0C564D28"/>
    <w:rsid w:val="0C6A432F"/>
    <w:rsid w:val="0C913FB2"/>
    <w:rsid w:val="0C937D2A"/>
    <w:rsid w:val="0C945850"/>
    <w:rsid w:val="0CA535B9"/>
    <w:rsid w:val="0CC71781"/>
    <w:rsid w:val="0CD12600"/>
    <w:rsid w:val="0CDD71F7"/>
    <w:rsid w:val="0CE642FD"/>
    <w:rsid w:val="0D255F1B"/>
    <w:rsid w:val="0D58687D"/>
    <w:rsid w:val="0D682F64"/>
    <w:rsid w:val="0D95362E"/>
    <w:rsid w:val="0D98311E"/>
    <w:rsid w:val="0DB066B9"/>
    <w:rsid w:val="0DB31D06"/>
    <w:rsid w:val="0DC83A03"/>
    <w:rsid w:val="0DD71E98"/>
    <w:rsid w:val="0DFC36AD"/>
    <w:rsid w:val="0E01232A"/>
    <w:rsid w:val="0E0662D9"/>
    <w:rsid w:val="0E176739"/>
    <w:rsid w:val="0E4A08BC"/>
    <w:rsid w:val="0E5D165A"/>
    <w:rsid w:val="0E682AF0"/>
    <w:rsid w:val="0E796AAB"/>
    <w:rsid w:val="0E820056"/>
    <w:rsid w:val="0E8C2C83"/>
    <w:rsid w:val="0EAC0C2F"/>
    <w:rsid w:val="0EB126E9"/>
    <w:rsid w:val="0EC8358F"/>
    <w:rsid w:val="0F1669F0"/>
    <w:rsid w:val="0F170CC2"/>
    <w:rsid w:val="0F334EAC"/>
    <w:rsid w:val="0F3F5F47"/>
    <w:rsid w:val="0F4E7F38"/>
    <w:rsid w:val="0F5A68DD"/>
    <w:rsid w:val="0F5C08A7"/>
    <w:rsid w:val="0F63275E"/>
    <w:rsid w:val="0F6E2388"/>
    <w:rsid w:val="0F87344A"/>
    <w:rsid w:val="0FAC4C5F"/>
    <w:rsid w:val="0FCD7CE9"/>
    <w:rsid w:val="0FFE195E"/>
    <w:rsid w:val="103435D2"/>
    <w:rsid w:val="10437371"/>
    <w:rsid w:val="1068327B"/>
    <w:rsid w:val="106A2B50"/>
    <w:rsid w:val="10AB1F4F"/>
    <w:rsid w:val="10AB4F16"/>
    <w:rsid w:val="10B95885"/>
    <w:rsid w:val="10BD35C7"/>
    <w:rsid w:val="10DE353E"/>
    <w:rsid w:val="10E072B6"/>
    <w:rsid w:val="10E83632"/>
    <w:rsid w:val="10F16DCD"/>
    <w:rsid w:val="110416CA"/>
    <w:rsid w:val="113D64B6"/>
    <w:rsid w:val="113E5D8A"/>
    <w:rsid w:val="114535BD"/>
    <w:rsid w:val="114F7F97"/>
    <w:rsid w:val="11847C41"/>
    <w:rsid w:val="119A7465"/>
    <w:rsid w:val="11A46404"/>
    <w:rsid w:val="11BC387F"/>
    <w:rsid w:val="11CB5870"/>
    <w:rsid w:val="11CD5D24"/>
    <w:rsid w:val="11E15093"/>
    <w:rsid w:val="11FE3E97"/>
    <w:rsid w:val="1222745A"/>
    <w:rsid w:val="12353631"/>
    <w:rsid w:val="123C2AC7"/>
    <w:rsid w:val="12597320"/>
    <w:rsid w:val="12955F42"/>
    <w:rsid w:val="12CA1FCB"/>
    <w:rsid w:val="12D44BF8"/>
    <w:rsid w:val="12DD1CFF"/>
    <w:rsid w:val="12F157AA"/>
    <w:rsid w:val="12FC5EFD"/>
    <w:rsid w:val="13144FF5"/>
    <w:rsid w:val="132636AA"/>
    <w:rsid w:val="13280AA0"/>
    <w:rsid w:val="13294F44"/>
    <w:rsid w:val="132A0CBC"/>
    <w:rsid w:val="132F270C"/>
    <w:rsid w:val="133E2072"/>
    <w:rsid w:val="134A6C68"/>
    <w:rsid w:val="13525B1D"/>
    <w:rsid w:val="136441CE"/>
    <w:rsid w:val="136C3083"/>
    <w:rsid w:val="136C4E31"/>
    <w:rsid w:val="13734411"/>
    <w:rsid w:val="13DA7FEC"/>
    <w:rsid w:val="14027543"/>
    <w:rsid w:val="142B4CEC"/>
    <w:rsid w:val="14357918"/>
    <w:rsid w:val="143F60A1"/>
    <w:rsid w:val="1441006B"/>
    <w:rsid w:val="145558C5"/>
    <w:rsid w:val="14593607"/>
    <w:rsid w:val="145E6879"/>
    <w:rsid w:val="1461070D"/>
    <w:rsid w:val="146D0E60"/>
    <w:rsid w:val="14740441"/>
    <w:rsid w:val="147541B9"/>
    <w:rsid w:val="14777F31"/>
    <w:rsid w:val="148D505F"/>
    <w:rsid w:val="14A8633C"/>
    <w:rsid w:val="14B922F8"/>
    <w:rsid w:val="14D40EDF"/>
    <w:rsid w:val="14F055ED"/>
    <w:rsid w:val="14FE41AE"/>
    <w:rsid w:val="15064E11"/>
    <w:rsid w:val="15107A3E"/>
    <w:rsid w:val="151439D2"/>
    <w:rsid w:val="153951E6"/>
    <w:rsid w:val="153E45AB"/>
    <w:rsid w:val="154020D1"/>
    <w:rsid w:val="154107A4"/>
    <w:rsid w:val="15477903"/>
    <w:rsid w:val="155B33AF"/>
    <w:rsid w:val="1574621E"/>
    <w:rsid w:val="15785D0F"/>
    <w:rsid w:val="157F52EF"/>
    <w:rsid w:val="15826B8D"/>
    <w:rsid w:val="15897F1C"/>
    <w:rsid w:val="15A765F4"/>
    <w:rsid w:val="15B42ABF"/>
    <w:rsid w:val="15B8610B"/>
    <w:rsid w:val="15BD5E17"/>
    <w:rsid w:val="15CE555E"/>
    <w:rsid w:val="15F07F9B"/>
    <w:rsid w:val="15FD6214"/>
    <w:rsid w:val="160C6457"/>
    <w:rsid w:val="16230E34"/>
    <w:rsid w:val="16273291"/>
    <w:rsid w:val="16314110"/>
    <w:rsid w:val="16351E52"/>
    <w:rsid w:val="163836F0"/>
    <w:rsid w:val="16467BBB"/>
    <w:rsid w:val="164D719B"/>
    <w:rsid w:val="165878EE"/>
    <w:rsid w:val="16726C02"/>
    <w:rsid w:val="16797F90"/>
    <w:rsid w:val="16924BAE"/>
    <w:rsid w:val="16B74615"/>
    <w:rsid w:val="16DE6045"/>
    <w:rsid w:val="16EA1853"/>
    <w:rsid w:val="16ED0036"/>
    <w:rsid w:val="170535D2"/>
    <w:rsid w:val="170A0BE8"/>
    <w:rsid w:val="170F26A3"/>
    <w:rsid w:val="172F4AF3"/>
    <w:rsid w:val="1740460A"/>
    <w:rsid w:val="17793FC0"/>
    <w:rsid w:val="179476B3"/>
    <w:rsid w:val="17A70B2D"/>
    <w:rsid w:val="17AD77C6"/>
    <w:rsid w:val="17B31280"/>
    <w:rsid w:val="17B86896"/>
    <w:rsid w:val="17CF598E"/>
    <w:rsid w:val="17DB2585"/>
    <w:rsid w:val="17E256C1"/>
    <w:rsid w:val="17F17FFA"/>
    <w:rsid w:val="17F81389"/>
    <w:rsid w:val="17FF2717"/>
    <w:rsid w:val="18047D2E"/>
    <w:rsid w:val="181066D2"/>
    <w:rsid w:val="18A64941"/>
    <w:rsid w:val="18BA4890"/>
    <w:rsid w:val="18D23988"/>
    <w:rsid w:val="18F2402A"/>
    <w:rsid w:val="18FC27B3"/>
    <w:rsid w:val="18FE29CF"/>
    <w:rsid w:val="19033B41"/>
    <w:rsid w:val="1910625E"/>
    <w:rsid w:val="19120EEE"/>
    <w:rsid w:val="19377C8F"/>
    <w:rsid w:val="1945415A"/>
    <w:rsid w:val="196D545F"/>
    <w:rsid w:val="19810F0A"/>
    <w:rsid w:val="199176FF"/>
    <w:rsid w:val="19A277FE"/>
    <w:rsid w:val="19AD7F51"/>
    <w:rsid w:val="19B337B9"/>
    <w:rsid w:val="19C6790C"/>
    <w:rsid w:val="19CC03D7"/>
    <w:rsid w:val="19D61256"/>
    <w:rsid w:val="19E00326"/>
    <w:rsid w:val="19F618F8"/>
    <w:rsid w:val="19FD67E3"/>
    <w:rsid w:val="1A0936A3"/>
    <w:rsid w:val="1A200723"/>
    <w:rsid w:val="1A3441CE"/>
    <w:rsid w:val="1A424B3D"/>
    <w:rsid w:val="1A604FC3"/>
    <w:rsid w:val="1A6C1BBA"/>
    <w:rsid w:val="1A736AA5"/>
    <w:rsid w:val="1A7D3DC7"/>
    <w:rsid w:val="1AB8095B"/>
    <w:rsid w:val="1AC83294"/>
    <w:rsid w:val="1AD11A1D"/>
    <w:rsid w:val="1AD31C39"/>
    <w:rsid w:val="1AD35795"/>
    <w:rsid w:val="1B100797"/>
    <w:rsid w:val="1B302BE8"/>
    <w:rsid w:val="1B4D19EC"/>
    <w:rsid w:val="1B8A22F8"/>
    <w:rsid w:val="1BB83309"/>
    <w:rsid w:val="1BC341DC"/>
    <w:rsid w:val="1BCD0437"/>
    <w:rsid w:val="1BE539D2"/>
    <w:rsid w:val="1BE870C6"/>
    <w:rsid w:val="1BEF2AA3"/>
    <w:rsid w:val="1C13053F"/>
    <w:rsid w:val="1C224BF8"/>
    <w:rsid w:val="1C2564C4"/>
    <w:rsid w:val="1C632B49"/>
    <w:rsid w:val="1C807008"/>
    <w:rsid w:val="1C930B0A"/>
    <w:rsid w:val="1CA90EA4"/>
    <w:rsid w:val="1CBB2985"/>
    <w:rsid w:val="1CBC1555"/>
    <w:rsid w:val="1CCC06EE"/>
    <w:rsid w:val="1CE67A02"/>
    <w:rsid w:val="1D210A3A"/>
    <w:rsid w:val="1D2F36BC"/>
    <w:rsid w:val="1D306ECF"/>
    <w:rsid w:val="1D4330A6"/>
    <w:rsid w:val="1D464944"/>
    <w:rsid w:val="1D507571"/>
    <w:rsid w:val="1D61177E"/>
    <w:rsid w:val="1D666D95"/>
    <w:rsid w:val="1D725739"/>
    <w:rsid w:val="1D774AFE"/>
    <w:rsid w:val="1D7C0366"/>
    <w:rsid w:val="1D9531D6"/>
    <w:rsid w:val="1D9F5E03"/>
    <w:rsid w:val="1DA358F3"/>
    <w:rsid w:val="1DB01DBE"/>
    <w:rsid w:val="1DBA0837"/>
    <w:rsid w:val="1DC046F7"/>
    <w:rsid w:val="1DCA7323"/>
    <w:rsid w:val="1DCB4E4A"/>
    <w:rsid w:val="1DD7559C"/>
    <w:rsid w:val="1DDB508D"/>
    <w:rsid w:val="1DF93765"/>
    <w:rsid w:val="1DFD14A7"/>
    <w:rsid w:val="1E004AF3"/>
    <w:rsid w:val="1E2307E2"/>
    <w:rsid w:val="1E34479D"/>
    <w:rsid w:val="1E4A0464"/>
    <w:rsid w:val="1E4B08AA"/>
    <w:rsid w:val="1E566E09"/>
    <w:rsid w:val="1E5A233A"/>
    <w:rsid w:val="1E6037E4"/>
    <w:rsid w:val="1E6B776D"/>
    <w:rsid w:val="1E967206"/>
    <w:rsid w:val="1EBD4792"/>
    <w:rsid w:val="1EBF050A"/>
    <w:rsid w:val="1EDD6BE3"/>
    <w:rsid w:val="1EE241F9"/>
    <w:rsid w:val="1F1F369F"/>
    <w:rsid w:val="1F2667DB"/>
    <w:rsid w:val="1F615A66"/>
    <w:rsid w:val="1F7A08D5"/>
    <w:rsid w:val="1FA140B4"/>
    <w:rsid w:val="1FAD2A59"/>
    <w:rsid w:val="1FAF4A23"/>
    <w:rsid w:val="1FC14756"/>
    <w:rsid w:val="1FC55FF4"/>
    <w:rsid w:val="1FC87893"/>
    <w:rsid w:val="1FD004F5"/>
    <w:rsid w:val="1FDF698A"/>
    <w:rsid w:val="1FE02E2E"/>
    <w:rsid w:val="1FED554B"/>
    <w:rsid w:val="20230F6D"/>
    <w:rsid w:val="20371C88"/>
    <w:rsid w:val="203E1903"/>
    <w:rsid w:val="203F1F94"/>
    <w:rsid w:val="20450EE3"/>
    <w:rsid w:val="20580B6B"/>
    <w:rsid w:val="20653333"/>
    <w:rsid w:val="206F5F60"/>
    <w:rsid w:val="207A0B58"/>
    <w:rsid w:val="207E43F5"/>
    <w:rsid w:val="208F215E"/>
    <w:rsid w:val="209B4FA7"/>
    <w:rsid w:val="20B147CB"/>
    <w:rsid w:val="20B816B5"/>
    <w:rsid w:val="20BB2F53"/>
    <w:rsid w:val="20C0056A"/>
    <w:rsid w:val="20C718F8"/>
    <w:rsid w:val="20CA763A"/>
    <w:rsid w:val="20E22C32"/>
    <w:rsid w:val="21004E0A"/>
    <w:rsid w:val="21221225"/>
    <w:rsid w:val="21374CD0"/>
    <w:rsid w:val="214B077B"/>
    <w:rsid w:val="215A2724"/>
    <w:rsid w:val="215F4227"/>
    <w:rsid w:val="21661111"/>
    <w:rsid w:val="217B12FD"/>
    <w:rsid w:val="218B501C"/>
    <w:rsid w:val="218E0668"/>
    <w:rsid w:val="219A0E50"/>
    <w:rsid w:val="219A700D"/>
    <w:rsid w:val="219F4623"/>
    <w:rsid w:val="21C10A3D"/>
    <w:rsid w:val="21D267A7"/>
    <w:rsid w:val="21D40771"/>
    <w:rsid w:val="21F42BC1"/>
    <w:rsid w:val="21FE759C"/>
    <w:rsid w:val="221F4D1D"/>
    <w:rsid w:val="222F1E4B"/>
    <w:rsid w:val="223830F1"/>
    <w:rsid w:val="22460F43"/>
    <w:rsid w:val="22462CF1"/>
    <w:rsid w:val="22603DB2"/>
    <w:rsid w:val="22631AF5"/>
    <w:rsid w:val="226A4C31"/>
    <w:rsid w:val="227B6E3E"/>
    <w:rsid w:val="228C4BA7"/>
    <w:rsid w:val="228D26CE"/>
    <w:rsid w:val="228F6446"/>
    <w:rsid w:val="22965A26"/>
    <w:rsid w:val="22993768"/>
    <w:rsid w:val="22A31EF1"/>
    <w:rsid w:val="22B10AB2"/>
    <w:rsid w:val="22C34341"/>
    <w:rsid w:val="22CA3922"/>
    <w:rsid w:val="22D327D6"/>
    <w:rsid w:val="23476D20"/>
    <w:rsid w:val="235558E1"/>
    <w:rsid w:val="23563407"/>
    <w:rsid w:val="23580F2E"/>
    <w:rsid w:val="2358717F"/>
    <w:rsid w:val="23627FFE"/>
    <w:rsid w:val="23671DAD"/>
    <w:rsid w:val="237A70F6"/>
    <w:rsid w:val="23971A56"/>
    <w:rsid w:val="23CB5BA3"/>
    <w:rsid w:val="23D22A8E"/>
    <w:rsid w:val="23EA0B0F"/>
    <w:rsid w:val="23EE3640"/>
    <w:rsid w:val="242157C3"/>
    <w:rsid w:val="24284DA4"/>
    <w:rsid w:val="243279D1"/>
    <w:rsid w:val="24343749"/>
    <w:rsid w:val="24482D50"/>
    <w:rsid w:val="2455546D"/>
    <w:rsid w:val="245C27CD"/>
    <w:rsid w:val="24686FE5"/>
    <w:rsid w:val="246F652F"/>
    <w:rsid w:val="248024EA"/>
    <w:rsid w:val="24816262"/>
    <w:rsid w:val="24883A94"/>
    <w:rsid w:val="249146F7"/>
    <w:rsid w:val="249E6E14"/>
    <w:rsid w:val="24A81A41"/>
    <w:rsid w:val="24CE594B"/>
    <w:rsid w:val="24E567F1"/>
    <w:rsid w:val="24EE3EE3"/>
    <w:rsid w:val="24FA6740"/>
    <w:rsid w:val="2501527E"/>
    <w:rsid w:val="250A6257"/>
    <w:rsid w:val="25180974"/>
    <w:rsid w:val="25276E09"/>
    <w:rsid w:val="252B4B4C"/>
    <w:rsid w:val="2561056D"/>
    <w:rsid w:val="258204E4"/>
    <w:rsid w:val="258E0C37"/>
    <w:rsid w:val="25A16BBC"/>
    <w:rsid w:val="25A22934"/>
    <w:rsid w:val="25CE197B"/>
    <w:rsid w:val="25E90563"/>
    <w:rsid w:val="26013AFE"/>
    <w:rsid w:val="260E7B46"/>
    <w:rsid w:val="262B0B7B"/>
    <w:rsid w:val="264332CC"/>
    <w:rsid w:val="26487037"/>
    <w:rsid w:val="264B4D7A"/>
    <w:rsid w:val="26630315"/>
    <w:rsid w:val="26775B6F"/>
    <w:rsid w:val="268A58A2"/>
    <w:rsid w:val="269C3827"/>
    <w:rsid w:val="269C55D5"/>
    <w:rsid w:val="269E759F"/>
    <w:rsid w:val="26A15A2B"/>
    <w:rsid w:val="26AC3A6A"/>
    <w:rsid w:val="26B172D2"/>
    <w:rsid w:val="26C708A4"/>
    <w:rsid w:val="26E50D2A"/>
    <w:rsid w:val="26ED5E31"/>
    <w:rsid w:val="270513CC"/>
    <w:rsid w:val="27070CA1"/>
    <w:rsid w:val="271635D9"/>
    <w:rsid w:val="271E423C"/>
    <w:rsid w:val="272A498F"/>
    <w:rsid w:val="272E0923"/>
    <w:rsid w:val="274E4B21"/>
    <w:rsid w:val="274E6A42"/>
    <w:rsid w:val="27514612"/>
    <w:rsid w:val="2762237B"/>
    <w:rsid w:val="276500BD"/>
    <w:rsid w:val="276854B7"/>
    <w:rsid w:val="27734588"/>
    <w:rsid w:val="27787DF0"/>
    <w:rsid w:val="278E13C2"/>
    <w:rsid w:val="279A7D67"/>
    <w:rsid w:val="279D7857"/>
    <w:rsid w:val="27A04C51"/>
    <w:rsid w:val="27A40BE5"/>
    <w:rsid w:val="27B64475"/>
    <w:rsid w:val="27C70430"/>
    <w:rsid w:val="27CA5DB5"/>
    <w:rsid w:val="27DA0163"/>
    <w:rsid w:val="27E70AD2"/>
    <w:rsid w:val="27EE3C0E"/>
    <w:rsid w:val="27F154AD"/>
    <w:rsid w:val="28100029"/>
    <w:rsid w:val="281F201A"/>
    <w:rsid w:val="283F090E"/>
    <w:rsid w:val="28461C9C"/>
    <w:rsid w:val="28537F15"/>
    <w:rsid w:val="285F68BA"/>
    <w:rsid w:val="286363AA"/>
    <w:rsid w:val="286E4D4F"/>
    <w:rsid w:val="289A5B44"/>
    <w:rsid w:val="289A78F2"/>
    <w:rsid w:val="28A644E9"/>
    <w:rsid w:val="28BE5CD7"/>
    <w:rsid w:val="28C140B9"/>
    <w:rsid w:val="28CC03F4"/>
    <w:rsid w:val="28D76D98"/>
    <w:rsid w:val="28E05C4D"/>
    <w:rsid w:val="28F00EFB"/>
    <w:rsid w:val="28F32B26"/>
    <w:rsid w:val="29037B8D"/>
    <w:rsid w:val="290542F7"/>
    <w:rsid w:val="290E65CC"/>
    <w:rsid w:val="29136FB5"/>
    <w:rsid w:val="294A756A"/>
    <w:rsid w:val="295E3016"/>
    <w:rsid w:val="297E0FC2"/>
    <w:rsid w:val="298567F4"/>
    <w:rsid w:val="29D357B2"/>
    <w:rsid w:val="29FD638B"/>
    <w:rsid w:val="2A16744D"/>
    <w:rsid w:val="2A263B34"/>
    <w:rsid w:val="2A443FBA"/>
    <w:rsid w:val="2A4D10C0"/>
    <w:rsid w:val="2A596606"/>
    <w:rsid w:val="2A5E151F"/>
    <w:rsid w:val="2A5E32CD"/>
    <w:rsid w:val="2A7A5C2D"/>
    <w:rsid w:val="2AB90504"/>
    <w:rsid w:val="2ABA427C"/>
    <w:rsid w:val="2AD52E64"/>
    <w:rsid w:val="2AE65071"/>
    <w:rsid w:val="2AE9690F"/>
    <w:rsid w:val="2AF27EBA"/>
    <w:rsid w:val="2B0B2D29"/>
    <w:rsid w:val="2B1B3F9E"/>
    <w:rsid w:val="2B2D7144"/>
    <w:rsid w:val="2B3E6C5B"/>
    <w:rsid w:val="2B4F2C16"/>
    <w:rsid w:val="2B7C28A2"/>
    <w:rsid w:val="2B7D7783"/>
    <w:rsid w:val="2B801021"/>
    <w:rsid w:val="2B8925CC"/>
    <w:rsid w:val="2B8B2389"/>
    <w:rsid w:val="2B9E76FA"/>
    <w:rsid w:val="2BB46F1D"/>
    <w:rsid w:val="2BB86A0D"/>
    <w:rsid w:val="2BBB3857"/>
    <w:rsid w:val="2BC41856"/>
    <w:rsid w:val="2BC600B3"/>
    <w:rsid w:val="2BD82C0B"/>
    <w:rsid w:val="2BE55328"/>
    <w:rsid w:val="2BF0264B"/>
    <w:rsid w:val="2C2E0A7D"/>
    <w:rsid w:val="2C3A1B18"/>
    <w:rsid w:val="2C4402A1"/>
    <w:rsid w:val="2C4604BD"/>
    <w:rsid w:val="2C576226"/>
    <w:rsid w:val="2C6D5A4A"/>
    <w:rsid w:val="2C70553A"/>
    <w:rsid w:val="2C786181"/>
    <w:rsid w:val="2C92725E"/>
    <w:rsid w:val="2C974875"/>
    <w:rsid w:val="2C9C1E8B"/>
    <w:rsid w:val="2CA84CD4"/>
    <w:rsid w:val="2CAD76B0"/>
    <w:rsid w:val="2CBA67B5"/>
    <w:rsid w:val="2CC6515A"/>
    <w:rsid w:val="2CC94C4A"/>
    <w:rsid w:val="2CD94E8D"/>
    <w:rsid w:val="2CDA29B3"/>
    <w:rsid w:val="2CDD4252"/>
    <w:rsid w:val="2CDE24A4"/>
    <w:rsid w:val="2CE455E0"/>
    <w:rsid w:val="2CEF46B1"/>
    <w:rsid w:val="2CFC6DCE"/>
    <w:rsid w:val="2CFE66A2"/>
    <w:rsid w:val="2D151C3D"/>
    <w:rsid w:val="2D377E06"/>
    <w:rsid w:val="2D3B5B48"/>
    <w:rsid w:val="2D3D7431"/>
    <w:rsid w:val="2D5B7F98"/>
    <w:rsid w:val="2D776454"/>
    <w:rsid w:val="2D8E211C"/>
    <w:rsid w:val="2DA66471"/>
    <w:rsid w:val="2DB17BB8"/>
    <w:rsid w:val="2DBA028A"/>
    <w:rsid w:val="2DBB27E5"/>
    <w:rsid w:val="2DC86CB0"/>
    <w:rsid w:val="2DCC2C44"/>
    <w:rsid w:val="2DDB4C35"/>
    <w:rsid w:val="2E13617D"/>
    <w:rsid w:val="2E150D8F"/>
    <w:rsid w:val="2E334A71"/>
    <w:rsid w:val="2E3A5DFF"/>
    <w:rsid w:val="2E4B3B69"/>
    <w:rsid w:val="2E5F13C2"/>
    <w:rsid w:val="2E690493"/>
    <w:rsid w:val="2E7A26A0"/>
    <w:rsid w:val="2E7A61FC"/>
    <w:rsid w:val="2E9A5E5D"/>
    <w:rsid w:val="2E9E78EF"/>
    <w:rsid w:val="2EB3170E"/>
    <w:rsid w:val="2EBA484A"/>
    <w:rsid w:val="2EE61AE3"/>
    <w:rsid w:val="2EF53AD4"/>
    <w:rsid w:val="2EFC1307"/>
    <w:rsid w:val="2F090192"/>
    <w:rsid w:val="2F4800A8"/>
    <w:rsid w:val="2F603644"/>
    <w:rsid w:val="2F68074A"/>
    <w:rsid w:val="2F6D5D61"/>
    <w:rsid w:val="2F7470EF"/>
    <w:rsid w:val="2F8A06C1"/>
    <w:rsid w:val="2F8D01B1"/>
    <w:rsid w:val="2FAD43AF"/>
    <w:rsid w:val="30000983"/>
    <w:rsid w:val="30073ABF"/>
    <w:rsid w:val="30197C97"/>
    <w:rsid w:val="301A5EE8"/>
    <w:rsid w:val="30586A11"/>
    <w:rsid w:val="3061095D"/>
    <w:rsid w:val="30654C8A"/>
    <w:rsid w:val="3069477A"/>
    <w:rsid w:val="306F78B6"/>
    <w:rsid w:val="30744ECD"/>
    <w:rsid w:val="309F63EE"/>
    <w:rsid w:val="30B716A3"/>
    <w:rsid w:val="30EB518F"/>
    <w:rsid w:val="30FF0C3A"/>
    <w:rsid w:val="310B75DF"/>
    <w:rsid w:val="31101099"/>
    <w:rsid w:val="312468F3"/>
    <w:rsid w:val="312C3C9C"/>
    <w:rsid w:val="3148438F"/>
    <w:rsid w:val="31496359"/>
    <w:rsid w:val="31540F86"/>
    <w:rsid w:val="315A0567"/>
    <w:rsid w:val="315E0057"/>
    <w:rsid w:val="31701B38"/>
    <w:rsid w:val="317F1D7B"/>
    <w:rsid w:val="319F5F79"/>
    <w:rsid w:val="31AA1310"/>
    <w:rsid w:val="31D976DD"/>
    <w:rsid w:val="31E16592"/>
    <w:rsid w:val="31EB11BF"/>
    <w:rsid w:val="32026C34"/>
    <w:rsid w:val="3212499D"/>
    <w:rsid w:val="322A7F39"/>
    <w:rsid w:val="32335040"/>
    <w:rsid w:val="325925CC"/>
    <w:rsid w:val="32747406"/>
    <w:rsid w:val="32785148"/>
    <w:rsid w:val="32867865"/>
    <w:rsid w:val="329B4993"/>
    <w:rsid w:val="32A55811"/>
    <w:rsid w:val="32B048E2"/>
    <w:rsid w:val="32C20171"/>
    <w:rsid w:val="32DC56D7"/>
    <w:rsid w:val="32E14A9C"/>
    <w:rsid w:val="32F347CF"/>
    <w:rsid w:val="330C5891"/>
    <w:rsid w:val="330D2CA8"/>
    <w:rsid w:val="330D68F1"/>
    <w:rsid w:val="330E33B7"/>
    <w:rsid w:val="331D18DA"/>
    <w:rsid w:val="332B5D17"/>
    <w:rsid w:val="3341378C"/>
    <w:rsid w:val="33541711"/>
    <w:rsid w:val="335C4122"/>
    <w:rsid w:val="3378560F"/>
    <w:rsid w:val="339064C2"/>
    <w:rsid w:val="33BB353F"/>
    <w:rsid w:val="33D75E9F"/>
    <w:rsid w:val="33E800AC"/>
    <w:rsid w:val="341964B7"/>
    <w:rsid w:val="341C1B03"/>
    <w:rsid w:val="343155AF"/>
    <w:rsid w:val="34346E4D"/>
    <w:rsid w:val="344A48C2"/>
    <w:rsid w:val="347B0F20"/>
    <w:rsid w:val="34834546"/>
    <w:rsid w:val="348558FB"/>
    <w:rsid w:val="34880F47"/>
    <w:rsid w:val="349124F1"/>
    <w:rsid w:val="34B32468"/>
    <w:rsid w:val="34C04B85"/>
    <w:rsid w:val="34C74165"/>
    <w:rsid w:val="34E6283D"/>
    <w:rsid w:val="34FA62E8"/>
    <w:rsid w:val="34FC3E0F"/>
    <w:rsid w:val="351C625F"/>
    <w:rsid w:val="352B46F4"/>
    <w:rsid w:val="352B64A2"/>
    <w:rsid w:val="35357321"/>
    <w:rsid w:val="35366BF5"/>
    <w:rsid w:val="354632DC"/>
    <w:rsid w:val="355053EB"/>
    <w:rsid w:val="35521C81"/>
    <w:rsid w:val="35606D98"/>
    <w:rsid w:val="356E2833"/>
    <w:rsid w:val="359C73A0"/>
    <w:rsid w:val="35A26038"/>
    <w:rsid w:val="35A41DB0"/>
    <w:rsid w:val="35C0308E"/>
    <w:rsid w:val="35EF5721"/>
    <w:rsid w:val="3600792F"/>
    <w:rsid w:val="36080591"/>
    <w:rsid w:val="361E1B63"/>
    <w:rsid w:val="3639699D"/>
    <w:rsid w:val="36415851"/>
    <w:rsid w:val="365E4655"/>
    <w:rsid w:val="36657792"/>
    <w:rsid w:val="366A124C"/>
    <w:rsid w:val="36730100"/>
    <w:rsid w:val="367E499B"/>
    <w:rsid w:val="3699743B"/>
    <w:rsid w:val="36B64491"/>
    <w:rsid w:val="36E96615"/>
    <w:rsid w:val="37076A9B"/>
    <w:rsid w:val="37256F21"/>
    <w:rsid w:val="372C6501"/>
    <w:rsid w:val="373B6744"/>
    <w:rsid w:val="37441A9D"/>
    <w:rsid w:val="374D6BA3"/>
    <w:rsid w:val="375A7FEB"/>
    <w:rsid w:val="375B2943"/>
    <w:rsid w:val="376143FD"/>
    <w:rsid w:val="37702892"/>
    <w:rsid w:val="377145E6"/>
    <w:rsid w:val="37781747"/>
    <w:rsid w:val="378105FB"/>
    <w:rsid w:val="378C3EC9"/>
    <w:rsid w:val="378E4AC6"/>
    <w:rsid w:val="379A16BD"/>
    <w:rsid w:val="379E73FF"/>
    <w:rsid w:val="37A4253C"/>
    <w:rsid w:val="37AB1B1C"/>
    <w:rsid w:val="37B060F6"/>
    <w:rsid w:val="37BA3B0D"/>
    <w:rsid w:val="37DC6865"/>
    <w:rsid w:val="37DC7F27"/>
    <w:rsid w:val="37F0752F"/>
    <w:rsid w:val="38084878"/>
    <w:rsid w:val="381C47C8"/>
    <w:rsid w:val="3824364B"/>
    <w:rsid w:val="383218F5"/>
    <w:rsid w:val="38325D99"/>
    <w:rsid w:val="3845787B"/>
    <w:rsid w:val="385E6B8E"/>
    <w:rsid w:val="38767A34"/>
    <w:rsid w:val="387E0FDF"/>
    <w:rsid w:val="388163D9"/>
    <w:rsid w:val="389820A0"/>
    <w:rsid w:val="38AA1DD4"/>
    <w:rsid w:val="38B92017"/>
    <w:rsid w:val="38C20ECB"/>
    <w:rsid w:val="38CA7D80"/>
    <w:rsid w:val="38F35529"/>
    <w:rsid w:val="38FB7BA8"/>
    <w:rsid w:val="38FF3ECD"/>
    <w:rsid w:val="390037A2"/>
    <w:rsid w:val="390B0AC4"/>
    <w:rsid w:val="390E0EFB"/>
    <w:rsid w:val="391334D5"/>
    <w:rsid w:val="39237490"/>
    <w:rsid w:val="39276F80"/>
    <w:rsid w:val="3934169D"/>
    <w:rsid w:val="395C1320"/>
    <w:rsid w:val="39894E7E"/>
    <w:rsid w:val="39A20CFD"/>
    <w:rsid w:val="39A95BE7"/>
    <w:rsid w:val="39B97271"/>
    <w:rsid w:val="39BE5B37"/>
    <w:rsid w:val="39D20F0C"/>
    <w:rsid w:val="3A0177D1"/>
    <w:rsid w:val="3A2B6F44"/>
    <w:rsid w:val="3A430DC5"/>
    <w:rsid w:val="3A557B1D"/>
    <w:rsid w:val="3A5671A2"/>
    <w:rsid w:val="3AA50AA5"/>
    <w:rsid w:val="3AB64A60"/>
    <w:rsid w:val="3AE07D2F"/>
    <w:rsid w:val="3AEA64B7"/>
    <w:rsid w:val="3AF47336"/>
    <w:rsid w:val="3B082DE1"/>
    <w:rsid w:val="3B190B4B"/>
    <w:rsid w:val="3B223EA3"/>
    <w:rsid w:val="3B3911ED"/>
    <w:rsid w:val="3B60677A"/>
    <w:rsid w:val="3B7A783B"/>
    <w:rsid w:val="3B7B47F6"/>
    <w:rsid w:val="3B936B4F"/>
    <w:rsid w:val="3B96663F"/>
    <w:rsid w:val="3B9F72A2"/>
    <w:rsid w:val="3BA945C4"/>
    <w:rsid w:val="3BDF7FE6"/>
    <w:rsid w:val="3BE473AB"/>
    <w:rsid w:val="3BF05D4F"/>
    <w:rsid w:val="3C1D516D"/>
    <w:rsid w:val="3C2C7A9E"/>
    <w:rsid w:val="3C3A6FCB"/>
    <w:rsid w:val="3C401154"/>
    <w:rsid w:val="3C447E49"/>
    <w:rsid w:val="3C526A0A"/>
    <w:rsid w:val="3C6A3D54"/>
    <w:rsid w:val="3C8F5568"/>
    <w:rsid w:val="3C964F89"/>
    <w:rsid w:val="3CA134EE"/>
    <w:rsid w:val="3CCB1742"/>
    <w:rsid w:val="3CCD6091"/>
    <w:rsid w:val="3CE533DA"/>
    <w:rsid w:val="3CE60F00"/>
    <w:rsid w:val="3CF950D8"/>
    <w:rsid w:val="3D1B32A0"/>
    <w:rsid w:val="3D2C725B"/>
    <w:rsid w:val="3D714C6E"/>
    <w:rsid w:val="3DA54918"/>
    <w:rsid w:val="3DA94408"/>
    <w:rsid w:val="3DAA0180"/>
    <w:rsid w:val="3DB540E4"/>
    <w:rsid w:val="3DCB25D0"/>
    <w:rsid w:val="3DFA1107"/>
    <w:rsid w:val="3E0B6E71"/>
    <w:rsid w:val="3E0E4BB3"/>
    <w:rsid w:val="3E1026D9"/>
    <w:rsid w:val="3E18679C"/>
    <w:rsid w:val="3E3F2FBE"/>
    <w:rsid w:val="3E5633A2"/>
    <w:rsid w:val="3E5720B6"/>
    <w:rsid w:val="3E5C5DD5"/>
    <w:rsid w:val="3E8F4FE3"/>
    <w:rsid w:val="3EA572C5"/>
    <w:rsid w:val="3EBC62AF"/>
    <w:rsid w:val="3ECF60F0"/>
    <w:rsid w:val="3ED23E32"/>
    <w:rsid w:val="3ED74FA5"/>
    <w:rsid w:val="3EE020AB"/>
    <w:rsid w:val="3EF43DA9"/>
    <w:rsid w:val="3EFE3365"/>
    <w:rsid w:val="3F051B12"/>
    <w:rsid w:val="3F057D64"/>
    <w:rsid w:val="3F1E7077"/>
    <w:rsid w:val="3F6820A1"/>
    <w:rsid w:val="3F744EE9"/>
    <w:rsid w:val="3F7B6278"/>
    <w:rsid w:val="3F890995"/>
    <w:rsid w:val="3F8E5FAB"/>
    <w:rsid w:val="3F8E7D59"/>
    <w:rsid w:val="3F917849"/>
    <w:rsid w:val="3F9A4950"/>
    <w:rsid w:val="3FAF779C"/>
    <w:rsid w:val="3FB86B84"/>
    <w:rsid w:val="3FBF43B6"/>
    <w:rsid w:val="3FCF3ECE"/>
    <w:rsid w:val="400C6ED0"/>
    <w:rsid w:val="400E2C48"/>
    <w:rsid w:val="40275AB8"/>
    <w:rsid w:val="40477F08"/>
    <w:rsid w:val="405C39B3"/>
    <w:rsid w:val="406A5FD3"/>
    <w:rsid w:val="406D5BC1"/>
    <w:rsid w:val="40784565"/>
    <w:rsid w:val="407C5E04"/>
    <w:rsid w:val="408B4299"/>
    <w:rsid w:val="4093314D"/>
    <w:rsid w:val="40953369"/>
    <w:rsid w:val="409C64A6"/>
    <w:rsid w:val="40BE4806"/>
    <w:rsid w:val="40E816EB"/>
    <w:rsid w:val="40F260C6"/>
    <w:rsid w:val="40FB141E"/>
    <w:rsid w:val="410A78B3"/>
    <w:rsid w:val="411424E0"/>
    <w:rsid w:val="41230975"/>
    <w:rsid w:val="412D35A2"/>
    <w:rsid w:val="41320BB8"/>
    <w:rsid w:val="41354204"/>
    <w:rsid w:val="414A5F02"/>
    <w:rsid w:val="41524DB6"/>
    <w:rsid w:val="41526B64"/>
    <w:rsid w:val="41566655"/>
    <w:rsid w:val="41597EF3"/>
    <w:rsid w:val="41614FF9"/>
    <w:rsid w:val="41630D72"/>
    <w:rsid w:val="41662610"/>
    <w:rsid w:val="4185518C"/>
    <w:rsid w:val="418A2EE5"/>
    <w:rsid w:val="41AC2719"/>
    <w:rsid w:val="41C07F72"/>
    <w:rsid w:val="41D8350E"/>
    <w:rsid w:val="41F83BB0"/>
    <w:rsid w:val="41F93484"/>
    <w:rsid w:val="41FB36A0"/>
    <w:rsid w:val="421107CE"/>
    <w:rsid w:val="4214206C"/>
    <w:rsid w:val="421D53C4"/>
    <w:rsid w:val="42276243"/>
    <w:rsid w:val="425132C0"/>
    <w:rsid w:val="4269685C"/>
    <w:rsid w:val="426B6130"/>
    <w:rsid w:val="426C1EA8"/>
    <w:rsid w:val="42733236"/>
    <w:rsid w:val="42813BA5"/>
    <w:rsid w:val="42870A90"/>
    <w:rsid w:val="428B67D2"/>
    <w:rsid w:val="428D254A"/>
    <w:rsid w:val="429D6505"/>
    <w:rsid w:val="42A15FF5"/>
    <w:rsid w:val="42A87384"/>
    <w:rsid w:val="42AB0C22"/>
    <w:rsid w:val="42B37AD7"/>
    <w:rsid w:val="42B775C7"/>
    <w:rsid w:val="42CA6A52"/>
    <w:rsid w:val="42D40179"/>
    <w:rsid w:val="42D737C5"/>
    <w:rsid w:val="42E47C90"/>
    <w:rsid w:val="42FE51F6"/>
    <w:rsid w:val="43144A19"/>
    <w:rsid w:val="43244531"/>
    <w:rsid w:val="432D1637"/>
    <w:rsid w:val="432D7889"/>
    <w:rsid w:val="43364990"/>
    <w:rsid w:val="43374264"/>
    <w:rsid w:val="433A3D54"/>
    <w:rsid w:val="434846C3"/>
    <w:rsid w:val="434F15AD"/>
    <w:rsid w:val="436A63E7"/>
    <w:rsid w:val="436B215F"/>
    <w:rsid w:val="436C6603"/>
    <w:rsid w:val="436F39FE"/>
    <w:rsid w:val="4383394D"/>
    <w:rsid w:val="438A0837"/>
    <w:rsid w:val="4391606A"/>
    <w:rsid w:val="43931DE2"/>
    <w:rsid w:val="439B2A45"/>
    <w:rsid w:val="43B14016"/>
    <w:rsid w:val="43B21B3C"/>
    <w:rsid w:val="43B81849"/>
    <w:rsid w:val="43C27FD1"/>
    <w:rsid w:val="43C95804"/>
    <w:rsid w:val="43D42973"/>
    <w:rsid w:val="43E73EDC"/>
    <w:rsid w:val="44006D4C"/>
    <w:rsid w:val="440C56F0"/>
    <w:rsid w:val="44133F2C"/>
    <w:rsid w:val="44226CC2"/>
    <w:rsid w:val="44315157"/>
    <w:rsid w:val="443C30D3"/>
    <w:rsid w:val="44450C02"/>
    <w:rsid w:val="44663053"/>
    <w:rsid w:val="446E63AB"/>
    <w:rsid w:val="446F7A2D"/>
    <w:rsid w:val="447B4624"/>
    <w:rsid w:val="447B63D2"/>
    <w:rsid w:val="4488746D"/>
    <w:rsid w:val="448E07FB"/>
    <w:rsid w:val="449A71A0"/>
    <w:rsid w:val="44A1408B"/>
    <w:rsid w:val="44CB1108"/>
    <w:rsid w:val="44E328F5"/>
    <w:rsid w:val="44E977E0"/>
    <w:rsid w:val="44EE3048"/>
    <w:rsid w:val="450F36EA"/>
    <w:rsid w:val="451A208F"/>
    <w:rsid w:val="451D770C"/>
    <w:rsid w:val="45344EFF"/>
    <w:rsid w:val="454113CA"/>
    <w:rsid w:val="45432315"/>
    <w:rsid w:val="45440EBA"/>
    <w:rsid w:val="454A2974"/>
    <w:rsid w:val="456F23DB"/>
    <w:rsid w:val="45795008"/>
    <w:rsid w:val="458B6AE9"/>
    <w:rsid w:val="45AA51C1"/>
    <w:rsid w:val="45AF0A29"/>
    <w:rsid w:val="45B61DB8"/>
    <w:rsid w:val="45BE6EBE"/>
    <w:rsid w:val="45D3296A"/>
    <w:rsid w:val="45D71D2E"/>
    <w:rsid w:val="45E5269D"/>
    <w:rsid w:val="45E87A97"/>
    <w:rsid w:val="45FE72BB"/>
    <w:rsid w:val="460A5C60"/>
    <w:rsid w:val="46170428"/>
    <w:rsid w:val="461B1C1B"/>
    <w:rsid w:val="4629258A"/>
    <w:rsid w:val="464B2FDE"/>
    <w:rsid w:val="46646A2F"/>
    <w:rsid w:val="4665733A"/>
    <w:rsid w:val="468477C0"/>
    <w:rsid w:val="4689127A"/>
    <w:rsid w:val="468C056E"/>
    <w:rsid w:val="469F284C"/>
    <w:rsid w:val="46A47E62"/>
    <w:rsid w:val="46B502C1"/>
    <w:rsid w:val="46C0305E"/>
    <w:rsid w:val="470B1C8F"/>
    <w:rsid w:val="470C2AE3"/>
    <w:rsid w:val="472471F5"/>
    <w:rsid w:val="472D42FC"/>
    <w:rsid w:val="473A2575"/>
    <w:rsid w:val="4746716B"/>
    <w:rsid w:val="47534857"/>
    <w:rsid w:val="47555600"/>
    <w:rsid w:val="477912EF"/>
    <w:rsid w:val="478B4B7E"/>
    <w:rsid w:val="479B1265"/>
    <w:rsid w:val="479F062A"/>
    <w:rsid w:val="47AB78B1"/>
    <w:rsid w:val="47C23431"/>
    <w:rsid w:val="47E36768"/>
    <w:rsid w:val="47F1781C"/>
    <w:rsid w:val="47F40975"/>
    <w:rsid w:val="47F70466"/>
    <w:rsid w:val="480C3F11"/>
    <w:rsid w:val="480F755D"/>
    <w:rsid w:val="48227D3D"/>
    <w:rsid w:val="48382F58"/>
    <w:rsid w:val="4839282C"/>
    <w:rsid w:val="483B2A48"/>
    <w:rsid w:val="4840005F"/>
    <w:rsid w:val="484418FD"/>
    <w:rsid w:val="48455675"/>
    <w:rsid w:val="484C255F"/>
    <w:rsid w:val="484C57AE"/>
    <w:rsid w:val="484D69B9"/>
    <w:rsid w:val="485633DE"/>
    <w:rsid w:val="486077CC"/>
    <w:rsid w:val="488241D3"/>
    <w:rsid w:val="48825F81"/>
    <w:rsid w:val="48926B0A"/>
    <w:rsid w:val="48C06AA9"/>
    <w:rsid w:val="48D37C96"/>
    <w:rsid w:val="48DD58AD"/>
    <w:rsid w:val="48E924A4"/>
    <w:rsid w:val="48EA3B26"/>
    <w:rsid w:val="490177EE"/>
    <w:rsid w:val="490C0875"/>
    <w:rsid w:val="491868E5"/>
    <w:rsid w:val="4929464F"/>
    <w:rsid w:val="49396E43"/>
    <w:rsid w:val="493A1F19"/>
    <w:rsid w:val="496B2EB9"/>
    <w:rsid w:val="49755AE6"/>
    <w:rsid w:val="497E0E3E"/>
    <w:rsid w:val="498026B2"/>
    <w:rsid w:val="49D92519"/>
    <w:rsid w:val="49DB1DED"/>
    <w:rsid w:val="4A070E34"/>
    <w:rsid w:val="4A25750C"/>
    <w:rsid w:val="4A353E64"/>
    <w:rsid w:val="4A365275"/>
    <w:rsid w:val="4A993A56"/>
    <w:rsid w:val="4AAA17BF"/>
    <w:rsid w:val="4ACF1226"/>
    <w:rsid w:val="4ADA6548"/>
    <w:rsid w:val="4AFF1B0B"/>
    <w:rsid w:val="4B09298A"/>
    <w:rsid w:val="4B1650A7"/>
    <w:rsid w:val="4B215F25"/>
    <w:rsid w:val="4B3A2B43"/>
    <w:rsid w:val="4B63171F"/>
    <w:rsid w:val="4B663938"/>
    <w:rsid w:val="4B6C4CC7"/>
    <w:rsid w:val="4B8464B4"/>
    <w:rsid w:val="4B9304A5"/>
    <w:rsid w:val="4BB548C0"/>
    <w:rsid w:val="4BC114B6"/>
    <w:rsid w:val="4BFB6776"/>
    <w:rsid w:val="4C0F3FD0"/>
    <w:rsid w:val="4C485734"/>
    <w:rsid w:val="4C4F261E"/>
    <w:rsid w:val="4C5058C9"/>
    <w:rsid w:val="4C523EBC"/>
    <w:rsid w:val="4C5D11DF"/>
    <w:rsid w:val="4C650094"/>
    <w:rsid w:val="4C9149E5"/>
    <w:rsid w:val="4C942727"/>
    <w:rsid w:val="4CAD5597"/>
    <w:rsid w:val="4CC0351C"/>
    <w:rsid w:val="4CC71062"/>
    <w:rsid w:val="4CE52F83"/>
    <w:rsid w:val="4D01600E"/>
    <w:rsid w:val="4D7B7443"/>
    <w:rsid w:val="4DAB41CC"/>
    <w:rsid w:val="4DB34E2F"/>
    <w:rsid w:val="4DB36BDD"/>
    <w:rsid w:val="4DC64B62"/>
    <w:rsid w:val="4DC82688"/>
    <w:rsid w:val="4DCD4142"/>
    <w:rsid w:val="4DD3102D"/>
    <w:rsid w:val="4DDA060D"/>
    <w:rsid w:val="4DE1199C"/>
    <w:rsid w:val="4DEE5E67"/>
    <w:rsid w:val="4E0A0EF3"/>
    <w:rsid w:val="4E197388"/>
    <w:rsid w:val="4E1E674C"/>
    <w:rsid w:val="4E235B10"/>
    <w:rsid w:val="4E353A96"/>
    <w:rsid w:val="4E3917D8"/>
    <w:rsid w:val="4E597784"/>
    <w:rsid w:val="4E6D76D3"/>
    <w:rsid w:val="4E797E26"/>
    <w:rsid w:val="4E9C58C3"/>
    <w:rsid w:val="4EB62E28"/>
    <w:rsid w:val="4EB96475"/>
    <w:rsid w:val="4EC8490A"/>
    <w:rsid w:val="4EDD2072"/>
    <w:rsid w:val="4EE01C53"/>
    <w:rsid w:val="4EF0709E"/>
    <w:rsid w:val="4EFE032C"/>
    <w:rsid w:val="4F0E4A13"/>
    <w:rsid w:val="4F172D89"/>
    <w:rsid w:val="4F626B0C"/>
    <w:rsid w:val="4F644633"/>
    <w:rsid w:val="4F7340A8"/>
    <w:rsid w:val="4F743EFB"/>
    <w:rsid w:val="4F860A4D"/>
    <w:rsid w:val="4F8B1BBF"/>
    <w:rsid w:val="4FBC621D"/>
    <w:rsid w:val="4FBF3F5F"/>
    <w:rsid w:val="4FE62339"/>
    <w:rsid w:val="4FEC63D6"/>
    <w:rsid w:val="4FF21C3E"/>
    <w:rsid w:val="4FFC2ABD"/>
    <w:rsid w:val="501B6121"/>
    <w:rsid w:val="50242014"/>
    <w:rsid w:val="503E4E84"/>
    <w:rsid w:val="50487AB0"/>
    <w:rsid w:val="50630D8E"/>
    <w:rsid w:val="50650662"/>
    <w:rsid w:val="50720FD1"/>
    <w:rsid w:val="507C2FF8"/>
    <w:rsid w:val="507C5F1F"/>
    <w:rsid w:val="5095081C"/>
    <w:rsid w:val="50A373DC"/>
    <w:rsid w:val="50B05655"/>
    <w:rsid w:val="50B60EBE"/>
    <w:rsid w:val="50BC3FFA"/>
    <w:rsid w:val="50D47596"/>
    <w:rsid w:val="50D61560"/>
    <w:rsid w:val="50DF7621"/>
    <w:rsid w:val="50F32112"/>
    <w:rsid w:val="510F4A72"/>
    <w:rsid w:val="511B51C5"/>
    <w:rsid w:val="51363DAD"/>
    <w:rsid w:val="513D338D"/>
    <w:rsid w:val="51426BF5"/>
    <w:rsid w:val="51497F84"/>
    <w:rsid w:val="515B1A65"/>
    <w:rsid w:val="516D2D7D"/>
    <w:rsid w:val="516E1798"/>
    <w:rsid w:val="51954F77"/>
    <w:rsid w:val="51A0391C"/>
    <w:rsid w:val="51A60F32"/>
    <w:rsid w:val="51D3784E"/>
    <w:rsid w:val="51E63A25"/>
    <w:rsid w:val="51EB103B"/>
    <w:rsid w:val="520420FD"/>
    <w:rsid w:val="52043EAB"/>
    <w:rsid w:val="5208399B"/>
    <w:rsid w:val="522B1438"/>
    <w:rsid w:val="523522B6"/>
    <w:rsid w:val="52383B54"/>
    <w:rsid w:val="523F3135"/>
    <w:rsid w:val="5248023B"/>
    <w:rsid w:val="52522E68"/>
    <w:rsid w:val="52546BE0"/>
    <w:rsid w:val="52595FA5"/>
    <w:rsid w:val="5268443A"/>
    <w:rsid w:val="527E1EAF"/>
    <w:rsid w:val="529E60AD"/>
    <w:rsid w:val="52B551A5"/>
    <w:rsid w:val="52C75604"/>
    <w:rsid w:val="52CB6777"/>
    <w:rsid w:val="52DE64AA"/>
    <w:rsid w:val="52E15F9A"/>
    <w:rsid w:val="52F7756C"/>
    <w:rsid w:val="530A3743"/>
    <w:rsid w:val="53114AD1"/>
    <w:rsid w:val="532742F5"/>
    <w:rsid w:val="534529CD"/>
    <w:rsid w:val="536D782E"/>
    <w:rsid w:val="53803A05"/>
    <w:rsid w:val="53B51901"/>
    <w:rsid w:val="53B65679"/>
    <w:rsid w:val="53BD2563"/>
    <w:rsid w:val="53BF5380"/>
    <w:rsid w:val="53C04396"/>
    <w:rsid w:val="53D8739D"/>
    <w:rsid w:val="53E2021C"/>
    <w:rsid w:val="53E977FC"/>
    <w:rsid w:val="53F00B8B"/>
    <w:rsid w:val="540C7047"/>
    <w:rsid w:val="540E2DBF"/>
    <w:rsid w:val="54102FDB"/>
    <w:rsid w:val="541D3002"/>
    <w:rsid w:val="54372316"/>
    <w:rsid w:val="543D5452"/>
    <w:rsid w:val="543F741C"/>
    <w:rsid w:val="5454111A"/>
    <w:rsid w:val="545509EE"/>
    <w:rsid w:val="54662BFB"/>
    <w:rsid w:val="54901A26"/>
    <w:rsid w:val="549C03CB"/>
    <w:rsid w:val="549F610D"/>
    <w:rsid w:val="54A454D1"/>
    <w:rsid w:val="54C33BA9"/>
    <w:rsid w:val="54D7298C"/>
    <w:rsid w:val="54D77655"/>
    <w:rsid w:val="54DE4E87"/>
    <w:rsid w:val="54E3323A"/>
    <w:rsid w:val="54FA3343"/>
    <w:rsid w:val="55002762"/>
    <w:rsid w:val="55012924"/>
    <w:rsid w:val="550F6DEF"/>
    <w:rsid w:val="552503C0"/>
    <w:rsid w:val="553332C3"/>
    <w:rsid w:val="55572544"/>
    <w:rsid w:val="55684751"/>
    <w:rsid w:val="556F1F83"/>
    <w:rsid w:val="556F788D"/>
    <w:rsid w:val="557650C0"/>
    <w:rsid w:val="558A46C7"/>
    <w:rsid w:val="55AF412E"/>
    <w:rsid w:val="55BB6F76"/>
    <w:rsid w:val="55C30659"/>
    <w:rsid w:val="55DA38A0"/>
    <w:rsid w:val="55E464CD"/>
    <w:rsid w:val="55E95892"/>
    <w:rsid w:val="55EB160A"/>
    <w:rsid w:val="55EC7130"/>
    <w:rsid w:val="56024BA5"/>
    <w:rsid w:val="56044479"/>
    <w:rsid w:val="560B1CAC"/>
    <w:rsid w:val="564C7BCE"/>
    <w:rsid w:val="56576C9F"/>
    <w:rsid w:val="565C2507"/>
    <w:rsid w:val="566413BC"/>
    <w:rsid w:val="566B3E34"/>
    <w:rsid w:val="566B44F9"/>
    <w:rsid w:val="567A298E"/>
    <w:rsid w:val="5697353F"/>
    <w:rsid w:val="56A30136"/>
    <w:rsid w:val="56AF6ADB"/>
    <w:rsid w:val="56B37C4E"/>
    <w:rsid w:val="56B57E6A"/>
    <w:rsid w:val="56D41079"/>
    <w:rsid w:val="56DE2F1C"/>
    <w:rsid w:val="56EB388B"/>
    <w:rsid w:val="57144B90"/>
    <w:rsid w:val="572206A7"/>
    <w:rsid w:val="573E1C0D"/>
    <w:rsid w:val="57482A8C"/>
    <w:rsid w:val="57566F57"/>
    <w:rsid w:val="57783371"/>
    <w:rsid w:val="57802226"/>
    <w:rsid w:val="57911D3D"/>
    <w:rsid w:val="5798756F"/>
    <w:rsid w:val="57CE11E3"/>
    <w:rsid w:val="57DB56AE"/>
    <w:rsid w:val="57E97DCB"/>
    <w:rsid w:val="57EC3417"/>
    <w:rsid w:val="57F65158"/>
    <w:rsid w:val="57FE4CC6"/>
    <w:rsid w:val="58030761"/>
    <w:rsid w:val="580469B3"/>
    <w:rsid w:val="581B5AAA"/>
    <w:rsid w:val="58256929"/>
    <w:rsid w:val="582B03E3"/>
    <w:rsid w:val="583209D6"/>
    <w:rsid w:val="58492617"/>
    <w:rsid w:val="585039A6"/>
    <w:rsid w:val="58533496"/>
    <w:rsid w:val="585D7D90"/>
    <w:rsid w:val="5875340D"/>
    <w:rsid w:val="587D6765"/>
    <w:rsid w:val="58A261CC"/>
    <w:rsid w:val="58BD6B62"/>
    <w:rsid w:val="58C919AA"/>
    <w:rsid w:val="58CF794F"/>
    <w:rsid w:val="58F702C5"/>
    <w:rsid w:val="58F72073"/>
    <w:rsid w:val="590B0FBC"/>
    <w:rsid w:val="5917389F"/>
    <w:rsid w:val="59282B75"/>
    <w:rsid w:val="592B61C1"/>
    <w:rsid w:val="592F3F03"/>
    <w:rsid w:val="593009D2"/>
    <w:rsid w:val="5943350B"/>
    <w:rsid w:val="5955323E"/>
    <w:rsid w:val="5963595B"/>
    <w:rsid w:val="59A33FA9"/>
    <w:rsid w:val="59BC506B"/>
    <w:rsid w:val="59CD1026"/>
    <w:rsid w:val="59D93E6F"/>
    <w:rsid w:val="59E64905"/>
    <w:rsid w:val="5A00764E"/>
    <w:rsid w:val="5A1B6236"/>
    <w:rsid w:val="5A201A9E"/>
    <w:rsid w:val="5A24333C"/>
    <w:rsid w:val="5A29727C"/>
    <w:rsid w:val="5A557999"/>
    <w:rsid w:val="5A5E47C5"/>
    <w:rsid w:val="5A5F6122"/>
    <w:rsid w:val="5A6574B1"/>
    <w:rsid w:val="5A7A7400"/>
    <w:rsid w:val="5A7F0572"/>
    <w:rsid w:val="5AAE0E58"/>
    <w:rsid w:val="5AB87F28"/>
    <w:rsid w:val="5ACB1A0A"/>
    <w:rsid w:val="5ACE32A8"/>
    <w:rsid w:val="5AE76118"/>
    <w:rsid w:val="5AE825BC"/>
    <w:rsid w:val="5AF36F32"/>
    <w:rsid w:val="5B24111A"/>
    <w:rsid w:val="5B2B248A"/>
    <w:rsid w:val="5B4812AC"/>
    <w:rsid w:val="5B5163B3"/>
    <w:rsid w:val="5B5437AD"/>
    <w:rsid w:val="5B7F3B93"/>
    <w:rsid w:val="5B7F45A2"/>
    <w:rsid w:val="5BA54009"/>
    <w:rsid w:val="5BB406F0"/>
    <w:rsid w:val="5BB75BFE"/>
    <w:rsid w:val="5BBE50CA"/>
    <w:rsid w:val="5BC86423"/>
    <w:rsid w:val="5BCF72D8"/>
    <w:rsid w:val="5BF62AB6"/>
    <w:rsid w:val="5C1D2F38"/>
    <w:rsid w:val="5C341831"/>
    <w:rsid w:val="5C3655A9"/>
    <w:rsid w:val="5C58551F"/>
    <w:rsid w:val="5C5E240A"/>
    <w:rsid w:val="5C611EC5"/>
    <w:rsid w:val="5C8400C2"/>
    <w:rsid w:val="5CBA3AE4"/>
    <w:rsid w:val="5CC20BEA"/>
    <w:rsid w:val="5CC91F79"/>
    <w:rsid w:val="5D184CAE"/>
    <w:rsid w:val="5D1C02FB"/>
    <w:rsid w:val="5D303DA6"/>
    <w:rsid w:val="5D4930BA"/>
    <w:rsid w:val="5D4E247E"/>
    <w:rsid w:val="5D577585"/>
    <w:rsid w:val="5D5C103F"/>
    <w:rsid w:val="5D5E6B65"/>
    <w:rsid w:val="5D6D6DA8"/>
    <w:rsid w:val="5D6F2B20"/>
    <w:rsid w:val="5D8F31C2"/>
    <w:rsid w:val="5DAD53F7"/>
    <w:rsid w:val="5DBB5D65"/>
    <w:rsid w:val="5DCA244C"/>
    <w:rsid w:val="5DCF35BF"/>
    <w:rsid w:val="5DD07337"/>
    <w:rsid w:val="5DE11544"/>
    <w:rsid w:val="5DE762FC"/>
    <w:rsid w:val="5DFC012C"/>
    <w:rsid w:val="5DFE20F6"/>
    <w:rsid w:val="5E08087F"/>
    <w:rsid w:val="5E0A0A9B"/>
    <w:rsid w:val="5E2D6B90"/>
    <w:rsid w:val="5E32298E"/>
    <w:rsid w:val="5E323B4E"/>
    <w:rsid w:val="5E39312E"/>
    <w:rsid w:val="5E3D49CC"/>
    <w:rsid w:val="5E60690D"/>
    <w:rsid w:val="5E6463FD"/>
    <w:rsid w:val="5E6E6EC6"/>
    <w:rsid w:val="5E7A79CF"/>
    <w:rsid w:val="5E7F7F28"/>
    <w:rsid w:val="5E8E6FD6"/>
    <w:rsid w:val="5E9465B6"/>
    <w:rsid w:val="5E9640DD"/>
    <w:rsid w:val="5E9B5B97"/>
    <w:rsid w:val="5EB34C8F"/>
    <w:rsid w:val="5EB804F7"/>
    <w:rsid w:val="5EDB41E5"/>
    <w:rsid w:val="5EE906B0"/>
    <w:rsid w:val="5F092B01"/>
    <w:rsid w:val="5F1020E1"/>
    <w:rsid w:val="5F3149E5"/>
    <w:rsid w:val="5F335DCF"/>
    <w:rsid w:val="5F37766E"/>
    <w:rsid w:val="5F41673E"/>
    <w:rsid w:val="5F416E5E"/>
    <w:rsid w:val="5F427DC1"/>
    <w:rsid w:val="5F463D55"/>
    <w:rsid w:val="5FB24F46"/>
    <w:rsid w:val="5FB94527"/>
    <w:rsid w:val="5FC677EA"/>
    <w:rsid w:val="5FD64768"/>
    <w:rsid w:val="5FDA618F"/>
    <w:rsid w:val="5FFB4B3F"/>
    <w:rsid w:val="5FFC2665"/>
    <w:rsid w:val="601D2D07"/>
    <w:rsid w:val="602A71D2"/>
    <w:rsid w:val="603B13E0"/>
    <w:rsid w:val="60536729"/>
    <w:rsid w:val="60636240"/>
    <w:rsid w:val="606A75CF"/>
    <w:rsid w:val="60806DF2"/>
    <w:rsid w:val="60874625"/>
    <w:rsid w:val="6097485C"/>
    <w:rsid w:val="609B59DA"/>
    <w:rsid w:val="60BD1DF5"/>
    <w:rsid w:val="60DD4245"/>
    <w:rsid w:val="60E76E71"/>
    <w:rsid w:val="61151C31"/>
    <w:rsid w:val="612B3202"/>
    <w:rsid w:val="613025C6"/>
    <w:rsid w:val="615E35D8"/>
    <w:rsid w:val="616D7AF6"/>
    <w:rsid w:val="617F39BA"/>
    <w:rsid w:val="61812E22"/>
    <w:rsid w:val="61882403"/>
    <w:rsid w:val="618B3CA1"/>
    <w:rsid w:val="61B2122D"/>
    <w:rsid w:val="61E6537B"/>
    <w:rsid w:val="621243C2"/>
    <w:rsid w:val="62195750"/>
    <w:rsid w:val="62233ED9"/>
    <w:rsid w:val="62373E29"/>
    <w:rsid w:val="62404A8B"/>
    <w:rsid w:val="62410803"/>
    <w:rsid w:val="62456545"/>
    <w:rsid w:val="625247BE"/>
    <w:rsid w:val="626950D2"/>
    <w:rsid w:val="62AC44DC"/>
    <w:rsid w:val="62C31218"/>
    <w:rsid w:val="62EE098B"/>
    <w:rsid w:val="62EE2739"/>
    <w:rsid w:val="62F30C76"/>
    <w:rsid w:val="63043D0B"/>
    <w:rsid w:val="630C0E11"/>
    <w:rsid w:val="63312626"/>
    <w:rsid w:val="6347009B"/>
    <w:rsid w:val="63512CC8"/>
    <w:rsid w:val="6356208C"/>
    <w:rsid w:val="63584057"/>
    <w:rsid w:val="636B13F1"/>
    <w:rsid w:val="636E387A"/>
    <w:rsid w:val="6372336A"/>
    <w:rsid w:val="6377272F"/>
    <w:rsid w:val="638B7F88"/>
    <w:rsid w:val="6390559E"/>
    <w:rsid w:val="63C94F54"/>
    <w:rsid w:val="63DA4A6C"/>
    <w:rsid w:val="63DF2082"/>
    <w:rsid w:val="63ED0C43"/>
    <w:rsid w:val="63ED479F"/>
    <w:rsid w:val="63FD075A"/>
    <w:rsid w:val="63FE69AC"/>
    <w:rsid w:val="64025D70"/>
    <w:rsid w:val="64356146"/>
    <w:rsid w:val="64412D3D"/>
    <w:rsid w:val="64552344"/>
    <w:rsid w:val="64591E34"/>
    <w:rsid w:val="645D22AF"/>
    <w:rsid w:val="646033CD"/>
    <w:rsid w:val="646B7DB9"/>
    <w:rsid w:val="6477050C"/>
    <w:rsid w:val="64835103"/>
    <w:rsid w:val="648A6492"/>
    <w:rsid w:val="64963088"/>
    <w:rsid w:val="64994927"/>
    <w:rsid w:val="649C7F73"/>
    <w:rsid w:val="649E1F3D"/>
    <w:rsid w:val="64A07A63"/>
    <w:rsid w:val="64B452BD"/>
    <w:rsid w:val="64D43BB1"/>
    <w:rsid w:val="64EF4547"/>
    <w:rsid w:val="64F41B5D"/>
    <w:rsid w:val="64F46001"/>
    <w:rsid w:val="64FE29DC"/>
    <w:rsid w:val="650642D5"/>
    <w:rsid w:val="650C334B"/>
    <w:rsid w:val="654D682B"/>
    <w:rsid w:val="657A6506"/>
    <w:rsid w:val="65827169"/>
    <w:rsid w:val="659A2704"/>
    <w:rsid w:val="65A45331"/>
    <w:rsid w:val="65B337C6"/>
    <w:rsid w:val="65C07C91"/>
    <w:rsid w:val="65F067C8"/>
    <w:rsid w:val="65F52031"/>
    <w:rsid w:val="66014531"/>
    <w:rsid w:val="66081D64"/>
    <w:rsid w:val="66091638"/>
    <w:rsid w:val="663314D9"/>
    <w:rsid w:val="66430FEE"/>
    <w:rsid w:val="66521231"/>
    <w:rsid w:val="665E1984"/>
    <w:rsid w:val="66846F11"/>
    <w:rsid w:val="66A355E9"/>
    <w:rsid w:val="66A55805"/>
    <w:rsid w:val="66AC74D4"/>
    <w:rsid w:val="66B5531C"/>
    <w:rsid w:val="66C94B94"/>
    <w:rsid w:val="66D165FA"/>
    <w:rsid w:val="66D31FB4"/>
    <w:rsid w:val="66D32372"/>
    <w:rsid w:val="66D77739"/>
    <w:rsid w:val="670A1B0C"/>
    <w:rsid w:val="672F50CE"/>
    <w:rsid w:val="67346B89"/>
    <w:rsid w:val="6738569A"/>
    <w:rsid w:val="673F7A07"/>
    <w:rsid w:val="67515045"/>
    <w:rsid w:val="675E59B4"/>
    <w:rsid w:val="6764746E"/>
    <w:rsid w:val="676E209B"/>
    <w:rsid w:val="679413D5"/>
    <w:rsid w:val="679F2254"/>
    <w:rsid w:val="67A41618"/>
    <w:rsid w:val="67BF46A4"/>
    <w:rsid w:val="67D363A2"/>
    <w:rsid w:val="67E1286C"/>
    <w:rsid w:val="67EE1526"/>
    <w:rsid w:val="67F500C6"/>
    <w:rsid w:val="67FA392E"/>
    <w:rsid w:val="67FF0F45"/>
    <w:rsid w:val="680113F6"/>
    <w:rsid w:val="680B5B3B"/>
    <w:rsid w:val="68104F00"/>
    <w:rsid w:val="68120C78"/>
    <w:rsid w:val="681A7B2C"/>
    <w:rsid w:val="681D761D"/>
    <w:rsid w:val="68633281"/>
    <w:rsid w:val="687234C5"/>
    <w:rsid w:val="687E455F"/>
    <w:rsid w:val="6888718C"/>
    <w:rsid w:val="68AC5507"/>
    <w:rsid w:val="68B24209"/>
    <w:rsid w:val="68B7537B"/>
    <w:rsid w:val="68BF40D1"/>
    <w:rsid w:val="68C36416"/>
    <w:rsid w:val="68DB3760"/>
    <w:rsid w:val="68DC1286"/>
    <w:rsid w:val="68DC4DE2"/>
    <w:rsid w:val="68ED6FEF"/>
    <w:rsid w:val="68F95994"/>
    <w:rsid w:val="69132EFA"/>
    <w:rsid w:val="69205616"/>
    <w:rsid w:val="693764BC"/>
    <w:rsid w:val="69450BD9"/>
    <w:rsid w:val="695A0B28"/>
    <w:rsid w:val="69790883"/>
    <w:rsid w:val="699C3A5E"/>
    <w:rsid w:val="69AF24F6"/>
    <w:rsid w:val="69B8584F"/>
    <w:rsid w:val="69CC4E56"/>
    <w:rsid w:val="69D35328"/>
    <w:rsid w:val="69E06B54"/>
    <w:rsid w:val="69E44896"/>
    <w:rsid w:val="69ED37BF"/>
    <w:rsid w:val="69F93F0A"/>
    <w:rsid w:val="6A070584"/>
    <w:rsid w:val="6A1231B1"/>
    <w:rsid w:val="6A434CE8"/>
    <w:rsid w:val="6A57524C"/>
    <w:rsid w:val="6A5F216E"/>
    <w:rsid w:val="6A7B20D2"/>
    <w:rsid w:val="6A8219B9"/>
    <w:rsid w:val="6A890F99"/>
    <w:rsid w:val="6AAD6A36"/>
    <w:rsid w:val="6ACF2E50"/>
    <w:rsid w:val="6AE10DD5"/>
    <w:rsid w:val="6AE54422"/>
    <w:rsid w:val="6AED1291"/>
    <w:rsid w:val="6AF02DC7"/>
    <w:rsid w:val="6AF705F9"/>
    <w:rsid w:val="6B272A3A"/>
    <w:rsid w:val="6B372728"/>
    <w:rsid w:val="6B3C6772"/>
    <w:rsid w:val="6B3E3B32"/>
    <w:rsid w:val="6B403D4E"/>
    <w:rsid w:val="6B4750DC"/>
    <w:rsid w:val="6B543355"/>
    <w:rsid w:val="6B60619E"/>
    <w:rsid w:val="6B637A3C"/>
    <w:rsid w:val="6B676D04"/>
    <w:rsid w:val="6B80414A"/>
    <w:rsid w:val="6B855157"/>
    <w:rsid w:val="6B895752"/>
    <w:rsid w:val="6B9D1C9D"/>
    <w:rsid w:val="6B9F6CC6"/>
    <w:rsid w:val="6BA51E03"/>
    <w:rsid w:val="6BB43DF4"/>
    <w:rsid w:val="6BBE4C73"/>
    <w:rsid w:val="6BD91AAD"/>
    <w:rsid w:val="6BDD334B"/>
    <w:rsid w:val="6BFB7C75"/>
    <w:rsid w:val="6C007039"/>
    <w:rsid w:val="6C2A46F5"/>
    <w:rsid w:val="6C2E004A"/>
    <w:rsid w:val="6C3F5DB4"/>
    <w:rsid w:val="6C423AF6"/>
    <w:rsid w:val="6C472EBA"/>
    <w:rsid w:val="6C4C04D0"/>
    <w:rsid w:val="6C557385"/>
    <w:rsid w:val="6C6E0447"/>
    <w:rsid w:val="6C7041BF"/>
    <w:rsid w:val="6C9F4AA4"/>
    <w:rsid w:val="6CA1081C"/>
    <w:rsid w:val="6CB0280D"/>
    <w:rsid w:val="6CC4450B"/>
    <w:rsid w:val="6CE54BAD"/>
    <w:rsid w:val="6CF52916"/>
    <w:rsid w:val="6CFE17CB"/>
    <w:rsid w:val="6D052272"/>
    <w:rsid w:val="6D0A4613"/>
    <w:rsid w:val="6D371181"/>
    <w:rsid w:val="6D4F0278"/>
    <w:rsid w:val="6D761CA9"/>
    <w:rsid w:val="6D8343C6"/>
    <w:rsid w:val="6D9B170F"/>
    <w:rsid w:val="6DA00AD4"/>
    <w:rsid w:val="6DB97DE8"/>
    <w:rsid w:val="6DBB3B60"/>
    <w:rsid w:val="6DCF13B9"/>
    <w:rsid w:val="6DD54C21"/>
    <w:rsid w:val="6DE9247B"/>
    <w:rsid w:val="6DEA7FA1"/>
    <w:rsid w:val="6E113780"/>
    <w:rsid w:val="6E296D1B"/>
    <w:rsid w:val="6E2A65EF"/>
    <w:rsid w:val="6E2F3C06"/>
    <w:rsid w:val="6E313E22"/>
    <w:rsid w:val="6E331948"/>
    <w:rsid w:val="6E3336F6"/>
    <w:rsid w:val="6E511DCE"/>
    <w:rsid w:val="6E737F96"/>
    <w:rsid w:val="6E751F61"/>
    <w:rsid w:val="6E851A78"/>
    <w:rsid w:val="6E95615F"/>
    <w:rsid w:val="6EA97E5C"/>
    <w:rsid w:val="6EB34837"/>
    <w:rsid w:val="6EB5235D"/>
    <w:rsid w:val="6EE13152"/>
    <w:rsid w:val="6F092297"/>
    <w:rsid w:val="6F0F4163"/>
    <w:rsid w:val="6F1654F2"/>
    <w:rsid w:val="6F1C062E"/>
    <w:rsid w:val="6F547DC8"/>
    <w:rsid w:val="6F5E47A3"/>
    <w:rsid w:val="6F6B6EC0"/>
    <w:rsid w:val="6F751851"/>
    <w:rsid w:val="6F903151"/>
    <w:rsid w:val="6F926B42"/>
    <w:rsid w:val="6F9B1553"/>
    <w:rsid w:val="6FCD1928"/>
    <w:rsid w:val="6FCF38F2"/>
    <w:rsid w:val="6FD9651F"/>
    <w:rsid w:val="6FF84BF7"/>
    <w:rsid w:val="6FF9271D"/>
    <w:rsid w:val="6FFD045F"/>
    <w:rsid w:val="70072320"/>
    <w:rsid w:val="7019691C"/>
    <w:rsid w:val="701D28B0"/>
    <w:rsid w:val="70227EC6"/>
    <w:rsid w:val="70333E81"/>
    <w:rsid w:val="70381B73"/>
    <w:rsid w:val="70514307"/>
    <w:rsid w:val="7073427E"/>
    <w:rsid w:val="707A1AB0"/>
    <w:rsid w:val="70875F7B"/>
    <w:rsid w:val="708C17E3"/>
    <w:rsid w:val="709F1517"/>
    <w:rsid w:val="70A873EF"/>
    <w:rsid w:val="70BF5715"/>
    <w:rsid w:val="70CC1BE0"/>
    <w:rsid w:val="70CE3BAA"/>
    <w:rsid w:val="70D70CB1"/>
    <w:rsid w:val="70E80619"/>
    <w:rsid w:val="70F33611"/>
    <w:rsid w:val="70F353BF"/>
    <w:rsid w:val="71222B82"/>
    <w:rsid w:val="71333A0D"/>
    <w:rsid w:val="71381023"/>
    <w:rsid w:val="714E0847"/>
    <w:rsid w:val="71557E27"/>
    <w:rsid w:val="71566079"/>
    <w:rsid w:val="71A30B93"/>
    <w:rsid w:val="71A36DE5"/>
    <w:rsid w:val="71AF5789"/>
    <w:rsid w:val="71B003DA"/>
    <w:rsid w:val="71BE3C1E"/>
    <w:rsid w:val="71C34D91"/>
    <w:rsid w:val="71C805F9"/>
    <w:rsid w:val="71CD3E62"/>
    <w:rsid w:val="71EC42E8"/>
    <w:rsid w:val="71F4319C"/>
    <w:rsid w:val="71F93A34"/>
    <w:rsid w:val="720C2BDC"/>
    <w:rsid w:val="72312642"/>
    <w:rsid w:val="726F4F19"/>
    <w:rsid w:val="727C4CF1"/>
    <w:rsid w:val="728B745A"/>
    <w:rsid w:val="728E35F1"/>
    <w:rsid w:val="7298446F"/>
    <w:rsid w:val="72A252EE"/>
    <w:rsid w:val="72A66B8C"/>
    <w:rsid w:val="72BA2638"/>
    <w:rsid w:val="72C708B1"/>
    <w:rsid w:val="72F35B4A"/>
    <w:rsid w:val="72FA0C86"/>
    <w:rsid w:val="72FE7F64"/>
    <w:rsid w:val="72FF004B"/>
    <w:rsid w:val="730438B3"/>
    <w:rsid w:val="73117D7E"/>
    <w:rsid w:val="73131F38"/>
    <w:rsid w:val="73165394"/>
    <w:rsid w:val="73410663"/>
    <w:rsid w:val="734737A0"/>
    <w:rsid w:val="735A1725"/>
    <w:rsid w:val="735C724B"/>
    <w:rsid w:val="73697BBA"/>
    <w:rsid w:val="738812FC"/>
    <w:rsid w:val="738B7B30"/>
    <w:rsid w:val="73B21561"/>
    <w:rsid w:val="73B54BAD"/>
    <w:rsid w:val="73CA68AB"/>
    <w:rsid w:val="73D2750D"/>
    <w:rsid w:val="73D47729"/>
    <w:rsid w:val="73E536E4"/>
    <w:rsid w:val="73E831D5"/>
    <w:rsid w:val="7408640A"/>
    <w:rsid w:val="740A6CA7"/>
    <w:rsid w:val="74130252"/>
    <w:rsid w:val="74143FCA"/>
    <w:rsid w:val="741C4C2C"/>
    <w:rsid w:val="745443C6"/>
    <w:rsid w:val="74687E72"/>
    <w:rsid w:val="74744A68"/>
    <w:rsid w:val="74B82BA7"/>
    <w:rsid w:val="74C0380A"/>
    <w:rsid w:val="74CC6652"/>
    <w:rsid w:val="74DC7459"/>
    <w:rsid w:val="74E92D60"/>
    <w:rsid w:val="74F718AA"/>
    <w:rsid w:val="74FE651F"/>
    <w:rsid w:val="75045DEC"/>
    <w:rsid w:val="7510653F"/>
    <w:rsid w:val="7541091A"/>
    <w:rsid w:val="755D3EDE"/>
    <w:rsid w:val="757A60AE"/>
    <w:rsid w:val="757F5473"/>
    <w:rsid w:val="75846F2D"/>
    <w:rsid w:val="75864A53"/>
    <w:rsid w:val="759A22AD"/>
    <w:rsid w:val="75A629FF"/>
    <w:rsid w:val="75B57A57"/>
    <w:rsid w:val="75B94E29"/>
    <w:rsid w:val="75B96BD7"/>
    <w:rsid w:val="75BC66C7"/>
    <w:rsid w:val="75CF01A8"/>
    <w:rsid w:val="75D21A46"/>
    <w:rsid w:val="75D27C98"/>
    <w:rsid w:val="75D4756D"/>
    <w:rsid w:val="75DA6B4D"/>
    <w:rsid w:val="75DF5F11"/>
    <w:rsid w:val="76085468"/>
    <w:rsid w:val="7621477C"/>
    <w:rsid w:val="76261D92"/>
    <w:rsid w:val="76342701"/>
    <w:rsid w:val="76432944"/>
    <w:rsid w:val="767B0330"/>
    <w:rsid w:val="76854D0B"/>
    <w:rsid w:val="7693567A"/>
    <w:rsid w:val="76B75B16"/>
    <w:rsid w:val="76E61C4D"/>
    <w:rsid w:val="76EC6B38"/>
    <w:rsid w:val="76FB321F"/>
    <w:rsid w:val="771542E1"/>
    <w:rsid w:val="77170059"/>
    <w:rsid w:val="771F0CBB"/>
    <w:rsid w:val="77297D8C"/>
    <w:rsid w:val="772A140E"/>
    <w:rsid w:val="773B361B"/>
    <w:rsid w:val="77456248"/>
    <w:rsid w:val="774626EC"/>
    <w:rsid w:val="77495D38"/>
    <w:rsid w:val="77701517"/>
    <w:rsid w:val="779A0BA9"/>
    <w:rsid w:val="779A6594"/>
    <w:rsid w:val="77A13DC6"/>
    <w:rsid w:val="77A505DE"/>
    <w:rsid w:val="77A86F03"/>
    <w:rsid w:val="77AE203F"/>
    <w:rsid w:val="77F24622"/>
    <w:rsid w:val="78120820"/>
    <w:rsid w:val="78540E39"/>
    <w:rsid w:val="785E1CB7"/>
    <w:rsid w:val="786D1EFA"/>
    <w:rsid w:val="78767001"/>
    <w:rsid w:val="78883120"/>
    <w:rsid w:val="78A23952"/>
    <w:rsid w:val="78A84CE1"/>
    <w:rsid w:val="78B96EEE"/>
    <w:rsid w:val="78C22246"/>
    <w:rsid w:val="78CB776D"/>
    <w:rsid w:val="78D14237"/>
    <w:rsid w:val="78E33F6B"/>
    <w:rsid w:val="78E421BD"/>
    <w:rsid w:val="78FB3062"/>
    <w:rsid w:val="790C1713"/>
    <w:rsid w:val="79202AC9"/>
    <w:rsid w:val="795B1D53"/>
    <w:rsid w:val="795D5ACB"/>
    <w:rsid w:val="79711576"/>
    <w:rsid w:val="799B65F3"/>
    <w:rsid w:val="79AC25AE"/>
    <w:rsid w:val="79B06543"/>
    <w:rsid w:val="79BA116F"/>
    <w:rsid w:val="79BC0A44"/>
    <w:rsid w:val="79C97604"/>
    <w:rsid w:val="79F3642F"/>
    <w:rsid w:val="7A044199"/>
    <w:rsid w:val="7A1A39BC"/>
    <w:rsid w:val="7A682979"/>
    <w:rsid w:val="7A721A4A"/>
    <w:rsid w:val="7A7255A6"/>
    <w:rsid w:val="7A813A3B"/>
    <w:rsid w:val="7A996FD7"/>
    <w:rsid w:val="7A9B4AFD"/>
    <w:rsid w:val="7AA339B1"/>
    <w:rsid w:val="7AD85D51"/>
    <w:rsid w:val="7B046B46"/>
    <w:rsid w:val="7B2965AD"/>
    <w:rsid w:val="7B2A5E81"/>
    <w:rsid w:val="7B2A7C2F"/>
    <w:rsid w:val="7B4056A4"/>
    <w:rsid w:val="7B4D0E37"/>
    <w:rsid w:val="7B4E6013"/>
    <w:rsid w:val="7B5178B1"/>
    <w:rsid w:val="7B86755B"/>
    <w:rsid w:val="7B9003DA"/>
    <w:rsid w:val="7B922FDF"/>
    <w:rsid w:val="7B9F686F"/>
    <w:rsid w:val="7BA774D1"/>
    <w:rsid w:val="7BC2255D"/>
    <w:rsid w:val="7BD227A0"/>
    <w:rsid w:val="7BF2699E"/>
    <w:rsid w:val="7C0C7D75"/>
    <w:rsid w:val="7C156B31"/>
    <w:rsid w:val="7C1728A9"/>
    <w:rsid w:val="7C1C1C6D"/>
    <w:rsid w:val="7C1F52BA"/>
    <w:rsid w:val="7C2154D6"/>
    <w:rsid w:val="7C2823C0"/>
    <w:rsid w:val="7C2B0102"/>
    <w:rsid w:val="7C3A20F4"/>
    <w:rsid w:val="7C480CB4"/>
    <w:rsid w:val="7C594C70"/>
    <w:rsid w:val="7C5F6F1C"/>
    <w:rsid w:val="7C662EE9"/>
    <w:rsid w:val="7C9B7036"/>
    <w:rsid w:val="7CCB71F0"/>
    <w:rsid w:val="7CCE2A52"/>
    <w:rsid w:val="7CD2057E"/>
    <w:rsid w:val="7CD24A22"/>
    <w:rsid w:val="7CDD16DB"/>
    <w:rsid w:val="7CEF7382"/>
    <w:rsid w:val="7CF93D5D"/>
    <w:rsid w:val="7D044970"/>
    <w:rsid w:val="7D0A6F02"/>
    <w:rsid w:val="7D1C7A4B"/>
    <w:rsid w:val="7D4A0A5C"/>
    <w:rsid w:val="7DBA34EC"/>
    <w:rsid w:val="7DCC321F"/>
    <w:rsid w:val="7E292420"/>
    <w:rsid w:val="7E307C52"/>
    <w:rsid w:val="7E3D5ECB"/>
    <w:rsid w:val="7E576F8D"/>
    <w:rsid w:val="7E655B4E"/>
    <w:rsid w:val="7E7044F2"/>
    <w:rsid w:val="7E9B156F"/>
    <w:rsid w:val="7EAF0B77"/>
    <w:rsid w:val="7EB048EF"/>
    <w:rsid w:val="7EB24CA1"/>
    <w:rsid w:val="7EB937A4"/>
    <w:rsid w:val="7EBF2F6F"/>
    <w:rsid w:val="7ECB34D7"/>
    <w:rsid w:val="7EEF3669"/>
    <w:rsid w:val="7EF46ED2"/>
    <w:rsid w:val="7F201A75"/>
    <w:rsid w:val="7F21759B"/>
    <w:rsid w:val="7F271055"/>
    <w:rsid w:val="7F2D7CEE"/>
    <w:rsid w:val="7F3B240A"/>
    <w:rsid w:val="7F761695"/>
    <w:rsid w:val="7F8244DD"/>
    <w:rsid w:val="7F8A15E4"/>
    <w:rsid w:val="7FA426A6"/>
    <w:rsid w:val="7FB16B71"/>
    <w:rsid w:val="7FB47141"/>
    <w:rsid w:val="7FC05006"/>
    <w:rsid w:val="7FF3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7">
    <w:name w:val="Plain Text"/>
    <w:basedOn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列出段落1"/>
    <w:basedOn w:val="1"/>
    <w:autoRedefine/>
    <w:qFormat/>
    <w:uiPriority w:val="99"/>
    <w:pPr>
      <w:ind w:firstLine="420" w:firstLineChars="200"/>
    </w:pPr>
  </w:style>
  <w:style w:type="paragraph" w:customStyle="1" w:styleId="20">
    <w:name w:val="List Paragraph_32719a06-bb7c-4109-8a72-f8316dd92e7b"/>
    <w:basedOn w:val="1"/>
    <w:autoRedefine/>
    <w:qFormat/>
    <w:uiPriority w:val="34"/>
    <w:pPr>
      <w:ind w:firstLine="420" w:firstLineChars="200"/>
    </w:pPr>
  </w:style>
  <w:style w:type="paragraph" w:customStyle="1" w:styleId="21">
    <w:name w:val="List Paragraph_19ecc2d7-6fba-4337-812b-6bef6e74212b"/>
    <w:basedOn w:val="1"/>
    <w:autoRedefine/>
    <w:qFormat/>
    <w:uiPriority w:val="34"/>
    <w:pPr>
      <w:ind w:firstLine="420" w:firstLineChars="200"/>
    </w:pPr>
  </w:style>
  <w:style w:type="paragraph" w:styleId="22">
    <w:name w:val="List Paragraph"/>
    <w:basedOn w:val="1"/>
    <w:autoRedefine/>
    <w:qFormat/>
    <w:uiPriority w:val="1"/>
    <w:pPr>
      <w:ind w:left="1957" w:hanging="900"/>
    </w:pPr>
    <w:rPr>
      <w:rFonts w:ascii="仿宋" w:hAnsi="仿宋" w:eastAsia="仿宋" w:cs="仿宋"/>
      <w:lang w:val="zh-CN" w:eastAsia="zh-CN" w:bidi="zh-CN"/>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p15"/>
    <w:basedOn w:val="1"/>
    <w:autoRedefine/>
    <w:qFormat/>
    <w:uiPriority w:val="0"/>
    <w:pPr>
      <w:widowControl/>
      <w:adjustRightInd w:val="0"/>
      <w:jc w:val="left"/>
    </w:pPr>
    <w:rPr>
      <w:rFonts w:ascii="Arial Unicode MS" w:hAnsi="Arial Unicode MS" w:eastAsia="宋体" w:cs="宋体"/>
      <w:color w:val="000000"/>
      <w:kern w:val="0"/>
      <w:sz w:val="24"/>
      <w:szCs w:val="24"/>
    </w:rPr>
  </w:style>
  <w:style w:type="paragraph" w:customStyle="1" w:styleId="25">
    <w:name w:val="表格"/>
    <w:basedOn w:val="1"/>
    <w:autoRedefine/>
    <w:qFormat/>
    <w:uiPriority w:val="0"/>
    <w:pPr>
      <w:spacing w:line="400" w:lineRule="exact"/>
    </w:pPr>
    <w:rPr>
      <w:rFonts w:ascii="Times New Roman" w:hAnsi="Times New Roman" w:eastAsia="宋体" w:cs="Times New Roman"/>
      <w:sz w:val="24"/>
      <w:szCs w:val="24"/>
    </w:rPr>
  </w:style>
  <w:style w:type="paragraph" w:customStyle="1" w:styleId="26">
    <w:name w:val="HtmlPre"/>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27">
    <w:name w:val="列表段落1"/>
    <w:basedOn w:val="1"/>
    <w:autoRedefine/>
    <w:qFormat/>
    <w:uiPriority w:val="34"/>
    <w:pPr>
      <w:ind w:firstLine="420" w:firstLineChars="200"/>
    </w:pPr>
    <w:rPr>
      <w:szCs w:val="20"/>
    </w:rPr>
  </w:style>
  <w:style w:type="paragraph" w:customStyle="1" w:styleId="28">
    <w:name w:val="WW-正文缩进"/>
    <w:basedOn w:val="1"/>
    <w:autoRedefine/>
    <w:qFormat/>
    <w:uiPriority w:val="2"/>
    <w:pPr>
      <w:ind w:left="0" w:right="0" w:firstLine="420"/>
    </w:pPr>
    <w:rPr>
      <w:szCs w:val="20"/>
    </w:rPr>
  </w:style>
  <w:style w:type="paragraph" w:customStyle="1" w:styleId="29">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0">
    <w:name w:val="索引 11"/>
    <w:basedOn w:val="1"/>
    <w:next w:val="1"/>
    <w:autoRedefine/>
    <w:qFormat/>
    <w:uiPriority w:val="0"/>
    <w:pPr>
      <w:spacing w:line="360" w:lineRule="auto"/>
    </w:pPr>
    <w:rPr>
      <w:rFonts w:ascii="仿宋_GB2312" w:eastAsia="仿宋_GB2312"/>
      <w:sz w:val="24"/>
      <w:szCs w:val="20"/>
    </w:rPr>
  </w:style>
  <w:style w:type="paragraph" w:customStyle="1" w:styleId="31">
    <w:name w:val="纯文本1"/>
    <w:basedOn w:val="1"/>
    <w:autoRedefine/>
    <w:qFormat/>
    <w:uiPriority w:val="0"/>
    <w:rPr>
      <w:rFonts w:ascii="宋体" w:hAnsi="Courier New"/>
      <w:kern w:val="0"/>
      <w:sz w:val="20"/>
      <w:szCs w:val="20"/>
    </w:rPr>
  </w:style>
  <w:style w:type="character" w:customStyle="1" w:styleId="32">
    <w:name w:val="font31"/>
    <w:basedOn w:val="14"/>
    <w:autoRedefine/>
    <w:qFormat/>
    <w:uiPriority w:val="0"/>
    <w:rPr>
      <w:rFonts w:hint="eastAsia" w:ascii="宋体" w:hAnsi="宋体" w:eastAsia="宋体" w:cs="宋体"/>
      <w:color w:val="000000"/>
      <w:sz w:val="22"/>
      <w:szCs w:val="22"/>
      <w:u w:val="none"/>
    </w:rPr>
  </w:style>
  <w:style w:type="paragraph" w:customStyle="1" w:styleId="33">
    <w:name w:val="_Style 2"/>
    <w:autoRedefine/>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20921</Words>
  <Characters>23171</Characters>
  <TotalTime>20</TotalTime>
  <ScaleCrop>false</ScaleCrop>
  <LinksUpToDate>false</LinksUpToDate>
  <CharactersWithSpaces>25178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2024-01-02T17:22:00Z</dcterms:created>
  <dc:creator>WPS_1542621076</dc:creator>
  <cp:lastModifiedBy>静静</cp:lastModifiedBy>
  <cp:lastPrinted>2024-09-02T10:17:00Z</cp:lastPrinted>
  <dcterms:modified xsi:type="dcterms:W3CDTF">2025-04-10T08:50:19Z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2024-05-15T18:23:36Z</vt:filetime>
  </property>
  <property fmtid="{D5CDD505-2E9C-101B-9397-08002B2CF9AE}" pid="4" name="KSOProductBuildVer">
    <vt:lpwstr>2052-12.1.0.20784</vt:lpwstr>
  </property>
  <property fmtid="{D5CDD505-2E9C-101B-9397-08002B2CF9AE}" pid="5" name="ICV">
    <vt:lpwstr>C0FFF749547D4C0183AFCA6BFB13A8FB_13</vt:lpwstr>
  </property>
  <property fmtid="{D5CDD505-2E9C-101B-9397-08002B2CF9AE}" pid="6" name="KSOTemplateDocerSaveRecord">
    <vt:lpwstr>eyJoZGlkIjoiZDg2Y2NhZjQzMDY1MGJhOGVjMmQzOTMzZGUxMTVmZDYiLCJ1c2VySWQiOiI4Mjc5NzIwOTcifQ==</vt:lpwstr>
  </property>
</Properties>
</file>